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3DC9" w:rsidRPr="008C1FA6" w:rsidRDefault="004C3DC9" w:rsidP="006E5DCA">
      <w:pPr>
        <w:pStyle w:val="Heading1"/>
        <w:numPr>
          <w:ilvl w:val="0"/>
          <w:numId w:val="10"/>
        </w:numPr>
      </w:pPr>
      <w:bookmarkStart w:id="0" w:name="_Toc530739894"/>
      <w:bookmarkStart w:id="1" w:name="_Toc530739926"/>
      <w:r w:rsidRPr="008C1FA6">
        <w:t>Informácie o účtovnej jednotke</w:t>
      </w:r>
      <w:bookmarkEnd w:id="0"/>
      <w:r w:rsidRPr="008C1FA6">
        <w:t xml:space="preserve">   </w:t>
      </w:r>
    </w:p>
    <w:p w:rsidR="004C3DC9" w:rsidRPr="008C1FA6" w:rsidRDefault="004C3DC9">
      <w:pPr>
        <w:pStyle w:val="BodyText"/>
        <w:rPr>
          <w:rFonts w:eastAsia="Times New Roman"/>
          <w:sz w:val="20"/>
          <w:szCs w:val="20"/>
        </w:rPr>
      </w:pPr>
    </w:p>
    <w:p w:rsidR="004C3DC9" w:rsidRPr="008C1FA6" w:rsidRDefault="004C3DC9" w:rsidP="003B18B3">
      <w:pPr>
        <w:pStyle w:val="Heading2"/>
        <w:numPr>
          <w:ilvl w:val="0"/>
          <w:numId w:val="2"/>
        </w:numPr>
        <w:rPr>
          <w:rFonts w:eastAsia="Times New Roman"/>
          <w:sz w:val="20"/>
          <w:szCs w:val="20"/>
        </w:rPr>
      </w:pPr>
      <w:bookmarkStart w:id="2" w:name="_Toc530739895"/>
      <w:r w:rsidRPr="008C1FA6">
        <w:rPr>
          <w:rFonts w:eastAsia="Times New Roman"/>
          <w:sz w:val="20"/>
          <w:szCs w:val="20"/>
        </w:rPr>
        <w:t>Obchodné meno a sídlo spoločnosti:</w:t>
      </w:r>
      <w:bookmarkEnd w:id="2"/>
    </w:p>
    <w:p w:rsidR="004C3DC9" w:rsidRPr="008C1FA6" w:rsidRDefault="004C3DC9" w:rsidP="00CD2E48">
      <w:pPr>
        <w:rPr>
          <w:rFonts w:eastAsia="Times New Roman"/>
        </w:rPr>
      </w:pPr>
    </w:p>
    <w:p w:rsidR="004C3DC9" w:rsidRPr="008C1FA6" w:rsidRDefault="004C3DC9" w:rsidP="00CD2E48">
      <w:pPr>
        <w:ind w:left="360"/>
        <w:rPr>
          <w:rFonts w:eastAsia="Times New Roman"/>
        </w:rPr>
      </w:pPr>
      <w:r w:rsidRPr="008C1FA6">
        <w:rPr>
          <w:rFonts w:eastAsia="Times New Roman"/>
        </w:rPr>
        <w:t xml:space="preserve">Spoločnosť Fagor Ederlan Slovensko, a.s. (ďalej len Spoločnosť) bola založená </w:t>
      </w:r>
      <w:smartTag w:uri="urn:schemas-microsoft-com:office:smarttags" w:element="date">
        <w:smartTagPr>
          <w:attr w:name="Year" w:val="1997"/>
          <w:attr w:name="Day" w:val="4"/>
          <w:attr w:name="Month" w:val="7"/>
          <w:attr w:name="ls" w:val="trans"/>
        </w:smartTagPr>
        <w:r w:rsidRPr="008C1FA6">
          <w:rPr>
            <w:rFonts w:eastAsia="Times New Roman"/>
          </w:rPr>
          <w:t xml:space="preserve">4. júla </w:t>
        </w:r>
        <w:smartTag w:uri="urn:schemas-microsoft-com:office:smarttags" w:element="metricconverter">
          <w:smartTagPr>
            <w:attr w:name="ProductID" w:val="1997 a"/>
          </w:smartTagPr>
          <w:r w:rsidRPr="008C1FA6">
            <w:rPr>
              <w:rFonts w:eastAsia="Times New Roman"/>
            </w:rPr>
            <w:t>1997</w:t>
          </w:r>
        </w:smartTag>
      </w:smartTag>
      <w:r w:rsidRPr="008C1FA6">
        <w:rPr>
          <w:rFonts w:eastAsia="Times New Roman"/>
        </w:rPr>
        <w:t xml:space="preserve"> a do obchodného registra bola zapísaná </w:t>
      </w:r>
      <w:smartTag w:uri="urn:schemas-microsoft-com:office:smarttags" w:element="date">
        <w:smartTagPr>
          <w:attr w:name="Year" w:val="1997"/>
          <w:attr w:name="Day" w:val="31"/>
          <w:attr w:name="Month" w:val="7"/>
          <w:attr w:name="ls" w:val="trans"/>
        </w:smartTagPr>
        <w:r w:rsidRPr="008C1FA6">
          <w:rPr>
            <w:rFonts w:eastAsia="Times New Roman"/>
          </w:rPr>
          <w:t>31. júla 1997</w:t>
        </w:r>
      </w:smartTag>
      <w:r w:rsidRPr="008C1FA6">
        <w:rPr>
          <w:rFonts w:eastAsia="Times New Roman"/>
        </w:rPr>
        <w:t xml:space="preserve"> (Obchodný register Okresného súdu Banská Bystrica v Banskej Bystrici, oddiel Sa, vložka  číslo 438/S).</w:t>
      </w:r>
    </w:p>
    <w:p w:rsidR="004C3DC9" w:rsidRPr="008C1FA6" w:rsidRDefault="004C3DC9"/>
    <w:p w:rsidR="004C3DC9" w:rsidRPr="008C1FA6" w:rsidRDefault="004C3DC9" w:rsidP="003B18B3">
      <w:pPr>
        <w:pStyle w:val="Heading2"/>
        <w:numPr>
          <w:ilvl w:val="0"/>
          <w:numId w:val="2"/>
        </w:numPr>
      </w:pPr>
      <w:bookmarkStart w:id="3" w:name="_Toc530739896"/>
      <w:r w:rsidRPr="008C1FA6">
        <w:t>Hlavnými činnosťami Spoločnosti sú:</w:t>
      </w:r>
      <w:bookmarkEnd w:id="3"/>
    </w:p>
    <w:p w:rsidR="004C3DC9" w:rsidRPr="008C1FA6" w:rsidRDefault="004C3DC9" w:rsidP="006E5DCA">
      <w:pPr>
        <w:pStyle w:val="BodyText"/>
        <w:numPr>
          <w:ilvl w:val="0"/>
          <w:numId w:val="12"/>
        </w:numPr>
        <w:rPr>
          <w:rFonts w:eastAsia="Times New Roman"/>
        </w:rPr>
      </w:pPr>
      <w:r w:rsidRPr="008C1FA6">
        <w:rPr>
          <w:rFonts w:eastAsia="Times New Roman"/>
        </w:rPr>
        <w:t>výroba a predaj výrobkov z hliníka</w:t>
      </w:r>
    </w:p>
    <w:p w:rsidR="004C3DC9" w:rsidRPr="008C1FA6" w:rsidRDefault="004C3DC9" w:rsidP="006E5DCA">
      <w:pPr>
        <w:pStyle w:val="BodyText"/>
        <w:numPr>
          <w:ilvl w:val="0"/>
          <w:numId w:val="12"/>
        </w:numPr>
        <w:rPr>
          <w:rFonts w:eastAsia="Times New Roman"/>
        </w:rPr>
      </w:pPr>
      <w:r w:rsidRPr="008C1FA6">
        <w:rPr>
          <w:rFonts w:eastAsia="Times New Roman"/>
        </w:rPr>
        <w:t>výroba a predaj tlakových odliatkov zo zliatin hliníka a ostatných  kovov a ich opracovanie</w:t>
      </w:r>
    </w:p>
    <w:p w:rsidR="004C3DC9" w:rsidRPr="008C1FA6" w:rsidRDefault="004C3DC9" w:rsidP="006E5DCA">
      <w:pPr>
        <w:pStyle w:val="BodyText"/>
        <w:numPr>
          <w:ilvl w:val="0"/>
          <w:numId w:val="12"/>
        </w:numPr>
        <w:rPr>
          <w:rFonts w:eastAsia="Times New Roman"/>
        </w:rPr>
      </w:pPr>
      <w:r w:rsidRPr="008C1FA6">
        <w:rPr>
          <w:rFonts w:eastAsia="Times New Roman"/>
        </w:rPr>
        <w:t>výroba a predaj  zlievarenského náradia (formy, kokily, jadrovníky)</w:t>
      </w:r>
    </w:p>
    <w:p w:rsidR="004C3DC9" w:rsidRPr="008C1FA6" w:rsidRDefault="004C3DC9" w:rsidP="006E5DCA">
      <w:pPr>
        <w:pStyle w:val="BodyText"/>
        <w:numPr>
          <w:ilvl w:val="0"/>
          <w:numId w:val="12"/>
        </w:numPr>
        <w:rPr>
          <w:rFonts w:eastAsia="Times New Roman"/>
        </w:rPr>
      </w:pPr>
      <w:r w:rsidRPr="008C1FA6">
        <w:rPr>
          <w:rFonts w:eastAsia="Times New Roman"/>
        </w:rPr>
        <w:t>zušľachtenie a kalenie ocelí</w:t>
      </w:r>
    </w:p>
    <w:p w:rsidR="004C3DC9" w:rsidRPr="008C1FA6" w:rsidRDefault="004C3DC9" w:rsidP="006E5DCA">
      <w:pPr>
        <w:pStyle w:val="BodyText"/>
        <w:numPr>
          <w:ilvl w:val="0"/>
          <w:numId w:val="12"/>
        </w:numPr>
        <w:rPr>
          <w:rFonts w:eastAsia="Times New Roman"/>
        </w:rPr>
      </w:pPr>
      <w:r w:rsidRPr="008C1FA6">
        <w:rPr>
          <w:rFonts w:eastAsia="Times New Roman"/>
        </w:rPr>
        <w:t>kúpa tovaru za účelom jeho predaja v rozsahu voľnej živnosti</w:t>
      </w:r>
    </w:p>
    <w:p w:rsidR="004C3DC9" w:rsidRPr="008C1FA6" w:rsidRDefault="004C3DC9" w:rsidP="006E5DCA">
      <w:pPr>
        <w:pStyle w:val="BodyText"/>
        <w:numPr>
          <w:ilvl w:val="0"/>
          <w:numId w:val="12"/>
        </w:numPr>
        <w:rPr>
          <w:rFonts w:eastAsia="Times New Roman"/>
        </w:rPr>
      </w:pPr>
      <w:r w:rsidRPr="008C1FA6">
        <w:rPr>
          <w:rFonts w:eastAsia="Times New Roman"/>
        </w:rPr>
        <w:t>prenájom hnuteľných vecí</w:t>
      </w:r>
    </w:p>
    <w:p w:rsidR="004C3DC9" w:rsidRPr="008C1FA6" w:rsidRDefault="004C3DC9" w:rsidP="006E5DCA">
      <w:pPr>
        <w:pStyle w:val="BodyText"/>
        <w:numPr>
          <w:ilvl w:val="0"/>
          <w:numId w:val="12"/>
        </w:numPr>
        <w:rPr>
          <w:rFonts w:eastAsia="Times New Roman"/>
        </w:rPr>
      </w:pPr>
      <w:r w:rsidRPr="008C1FA6">
        <w:rPr>
          <w:rFonts w:eastAsia="Times New Roman"/>
        </w:rPr>
        <w:t>ámočnícke a údržbárske práce, konštrukčná činnosť</w:t>
      </w:r>
    </w:p>
    <w:p w:rsidR="004C3DC9" w:rsidRPr="008C1FA6" w:rsidRDefault="004C3DC9" w:rsidP="006E5DCA">
      <w:pPr>
        <w:pStyle w:val="BodyText"/>
        <w:numPr>
          <w:ilvl w:val="0"/>
          <w:numId w:val="12"/>
        </w:numPr>
        <w:rPr>
          <w:rFonts w:eastAsia="Times New Roman"/>
        </w:rPr>
      </w:pPr>
      <w:r w:rsidRPr="008C1FA6">
        <w:rPr>
          <w:rFonts w:eastAsia="Times New Roman"/>
        </w:rPr>
        <w:t>prepracovanie zliatin hliníka, medi a ostatných neželezných kovov z odpadov</w:t>
      </w:r>
    </w:p>
    <w:p w:rsidR="004C3DC9" w:rsidRPr="008C1FA6" w:rsidRDefault="004C3DC9" w:rsidP="006E5DCA">
      <w:pPr>
        <w:pStyle w:val="BodyText"/>
        <w:numPr>
          <w:ilvl w:val="0"/>
          <w:numId w:val="12"/>
        </w:numPr>
        <w:rPr>
          <w:rFonts w:eastAsia="Times New Roman"/>
        </w:rPr>
      </w:pPr>
      <w:r w:rsidRPr="008C1FA6">
        <w:rPr>
          <w:rFonts w:eastAsia="Times New Roman"/>
        </w:rPr>
        <w:t>predaj a vývoz sterov ľahkých kovov s obsahom hliníka</w:t>
      </w:r>
    </w:p>
    <w:p w:rsidR="004C3DC9" w:rsidRPr="008C1FA6" w:rsidRDefault="004C3DC9">
      <w:pPr>
        <w:pStyle w:val="BodyText"/>
      </w:pPr>
    </w:p>
    <w:p w:rsidR="004C3DC9" w:rsidRPr="008C1FA6" w:rsidRDefault="004C3DC9" w:rsidP="003B18B3">
      <w:pPr>
        <w:pStyle w:val="Heading2"/>
        <w:numPr>
          <w:ilvl w:val="0"/>
          <w:numId w:val="2"/>
        </w:numPr>
      </w:pPr>
      <w:r w:rsidRPr="008C1FA6">
        <w:t xml:space="preserve">Počet zamestnancov </w:t>
      </w:r>
    </w:p>
    <w:p w:rsidR="004C3DC9" w:rsidRPr="008C1FA6" w:rsidRDefault="004C3DC9" w:rsidP="00CD2E48">
      <w:pPr>
        <w:pStyle w:val="BodyText"/>
        <w:ind w:left="360"/>
        <w:rPr>
          <w:rFonts w:eastAsia="Times New Roman"/>
        </w:rPr>
      </w:pPr>
      <w:r w:rsidRPr="008C1FA6">
        <w:rPr>
          <w:rFonts w:eastAsia="Times New Roman"/>
        </w:rPr>
        <w:t>Údaje o počte zamestnancov za bežné účtovné obdobie a bezprostredne predchádzajúce účtovné obdobie sú uvedené v nasledujúcom prehľade:</w:t>
      </w:r>
    </w:p>
    <w:p w:rsidR="004C3DC9" w:rsidRPr="008C1FA6" w:rsidRDefault="004C3DC9" w:rsidP="002F6607">
      <w:pPr>
        <w:pStyle w:val="BodyText"/>
      </w:pPr>
    </w:p>
    <w:bookmarkStart w:id="4" w:name="_MON_1456140322"/>
    <w:bookmarkEnd w:id="4"/>
    <w:p w:rsidR="004C3DC9" w:rsidRPr="008C1FA6" w:rsidRDefault="004C3DC9" w:rsidP="00CD2E48">
      <w:pPr>
        <w:pStyle w:val="BodyText"/>
        <w:ind w:left="284"/>
      </w:pPr>
      <w:r w:rsidRPr="008C1FA6">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38.75pt;height:87pt" o:ole="" o:preferrelative="f">
            <v:imagedata r:id="rId7" o:title=""/>
            <o:lock v:ext="edit" aspectratio="f"/>
          </v:shape>
          <o:OLEObject Type="Embed" ProgID="Excel.Sheet.12" ShapeID="_x0000_i1029" DrawAspect="Content" ObjectID="_1486977190" r:id="rId8"/>
        </w:object>
      </w:r>
    </w:p>
    <w:p w:rsidR="004C3DC9" w:rsidRPr="008C1FA6" w:rsidRDefault="004C3DC9" w:rsidP="003B18B3">
      <w:pPr>
        <w:pStyle w:val="Heading2"/>
        <w:numPr>
          <w:ilvl w:val="0"/>
          <w:numId w:val="2"/>
        </w:numPr>
      </w:pPr>
      <w:r w:rsidRPr="008C1FA6">
        <w:t>Údaje o neobmedzenom ručení</w:t>
      </w:r>
    </w:p>
    <w:p w:rsidR="004C3DC9" w:rsidRPr="008C1FA6" w:rsidRDefault="004C3DC9" w:rsidP="00CD2E48">
      <w:pPr>
        <w:pStyle w:val="BodyText"/>
        <w:ind w:left="360"/>
        <w:rPr>
          <w:rFonts w:eastAsia="Times New Roman"/>
        </w:rPr>
      </w:pPr>
      <w:r w:rsidRPr="008C1FA6">
        <w:rPr>
          <w:rFonts w:eastAsia="Times New Roman"/>
        </w:rPr>
        <w:t xml:space="preserve">Spoločnosť nie je neobmedzene ručiacim spoločníkom v iných spoločnostiach podľa § 56 ods. 5 Obchodného zákonníka.   </w:t>
      </w:r>
    </w:p>
    <w:p w:rsidR="004C3DC9" w:rsidRPr="008C1FA6" w:rsidRDefault="004C3DC9" w:rsidP="00012D37">
      <w:pPr>
        <w:pStyle w:val="BodyText"/>
        <w:ind w:left="0"/>
        <w:rPr>
          <w:b/>
          <w:bCs/>
        </w:rPr>
      </w:pPr>
      <w:r w:rsidRPr="008C1FA6">
        <w:rPr>
          <w:b/>
          <w:bCs/>
        </w:rPr>
        <w:t xml:space="preserve">          </w:t>
      </w:r>
    </w:p>
    <w:p w:rsidR="004C3DC9" w:rsidRPr="008C1FA6" w:rsidRDefault="004C3DC9" w:rsidP="003B18B3">
      <w:pPr>
        <w:pStyle w:val="Heading2"/>
        <w:numPr>
          <w:ilvl w:val="0"/>
          <w:numId w:val="2"/>
        </w:numPr>
      </w:pPr>
      <w:r w:rsidRPr="008C1FA6">
        <w:t>Právny dôvod na zostavenie účtovnej závierky</w:t>
      </w:r>
    </w:p>
    <w:p w:rsidR="004C3DC9" w:rsidRPr="008C1FA6" w:rsidRDefault="004C3DC9" w:rsidP="00CD2E48">
      <w:pPr>
        <w:pStyle w:val="BodyText"/>
        <w:ind w:left="360"/>
      </w:pPr>
      <w:r w:rsidRPr="008C1FA6">
        <w:rPr>
          <w:rFonts w:eastAsia="Times New Roman"/>
        </w:rPr>
        <w:t>Účtovná závierka Spoločnosti k 31. decembru 2014 je zostavená ako riadna účtovná závierka podľa § 17 ods. 6 zákona NR SR č. 431/2002 Z. z. o účtovníctve, za účtovné obdobie od 1. januára 2014 do 31. decembra 2014.</w:t>
      </w:r>
    </w:p>
    <w:p w:rsidR="004C3DC9" w:rsidRPr="008C1FA6" w:rsidRDefault="004C3DC9">
      <w:pPr>
        <w:pStyle w:val="BodyText"/>
        <w:ind w:hanging="426"/>
      </w:pPr>
    </w:p>
    <w:p w:rsidR="004C3DC9" w:rsidRPr="008C1FA6" w:rsidRDefault="004C3DC9" w:rsidP="003B18B3">
      <w:pPr>
        <w:pStyle w:val="Heading2"/>
        <w:numPr>
          <w:ilvl w:val="0"/>
          <w:numId w:val="2"/>
        </w:numPr>
      </w:pPr>
      <w:r w:rsidRPr="008C1FA6">
        <w:t>Dátum schválenia účtovnej závierky za predchádzajúce účtovné obdobie</w:t>
      </w:r>
    </w:p>
    <w:p w:rsidR="004C3DC9" w:rsidRPr="008C1FA6" w:rsidRDefault="004C3DC9" w:rsidP="00CD2E48">
      <w:pPr>
        <w:pStyle w:val="BodyText"/>
        <w:ind w:left="360"/>
        <w:rPr>
          <w:rFonts w:eastAsia="Times New Roman"/>
        </w:rPr>
      </w:pPr>
      <w:r w:rsidRPr="008C1FA6">
        <w:rPr>
          <w:rFonts w:eastAsia="Times New Roman"/>
        </w:rPr>
        <w:t>Účtovná závierka Spoločnosti k 31. decembru 2013, za predchádzajúce účtovné obdobie, bola schválená valným zhromaždením Spoločnosti dňa 25. júna 2014.</w:t>
      </w:r>
    </w:p>
    <w:p w:rsidR="004C3DC9" w:rsidRPr="008C1FA6" w:rsidRDefault="004C3DC9" w:rsidP="00093861">
      <w:pPr>
        <w:pStyle w:val="BodyText"/>
        <w:ind w:hanging="426"/>
      </w:pPr>
    </w:p>
    <w:p w:rsidR="004C3DC9" w:rsidRPr="008C1FA6" w:rsidRDefault="004C3DC9" w:rsidP="003B18B3">
      <w:pPr>
        <w:pStyle w:val="Heading2"/>
        <w:numPr>
          <w:ilvl w:val="0"/>
          <w:numId w:val="2"/>
        </w:numPr>
      </w:pPr>
      <w:r w:rsidRPr="008C1FA6">
        <w:t>Zverejnenie účtovnej závierky za predchádzajúce účtovné obdobie</w:t>
      </w:r>
    </w:p>
    <w:p w:rsidR="004C3DC9" w:rsidRPr="008C1FA6" w:rsidRDefault="004C3DC9" w:rsidP="00095F78">
      <w:pPr>
        <w:pStyle w:val="BodyText"/>
        <w:ind w:left="360"/>
        <w:rPr>
          <w:rFonts w:eastAsia="Times New Roman"/>
        </w:rPr>
      </w:pPr>
      <w:r w:rsidRPr="008C1FA6">
        <w:rPr>
          <w:rFonts w:eastAsia="Times New Roman"/>
        </w:rPr>
        <w:t>Účtovná závierka Spoločnosti k 31. decembru 2013 spolu s výročnou správou a správou audítora o overení účtovnej  závierky k 31. decembru 2013 bola uložená do registra účtovných závierok 21. marca 2014 a 30. júna 2014.</w:t>
      </w:r>
    </w:p>
    <w:p w:rsidR="004C3DC9" w:rsidRPr="008C1FA6" w:rsidRDefault="004C3DC9" w:rsidP="00095F78">
      <w:pPr>
        <w:pStyle w:val="BodyText"/>
        <w:ind w:left="360"/>
      </w:pPr>
    </w:p>
    <w:p w:rsidR="004C3DC9" w:rsidRPr="008C1FA6" w:rsidRDefault="004C3DC9" w:rsidP="006E5DCA">
      <w:pPr>
        <w:pStyle w:val="Heading2"/>
        <w:numPr>
          <w:ilvl w:val="0"/>
          <w:numId w:val="2"/>
        </w:numPr>
      </w:pPr>
      <w:r w:rsidRPr="008C1FA6">
        <w:t>Schválenie audítora</w:t>
      </w:r>
    </w:p>
    <w:p w:rsidR="004C3DC9" w:rsidRPr="008C1FA6" w:rsidRDefault="004C3DC9" w:rsidP="00CD2E48">
      <w:pPr>
        <w:pStyle w:val="BodyText"/>
        <w:ind w:left="360"/>
        <w:rPr>
          <w:rFonts w:eastAsia="Times New Roman"/>
        </w:rPr>
      </w:pPr>
      <w:r w:rsidRPr="008C1FA6">
        <w:rPr>
          <w:rFonts w:eastAsia="Times New Roman"/>
        </w:rPr>
        <w:t>Valné zhromaždenie 25. júna 2014 schválilo spoločnosť KPMG Slovensko spol. s r.o. so sídlom Dvořákovo nábrežie 10,  811 02 Bratislava ako audítora na overenie účtovnej závierky za účtovné obdobie od 1. januára 2014  do 31. decembra 2014.</w:t>
      </w:r>
    </w:p>
    <w:p w:rsidR="004C3DC9" w:rsidRPr="008C1FA6" w:rsidRDefault="004C3DC9" w:rsidP="006139A7">
      <w:pPr>
        <w:pStyle w:val="BodyText"/>
        <w:ind w:left="0"/>
      </w:pPr>
    </w:p>
    <w:p w:rsidR="004C3DC9" w:rsidRPr="008C1FA6" w:rsidRDefault="004C3DC9" w:rsidP="00093861">
      <w:pPr>
        <w:pStyle w:val="Heading1"/>
      </w:pPr>
      <w:bookmarkStart w:id="5" w:name="_Toc530739897"/>
      <w:r w:rsidRPr="008C1FA6">
        <w:t>Informácie o orgánoch účtovnej jednotky</w:t>
      </w:r>
      <w:bookmarkEnd w:id="5"/>
    </w:p>
    <w:p w:rsidR="004C3DC9" w:rsidRPr="008C1FA6" w:rsidRDefault="004C3DC9"/>
    <w:p w:rsidR="004C3DC9" w:rsidRPr="008C1FA6" w:rsidRDefault="004C3DC9" w:rsidP="003B18B3">
      <w:pPr>
        <w:ind w:left="360"/>
        <w:rPr>
          <w:rFonts w:eastAsia="Times New Roman"/>
          <w:sz w:val="18"/>
          <w:szCs w:val="18"/>
        </w:rPr>
      </w:pPr>
      <w:r w:rsidRPr="008C1FA6">
        <w:rPr>
          <w:rFonts w:eastAsia="Times New Roman"/>
          <w:sz w:val="18"/>
          <w:szCs w:val="18"/>
        </w:rPr>
        <w:t>Orgány Spoločnosti:</w:t>
      </w:r>
    </w:p>
    <w:p w:rsidR="004C3DC9" w:rsidRPr="008C1FA6" w:rsidRDefault="004C3DC9" w:rsidP="00CD2E48">
      <w:pPr>
        <w:ind w:left="360"/>
        <w:rPr>
          <w:rFonts w:eastAsia="Times New Roman"/>
          <w:sz w:val="18"/>
          <w:szCs w:val="18"/>
        </w:rPr>
      </w:pPr>
      <w:r w:rsidRPr="008C1FA6">
        <w:rPr>
          <w:rFonts w:eastAsia="Times New Roman"/>
          <w:sz w:val="18"/>
          <w:szCs w:val="18"/>
        </w:rPr>
        <w:t>Predstavenstvo</w:t>
      </w:r>
      <w:r w:rsidRPr="008C1FA6">
        <w:rPr>
          <w:rFonts w:eastAsia="Times New Roman"/>
          <w:sz w:val="18"/>
          <w:szCs w:val="18"/>
        </w:rPr>
        <w:tab/>
        <w:t>Juan Mari Palencia Fernandez, predseda</w:t>
      </w:r>
    </w:p>
    <w:p w:rsidR="004C3DC9" w:rsidRPr="008C1FA6" w:rsidRDefault="004C3DC9" w:rsidP="00CD2E48">
      <w:pPr>
        <w:ind w:left="360"/>
        <w:rPr>
          <w:rFonts w:eastAsia="Times New Roman"/>
          <w:sz w:val="18"/>
          <w:szCs w:val="18"/>
        </w:rPr>
      </w:pPr>
      <w:r w:rsidRPr="008C1FA6">
        <w:rPr>
          <w:rFonts w:eastAsia="Times New Roman"/>
          <w:sz w:val="18"/>
          <w:szCs w:val="18"/>
        </w:rPr>
        <w:t xml:space="preserve">                                      </w:t>
      </w:r>
      <w:r w:rsidRPr="008C1FA6">
        <w:rPr>
          <w:rFonts w:eastAsia="Times New Roman"/>
          <w:sz w:val="18"/>
          <w:szCs w:val="18"/>
        </w:rPr>
        <w:tab/>
        <w:t xml:space="preserve">Luis Javier Egurcegui Argote, člen </w:t>
      </w:r>
    </w:p>
    <w:p w:rsidR="004C3DC9" w:rsidRPr="008C1FA6" w:rsidRDefault="004C3DC9" w:rsidP="00CD2E48">
      <w:pPr>
        <w:ind w:left="360"/>
        <w:rPr>
          <w:rFonts w:eastAsia="Times New Roman"/>
          <w:sz w:val="18"/>
          <w:szCs w:val="18"/>
        </w:rPr>
      </w:pPr>
      <w:r w:rsidRPr="008C1FA6">
        <w:rPr>
          <w:rFonts w:eastAsia="Times New Roman"/>
          <w:sz w:val="18"/>
          <w:szCs w:val="18"/>
        </w:rPr>
        <w:tab/>
      </w:r>
      <w:r w:rsidRPr="008C1FA6">
        <w:rPr>
          <w:rFonts w:eastAsia="Times New Roman"/>
          <w:sz w:val="18"/>
          <w:szCs w:val="18"/>
        </w:rPr>
        <w:tab/>
      </w:r>
      <w:r w:rsidRPr="008C1FA6">
        <w:rPr>
          <w:rFonts w:eastAsia="Times New Roman"/>
          <w:sz w:val="18"/>
          <w:szCs w:val="18"/>
        </w:rPr>
        <w:tab/>
        <w:t>Maria Carmen Inurria Landeras, člen</w:t>
      </w:r>
    </w:p>
    <w:p w:rsidR="004C3DC9" w:rsidRPr="008C1FA6" w:rsidRDefault="004C3DC9" w:rsidP="00CD2E48">
      <w:pPr>
        <w:rPr>
          <w:rFonts w:eastAsia="Times New Roman"/>
          <w:sz w:val="18"/>
          <w:szCs w:val="18"/>
        </w:rPr>
      </w:pPr>
    </w:p>
    <w:p w:rsidR="004C3DC9" w:rsidRPr="008C1FA6" w:rsidRDefault="004C3DC9" w:rsidP="00CD2E48">
      <w:pPr>
        <w:ind w:left="360"/>
        <w:rPr>
          <w:rFonts w:eastAsia="Times New Roman"/>
          <w:sz w:val="18"/>
          <w:szCs w:val="18"/>
        </w:rPr>
      </w:pPr>
      <w:r w:rsidRPr="008C1FA6">
        <w:rPr>
          <w:rFonts w:eastAsia="Times New Roman"/>
          <w:sz w:val="18"/>
          <w:szCs w:val="18"/>
        </w:rPr>
        <w:t>Dozorná rada</w:t>
      </w:r>
      <w:r w:rsidRPr="008C1FA6">
        <w:rPr>
          <w:rFonts w:eastAsia="Times New Roman"/>
          <w:sz w:val="18"/>
          <w:szCs w:val="18"/>
        </w:rPr>
        <w:tab/>
      </w:r>
      <w:r w:rsidRPr="008C1FA6">
        <w:rPr>
          <w:rFonts w:eastAsia="Times New Roman"/>
          <w:sz w:val="18"/>
          <w:szCs w:val="18"/>
        </w:rPr>
        <w:tab/>
        <w:t>Isabel Etxaniz Zubia</w:t>
      </w:r>
    </w:p>
    <w:p w:rsidR="004C3DC9" w:rsidRPr="008C1FA6" w:rsidRDefault="004C3DC9" w:rsidP="00CD2E48">
      <w:pPr>
        <w:ind w:left="360"/>
        <w:rPr>
          <w:rFonts w:eastAsia="Times New Roman"/>
          <w:sz w:val="18"/>
          <w:szCs w:val="18"/>
        </w:rPr>
      </w:pPr>
      <w:r w:rsidRPr="008C1FA6">
        <w:rPr>
          <w:rFonts w:eastAsia="Times New Roman"/>
          <w:sz w:val="18"/>
          <w:szCs w:val="18"/>
        </w:rPr>
        <w:t xml:space="preserve">                                   </w:t>
      </w:r>
      <w:r w:rsidRPr="008C1FA6">
        <w:rPr>
          <w:rFonts w:eastAsia="Times New Roman"/>
          <w:sz w:val="18"/>
          <w:szCs w:val="18"/>
        </w:rPr>
        <w:tab/>
        <w:t xml:space="preserve">Amagoia Barrutiabengoa Ortiz de Mendivil </w:t>
      </w:r>
    </w:p>
    <w:p w:rsidR="004C3DC9" w:rsidRPr="008C1FA6" w:rsidRDefault="004C3DC9" w:rsidP="00CD2E48">
      <w:pPr>
        <w:ind w:left="360"/>
        <w:rPr>
          <w:rFonts w:eastAsia="Times New Roman"/>
          <w:sz w:val="18"/>
          <w:szCs w:val="18"/>
        </w:rPr>
      </w:pPr>
      <w:r w:rsidRPr="008C1FA6">
        <w:rPr>
          <w:rFonts w:eastAsia="Times New Roman"/>
          <w:sz w:val="18"/>
          <w:szCs w:val="18"/>
        </w:rPr>
        <w:tab/>
      </w:r>
      <w:r w:rsidRPr="008C1FA6">
        <w:rPr>
          <w:rFonts w:eastAsia="Times New Roman"/>
          <w:sz w:val="18"/>
          <w:szCs w:val="18"/>
        </w:rPr>
        <w:tab/>
      </w:r>
      <w:r w:rsidRPr="008C1FA6">
        <w:rPr>
          <w:rFonts w:eastAsia="Times New Roman"/>
          <w:sz w:val="18"/>
          <w:szCs w:val="18"/>
        </w:rPr>
        <w:tab/>
        <w:t>František Wágner, člen volený zamestnancami</w:t>
      </w:r>
    </w:p>
    <w:p w:rsidR="004C3DC9" w:rsidRPr="008C1FA6" w:rsidRDefault="004C3DC9" w:rsidP="00CD2E48">
      <w:pPr>
        <w:ind w:left="360"/>
        <w:rPr>
          <w:rFonts w:eastAsia="Times New Roman"/>
          <w:sz w:val="18"/>
          <w:szCs w:val="18"/>
        </w:rPr>
      </w:pPr>
      <w:r w:rsidRPr="008C1FA6">
        <w:rPr>
          <w:rFonts w:eastAsia="Times New Roman"/>
          <w:sz w:val="18"/>
          <w:szCs w:val="18"/>
        </w:rPr>
        <w:tab/>
      </w:r>
    </w:p>
    <w:p w:rsidR="004C3DC9" w:rsidRPr="008C1FA6" w:rsidRDefault="004C3DC9" w:rsidP="00CD2E48">
      <w:pPr>
        <w:ind w:left="360"/>
        <w:rPr>
          <w:rFonts w:eastAsia="Times New Roman"/>
          <w:sz w:val="18"/>
          <w:szCs w:val="18"/>
        </w:rPr>
      </w:pPr>
    </w:p>
    <w:p w:rsidR="004C3DC9" w:rsidRPr="008C1FA6" w:rsidRDefault="004C3DC9" w:rsidP="00CD2E48">
      <w:pPr>
        <w:ind w:left="360"/>
        <w:rPr>
          <w:rFonts w:eastAsia="Times New Roman"/>
          <w:sz w:val="18"/>
          <w:szCs w:val="18"/>
        </w:rPr>
      </w:pPr>
      <w:r w:rsidRPr="008C1FA6">
        <w:rPr>
          <w:rFonts w:eastAsia="Times New Roman"/>
          <w:sz w:val="18"/>
          <w:szCs w:val="18"/>
        </w:rPr>
        <w:t xml:space="preserve">Prokurista                     </w:t>
      </w:r>
      <w:r w:rsidRPr="008C1FA6">
        <w:rPr>
          <w:rFonts w:eastAsia="Times New Roman"/>
          <w:sz w:val="18"/>
          <w:szCs w:val="18"/>
        </w:rPr>
        <w:tab/>
        <w:t xml:space="preserve">Marcial Iruretagoyena Echaniz  </w:t>
      </w:r>
    </w:p>
    <w:p w:rsidR="004C3DC9" w:rsidRPr="008C1FA6" w:rsidRDefault="004C3DC9" w:rsidP="00CD2E48">
      <w:pPr>
        <w:ind w:left="360"/>
        <w:rPr>
          <w:rFonts w:eastAsia="Times New Roman"/>
          <w:sz w:val="18"/>
          <w:szCs w:val="18"/>
        </w:rPr>
      </w:pPr>
    </w:p>
    <w:p w:rsidR="004C3DC9" w:rsidRPr="008C1FA6" w:rsidRDefault="004C3DC9" w:rsidP="00CD2E48">
      <w:pPr>
        <w:ind w:left="360"/>
        <w:rPr>
          <w:rFonts w:eastAsia="Times New Roman"/>
          <w:sz w:val="18"/>
          <w:szCs w:val="18"/>
        </w:rPr>
      </w:pPr>
    </w:p>
    <w:p w:rsidR="004C3DC9" w:rsidRPr="008C1FA6" w:rsidRDefault="004C3DC9" w:rsidP="00CD2E48">
      <w:pPr>
        <w:ind w:left="360"/>
        <w:rPr>
          <w:rFonts w:eastAsia="Times New Roman"/>
          <w:sz w:val="18"/>
          <w:szCs w:val="18"/>
        </w:rPr>
      </w:pPr>
      <w:r w:rsidRPr="008C1FA6">
        <w:rPr>
          <w:rFonts w:eastAsia="Times New Roman"/>
          <w:sz w:val="18"/>
          <w:szCs w:val="18"/>
        </w:rPr>
        <w:t>Dňa 17. decembra 2014 sa konalo mimoriadne valné zhromaždenie Spoločnosti na ktorom došlo k zmene orgánov Spoločnosti:</w:t>
      </w:r>
    </w:p>
    <w:p w:rsidR="004C3DC9" w:rsidRPr="008C1FA6" w:rsidRDefault="004C3DC9" w:rsidP="00CD2E48">
      <w:pPr>
        <w:ind w:left="360"/>
        <w:rPr>
          <w:rFonts w:eastAsia="Times New Roman"/>
          <w:sz w:val="18"/>
          <w:szCs w:val="18"/>
        </w:rPr>
      </w:pPr>
    </w:p>
    <w:p w:rsidR="004C3DC9" w:rsidRPr="008C1FA6" w:rsidRDefault="004C3DC9" w:rsidP="00CD2E48">
      <w:pPr>
        <w:ind w:left="360"/>
        <w:rPr>
          <w:rFonts w:eastAsia="Times New Roman"/>
          <w:sz w:val="18"/>
          <w:szCs w:val="18"/>
        </w:rPr>
      </w:pPr>
      <w:r w:rsidRPr="008C1FA6">
        <w:rPr>
          <w:rFonts w:eastAsia="Times New Roman"/>
          <w:sz w:val="18"/>
          <w:szCs w:val="18"/>
        </w:rPr>
        <w:t>Predstavenstvo</w:t>
      </w:r>
      <w:r w:rsidRPr="008C1FA6">
        <w:rPr>
          <w:rFonts w:eastAsia="Times New Roman"/>
          <w:sz w:val="18"/>
          <w:szCs w:val="18"/>
        </w:rPr>
        <w:tab/>
        <w:t>Marcial Iruretagoyena Echaniz, predseda</w:t>
      </w:r>
    </w:p>
    <w:p w:rsidR="004C3DC9" w:rsidRPr="008C1FA6" w:rsidRDefault="004C3DC9" w:rsidP="00CD2E48">
      <w:pPr>
        <w:ind w:left="360"/>
        <w:rPr>
          <w:rFonts w:eastAsia="Times New Roman"/>
          <w:sz w:val="18"/>
          <w:szCs w:val="18"/>
        </w:rPr>
      </w:pPr>
      <w:r w:rsidRPr="008C1FA6">
        <w:rPr>
          <w:rFonts w:eastAsia="Times New Roman"/>
          <w:sz w:val="18"/>
          <w:szCs w:val="18"/>
        </w:rPr>
        <w:t xml:space="preserve">                                         Juan Mari Palencia Fernandez, člen </w:t>
      </w:r>
    </w:p>
    <w:p w:rsidR="004C3DC9" w:rsidRPr="008C1FA6" w:rsidRDefault="004C3DC9" w:rsidP="00CD2E48">
      <w:pPr>
        <w:ind w:left="360"/>
        <w:rPr>
          <w:rFonts w:eastAsia="Times New Roman"/>
          <w:sz w:val="18"/>
          <w:szCs w:val="18"/>
        </w:rPr>
      </w:pPr>
      <w:r w:rsidRPr="008C1FA6">
        <w:rPr>
          <w:rFonts w:eastAsia="Times New Roman"/>
          <w:sz w:val="18"/>
          <w:szCs w:val="18"/>
        </w:rPr>
        <w:tab/>
      </w:r>
      <w:r w:rsidRPr="008C1FA6">
        <w:rPr>
          <w:rFonts w:eastAsia="Times New Roman"/>
          <w:sz w:val="18"/>
          <w:szCs w:val="18"/>
        </w:rPr>
        <w:tab/>
      </w:r>
      <w:r w:rsidRPr="008C1FA6">
        <w:rPr>
          <w:rFonts w:eastAsia="Times New Roman"/>
          <w:sz w:val="18"/>
          <w:szCs w:val="18"/>
        </w:rPr>
        <w:tab/>
        <w:t>Maria Carmen Inurria Landeras, člen</w:t>
      </w:r>
    </w:p>
    <w:p w:rsidR="004C3DC9" w:rsidRPr="008C1FA6" w:rsidRDefault="004C3DC9" w:rsidP="00CD2E48">
      <w:pPr>
        <w:ind w:left="360"/>
        <w:rPr>
          <w:rFonts w:eastAsia="Times New Roman"/>
          <w:sz w:val="18"/>
          <w:szCs w:val="18"/>
        </w:rPr>
      </w:pPr>
    </w:p>
    <w:p w:rsidR="004C3DC9" w:rsidRPr="008C1FA6" w:rsidRDefault="004C3DC9" w:rsidP="00CD2E48">
      <w:pPr>
        <w:ind w:left="360"/>
        <w:rPr>
          <w:rFonts w:eastAsia="Times New Roman"/>
          <w:sz w:val="18"/>
          <w:szCs w:val="18"/>
        </w:rPr>
      </w:pPr>
    </w:p>
    <w:p w:rsidR="004C3DC9" w:rsidRPr="008C1FA6" w:rsidRDefault="004C3DC9" w:rsidP="00CD2E48">
      <w:pPr>
        <w:ind w:left="360"/>
        <w:rPr>
          <w:rFonts w:eastAsia="Times New Roman"/>
          <w:sz w:val="18"/>
          <w:szCs w:val="18"/>
        </w:rPr>
      </w:pPr>
    </w:p>
    <w:p w:rsidR="004C3DC9" w:rsidRPr="008C1FA6" w:rsidRDefault="004C3DC9" w:rsidP="00CD2E48">
      <w:pPr>
        <w:ind w:left="360"/>
        <w:rPr>
          <w:rFonts w:eastAsia="Times New Roman"/>
          <w:sz w:val="18"/>
          <w:szCs w:val="18"/>
        </w:rPr>
      </w:pPr>
      <w:r w:rsidRPr="008C1FA6">
        <w:rPr>
          <w:rFonts w:eastAsia="Times New Roman"/>
          <w:sz w:val="18"/>
          <w:szCs w:val="18"/>
        </w:rPr>
        <w:t>Dozorná rada</w:t>
      </w:r>
      <w:r w:rsidRPr="008C1FA6">
        <w:rPr>
          <w:rFonts w:eastAsia="Times New Roman"/>
          <w:sz w:val="18"/>
          <w:szCs w:val="18"/>
        </w:rPr>
        <w:tab/>
      </w:r>
      <w:r w:rsidRPr="008C1FA6">
        <w:rPr>
          <w:rFonts w:eastAsia="Times New Roman"/>
          <w:sz w:val="18"/>
          <w:szCs w:val="18"/>
        </w:rPr>
        <w:tab/>
        <w:t>Isabel Etxaniz Zubia, člen</w:t>
      </w:r>
    </w:p>
    <w:p w:rsidR="004C3DC9" w:rsidRPr="008C1FA6" w:rsidRDefault="004C3DC9" w:rsidP="00CD2E48">
      <w:pPr>
        <w:ind w:left="360"/>
        <w:rPr>
          <w:rFonts w:eastAsia="Times New Roman"/>
          <w:sz w:val="18"/>
          <w:szCs w:val="18"/>
        </w:rPr>
      </w:pPr>
      <w:r w:rsidRPr="008C1FA6">
        <w:rPr>
          <w:rFonts w:eastAsia="Times New Roman"/>
          <w:sz w:val="18"/>
          <w:szCs w:val="18"/>
        </w:rPr>
        <w:t xml:space="preserve">                                   </w:t>
      </w:r>
      <w:r w:rsidRPr="008C1FA6">
        <w:rPr>
          <w:rFonts w:eastAsia="Times New Roman"/>
          <w:sz w:val="18"/>
          <w:szCs w:val="18"/>
        </w:rPr>
        <w:tab/>
        <w:t>Amagoia Barrutiabengoa Ortiz de Mendivil, člen</w:t>
      </w:r>
    </w:p>
    <w:p w:rsidR="004C3DC9" w:rsidRPr="008C1FA6" w:rsidRDefault="004C3DC9" w:rsidP="00CD2E48">
      <w:pPr>
        <w:ind w:left="360"/>
        <w:rPr>
          <w:rFonts w:eastAsia="Times New Roman"/>
          <w:sz w:val="18"/>
          <w:szCs w:val="18"/>
        </w:rPr>
      </w:pPr>
      <w:r w:rsidRPr="008C1FA6">
        <w:rPr>
          <w:rFonts w:eastAsia="Times New Roman"/>
          <w:sz w:val="18"/>
          <w:szCs w:val="18"/>
        </w:rPr>
        <w:tab/>
      </w:r>
      <w:r w:rsidRPr="008C1FA6">
        <w:rPr>
          <w:rFonts w:eastAsia="Times New Roman"/>
          <w:sz w:val="18"/>
          <w:szCs w:val="18"/>
        </w:rPr>
        <w:tab/>
      </w:r>
      <w:r w:rsidRPr="008C1FA6">
        <w:rPr>
          <w:rFonts w:eastAsia="Times New Roman"/>
          <w:sz w:val="18"/>
          <w:szCs w:val="18"/>
        </w:rPr>
        <w:tab/>
        <w:t>František Wágner, člen volený zamestnancami</w:t>
      </w:r>
    </w:p>
    <w:p w:rsidR="004C3DC9" w:rsidRPr="008C1FA6" w:rsidRDefault="004C3DC9" w:rsidP="00CD2E48">
      <w:pPr>
        <w:ind w:left="360"/>
        <w:rPr>
          <w:rFonts w:eastAsia="Times New Roman"/>
          <w:sz w:val="18"/>
          <w:szCs w:val="18"/>
        </w:rPr>
      </w:pPr>
    </w:p>
    <w:p w:rsidR="004C3DC9" w:rsidRPr="008C1FA6" w:rsidRDefault="004C3DC9" w:rsidP="00CD2E48">
      <w:pPr>
        <w:ind w:left="360"/>
        <w:rPr>
          <w:rFonts w:eastAsia="Times New Roman"/>
          <w:sz w:val="18"/>
          <w:szCs w:val="18"/>
        </w:rPr>
      </w:pPr>
    </w:p>
    <w:p w:rsidR="004C3DC9" w:rsidRPr="008C1FA6" w:rsidRDefault="004C3DC9" w:rsidP="00CD2E48">
      <w:pPr>
        <w:ind w:left="360"/>
        <w:rPr>
          <w:rFonts w:eastAsia="Times New Roman"/>
          <w:sz w:val="18"/>
          <w:szCs w:val="18"/>
        </w:rPr>
      </w:pPr>
      <w:r w:rsidRPr="008C1FA6">
        <w:rPr>
          <w:rFonts w:eastAsia="Times New Roman"/>
          <w:sz w:val="18"/>
          <w:szCs w:val="18"/>
        </w:rPr>
        <w:t xml:space="preserve">Prokurista                     </w:t>
      </w:r>
      <w:r w:rsidRPr="008C1FA6">
        <w:rPr>
          <w:rFonts w:eastAsia="Times New Roman"/>
          <w:sz w:val="18"/>
          <w:szCs w:val="18"/>
        </w:rPr>
        <w:tab/>
        <w:t xml:space="preserve">Joseba Agirre Urzelai  </w:t>
      </w:r>
    </w:p>
    <w:p w:rsidR="004C3DC9" w:rsidRPr="008C1FA6" w:rsidRDefault="004C3DC9" w:rsidP="00CD2E48">
      <w:pPr>
        <w:ind w:left="360"/>
        <w:rPr>
          <w:rFonts w:eastAsia="Times New Roman"/>
          <w:sz w:val="18"/>
          <w:szCs w:val="18"/>
        </w:rPr>
      </w:pPr>
    </w:p>
    <w:p w:rsidR="004C3DC9" w:rsidRPr="008C1FA6" w:rsidRDefault="004C3DC9" w:rsidP="00CD2E48">
      <w:pPr>
        <w:ind w:left="360"/>
        <w:rPr>
          <w:rFonts w:eastAsia="Times New Roman"/>
          <w:sz w:val="18"/>
          <w:szCs w:val="18"/>
        </w:rPr>
      </w:pPr>
      <w:r w:rsidRPr="008C1FA6">
        <w:rPr>
          <w:rFonts w:eastAsia="Times New Roman"/>
          <w:sz w:val="18"/>
          <w:szCs w:val="18"/>
        </w:rPr>
        <w:t xml:space="preserve">Uvedené zmeny orgánov Spoločnosti k 31. decembru 2014 v Obchodnom registri zatiaľ neboli zapísané. </w:t>
      </w:r>
    </w:p>
    <w:p w:rsidR="004C3DC9" w:rsidRPr="008C1FA6" w:rsidRDefault="004C3DC9" w:rsidP="00AB64C4">
      <w:pPr>
        <w:pStyle w:val="BodyText"/>
        <w:ind w:left="0"/>
      </w:pPr>
    </w:p>
    <w:p w:rsidR="004C3DC9" w:rsidRPr="008C1FA6" w:rsidRDefault="004C3DC9">
      <w:pPr>
        <w:pStyle w:val="Heading1"/>
      </w:pPr>
      <w:bookmarkStart w:id="6" w:name="_Toc530739898"/>
      <w:r w:rsidRPr="008C1FA6">
        <w:t>informácie o spoločníkoch účtovnej jednotky</w:t>
      </w:r>
      <w:bookmarkEnd w:id="6"/>
    </w:p>
    <w:p w:rsidR="004C3DC9" w:rsidRPr="008C1FA6" w:rsidRDefault="004C3DC9"/>
    <w:p w:rsidR="004C3DC9" w:rsidRPr="008C1FA6" w:rsidRDefault="004C3DC9" w:rsidP="00CD2E48">
      <w:pPr>
        <w:ind w:left="360"/>
        <w:rPr>
          <w:rFonts w:eastAsia="Times New Roman"/>
          <w:sz w:val="18"/>
          <w:szCs w:val="18"/>
        </w:rPr>
      </w:pPr>
      <w:r w:rsidRPr="008C1FA6">
        <w:rPr>
          <w:rFonts w:eastAsia="Times New Roman"/>
          <w:sz w:val="18"/>
          <w:szCs w:val="18"/>
        </w:rPr>
        <w:t xml:space="preserve">Štruktúra akcionárov Spoločnosti k 31. decembru.2014 je takáto: </w:t>
      </w:r>
    </w:p>
    <w:p w:rsidR="004C3DC9" w:rsidRPr="008C1FA6" w:rsidRDefault="004C3DC9" w:rsidP="002E50C8">
      <w:pPr>
        <w:pStyle w:val="BodyText"/>
      </w:pPr>
    </w:p>
    <w:bookmarkStart w:id="7" w:name="_MON_1486317156"/>
    <w:bookmarkEnd w:id="7"/>
    <w:p w:rsidR="004C3DC9" w:rsidRPr="008C1FA6" w:rsidRDefault="004C3DC9" w:rsidP="00CD2E48">
      <w:pPr>
        <w:pStyle w:val="BodyText"/>
        <w:ind w:left="284"/>
      </w:pPr>
      <w:r w:rsidRPr="008C1FA6">
        <w:object w:dxaOrig="9181" w:dyaOrig="2179">
          <v:shape id="_x0000_i1030" type="#_x0000_t75" style="width:426.75pt;height:113.25pt" o:ole="" o:preferrelative="f">
            <v:imagedata r:id="rId9" o:title=""/>
            <o:lock v:ext="edit" aspectratio="f"/>
          </v:shape>
          <o:OLEObject Type="Embed" ProgID="Excel.Sheet.12" ShapeID="_x0000_i1030" DrawAspect="Content" ObjectID="_1486977191" r:id="rId10"/>
        </w:object>
      </w:r>
    </w:p>
    <w:p w:rsidR="004C3DC9" w:rsidRPr="008C1FA6" w:rsidRDefault="004C3DC9" w:rsidP="00236CEC">
      <w:pPr>
        <w:pStyle w:val="BodyText"/>
        <w:ind w:left="0"/>
      </w:pPr>
    </w:p>
    <w:p w:rsidR="004C3DC9" w:rsidRPr="008C1FA6" w:rsidRDefault="004C3DC9" w:rsidP="0045403D">
      <w:pPr>
        <w:pStyle w:val="BodyText"/>
        <w:ind w:left="0"/>
      </w:pPr>
    </w:p>
    <w:p w:rsidR="004C3DC9" w:rsidRPr="008C1FA6" w:rsidRDefault="004C3DC9">
      <w:pPr>
        <w:pStyle w:val="Heading1"/>
      </w:pPr>
      <w:r w:rsidRPr="008C1FA6">
        <w:t>Informácie o konsolidovanom celku</w:t>
      </w:r>
    </w:p>
    <w:p w:rsidR="004C3DC9" w:rsidRPr="008C1FA6" w:rsidRDefault="004C3DC9" w:rsidP="00CD2E48"/>
    <w:p w:rsidR="004C3DC9" w:rsidRPr="008C1FA6" w:rsidRDefault="004C3DC9" w:rsidP="00CD2E48">
      <w:pPr>
        <w:ind w:left="360"/>
      </w:pPr>
      <w:r w:rsidRPr="008C1FA6">
        <w:t>Spoločnosť sa zahŕňa do konsolidovanej účtovnej závierky spoločnosti Fagor Ederlan, S. Coop., so sídlom Torrebaso, 7, 20540 Eskoriatza, Španielsko. Túto konsolidovanú účtovnú závierku je možné dostať priamo v sídle uvedenej spoločnosti.</w:t>
      </w:r>
    </w:p>
    <w:p w:rsidR="004C3DC9" w:rsidRPr="008C1FA6" w:rsidRDefault="004C3DC9" w:rsidP="00FE4896">
      <w:pPr>
        <w:pStyle w:val="BodyText"/>
        <w:ind w:left="0"/>
      </w:pPr>
    </w:p>
    <w:p w:rsidR="004C3DC9" w:rsidRPr="008C1FA6" w:rsidRDefault="004C3DC9">
      <w:pPr>
        <w:pStyle w:val="Heading1"/>
      </w:pPr>
      <w:bookmarkStart w:id="8" w:name="_Toc530739899"/>
      <w:r w:rsidRPr="008C1FA6">
        <w:t xml:space="preserve">Informácie o účtovných zásadách a účtovných metódach  </w:t>
      </w:r>
      <w:bookmarkEnd w:id="8"/>
    </w:p>
    <w:p w:rsidR="004C3DC9" w:rsidRPr="008C1FA6" w:rsidRDefault="004C3DC9">
      <w:pPr>
        <w:pStyle w:val="BodyText"/>
      </w:pPr>
    </w:p>
    <w:p w:rsidR="004C3DC9" w:rsidRPr="008C1FA6" w:rsidRDefault="004C3DC9" w:rsidP="00CD2E48">
      <w:pPr>
        <w:pStyle w:val="Pismenka"/>
        <w:tabs>
          <w:tab w:val="clear" w:pos="426"/>
        </w:tabs>
        <w:ind w:left="360" w:hanging="360"/>
        <w:rPr>
          <w:rFonts w:eastAsia="Times New Roman"/>
        </w:rPr>
      </w:pPr>
      <w:r w:rsidRPr="008C1FA6">
        <w:t>(a)</w:t>
      </w:r>
      <w:r w:rsidRPr="008C1FA6">
        <w:tab/>
      </w:r>
      <w:r w:rsidRPr="008C1FA6">
        <w:rPr>
          <w:rFonts w:eastAsia="Times New Roman"/>
        </w:rPr>
        <w:t>Východiská pre zostavenie účtovnej závierky</w:t>
      </w: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Účtovná závierka bola zostavená za predpokladu, že Spoločnosť bude nepretržite pokračovať vo svojej činnosti (going concern).</w:t>
      </w:r>
    </w:p>
    <w:p w:rsidR="004C3DC9" w:rsidRPr="008C1FA6" w:rsidRDefault="004C3DC9" w:rsidP="00CD2E48">
      <w:pPr>
        <w:pStyle w:val="Pismenka"/>
        <w:tabs>
          <w:tab w:val="clear" w:pos="426"/>
        </w:tabs>
        <w:ind w:left="360" w:firstLine="0"/>
        <w:rPr>
          <w:rFonts w:eastAsia="Times New Roman"/>
          <w:b w:val="0"/>
          <w:bCs w:val="0"/>
        </w:rPr>
      </w:pP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 xml:space="preserve">Účtovné metódy a všeobecné účtovné zásady boli účtovnou jednotkou konzistentne aplikované. K 31. decembru 2014 sa zmenila štruktúra súvahy a výkazu ziskov a strát. Zmena si vyžiadala aj preradenie položiek v súvahe a vo výkaze ziskov a strát za predchádzajúce účtovné obdobie podľa novej štruktúry výkazov. Zmena nemala žiadny vplyv na výsledok hospodárenia bežného účtovného obdobia, ani na výsledok hospodárenia minulých rokov. </w:t>
      </w:r>
    </w:p>
    <w:p w:rsidR="004C3DC9" w:rsidRPr="008C1FA6" w:rsidRDefault="004C3DC9" w:rsidP="00CD2E48">
      <w:pPr>
        <w:pStyle w:val="Pismenka"/>
        <w:tabs>
          <w:tab w:val="clear" w:pos="426"/>
        </w:tabs>
        <w:ind w:left="360" w:firstLine="0"/>
        <w:rPr>
          <w:rFonts w:eastAsia="Times New Roman"/>
          <w:b w:val="0"/>
          <w:bCs w:val="0"/>
        </w:rPr>
      </w:pPr>
    </w:p>
    <w:p w:rsidR="004C3DC9" w:rsidRPr="008C1FA6" w:rsidRDefault="004C3DC9" w:rsidP="00CD2E48">
      <w:pPr>
        <w:pStyle w:val="Pismenka"/>
        <w:tabs>
          <w:tab w:val="clear" w:pos="426"/>
        </w:tabs>
        <w:ind w:left="360" w:firstLine="0"/>
        <w:rPr>
          <w:rFonts w:eastAsia="Times New Roman"/>
          <w:b w:val="0"/>
          <w:bCs w:val="0"/>
        </w:rPr>
      </w:pP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 xml:space="preserve">V účtovnom období 2014 Spoločnosť nevykonala žiadne opravy významných chýb minulých účtovných období. </w:t>
      </w:r>
    </w:p>
    <w:p w:rsidR="004C3DC9" w:rsidRPr="008C1FA6" w:rsidRDefault="004C3DC9"/>
    <w:p w:rsidR="004C3DC9" w:rsidRPr="008C1FA6" w:rsidRDefault="004C3DC9" w:rsidP="00CD2E48">
      <w:pPr>
        <w:pStyle w:val="Pismenka"/>
        <w:tabs>
          <w:tab w:val="clear" w:pos="426"/>
        </w:tabs>
        <w:ind w:left="360" w:hanging="360"/>
        <w:rPr>
          <w:rFonts w:eastAsia="Times New Roman"/>
        </w:rPr>
      </w:pPr>
      <w:r w:rsidRPr="008C1FA6">
        <w:t>(b)</w:t>
      </w:r>
      <w:r w:rsidRPr="008C1FA6">
        <w:tab/>
      </w:r>
      <w:r w:rsidRPr="008C1FA6">
        <w:rPr>
          <w:rFonts w:eastAsia="Times New Roman"/>
        </w:rPr>
        <w:t>Dlhodobý nehmotný a dlhodobý hmotný majetok</w:t>
      </w: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 xml:space="preserve">Dlhodobý majetok nakupovaný sa oceňuje obstarávacou cenou, ktorá zahŕňa cenu obstarania a náklady súvisiace s obstaraním (clo, prepravu, montáž, poistné a pod.). </w:t>
      </w:r>
    </w:p>
    <w:p w:rsidR="004C3DC9" w:rsidRPr="008C1FA6" w:rsidRDefault="004C3DC9" w:rsidP="00CD2E48">
      <w:pPr>
        <w:pStyle w:val="Pismenka"/>
        <w:tabs>
          <w:tab w:val="clear" w:pos="426"/>
        </w:tabs>
        <w:ind w:left="360" w:hanging="360"/>
        <w:rPr>
          <w:rFonts w:eastAsia="Times New Roman"/>
          <w:b w:val="0"/>
          <w:bCs w:val="0"/>
        </w:rPr>
      </w:pP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Súčasťou obstarávacej ceny dlhodobého hmotného majetku nie sú úroky z cudzích zdrojov ani realizované kurzové rozdiely, ktoré vznikli do momentu uvedenia dlhodobého majetku do používania.</w:t>
      </w:r>
    </w:p>
    <w:p w:rsidR="004C3DC9" w:rsidRPr="008C1FA6" w:rsidRDefault="004C3DC9" w:rsidP="00CD2E48">
      <w:pPr>
        <w:pStyle w:val="Pismenka"/>
        <w:tabs>
          <w:tab w:val="clear" w:pos="426"/>
        </w:tabs>
        <w:ind w:left="360" w:hanging="360"/>
        <w:rPr>
          <w:rFonts w:eastAsia="Times New Roman"/>
          <w:b w:val="0"/>
          <w:bCs w:val="0"/>
        </w:rPr>
      </w:pP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Súčasťou obstarávacej ceny dlhodobého nehmotného majetku nie sú úroky z cudzích zdrojov, ktoré vznikli  do momentu zaradenia dlhodobého nehmotného majetku do používania.</w:t>
      </w:r>
    </w:p>
    <w:p w:rsidR="004C3DC9" w:rsidRPr="008C1FA6" w:rsidRDefault="004C3DC9" w:rsidP="00CD2E48">
      <w:pPr>
        <w:pStyle w:val="Pismenka"/>
        <w:tabs>
          <w:tab w:val="clear" w:pos="426"/>
        </w:tabs>
        <w:ind w:left="360" w:hanging="360"/>
        <w:rPr>
          <w:rFonts w:eastAsia="Times New Roman"/>
          <w:b w:val="0"/>
          <w:bCs w:val="0"/>
        </w:rPr>
      </w:pP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C3DC9" w:rsidRPr="008C1FA6" w:rsidRDefault="004C3DC9" w:rsidP="00CD2E48">
      <w:pPr>
        <w:pStyle w:val="Pismenka"/>
        <w:tabs>
          <w:tab w:val="clear" w:pos="426"/>
        </w:tabs>
        <w:ind w:left="360" w:hanging="360"/>
        <w:rPr>
          <w:rFonts w:eastAsia="Times New Roman"/>
          <w:b w:val="0"/>
          <w:bCs w:val="0"/>
        </w:rPr>
      </w:pP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Odpisy dlhodobého nehmotného majetku sú stanovené vychádzajúc z predpokladanej doby jeho používania a predpokladaného priebehu jeho opotrebenia. Odpisovať sa začína prvým dňom mesiaca  uvedenia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C3DC9" w:rsidRPr="008C1FA6" w:rsidRDefault="004C3DC9">
      <w:pPr>
        <w:pStyle w:val="BodyText"/>
      </w:pPr>
    </w:p>
    <w:p w:rsidR="004C3DC9" w:rsidRPr="008C1FA6" w:rsidRDefault="004C3DC9">
      <w:pPr>
        <w:pStyle w:val="Body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C3DC9" w:rsidRPr="008C1FA6">
        <w:trPr>
          <w:trHeight w:val="250"/>
        </w:trPr>
        <w:tc>
          <w:tcPr>
            <w:tcW w:w="3118" w:type="dxa"/>
            <w:gridSpan w:val="2"/>
            <w:tcBorders>
              <w:top w:val="nil"/>
              <w:left w:val="nil"/>
              <w:bottom w:val="nil"/>
              <w:right w:val="nil"/>
            </w:tcBorders>
          </w:tcPr>
          <w:p w:rsidR="004C3DC9" w:rsidRPr="008C1FA6" w:rsidRDefault="004C3DC9">
            <w:pPr>
              <w:pStyle w:val="Tabulka"/>
            </w:pPr>
            <w:r w:rsidRPr="008C1FA6">
              <w:br w:type="page"/>
            </w:r>
            <w:r w:rsidRPr="008C1FA6">
              <w:br w:type="page"/>
            </w:r>
          </w:p>
          <w:p w:rsidR="004C3DC9" w:rsidRPr="008C1FA6" w:rsidRDefault="004C3DC9">
            <w:pPr>
              <w:pStyle w:val="Tabulka"/>
            </w:pPr>
          </w:p>
        </w:tc>
        <w:tc>
          <w:tcPr>
            <w:tcW w:w="1985" w:type="dxa"/>
            <w:tcBorders>
              <w:top w:val="nil"/>
              <w:left w:val="nil"/>
              <w:bottom w:val="nil"/>
              <w:right w:val="nil"/>
            </w:tcBorders>
          </w:tcPr>
          <w:p w:rsidR="004C3DC9" w:rsidRPr="008C1FA6" w:rsidRDefault="004C3DC9">
            <w:pPr>
              <w:pStyle w:val="Tabulka"/>
              <w:jc w:val="center"/>
            </w:pPr>
            <w:r w:rsidRPr="008C1FA6">
              <w:t>Predpokladaná</w:t>
            </w:r>
          </w:p>
        </w:tc>
        <w:tc>
          <w:tcPr>
            <w:tcW w:w="141" w:type="dxa"/>
            <w:tcBorders>
              <w:top w:val="nil"/>
              <w:left w:val="nil"/>
              <w:bottom w:val="nil"/>
              <w:right w:val="nil"/>
            </w:tcBorders>
          </w:tcPr>
          <w:p w:rsidR="004C3DC9" w:rsidRPr="008C1FA6" w:rsidRDefault="004C3DC9">
            <w:pPr>
              <w:pStyle w:val="Tabulka"/>
              <w:jc w:val="center"/>
            </w:pPr>
          </w:p>
        </w:tc>
        <w:tc>
          <w:tcPr>
            <w:tcW w:w="1701" w:type="dxa"/>
            <w:tcBorders>
              <w:top w:val="nil"/>
              <w:left w:val="nil"/>
              <w:bottom w:val="nil"/>
              <w:right w:val="nil"/>
            </w:tcBorders>
          </w:tcPr>
          <w:p w:rsidR="004C3DC9" w:rsidRPr="008C1FA6" w:rsidRDefault="004C3DC9">
            <w:pPr>
              <w:pStyle w:val="Tabulka"/>
              <w:jc w:val="center"/>
            </w:pPr>
            <w:r w:rsidRPr="008C1FA6">
              <w:t>Metóda</w:t>
            </w:r>
          </w:p>
        </w:tc>
        <w:tc>
          <w:tcPr>
            <w:tcW w:w="142" w:type="dxa"/>
            <w:tcBorders>
              <w:top w:val="nil"/>
              <w:left w:val="nil"/>
              <w:bottom w:val="nil"/>
              <w:right w:val="nil"/>
            </w:tcBorders>
          </w:tcPr>
          <w:p w:rsidR="004C3DC9" w:rsidRPr="008C1FA6" w:rsidRDefault="004C3DC9">
            <w:pPr>
              <w:pStyle w:val="Tabulka"/>
              <w:jc w:val="center"/>
            </w:pPr>
          </w:p>
        </w:tc>
        <w:tc>
          <w:tcPr>
            <w:tcW w:w="1701" w:type="dxa"/>
            <w:tcBorders>
              <w:top w:val="nil"/>
              <w:left w:val="nil"/>
              <w:bottom w:val="nil"/>
              <w:right w:val="nil"/>
            </w:tcBorders>
          </w:tcPr>
          <w:p w:rsidR="004C3DC9" w:rsidRPr="008C1FA6" w:rsidRDefault="004C3DC9">
            <w:pPr>
              <w:pStyle w:val="Tabulka"/>
              <w:jc w:val="center"/>
            </w:pPr>
            <w:r w:rsidRPr="008C1FA6">
              <w:t>Ročná odpisová</w:t>
            </w:r>
          </w:p>
        </w:tc>
      </w:tr>
      <w:tr w:rsidR="004C3DC9" w:rsidRPr="008C1FA6">
        <w:trPr>
          <w:trHeight w:val="250"/>
        </w:trPr>
        <w:tc>
          <w:tcPr>
            <w:tcW w:w="2976" w:type="dxa"/>
            <w:tcBorders>
              <w:top w:val="nil"/>
              <w:left w:val="nil"/>
              <w:bottom w:val="single" w:sz="4" w:space="0" w:color="auto"/>
              <w:right w:val="nil"/>
            </w:tcBorders>
          </w:tcPr>
          <w:p w:rsidR="004C3DC9" w:rsidRPr="008C1FA6" w:rsidRDefault="004C3DC9">
            <w:pPr>
              <w:pStyle w:val="Tabulka"/>
            </w:pPr>
          </w:p>
        </w:tc>
        <w:tc>
          <w:tcPr>
            <w:tcW w:w="142" w:type="dxa"/>
            <w:tcBorders>
              <w:top w:val="nil"/>
              <w:left w:val="nil"/>
              <w:bottom w:val="single" w:sz="4" w:space="0" w:color="auto"/>
              <w:right w:val="nil"/>
            </w:tcBorders>
          </w:tcPr>
          <w:p w:rsidR="004C3DC9" w:rsidRPr="008C1FA6" w:rsidRDefault="004C3DC9">
            <w:pPr>
              <w:pStyle w:val="Tabulka"/>
            </w:pPr>
          </w:p>
        </w:tc>
        <w:tc>
          <w:tcPr>
            <w:tcW w:w="1985" w:type="dxa"/>
            <w:tcBorders>
              <w:top w:val="nil"/>
              <w:left w:val="nil"/>
              <w:bottom w:val="single" w:sz="4" w:space="0" w:color="auto"/>
              <w:right w:val="nil"/>
            </w:tcBorders>
          </w:tcPr>
          <w:p w:rsidR="004C3DC9" w:rsidRPr="008C1FA6" w:rsidRDefault="004C3DC9">
            <w:pPr>
              <w:pStyle w:val="Tabulka"/>
              <w:jc w:val="center"/>
            </w:pPr>
            <w:r w:rsidRPr="008C1FA6">
              <w:t>doba používania v rokoch</w:t>
            </w:r>
          </w:p>
        </w:tc>
        <w:tc>
          <w:tcPr>
            <w:tcW w:w="141" w:type="dxa"/>
            <w:tcBorders>
              <w:top w:val="nil"/>
              <w:left w:val="nil"/>
              <w:bottom w:val="single" w:sz="4" w:space="0" w:color="auto"/>
              <w:right w:val="nil"/>
            </w:tcBorders>
          </w:tcPr>
          <w:p w:rsidR="004C3DC9" w:rsidRPr="008C1FA6" w:rsidRDefault="004C3DC9">
            <w:pPr>
              <w:pStyle w:val="Tabulka"/>
              <w:jc w:val="center"/>
            </w:pPr>
          </w:p>
        </w:tc>
        <w:tc>
          <w:tcPr>
            <w:tcW w:w="1701" w:type="dxa"/>
            <w:tcBorders>
              <w:top w:val="nil"/>
              <w:left w:val="nil"/>
              <w:bottom w:val="single" w:sz="4" w:space="0" w:color="auto"/>
              <w:right w:val="nil"/>
            </w:tcBorders>
          </w:tcPr>
          <w:p w:rsidR="004C3DC9" w:rsidRPr="008C1FA6" w:rsidRDefault="004C3DC9">
            <w:pPr>
              <w:pStyle w:val="Tabulka"/>
              <w:jc w:val="center"/>
            </w:pPr>
            <w:r w:rsidRPr="008C1FA6">
              <w:t>odpisovania</w:t>
            </w:r>
          </w:p>
        </w:tc>
        <w:tc>
          <w:tcPr>
            <w:tcW w:w="142" w:type="dxa"/>
            <w:tcBorders>
              <w:top w:val="nil"/>
              <w:left w:val="nil"/>
              <w:bottom w:val="single" w:sz="4" w:space="0" w:color="auto"/>
              <w:right w:val="nil"/>
            </w:tcBorders>
          </w:tcPr>
          <w:p w:rsidR="004C3DC9" w:rsidRPr="008C1FA6" w:rsidRDefault="004C3DC9">
            <w:pPr>
              <w:pStyle w:val="Tabulka"/>
              <w:jc w:val="center"/>
            </w:pPr>
          </w:p>
        </w:tc>
        <w:tc>
          <w:tcPr>
            <w:tcW w:w="1701" w:type="dxa"/>
            <w:tcBorders>
              <w:top w:val="nil"/>
              <w:left w:val="nil"/>
              <w:bottom w:val="single" w:sz="4" w:space="0" w:color="auto"/>
              <w:right w:val="nil"/>
            </w:tcBorders>
          </w:tcPr>
          <w:p w:rsidR="004C3DC9" w:rsidRPr="008C1FA6" w:rsidRDefault="004C3DC9">
            <w:pPr>
              <w:pStyle w:val="Tabulka"/>
              <w:jc w:val="center"/>
            </w:pPr>
            <w:r w:rsidRPr="008C1FA6">
              <w:t>sadzba v %</w:t>
            </w:r>
          </w:p>
        </w:tc>
      </w:tr>
      <w:tr w:rsidR="004C3DC9" w:rsidRPr="008C1FA6">
        <w:trPr>
          <w:trHeight w:val="96"/>
        </w:trPr>
        <w:tc>
          <w:tcPr>
            <w:tcW w:w="3118" w:type="dxa"/>
            <w:gridSpan w:val="2"/>
            <w:tcBorders>
              <w:top w:val="nil"/>
              <w:left w:val="nil"/>
              <w:bottom w:val="nil"/>
              <w:right w:val="nil"/>
            </w:tcBorders>
          </w:tcPr>
          <w:p w:rsidR="004C3DC9" w:rsidRPr="008C1FA6" w:rsidRDefault="004C3DC9">
            <w:pPr>
              <w:pStyle w:val="Tabulka"/>
            </w:pPr>
            <w:r w:rsidRPr="008C1FA6">
              <w:t>Softvér</w:t>
            </w:r>
          </w:p>
        </w:tc>
        <w:tc>
          <w:tcPr>
            <w:tcW w:w="1985" w:type="dxa"/>
            <w:tcBorders>
              <w:top w:val="nil"/>
              <w:left w:val="nil"/>
              <w:bottom w:val="nil"/>
              <w:right w:val="nil"/>
            </w:tcBorders>
          </w:tcPr>
          <w:p w:rsidR="004C3DC9" w:rsidRPr="008C1FA6" w:rsidRDefault="004C3DC9">
            <w:pPr>
              <w:pStyle w:val="Tabulka"/>
              <w:jc w:val="center"/>
            </w:pPr>
            <w:r w:rsidRPr="008C1FA6">
              <w:t xml:space="preserve"> 5</w:t>
            </w:r>
          </w:p>
        </w:tc>
        <w:tc>
          <w:tcPr>
            <w:tcW w:w="141" w:type="dxa"/>
            <w:tcBorders>
              <w:top w:val="nil"/>
              <w:left w:val="nil"/>
              <w:bottom w:val="nil"/>
              <w:right w:val="nil"/>
            </w:tcBorders>
          </w:tcPr>
          <w:p w:rsidR="004C3DC9" w:rsidRPr="008C1FA6" w:rsidRDefault="004C3DC9">
            <w:pPr>
              <w:pStyle w:val="Tabulka"/>
              <w:jc w:val="center"/>
            </w:pPr>
          </w:p>
        </w:tc>
        <w:tc>
          <w:tcPr>
            <w:tcW w:w="1701" w:type="dxa"/>
            <w:tcBorders>
              <w:top w:val="nil"/>
              <w:left w:val="nil"/>
              <w:bottom w:val="nil"/>
              <w:right w:val="nil"/>
            </w:tcBorders>
          </w:tcPr>
          <w:p w:rsidR="004C3DC9" w:rsidRPr="008C1FA6" w:rsidRDefault="004C3DC9">
            <w:pPr>
              <w:pStyle w:val="Tabulka"/>
              <w:jc w:val="center"/>
            </w:pPr>
            <w:r w:rsidRPr="008C1FA6">
              <w:t>lineárna</w:t>
            </w:r>
          </w:p>
        </w:tc>
        <w:tc>
          <w:tcPr>
            <w:tcW w:w="142" w:type="dxa"/>
            <w:tcBorders>
              <w:top w:val="nil"/>
              <w:left w:val="nil"/>
              <w:bottom w:val="nil"/>
              <w:right w:val="nil"/>
            </w:tcBorders>
          </w:tcPr>
          <w:p w:rsidR="004C3DC9" w:rsidRPr="008C1FA6" w:rsidRDefault="004C3DC9">
            <w:pPr>
              <w:pStyle w:val="Tabulka"/>
              <w:jc w:val="center"/>
            </w:pPr>
          </w:p>
        </w:tc>
        <w:tc>
          <w:tcPr>
            <w:tcW w:w="1701" w:type="dxa"/>
            <w:tcBorders>
              <w:top w:val="nil"/>
              <w:left w:val="nil"/>
              <w:bottom w:val="nil"/>
              <w:right w:val="nil"/>
            </w:tcBorders>
          </w:tcPr>
          <w:p w:rsidR="004C3DC9" w:rsidRPr="008C1FA6" w:rsidRDefault="004C3DC9">
            <w:pPr>
              <w:pStyle w:val="Tabulka"/>
              <w:jc w:val="center"/>
            </w:pPr>
            <w:r w:rsidRPr="008C1FA6">
              <w:t xml:space="preserve">20 </w:t>
            </w:r>
          </w:p>
        </w:tc>
      </w:tr>
      <w:tr w:rsidR="004C3DC9" w:rsidRPr="008C1FA6">
        <w:trPr>
          <w:trHeight w:val="250"/>
        </w:trPr>
        <w:tc>
          <w:tcPr>
            <w:tcW w:w="3118" w:type="dxa"/>
            <w:gridSpan w:val="2"/>
            <w:tcBorders>
              <w:top w:val="nil"/>
              <w:left w:val="nil"/>
              <w:bottom w:val="nil"/>
              <w:right w:val="nil"/>
            </w:tcBorders>
          </w:tcPr>
          <w:p w:rsidR="004C3DC9" w:rsidRPr="008C1FA6" w:rsidRDefault="004C3DC9">
            <w:pPr>
              <w:pStyle w:val="Tabulka"/>
            </w:pPr>
            <w:r w:rsidRPr="008C1FA6">
              <w:t>Drobný dlhodobý nehmotný majetok</w:t>
            </w:r>
          </w:p>
        </w:tc>
        <w:tc>
          <w:tcPr>
            <w:tcW w:w="1985" w:type="dxa"/>
            <w:tcBorders>
              <w:top w:val="nil"/>
              <w:left w:val="nil"/>
              <w:bottom w:val="nil"/>
              <w:right w:val="nil"/>
            </w:tcBorders>
          </w:tcPr>
          <w:p w:rsidR="004C3DC9" w:rsidRPr="008C1FA6" w:rsidRDefault="004C3DC9">
            <w:pPr>
              <w:pStyle w:val="Tabulka"/>
              <w:jc w:val="center"/>
            </w:pPr>
            <w:r w:rsidRPr="008C1FA6">
              <w:t>Rôzna</w:t>
            </w:r>
          </w:p>
        </w:tc>
        <w:tc>
          <w:tcPr>
            <w:tcW w:w="141" w:type="dxa"/>
            <w:tcBorders>
              <w:top w:val="nil"/>
              <w:left w:val="nil"/>
              <w:bottom w:val="nil"/>
              <w:right w:val="nil"/>
            </w:tcBorders>
          </w:tcPr>
          <w:p w:rsidR="004C3DC9" w:rsidRPr="008C1FA6" w:rsidRDefault="004C3DC9">
            <w:pPr>
              <w:pStyle w:val="Tabulka"/>
              <w:jc w:val="center"/>
            </w:pPr>
          </w:p>
        </w:tc>
        <w:tc>
          <w:tcPr>
            <w:tcW w:w="1701" w:type="dxa"/>
            <w:tcBorders>
              <w:top w:val="nil"/>
              <w:left w:val="nil"/>
              <w:bottom w:val="nil"/>
              <w:right w:val="nil"/>
            </w:tcBorders>
          </w:tcPr>
          <w:p w:rsidR="004C3DC9" w:rsidRPr="008C1FA6" w:rsidRDefault="004C3DC9">
            <w:pPr>
              <w:pStyle w:val="Tabulka"/>
              <w:jc w:val="center"/>
            </w:pPr>
            <w:r w:rsidRPr="008C1FA6">
              <w:t>jednorazový odpis</w:t>
            </w:r>
          </w:p>
        </w:tc>
        <w:tc>
          <w:tcPr>
            <w:tcW w:w="142" w:type="dxa"/>
            <w:tcBorders>
              <w:top w:val="nil"/>
              <w:left w:val="nil"/>
              <w:bottom w:val="nil"/>
              <w:right w:val="nil"/>
            </w:tcBorders>
          </w:tcPr>
          <w:p w:rsidR="004C3DC9" w:rsidRPr="008C1FA6" w:rsidRDefault="004C3DC9">
            <w:pPr>
              <w:pStyle w:val="Tabulka"/>
              <w:jc w:val="center"/>
            </w:pPr>
          </w:p>
        </w:tc>
        <w:tc>
          <w:tcPr>
            <w:tcW w:w="1701" w:type="dxa"/>
            <w:tcBorders>
              <w:top w:val="nil"/>
              <w:left w:val="nil"/>
              <w:bottom w:val="nil"/>
              <w:right w:val="nil"/>
            </w:tcBorders>
          </w:tcPr>
          <w:p w:rsidR="004C3DC9" w:rsidRPr="008C1FA6" w:rsidRDefault="004C3DC9">
            <w:pPr>
              <w:pStyle w:val="Tabulka"/>
              <w:jc w:val="center"/>
            </w:pPr>
            <w:r w:rsidRPr="008C1FA6">
              <w:t>100</w:t>
            </w:r>
          </w:p>
        </w:tc>
      </w:tr>
    </w:tbl>
    <w:p w:rsidR="004C3DC9" w:rsidRPr="008C1FA6" w:rsidRDefault="004C3DC9" w:rsidP="0089656D">
      <w:pPr>
        <w:pStyle w:val="BodyText"/>
        <w:ind w:left="0"/>
      </w:pP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Odpisy dlhodobého hmotného majetku sú stanovené vychádzajúc z predpokladanej doby jeho používania a predpokladaného priebehu jeho opotrebenia. Odpisovať sa začína prvým dňom mesiaca uvedenia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C3DC9" w:rsidRPr="008C1FA6" w:rsidRDefault="004C3DC9">
      <w:pPr>
        <w:pStyle w:val="Body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C3DC9" w:rsidRPr="008C1FA6">
        <w:trPr>
          <w:trHeight w:val="250"/>
        </w:trPr>
        <w:tc>
          <w:tcPr>
            <w:tcW w:w="3118" w:type="dxa"/>
            <w:gridSpan w:val="2"/>
            <w:tcBorders>
              <w:top w:val="nil"/>
              <w:left w:val="nil"/>
              <w:bottom w:val="nil"/>
              <w:right w:val="nil"/>
            </w:tcBorders>
          </w:tcPr>
          <w:p w:rsidR="004C3DC9" w:rsidRPr="008C1FA6" w:rsidRDefault="004C3DC9" w:rsidP="00CD2E48">
            <w:pPr>
              <w:pStyle w:val="Tabulka"/>
              <w:ind w:left="-60" w:firstLine="60"/>
            </w:pPr>
          </w:p>
        </w:tc>
        <w:tc>
          <w:tcPr>
            <w:tcW w:w="1985" w:type="dxa"/>
            <w:tcBorders>
              <w:top w:val="nil"/>
              <w:left w:val="nil"/>
              <w:bottom w:val="nil"/>
              <w:right w:val="nil"/>
            </w:tcBorders>
          </w:tcPr>
          <w:p w:rsidR="004C3DC9" w:rsidRPr="008C1FA6" w:rsidRDefault="004C3DC9" w:rsidP="00CD2E48">
            <w:pPr>
              <w:pStyle w:val="Tabulka"/>
              <w:ind w:left="-60" w:firstLine="60"/>
              <w:jc w:val="center"/>
            </w:pPr>
            <w:r w:rsidRPr="008C1FA6">
              <w:t>Predpokladaná</w:t>
            </w:r>
          </w:p>
        </w:tc>
        <w:tc>
          <w:tcPr>
            <w:tcW w:w="141" w:type="dxa"/>
            <w:tcBorders>
              <w:top w:val="nil"/>
              <w:left w:val="nil"/>
              <w:bottom w:val="nil"/>
              <w:right w:val="nil"/>
            </w:tcBorders>
          </w:tcPr>
          <w:p w:rsidR="004C3DC9" w:rsidRPr="008C1FA6" w:rsidRDefault="004C3DC9" w:rsidP="00CD2E48">
            <w:pPr>
              <w:pStyle w:val="Tabulka"/>
              <w:ind w:left="-60" w:firstLine="60"/>
              <w:jc w:val="center"/>
            </w:pPr>
          </w:p>
        </w:tc>
        <w:tc>
          <w:tcPr>
            <w:tcW w:w="1701" w:type="dxa"/>
            <w:tcBorders>
              <w:top w:val="nil"/>
              <w:left w:val="nil"/>
              <w:bottom w:val="nil"/>
              <w:right w:val="nil"/>
            </w:tcBorders>
          </w:tcPr>
          <w:p w:rsidR="004C3DC9" w:rsidRPr="008C1FA6" w:rsidRDefault="004C3DC9" w:rsidP="00CD2E48">
            <w:pPr>
              <w:pStyle w:val="Tabulka"/>
              <w:ind w:left="-60" w:firstLine="60"/>
              <w:jc w:val="center"/>
            </w:pPr>
            <w:r w:rsidRPr="008C1FA6">
              <w:t>Metóda</w:t>
            </w:r>
          </w:p>
        </w:tc>
        <w:tc>
          <w:tcPr>
            <w:tcW w:w="142" w:type="dxa"/>
            <w:tcBorders>
              <w:top w:val="nil"/>
              <w:left w:val="nil"/>
              <w:bottom w:val="nil"/>
              <w:right w:val="nil"/>
            </w:tcBorders>
          </w:tcPr>
          <w:p w:rsidR="004C3DC9" w:rsidRPr="008C1FA6" w:rsidRDefault="004C3DC9" w:rsidP="00CD2E48">
            <w:pPr>
              <w:pStyle w:val="Tabulka"/>
              <w:ind w:left="-60" w:firstLine="60"/>
              <w:jc w:val="center"/>
            </w:pPr>
          </w:p>
        </w:tc>
        <w:tc>
          <w:tcPr>
            <w:tcW w:w="1701" w:type="dxa"/>
            <w:tcBorders>
              <w:top w:val="nil"/>
              <w:left w:val="nil"/>
              <w:bottom w:val="nil"/>
              <w:right w:val="nil"/>
            </w:tcBorders>
          </w:tcPr>
          <w:p w:rsidR="004C3DC9" w:rsidRPr="008C1FA6" w:rsidRDefault="004C3DC9" w:rsidP="00CD2E48">
            <w:pPr>
              <w:pStyle w:val="Tabulka"/>
              <w:ind w:left="-60" w:firstLine="60"/>
              <w:jc w:val="center"/>
            </w:pPr>
            <w:r w:rsidRPr="008C1FA6">
              <w:t>Ročná odpisová</w:t>
            </w:r>
          </w:p>
        </w:tc>
      </w:tr>
      <w:tr w:rsidR="004C3DC9" w:rsidRPr="008C1FA6">
        <w:trPr>
          <w:trHeight w:val="250"/>
        </w:trPr>
        <w:tc>
          <w:tcPr>
            <w:tcW w:w="2976" w:type="dxa"/>
            <w:tcBorders>
              <w:top w:val="nil"/>
              <w:left w:val="nil"/>
              <w:bottom w:val="single" w:sz="4" w:space="0" w:color="auto"/>
              <w:right w:val="nil"/>
            </w:tcBorders>
          </w:tcPr>
          <w:p w:rsidR="004C3DC9" w:rsidRPr="008C1FA6" w:rsidRDefault="004C3DC9" w:rsidP="00CD2E48">
            <w:pPr>
              <w:pStyle w:val="Tabulka"/>
              <w:ind w:left="-60" w:firstLine="60"/>
            </w:pPr>
          </w:p>
        </w:tc>
        <w:tc>
          <w:tcPr>
            <w:tcW w:w="142" w:type="dxa"/>
            <w:tcBorders>
              <w:top w:val="nil"/>
              <w:left w:val="nil"/>
              <w:bottom w:val="single" w:sz="4" w:space="0" w:color="auto"/>
              <w:right w:val="nil"/>
            </w:tcBorders>
          </w:tcPr>
          <w:p w:rsidR="004C3DC9" w:rsidRPr="008C1FA6" w:rsidRDefault="004C3DC9" w:rsidP="00CD2E48">
            <w:pPr>
              <w:pStyle w:val="Tabulka"/>
              <w:ind w:left="-60" w:firstLine="60"/>
            </w:pPr>
          </w:p>
        </w:tc>
        <w:tc>
          <w:tcPr>
            <w:tcW w:w="1985" w:type="dxa"/>
            <w:tcBorders>
              <w:top w:val="nil"/>
              <w:left w:val="nil"/>
              <w:bottom w:val="single" w:sz="4" w:space="0" w:color="auto"/>
              <w:right w:val="nil"/>
            </w:tcBorders>
          </w:tcPr>
          <w:p w:rsidR="004C3DC9" w:rsidRPr="008C1FA6" w:rsidRDefault="004C3DC9" w:rsidP="00CD2E48">
            <w:pPr>
              <w:pStyle w:val="Tabulka"/>
              <w:ind w:left="-60" w:firstLine="60"/>
              <w:jc w:val="center"/>
            </w:pPr>
            <w:r w:rsidRPr="008C1FA6">
              <w:t>doba používania v rokoch</w:t>
            </w:r>
          </w:p>
        </w:tc>
        <w:tc>
          <w:tcPr>
            <w:tcW w:w="141" w:type="dxa"/>
            <w:tcBorders>
              <w:top w:val="nil"/>
              <w:left w:val="nil"/>
              <w:bottom w:val="single" w:sz="4" w:space="0" w:color="auto"/>
              <w:right w:val="nil"/>
            </w:tcBorders>
          </w:tcPr>
          <w:p w:rsidR="004C3DC9" w:rsidRPr="008C1FA6" w:rsidRDefault="004C3DC9" w:rsidP="00CD2E48">
            <w:pPr>
              <w:pStyle w:val="Tabulka"/>
              <w:ind w:left="-60" w:firstLine="60"/>
              <w:jc w:val="center"/>
            </w:pPr>
          </w:p>
        </w:tc>
        <w:tc>
          <w:tcPr>
            <w:tcW w:w="1701" w:type="dxa"/>
            <w:tcBorders>
              <w:top w:val="nil"/>
              <w:left w:val="nil"/>
              <w:bottom w:val="single" w:sz="4" w:space="0" w:color="auto"/>
              <w:right w:val="nil"/>
            </w:tcBorders>
          </w:tcPr>
          <w:p w:rsidR="004C3DC9" w:rsidRPr="008C1FA6" w:rsidRDefault="004C3DC9" w:rsidP="00CD2E48">
            <w:pPr>
              <w:pStyle w:val="Tabulka"/>
              <w:ind w:left="-60" w:firstLine="60"/>
              <w:jc w:val="center"/>
            </w:pPr>
            <w:r w:rsidRPr="008C1FA6">
              <w:t>odpisovania</w:t>
            </w:r>
          </w:p>
        </w:tc>
        <w:tc>
          <w:tcPr>
            <w:tcW w:w="142" w:type="dxa"/>
            <w:tcBorders>
              <w:top w:val="nil"/>
              <w:left w:val="nil"/>
              <w:bottom w:val="single" w:sz="4" w:space="0" w:color="auto"/>
              <w:right w:val="nil"/>
            </w:tcBorders>
          </w:tcPr>
          <w:p w:rsidR="004C3DC9" w:rsidRPr="008C1FA6" w:rsidRDefault="004C3DC9" w:rsidP="00CD2E48">
            <w:pPr>
              <w:pStyle w:val="Tabulka"/>
              <w:ind w:left="-60" w:firstLine="60"/>
              <w:jc w:val="center"/>
            </w:pPr>
          </w:p>
        </w:tc>
        <w:tc>
          <w:tcPr>
            <w:tcW w:w="1701" w:type="dxa"/>
            <w:tcBorders>
              <w:top w:val="nil"/>
              <w:left w:val="nil"/>
              <w:bottom w:val="single" w:sz="4" w:space="0" w:color="auto"/>
              <w:right w:val="nil"/>
            </w:tcBorders>
          </w:tcPr>
          <w:p w:rsidR="004C3DC9" w:rsidRPr="008C1FA6" w:rsidRDefault="004C3DC9" w:rsidP="00CD2E48">
            <w:pPr>
              <w:pStyle w:val="Tabulka"/>
              <w:ind w:left="-60" w:firstLine="60"/>
              <w:jc w:val="center"/>
            </w:pPr>
            <w:r w:rsidRPr="008C1FA6">
              <w:t>sadzba v %</w:t>
            </w:r>
          </w:p>
        </w:tc>
      </w:tr>
      <w:tr w:rsidR="004C3DC9" w:rsidRPr="008C1FA6">
        <w:trPr>
          <w:trHeight w:val="250"/>
        </w:trPr>
        <w:tc>
          <w:tcPr>
            <w:tcW w:w="3118" w:type="dxa"/>
            <w:gridSpan w:val="2"/>
            <w:tcBorders>
              <w:top w:val="single" w:sz="4" w:space="0" w:color="auto"/>
              <w:left w:val="nil"/>
              <w:bottom w:val="nil"/>
              <w:right w:val="nil"/>
            </w:tcBorders>
          </w:tcPr>
          <w:p w:rsidR="004C3DC9" w:rsidRPr="008C1FA6" w:rsidRDefault="004C3DC9" w:rsidP="00CD2E48">
            <w:pPr>
              <w:pStyle w:val="Tabulka"/>
              <w:ind w:left="-60" w:firstLine="60"/>
            </w:pPr>
            <w:r w:rsidRPr="008C1FA6">
              <w:t>Stavby</w:t>
            </w:r>
          </w:p>
        </w:tc>
        <w:tc>
          <w:tcPr>
            <w:tcW w:w="1985" w:type="dxa"/>
            <w:tcBorders>
              <w:top w:val="single" w:sz="4" w:space="0" w:color="auto"/>
              <w:left w:val="nil"/>
              <w:bottom w:val="nil"/>
              <w:right w:val="nil"/>
            </w:tcBorders>
          </w:tcPr>
          <w:p w:rsidR="004C3DC9" w:rsidRPr="008C1FA6" w:rsidRDefault="004C3DC9" w:rsidP="00CD2E48">
            <w:pPr>
              <w:pStyle w:val="Tabulka"/>
              <w:ind w:left="-60" w:firstLine="60"/>
              <w:jc w:val="center"/>
            </w:pPr>
            <w:r w:rsidRPr="008C1FA6">
              <w:t>25</w:t>
            </w:r>
          </w:p>
        </w:tc>
        <w:tc>
          <w:tcPr>
            <w:tcW w:w="141" w:type="dxa"/>
            <w:tcBorders>
              <w:top w:val="single" w:sz="4" w:space="0" w:color="auto"/>
              <w:left w:val="nil"/>
              <w:bottom w:val="nil"/>
              <w:right w:val="nil"/>
            </w:tcBorders>
          </w:tcPr>
          <w:p w:rsidR="004C3DC9" w:rsidRPr="008C1FA6" w:rsidRDefault="004C3DC9" w:rsidP="00CD2E48">
            <w:pPr>
              <w:pStyle w:val="Tabulka"/>
              <w:ind w:left="-60" w:firstLine="60"/>
              <w:jc w:val="center"/>
            </w:pPr>
          </w:p>
        </w:tc>
        <w:tc>
          <w:tcPr>
            <w:tcW w:w="1701" w:type="dxa"/>
            <w:tcBorders>
              <w:top w:val="single" w:sz="4" w:space="0" w:color="auto"/>
              <w:left w:val="nil"/>
              <w:bottom w:val="nil"/>
              <w:right w:val="nil"/>
            </w:tcBorders>
          </w:tcPr>
          <w:p w:rsidR="004C3DC9" w:rsidRPr="008C1FA6" w:rsidRDefault="004C3DC9" w:rsidP="00CD2E48">
            <w:pPr>
              <w:pStyle w:val="Tabulka"/>
              <w:ind w:left="-60" w:firstLine="60"/>
              <w:jc w:val="center"/>
            </w:pPr>
            <w:r w:rsidRPr="008C1FA6">
              <w:t>lineárna</w:t>
            </w:r>
          </w:p>
        </w:tc>
        <w:tc>
          <w:tcPr>
            <w:tcW w:w="142" w:type="dxa"/>
            <w:tcBorders>
              <w:top w:val="single" w:sz="4" w:space="0" w:color="auto"/>
              <w:left w:val="nil"/>
              <w:bottom w:val="nil"/>
              <w:right w:val="nil"/>
            </w:tcBorders>
          </w:tcPr>
          <w:p w:rsidR="004C3DC9" w:rsidRPr="008C1FA6" w:rsidRDefault="004C3DC9" w:rsidP="00CD2E48">
            <w:pPr>
              <w:pStyle w:val="Tabulka"/>
              <w:ind w:left="-60" w:firstLine="60"/>
              <w:jc w:val="center"/>
            </w:pPr>
          </w:p>
        </w:tc>
        <w:tc>
          <w:tcPr>
            <w:tcW w:w="1701" w:type="dxa"/>
            <w:tcBorders>
              <w:top w:val="single" w:sz="4" w:space="0" w:color="auto"/>
              <w:left w:val="nil"/>
              <w:bottom w:val="nil"/>
              <w:right w:val="nil"/>
            </w:tcBorders>
          </w:tcPr>
          <w:p w:rsidR="004C3DC9" w:rsidRPr="008C1FA6" w:rsidRDefault="004C3DC9" w:rsidP="00CD2E48">
            <w:pPr>
              <w:pStyle w:val="Tabulka"/>
              <w:ind w:left="-60" w:firstLine="60"/>
              <w:jc w:val="center"/>
            </w:pPr>
            <w:r w:rsidRPr="008C1FA6">
              <w:t xml:space="preserve"> 4</w:t>
            </w:r>
          </w:p>
        </w:tc>
      </w:tr>
      <w:tr w:rsidR="004C3DC9" w:rsidRPr="008C1FA6">
        <w:trPr>
          <w:trHeight w:val="250"/>
        </w:trPr>
        <w:tc>
          <w:tcPr>
            <w:tcW w:w="3118" w:type="dxa"/>
            <w:gridSpan w:val="2"/>
            <w:tcBorders>
              <w:top w:val="nil"/>
              <w:left w:val="nil"/>
              <w:bottom w:val="nil"/>
              <w:right w:val="nil"/>
            </w:tcBorders>
          </w:tcPr>
          <w:p w:rsidR="004C3DC9" w:rsidRPr="008C1FA6" w:rsidRDefault="004C3DC9" w:rsidP="00CD2E48">
            <w:pPr>
              <w:pStyle w:val="Tabulka"/>
              <w:ind w:left="-60" w:firstLine="60"/>
            </w:pPr>
            <w:r w:rsidRPr="008C1FA6">
              <w:t>Stroje, prístroje a zariadenia</w:t>
            </w:r>
          </w:p>
        </w:tc>
        <w:tc>
          <w:tcPr>
            <w:tcW w:w="1985" w:type="dxa"/>
            <w:tcBorders>
              <w:top w:val="nil"/>
              <w:left w:val="nil"/>
              <w:bottom w:val="nil"/>
              <w:right w:val="nil"/>
            </w:tcBorders>
          </w:tcPr>
          <w:p w:rsidR="004C3DC9" w:rsidRPr="008C1FA6" w:rsidRDefault="004C3DC9" w:rsidP="00CD2E48">
            <w:pPr>
              <w:pStyle w:val="Tabulka"/>
              <w:ind w:left="-60" w:firstLine="60"/>
              <w:jc w:val="center"/>
            </w:pPr>
            <w:r w:rsidRPr="008C1FA6">
              <w:t>5 - 10</w:t>
            </w:r>
          </w:p>
        </w:tc>
        <w:tc>
          <w:tcPr>
            <w:tcW w:w="141" w:type="dxa"/>
            <w:tcBorders>
              <w:top w:val="nil"/>
              <w:left w:val="nil"/>
              <w:bottom w:val="nil"/>
              <w:right w:val="nil"/>
            </w:tcBorders>
          </w:tcPr>
          <w:p w:rsidR="004C3DC9" w:rsidRPr="008C1FA6" w:rsidRDefault="004C3DC9" w:rsidP="00CD2E48">
            <w:pPr>
              <w:pStyle w:val="Tabulka"/>
              <w:ind w:left="-60" w:firstLine="60"/>
              <w:jc w:val="center"/>
            </w:pPr>
          </w:p>
        </w:tc>
        <w:tc>
          <w:tcPr>
            <w:tcW w:w="1701" w:type="dxa"/>
            <w:tcBorders>
              <w:top w:val="nil"/>
              <w:left w:val="nil"/>
              <w:bottom w:val="nil"/>
              <w:right w:val="nil"/>
            </w:tcBorders>
          </w:tcPr>
          <w:p w:rsidR="004C3DC9" w:rsidRPr="008C1FA6" w:rsidRDefault="004C3DC9" w:rsidP="00CD2E48">
            <w:pPr>
              <w:pStyle w:val="Tabulka"/>
              <w:ind w:left="-60" w:firstLine="60"/>
              <w:jc w:val="center"/>
            </w:pPr>
            <w:r w:rsidRPr="008C1FA6">
              <w:t>lineárna, degresívna</w:t>
            </w:r>
          </w:p>
        </w:tc>
        <w:tc>
          <w:tcPr>
            <w:tcW w:w="142" w:type="dxa"/>
            <w:tcBorders>
              <w:top w:val="nil"/>
              <w:left w:val="nil"/>
              <w:bottom w:val="nil"/>
              <w:right w:val="nil"/>
            </w:tcBorders>
          </w:tcPr>
          <w:p w:rsidR="004C3DC9" w:rsidRPr="008C1FA6" w:rsidRDefault="004C3DC9" w:rsidP="00CD2E48">
            <w:pPr>
              <w:pStyle w:val="Tabulka"/>
              <w:ind w:left="-60" w:firstLine="60"/>
              <w:jc w:val="center"/>
            </w:pPr>
          </w:p>
        </w:tc>
        <w:tc>
          <w:tcPr>
            <w:tcW w:w="1701" w:type="dxa"/>
            <w:tcBorders>
              <w:top w:val="nil"/>
              <w:left w:val="nil"/>
              <w:bottom w:val="nil"/>
              <w:right w:val="nil"/>
            </w:tcBorders>
          </w:tcPr>
          <w:p w:rsidR="004C3DC9" w:rsidRPr="008C1FA6" w:rsidRDefault="004C3DC9" w:rsidP="00CD2E48">
            <w:pPr>
              <w:pStyle w:val="Tabulka"/>
              <w:ind w:left="-60" w:firstLine="60"/>
              <w:jc w:val="center"/>
            </w:pPr>
            <w:r w:rsidRPr="008C1FA6">
              <w:t>10 až 20</w:t>
            </w:r>
          </w:p>
        </w:tc>
      </w:tr>
      <w:tr w:rsidR="004C3DC9" w:rsidRPr="008C1FA6">
        <w:trPr>
          <w:trHeight w:val="250"/>
        </w:trPr>
        <w:tc>
          <w:tcPr>
            <w:tcW w:w="3118" w:type="dxa"/>
            <w:gridSpan w:val="2"/>
            <w:tcBorders>
              <w:top w:val="nil"/>
              <w:left w:val="nil"/>
              <w:bottom w:val="nil"/>
              <w:right w:val="nil"/>
            </w:tcBorders>
          </w:tcPr>
          <w:p w:rsidR="004C3DC9" w:rsidRPr="008C1FA6" w:rsidRDefault="004C3DC9" w:rsidP="00CD2E48">
            <w:pPr>
              <w:pStyle w:val="Tabulka"/>
              <w:ind w:left="-60" w:firstLine="60"/>
            </w:pPr>
            <w:r w:rsidRPr="008C1FA6">
              <w:t>Dopravné prostriedky</w:t>
            </w:r>
          </w:p>
        </w:tc>
        <w:tc>
          <w:tcPr>
            <w:tcW w:w="1985" w:type="dxa"/>
            <w:tcBorders>
              <w:top w:val="nil"/>
              <w:left w:val="nil"/>
              <w:bottom w:val="nil"/>
              <w:right w:val="nil"/>
            </w:tcBorders>
          </w:tcPr>
          <w:p w:rsidR="004C3DC9" w:rsidRPr="008C1FA6" w:rsidRDefault="004C3DC9" w:rsidP="00CD2E48">
            <w:pPr>
              <w:pStyle w:val="Tabulka"/>
              <w:ind w:left="-60" w:firstLine="60"/>
              <w:jc w:val="center"/>
            </w:pPr>
            <w:r w:rsidRPr="008C1FA6">
              <w:t>5 - 10</w:t>
            </w:r>
          </w:p>
        </w:tc>
        <w:tc>
          <w:tcPr>
            <w:tcW w:w="141" w:type="dxa"/>
            <w:tcBorders>
              <w:top w:val="nil"/>
              <w:left w:val="nil"/>
              <w:bottom w:val="nil"/>
              <w:right w:val="nil"/>
            </w:tcBorders>
          </w:tcPr>
          <w:p w:rsidR="004C3DC9" w:rsidRPr="008C1FA6" w:rsidRDefault="004C3DC9" w:rsidP="00CD2E48">
            <w:pPr>
              <w:pStyle w:val="Tabulka"/>
              <w:ind w:left="-60" w:firstLine="60"/>
              <w:jc w:val="center"/>
            </w:pPr>
          </w:p>
        </w:tc>
        <w:tc>
          <w:tcPr>
            <w:tcW w:w="1701" w:type="dxa"/>
            <w:tcBorders>
              <w:top w:val="nil"/>
              <w:left w:val="nil"/>
              <w:bottom w:val="nil"/>
              <w:right w:val="nil"/>
            </w:tcBorders>
          </w:tcPr>
          <w:p w:rsidR="004C3DC9" w:rsidRPr="008C1FA6" w:rsidRDefault="004C3DC9" w:rsidP="00CD2E48">
            <w:pPr>
              <w:pStyle w:val="Tabulka"/>
              <w:ind w:left="-60" w:firstLine="60"/>
              <w:jc w:val="center"/>
            </w:pPr>
            <w:r w:rsidRPr="008C1FA6">
              <w:t>lineárna</w:t>
            </w:r>
          </w:p>
        </w:tc>
        <w:tc>
          <w:tcPr>
            <w:tcW w:w="142" w:type="dxa"/>
            <w:tcBorders>
              <w:top w:val="nil"/>
              <w:left w:val="nil"/>
              <w:bottom w:val="nil"/>
              <w:right w:val="nil"/>
            </w:tcBorders>
          </w:tcPr>
          <w:p w:rsidR="004C3DC9" w:rsidRPr="008C1FA6" w:rsidRDefault="004C3DC9" w:rsidP="00CD2E48">
            <w:pPr>
              <w:pStyle w:val="Tabulka"/>
              <w:ind w:left="-60" w:firstLine="60"/>
              <w:jc w:val="center"/>
            </w:pPr>
          </w:p>
        </w:tc>
        <w:tc>
          <w:tcPr>
            <w:tcW w:w="1701" w:type="dxa"/>
            <w:tcBorders>
              <w:top w:val="nil"/>
              <w:left w:val="nil"/>
              <w:bottom w:val="nil"/>
              <w:right w:val="nil"/>
            </w:tcBorders>
          </w:tcPr>
          <w:p w:rsidR="004C3DC9" w:rsidRPr="008C1FA6" w:rsidRDefault="004C3DC9" w:rsidP="00CD2E48">
            <w:pPr>
              <w:pStyle w:val="Tabulka"/>
              <w:ind w:left="-60" w:firstLine="60"/>
              <w:jc w:val="center"/>
            </w:pPr>
            <w:r w:rsidRPr="008C1FA6">
              <w:t>10 až 20</w:t>
            </w:r>
          </w:p>
        </w:tc>
      </w:tr>
      <w:tr w:rsidR="004C3DC9" w:rsidRPr="008C1FA6">
        <w:trPr>
          <w:trHeight w:val="250"/>
        </w:trPr>
        <w:tc>
          <w:tcPr>
            <w:tcW w:w="3118" w:type="dxa"/>
            <w:gridSpan w:val="2"/>
            <w:tcBorders>
              <w:top w:val="nil"/>
              <w:left w:val="nil"/>
              <w:bottom w:val="nil"/>
              <w:right w:val="nil"/>
            </w:tcBorders>
          </w:tcPr>
          <w:p w:rsidR="004C3DC9" w:rsidRPr="008C1FA6" w:rsidRDefault="004C3DC9" w:rsidP="00CD2E48">
            <w:pPr>
              <w:pStyle w:val="Tabulka"/>
              <w:ind w:left="-60" w:firstLine="60"/>
            </w:pPr>
            <w:r w:rsidRPr="008C1FA6">
              <w:t>Inventár</w:t>
            </w:r>
          </w:p>
        </w:tc>
        <w:tc>
          <w:tcPr>
            <w:tcW w:w="1985" w:type="dxa"/>
            <w:tcBorders>
              <w:top w:val="nil"/>
              <w:left w:val="nil"/>
              <w:bottom w:val="nil"/>
              <w:right w:val="nil"/>
            </w:tcBorders>
          </w:tcPr>
          <w:p w:rsidR="004C3DC9" w:rsidRPr="008C1FA6" w:rsidRDefault="004C3DC9" w:rsidP="00CD2E48">
            <w:pPr>
              <w:pStyle w:val="Tabulka"/>
              <w:ind w:left="-60" w:firstLine="60"/>
              <w:jc w:val="center"/>
            </w:pPr>
            <w:r w:rsidRPr="008C1FA6">
              <w:t>10</w:t>
            </w:r>
          </w:p>
        </w:tc>
        <w:tc>
          <w:tcPr>
            <w:tcW w:w="141" w:type="dxa"/>
            <w:tcBorders>
              <w:top w:val="nil"/>
              <w:left w:val="nil"/>
              <w:bottom w:val="nil"/>
              <w:right w:val="nil"/>
            </w:tcBorders>
          </w:tcPr>
          <w:p w:rsidR="004C3DC9" w:rsidRPr="008C1FA6" w:rsidRDefault="004C3DC9" w:rsidP="00CD2E48">
            <w:pPr>
              <w:pStyle w:val="Tabulka"/>
              <w:ind w:left="-60" w:firstLine="60"/>
              <w:jc w:val="center"/>
            </w:pPr>
          </w:p>
        </w:tc>
        <w:tc>
          <w:tcPr>
            <w:tcW w:w="1701" w:type="dxa"/>
            <w:tcBorders>
              <w:top w:val="nil"/>
              <w:left w:val="nil"/>
              <w:bottom w:val="nil"/>
              <w:right w:val="nil"/>
            </w:tcBorders>
          </w:tcPr>
          <w:p w:rsidR="004C3DC9" w:rsidRPr="008C1FA6" w:rsidRDefault="004C3DC9" w:rsidP="00CD2E48">
            <w:pPr>
              <w:pStyle w:val="Tabulka"/>
              <w:ind w:left="-60" w:firstLine="60"/>
              <w:jc w:val="center"/>
            </w:pPr>
            <w:r w:rsidRPr="008C1FA6">
              <w:t>lineárna</w:t>
            </w:r>
          </w:p>
        </w:tc>
        <w:tc>
          <w:tcPr>
            <w:tcW w:w="142" w:type="dxa"/>
            <w:tcBorders>
              <w:top w:val="nil"/>
              <w:left w:val="nil"/>
              <w:bottom w:val="nil"/>
              <w:right w:val="nil"/>
            </w:tcBorders>
          </w:tcPr>
          <w:p w:rsidR="004C3DC9" w:rsidRPr="008C1FA6" w:rsidRDefault="004C3DC9" w:rsidP="00CD2E48">
            <w:pPr>
              <w:pStyle w:val="Tabulka"/>
              <w:ind w:left="-60" w:firstLine="60"/>
              <w:jc w:val="center"/>
            </w:pPr>
          </w:p>
        </w:tc>
        <w:tc>
          <w:tcPr>
            <w:tcW w:w="1701" w:type="dxa"/>
            <w:tcBorders>
              <w:top w:val="nil"/>
              <w:left w:val="nil"/>
              <w:bottom w:val="nil"/>
              <w:right w:val="nil"/>
            </w:tcBorders>
          </w:tcPr>
          <w:p w:rsidR="004C3DC9" w:rsidRPr="008C1FA6" w:rsidRDefault="004C3DC9" w:rsidP="00CD2E48">
            <w:pPr>
              <w:pStyle w:val="Tabulka"/>
              <w:ind w:left="-60" w:firstLine="60"/>
              <w:jc w:val="center"/>
            </w:pPr>
            <w:r w:rsidRPr="008C1FA6">
              <w:t xml:space="preserve">10 </w:t>
            </w:r>
          </w:p>
        </w:tc>
      </w:tr>
      <w:tr w:rsidR="004C3DC9" w:rsidRPr="008C1FA6">
        <w:trPr>
          <w:trHeight w:val="250"/>
        </w:trPr>
        <w:tc>
          <w:tcPr>
            <w:tcW w:w="3118" w:type="dxa"/>
            <w:gridSpan w:val="2"/>
            <w:tcBorders>
              <w:top w:val="nil"/>
              <w:left w:val="nil"/>
              <w:bottom w:val="nil"/>
              <w:right w:val="nil"/>
            </w:tcBorders>
          </w:tcPr>
          <w:p w:rsidR="004C3DC9" w:rsidRPr="008C1FA6" w:rsidRDefault="004C3DC9" w:rsidP="00CD2E48">
            <w:pPr>
              <w:pStyle w:val="Tabulka"/>
              <w:ind w:left="-60" w:firstLine="60"/>
            </w:pPr>
            <w:r w:rsidRPr="008C1FA6">
              <w:t>Drobný dlhodobý hmotný majetok</w:t>
            </w:r>
          </w:p>
        </w:tc>
        <w:tc>
          <w:tcPr>
            <w:tcW w:w="1985" w:type="dxa"/>
            <w:tcBorders>
              <w:top w:val="nil"/>
              <w:left w:val="nil"/>
              <w:bottom w:val="nil"/>
              <w:right w:val="nil"/>
            </w:tcBorders>
          </w:tcPr>
          <w:p w:rsidR="004C3DC9" w:rsidRPr="008C1FA6" w:rsidRDefault="004C3DC9" w:rsidP="00CD2E48">
            <w:pPr>
              <w:pStyle w:val="Tabulka"/>
              <w:ind w:left="-60" w:firstLine="60"/>
              <w:jc w:val="center"/>
            </w:pPr>
            <w:r w:rsidRPr="008C1FA6">
              <w:t>Rôzna</w:t>
            </w:r>
          </w:p>
        </w:tc>
        <w:tc>
          <w:tcPr>
            <w:tcW w:w="141" w:type="dxa"/>
            <w:tcBorders>
              <w:top w:val="nil"/>
              <w:left w:val="nil"/>
              <w:bottom w:val="nil"/>
              <w:right w:val="nil"/>
            </w:tcBorders>
          </w:tcPr>
          <w:p w:rsidR="004C3DC9" w:rsidRPr="008C1FA6" w:rsidRDefault="004C3DC9" w:rsidP="00CD2E48">
            <w:pPr>
              <w:pStyle w:val="Tabulka"/>
              <w:ind w:left="-60" w:firstLine="60"/>
              <w:jc w:val="center"/>
            </w:pPr>
          </w:p>
        </w:tc>
        <w:tc>
          <w:tcPr>
            <w:tcW w:w="1701" w:type="dxa"/>
            <w:tcBorders>
              <w:top w:val="nil"/>
              <w:left w:val="nil"/>
              <w:bottom w:val="nil"/>
              <w:right w:val="nil"/>
            </w:tcBorders>
          </w:tcPr>
          <w:p w:rsidR="004C3DC9" w:rsidRPr="008C1FA6" w:rsidRDefault="004C3DC9" w:rsidP="00CD2E48">
            <w:pPr>
              <w:pStyle w:val="Tabulka"/>
              <w:ind w:left="-60" w:firstLine="60"/>
              <w:jc w:val="center"/>
            </w:pPr>
            <w:r w:rsidRPr="008C1FA6">
              <w:t>jednorazový odpis</w:t>
            </w:r>
          </w:p>
        </w:tc>
        <w:tc>
          <w:tcPr>
            <w:tcW w:w="142" w:type="dxa"/>
            <w:tcBorders>
              <w:top w:val="nil"/>
              <w:left w:val="nil"/>
              <w:bottom w:val="nil"/>
              <w:right w:val="nil"/>
            </w:tcBorders>
          </w:tcPr>
          <w:p w:rsidR="004C3DC9" w:rsidRPr="008C1FA6" w:rsidRDefault="004C3DC9" w:rsidP="00CD2E48">
            <w:pPr>
              <w:pStyle w:val="Tabulka"/>
              <w:ind w:left="-60" w:firstLine="60"/>
              <w:jc w:val="center"/>
            </w:pPr>
          </w:p>
        </w:tc>
        <w:tc>
          <w:tcPr>
            <w:tcW w:w="1701" w:type="dxa"/>
            <w:tcBorders>
              <w:top w:val="nil"/>
              <w:left w:val="nil"/>
              <w:bottom w:val="nil"/>
              <w:right w:val="nil"/>
            </w:tcBorders>
          </w:tcPr>
          <w:p w:rsidR="004C3DC9" w:rsidRPr="008C1FA6" w:rsidRDefault="004C3DC9" w:rsidP="00CD2E48">
            <w:pPr>
              <w:pStyle w:val="Tabulka"/>
              <w:ind w:left="-60" w:firstLine="60"/>
              <w:jc w:val="center"/>
            </w:pPr>
            <w:r w:rsidRPr="008C1FA6">
              <w:t>100</w:t>
            </w:r>
          </w:p>
        </w:tc>
      </w:tr>
      <w:tr w:rsidR="004C3DC9" w:rsidRPr="008C1FA6">
        <w:trPr>
          <w:trHeight w:val="250"/>
        </w:trPr>
        <w:tc>
          <w:tcPr>
            <w:tcW w:w="3118" w:type="dxa"/>
            <w:gridSpan w:val="2"/>
            <w:tcBorders>
              <w:top w:val="nil"/>
              <w:left w:val="nil"/>
              <w:bottom w:val="nil"/>
              <w:right w:val="nil"/>
            </w:tcBorders>
          </w:tcPr>
          <w:p w:rsidR="004C3DC9" w:rsidRPr="008C1FA6" w:rsidRDefault="004C3DC9" w:rsidP="00CD2E48">
            <w:pPr>
              <w:pStyle w:val="Tabulka"/>
              <w:ind w:left="-60" w:firstLine="60"/>
            </w:pPr>
            <w:r w:rsidRPr="008C1FA6">
              <w:t xml:space="preserve">Formy na odlievanie </w:t>
            </w:r>
          </w:p>
        </w:tc>
        <w:tc>
          <w:tcPr>
            <w:tcW w:w="1985" w:type="dxa"/>
            <w:tcBorders>
              <w:top w:val="nil"/>
              <w:left w:val="nil"/>
              <w:bottom w:val="nil"/>
              <w:right w:val="nil"/>
            </w:tcBorders>
          </w:tcPr>
          <w:p w:rsidR="004C3DC9" w:rsidRPr="008C1FA6" w:rsidRDefault="004C3DC9" w:rsidP="00CD2E48">
            <w:pPr>
              <w:pStyle w:val="Tabulka"/>
              <w:ind w:left="-60" w:firstLine="60"/>
              <w:jc w:val="center"/>
            </w:pPr>
            <w:r w:rsidRPr="008C1FA6">
              <w:t>Rôzna</w:t>
            </w:r>
          </w:p>
        </w:tc>
        <w:tc>
          <w:tcPr>
            <w:tcW w:w="141" w:type="dxa"/>
            <w:tcBorders>
              <w:top w:val="nil"/>
              <w:left w:val="nil"/>
              <w:bottom w:val="nil"/>
              <w:right w:val="nil"/>
            </w:tcBorders>
          </w:tcPr>
          <w:p w:rsidR="004C3DC9" w:rsidRPr="008C1FA6" w:rsidRDefault="004C3DC9" w:rsidP="00CD2E48">
            <w:pPr>
              <w:pStyle w:val="Tabulka"/>
              <w:ind w:left="-60" w:firstLine="60"/>
              <w:jc w:val="center"/>
            </w:pPr>
          </w:p>
        </w:tc>
        <w:tc>
          <w:tcPr>
            <w:tcW w:w="1701" w:type="dxa"/>
            <w:tcBorders>
              <w:top w:val="nil"/>
              <w:left w:val="nil"/>
              <w:bottom w:val="nil"/>
              <w:right w:val="nil"/>
            </w:tcBorders>
          </w:tcPr>
          <w:p w:rsidR="004C3DC9" w:rsidRPr="008C1FA6" w:rsidRDefault="004C3DC9" w:rsidP="00CD2E48">
            <w:pPr>
              <w:pStyle w:val="Tabulka"/>
              <w:ind w:left="-60" w:firstLine="60"/>
              <w:jc w:val="center"/>
            </w:pPr>
            <w:r w:rsidRPr="008C1FA6">
              <w:t xml:space="preserve">podľa počtu vyrobených odliatkov </w:t>
            </w:r>
          </w:p>
        </w:tc>
        <w:tc>
          <w:tcPr>
            <w:tcW w:w="142" w:type="dxa"/>
            <w:tcBorders>
              <w:top w:val="nil"/>
              <w:left w:val="nil"/>
              <w:bottom w:val="nil"/>
              <w:right w:val="nil"/>
            </w:tcBorders>
          </w:tcPr>
          <w:p w:rsidR="004C3DC9" w:rsidRPr="008C1FA6" w:rsidRDefault="004C3DC9" w:rsidP="00CD2E48">
            <w:pPr>
              <w:pStyle w:val="Tabulka"/>
              <w:ind w:left="-60" w:firstLine="60"/>
              <w:jc w:val="center"/>
            </w:pPr>
          </w:p>
        </w:tc>
        <w:tc>
          <w:tcPr>
            <w:tcW w:w="1701" w:type="dxa"/>
            <w:tcBorders>
              <w:top w:val="nil"/>
              <w:left w:val="nil"/>
              <w:bottom w:val="nil"/>
              <w:right w:val="nil"/>
            </w:tcBorders>
          </w:tcPr>
          <w:p w:rsidR="004C3DC9" w:rsidRPr="008C1FA6" w:rsidRDefault="004C3DC9" w:rsidP="00CD2E48">
            <w:pPr>
              <w:pStyle w:val="Tabulka"/>
              <w:ind w:left="-60" w:firstLine="60"/>
              <w:jc w:val="center"/>
            </w:pPr>
            <w:r w:rsidRPr="008C1FA6">
              <w:t>-</w:t>
            </w:r>
          </w:p>
        </w:tc>
      </w:tr>
    </w:tbl>
    <w:p w:rsidR="004C3DC9" w:rsidRPr="008C1FA6" w:rsidRDefault="004C3DC9" w:rsidP="001522D2">
      <w:pPr>
        <w:pStyle w:val="Pismenka"/>
        <w:tabs>
          <w:tab w:val="clear" w:pos="426"/>
        </w:tabs>
        <w:ind w:left="0" w:firstLine="0"/>
        <w:rPr>
          <w:b w:val="0"/>
          <w:bCs w:val="0"/>
        </w:rPr>
      </w:pPr>
      <w:r w:rsidRPr="008C1FA6">
        <w:rPr>
          <w:b w:val="0"/>
          <w:bCs w:val="0"/>
        </w:rPr>
        <w:t xml:space="preserve">          </w:t>
      </w:r>
    </w:p>
    <w:p w:rsidR="004C3DC9" w:rsidRPr="008C1FA6" w:rsidRDefault="004C3DC9" w:rsidP="00CD2E48">
      <w:pPr>
        <w:pStyle w:val="Pismenka"/>
        <w:tabs>
          <w:tab w:val="clear" w:pos="426"/>
        </w:tabs>
        <w:ind w:left="360" w:hanging="360"/>
        <w:rPr>
          <w:rFonts w:eastAsia="Times New Roman"/>
        </w:rPr>
      </w:pPr>
      <w:r w:rsidRPr="008C1FA6">
        <w:t>(c)</w:t>
      </w:r>
      <w:r w:rsidRPr="008C1FA6">
        <w:tab/>
      </w:r>
      <w:r w:rsidRPr="008C1FA6">
        <w:rPr>
          <w:rFonts w:eastAsia="Times New Roman"/>
        </w:rPr>
        <w:t xml:space="preserve">Zásoby </w:t>
      </w: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Zásoby sa oceňujú nižšou z nasledujúcich hodnôt: obstarávacou cenou (nakupované zásoby) alebo vlastnými nákladmi (zásoby vytvorené vlastnou činnosťou) alebo čistou realizačnou hodnotou.</w:t>
      </w:r>
    </w:p>
    <w:p w:rsidR="004C3DC9" w:rsidRPr="008C1FA6" w:rsidRDefault="004C3DC9" w:rsidP="00CD2E48">
      <w:pPr>
        <w:pStyle w:val="Pismenka"/>
        <w:tabs>
          <w:tab w:val="clear" w:pos="426"/>
        </w:tabs>
        <w:ind w:left="360" w:hanging="360"/>
        <w:rPr>
          <w:rFonts w:eastAsia="Times New Roman"/>
          <w:b w:val="0"/>
          <w:bCs w:val="0"/>
        </w:rPr>
      </w:pP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C3DC9" w:rsidRPr="008C1FA6" w:rsidRDefault="004C3DC9" w:rsidP="00CD2E48">
      <w:pPr>
        <w:pStyle w:val="Pismenka"/>
        <w:tabs>
          <w:tab w:val="clear" w:pos="426"/>
        </w:tabs>
        <w:ind w:left="360" w:hanging="360"/>
        <w:rPr>
          <w:rFonts w:eastAsia="Times New Roman"/>
          <w:b w:val="0"/>
          <w:bCs w:val="0"/>
        </w:rPr>
      </w:pP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C3DC9" w:rsidRPr="008C1FA6" w:rsidRDefault="004C3DC9" w:rsidP="00CD2E48">
      <w:pPr>
        <w:pStyle w:val="Pismenka"/>
        <w:tabs>
          <w:tab w:val="clear" w:pos="426"/>
        </w:tabs>
        <w:ind w:left="360" w:hanging="360"/>
        <w:rPr>
          <w:rFonts w:eastAsia="Times New Roman"/>
          <w:b w:val="0"/>
          <w:bCs w:val="0"/>
        </w:rPr>
      </w:pPr>
      <w:r w:rsidRPr="008C1FA6">
        <w:rPr>
          <w:rFonts w:eastAsia="Times New Roman"/>
          <w:b w:val="0"/>
          <w:bCs w:val="0"/>
        </w:rPr>
        <w:tab/>
      </w: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 xml:space="preserve">Čistá realizačná hodnota je predpokladaná predajná cena znížená o predpokladané náklady na ich dokončenie a o predpokladané náklady súvisiace s ich predajom.  </w:t>
      </w:r>
    </w:p>
    <w:p w:rsidR="004C3DC9" w:rsidRPr="008C1FA6" w:rsidRDefault="004C3DC9" w:rsidP="00CD2E48">
      <w:pPr>
        <w:pStyle w:val="Pismenka"/>
        <w:tabs>
          <w:tab w:val="clear" w:pos="426"/>
        </w:tabs>
        <w:ind w:left="360" w:hanging="360"/>
        <w:rPr>
          <w:rFonts w:eastAsia="Times New Roman"/>
          <w:b w:val="0"/>
          <w:bCs w:val="0"/>
        </w:rPr>
      </w:pP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 xml:space="preserve">Zníženie hodnoty zásob sa upravuje vytvorením opravnej položky. Pri zásobách materiálu a náhradných dielov sa opravná položka tvorí percentom z hodnoty bezobrátkových zásob podľa internej smernice spoločnosti, pri zásobách NV, HV a polotovarov vlastnej výroby podľa individuálneho posúdenia, ak očakávaná realizačná cena je nižšia ako hodnota ocenenia v účtovníctve. </w:t>
      </w:r>
    </w:p>
    <w:p w:rsidR="004C3DC9" w:rsidRPr="008C1FA6" w:rsidRDefault="004C3DC9">
      <w:pPr>
        <w:pStyle w:val="BodyText"/>
      </w:pPr>
    </w:p>
    <w:p w:rsidR="004C3DC9" w:rsidRPr="008C1FA6" w:rsidRDefault="004C3DC9" w:rsidP="00CD2E48">
      <w:pPr>
        <w:pStyle w:val="Pismenka"/>
        <w:tabs>
          <w:tab w:val="clear" w:pos="426"/>
        </w:tabs>
        <w:ind w:left="360" w:hanging="360"/>
        <w:rPr>
          <w:rFonts w:eastAsia="Times New Roman"/>
        </w:rPr>
      </w:pPr>
      <w:r w:rsidRPr="008C1FA6">
        <w:t>(d)</w:t>
      </w:r>
      <w:r w:rsidRPr="008C1FA6">
        <w:tab/>
      </w:r>
      <w:r w:rsidRPr="008C1FA6">
        <w:rPr>
          <w:rFonts w:eastAsia="Times New Roman"/>
        </w:rPr>
        <w:t>Pohľadávky</w:t>
      </w: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rsidR="004C3DC9" w:rsidRPr="008C1FA6" w:rsidRDefault="004C3DC9" w:rsidP="00CD2E48">
      <w:pPr>
        <w:pStyle w:val="Pismenka"/>
        <w:tabs>
          <w:tab w:val="clear" w:pos="426"/>
        </w:tabs>
        <w:ind w:left="360" w:hanging="360"/>
        <w:rPr>
          <w:rFonts w:eastAsia="Times New Roman"/>
          <w:b w:val="0"/>
          <w:bCs w:val="0"/>
        </w:rPr>
      </w:pP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 xml:space="preserve">Pri pohľadávkach z obchodného styku sa opravná položka tvorí % z hodnoty pohľadávok po lehote splatnosti, pričom výška % je diferencovaná  podľa jednotlivých časových pásiem (dní) po lehote splatnosti pohľadávok v súlade s internou smernicou spoločnosti.  </w:t>
      </w:r>
    </w:p>
    <w:p w:rsidR="004C3DC9" w:rsidRPr="008C1FA6" w:rsidRDefault="004C3DC9">
      <w:pPr>
        <w:pStyle w:val="BodyText"/>
      </w:pPr>
    </w:p>
    <w:p w:rsidR="004C3DC9" w:rsidRPr="008C1FA6" w:rsidRDefault="004C3DC9" w:rsidP="00CD2E48">
      <w:pPr>
        <w:pStyle w:val="Pismenka"/>
        <w:tabs>
          <w:tab w:val="clear" w:pos="426"/>
        </w:tabs>
        <w:ind w:left="360" w:hanging="360"/>
        <w:rPr>
          <w:rFonts w:eastAsia="Times New Roman"/>
        </w:rPr>
      </w:pPr>
      <w:r w:rsidRPr="008C1FA6">
        <w:t>(e)</w:t>
      </w:r>
      <w:r w:rsidRPr="008C1FA6">
        <w:tab/>
      </w:r>
      <w:r w:rsidRPr="008C1FA6">
        <w:rPr>
          <w:rFonts w:eastAsia="Times New Roman"/>
        </w:rPr>
        <w:t>Peňažné prostriedky a ceniny</w:t>
      </w:r>
    </w:p>
    <w:p w:rsidR="004C3DC9" w:rsidRPr="008C1FA6" w:rsidRDefault="004C3DC9" w:rsidP="00CD2E48">
      <w:pPr>
        <w:pStyle w:val="Pismenka"/>
        <w:tabs>
          <w:tab w:val="clear" w:pos="426"/>
        </w:tabs>
        <w:ind w:left="360" w:firstLine="0"/>
        <w:rPr>
          <w:rFonts w:eastAsia="Times New Roman"/>
          <w:b w:val="0"/>
          <w:bCs w:val="0"/>
        </w:rPr>
      </w:pPr>
      <w:r w:rsidRPr="008C1FA6">
        <w:rPr>
          <w:rFonts w:eastAsia="Times New Roman"/>
          <w:b w:val="0"/>
          <w:bCs w:val="0"/>
        </w:rPr>
        <w:t>Peňažné prostriedky a ceniny sa oceňujú ich menovitou hodnotou. Zníženie ich hodnoty sa vyjadruje opravnou položkou.</w:t>
      </w:r>
    </w:p>
    <w:p w:rsidR="004C3DC9" w:rsidRPr="008C1FA6" w:rsidRDefault="004C3DC9">
      <w:pPr>
        <w:pStyle w:val="BodyText"/>
      </w:pPr>
    </w:p>
    <w:p w:rsidR="004C3DC9" w:rsidRPr="008C1FA6" w:rsidRDefault="004C3DC9" w:rsidP="00E3367A">
      <w:pPr>
        <w:pStyle w:val="Pismenka"/>
        <w:tabs>
          <w:tab w:val="clear" w:pos="426"/>
        </w:tabs>
        <w:ind w:left="360" w:hanging="360"/>
        <w:rPr>
          <w:rFonts w:eastAsia="Times New Roman"/>
        </w:rPr>
      </w:pPr>
      <w:r w:rsidRPr="008C1FA6">
        <w:t>(f)</w:t>
      </w:r>
      <w:r w:rsidRPr="008C1FA6">
        <w:tab/>
      </w:r>
      <w:r w:rsidRPr="008C1FA6">
        <w:rPr>
          <w:rFonts w:eastAsia="Times New Roman"/>
        </w:rPr>
        <w:t>Náklady budúcich období a príjmy budúcich období</w:t>
      </w: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Náklady budúcich období a príjmy budúcich období sa vykazujú vo výške, ktorá je potrebná na dodržanie zásady vecnej a časovej súvislosti s účtovným obdobím.</w:t>
      </w:r>
    </w:p>
    <w:p w:rsidR="004C3DC9" w:rsidRPr="008C1FA6" w:rsidRDefault="004C3DC9">
      <w:pPr>
        <w:pStyle w:val="BodyText"/>
      </w:pPr>
    </w:p>
    <w:p w:rsidR="004C3DC9" w:rsidRPr="008C1FA6" w:rsidRDefault="004C3DC9" w:rsidP="00E3367A">
      <w:pPr>
        <w:pStyle w:val="Pismenka"/>
        <w:tabs>
          <w:tab w:val="clear" w:pos="426"/>
        </w:tabs>
        <w:ind w:left="360" w:hanging="360"/>
        <w:rPr>
          <w:rFonts w:eastAsia="Times New Roman"/>
        </w:rPr>
      </w:pPr>
      <w:r w:rsidRPr="008C1FA6">
        <w:t>(g)</w:t>
      </w:r>
      <w:r w:rsidRPr="008C1FA6">
        <w:tab/>
      </w:r>
      <w:r w:rsidRPr="008C1FA6">
        <w:rPr>
          <w:rFonts w:eastAsia="Times New Roman"/>
        </w:rPr>
        <w:t>Rezervy</w:t>
      </w: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Rezervy sú záväzky s neurčitým časovým vymedzením alebo výškou; tvoria sa na krytie známych rizík alebo strát z podnikania. Oceňujú sa v očakávanej výške záväzku.</w:t>
      </w:r>
    </w:p>
    <w:p w:rsidR="004C3DC9" w:rsidRPr="008C1FA6" w:rsidRDefault="004C3DC9">
      <w:pPr>
        <w:pStyle w:val="Pismenka"/>
        <w:tabs>
          <w:tab w:val="clear" w:pos="426"/>
        </w:tabs>
      </w:pPr>
    </w:p>
    <w:p w:rsidR="004C3DC9" w:rsidRPr="008C1FA6" w:rsidRDefault="004C3DC9" w:rsidP="00E3367A">
      <w:pPr>
        <w:pStyle w:val="Pismenka"/>
        <w:tabs>
          <w:tab w:val="clear" w:pos="426"/>
        </w:tabs>
        <w:ind w:left="360" w:hanging="360"/>
        <w:rPr>
          <w:rFonts w:eastAsia="Times New Roman"/>
        </w:rPr>
      </w:pPr>
      <w:r w:rsidRPr="008C1FA6">
        <w:t>(h)</w:t>
      </w:r>
      <w:r w:rsidRPr="008C1FA6">
        <w:tab/>
      </w:r>
      <w:r w:rsidRPr="008C1FA6">
        <w:rPr>
          <w:rFonts w:eastAsia="Times New Roman"/>
        </w:rPr>
        <w:t>Záväzky</w:t>
      </w: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C3DC9" w:rsidRPr="008C1FA6" w:rsidRDefault="004C3DC9">
      <w:pPr>
        <w:pStyle w:val="Pismenka"/>
      </w:pPr>
    </w:p>
    <w:p w:rsidR="004C3DC9" w:rsidRPr="008C1FA6" w:rsidRDefault="004C3DC9" w:rsidP="00E3367A">
      <w:pPr>
        <w:pStyle w:val="Pismenka"/>
        <w:tabs>
          <w:tab w:val="clear" w:pos="426"/>
        </w:tabs>
        <w:ind w:left="360" w:hanging="360"/>
        <w:rPr>
          <w:rFonts w:eastAsia="Times New Roman"/>
        </w:rPr>
      </w:pPr>
      <w:r w:rsidRPr="008C1FA6">
        <w:t>(i)</w:t>
      </w:r>
      <w:r w:rsidRPr="008C1FA6">
        <w:tab/>
      </w:r>
      <w:r w:rsidRPr="008C1FA6">
        <w:rPr>
          <w:rFonts w:eastAsia="Times New Roman"/>
        </w:rPr>
        <w:t>Odložené dane</w:t>
      </w: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 xml:space="preserve">Odložené dane (odložená daňová pohľadávka a odložený daňový záväzok) sa vzťahujú na: </w:t>
      </w:r>
    </w:p>
    <w:p w:rsidR="004C3DC9" w:rsidRPr="008C1FA6" w:rsidRDefault="004C3DC9" w:rsidP="006E5DCA">
      <w:pPr>
        <w:pStyle w:val="BodyText"/>
        <w:numPr>
          <w:ilvl w:val="0"/>
          <w:numId w:val="5"/>
        </w:numPr>
        <w:ind w:left="709" w:hanging="283"/>
        <w:rPr>
          <w:rFonts w:eastAsia="Times New Roman"/>
        </w:rPr>
      </w:pPr>
      <w:r w:rsidRPr="008C1FA6">
        <w:rPr>
          <w:rFonts w:eastAsia="Times New Roman"/>
        </w:rPr>
        <w:t>dočasné rozdiely medzi účtovnou hodnotou majetku a účtovnou hodnotou záväzkov vykázanou v súvahe a ich daňovou základňou,</w:t>
      </w:r>
    </w:p>
    <w:p w:rsidR="004C3DC9" w:rsidRPr="008C1FA6" w:rsidRDefault="004C3DC9" w:rsidP="006E5DCA">
      <w:pPr>
        <w:pStyle w:val="BodyText"/>
        <w:numPr>
          <w:ilvl w:val="0"/>
          <w:numId w:val="5"/>
        </w:numPr>
        <w:ind w:left="709" w:hanging="283"/>
        <w:rPr>
          <w:rFonts w:eastAsia="Times New Roman"/>
        </w:rPr>
      </w:pPr>
      <w:r w:rsidRPr="008C1FA6">
        <w:rPr>
          <w:rFonts w:eastAsia="Times New Roman"/>
        </w:rPr>
        <w:t>možnosť umorovať daňovú stratu v budúcnosti, ktorou sa rozumie možnosť odpočítať daňovú stratu od základu dane v budúcnosti,</w:t>
      </w:r>
    </w:p>
    <w:p w:rsidR="004C3DC9" w:rsidRPr="008C1FA6" w:rsidRDefault="004C3DC9" w:rsidP="006E5DCA">
      <w:pPr>
        <w:pStyle w:val="BodyText"/>
        <w:numPr>
          <w:ilvl w:val="0"/>
          <w:numId w:val="5"/>
        </w:numPr>
        <w:ind w:left="709" w:hanging="283"/>
        <w:rPr>
          <w:rFonts w:eastAsia="Times New Roman"/>
        </w:rPr>
      </w:pPr>
      <w:r w:rsidRPr="008C1FA6">
        <w:rPr>
          <w:rFonts w:eastAsia="Times New Roman"/>
        </w:rPr>
        <w:t>možnosť previesť nevyužité daňové odpočty a iné daňové nároky do budúcich období.</w:t>
      </w:r>
    </w:p>
    <w:p w:rsidR="004C3DC9" w:rsidRPr="008C1FA6" w:rsidRDefault="004C3DC9">
      <w:pPr>
        <w:pStyle w:val="BodyText"/>
      </w:pPr>
    </w:p>
    <w:p w:rsidR="004C3DC9" w:rsidRPr="008C1FA6" w:rsidRDefault="004C3DC9" w:rsidP="00E3367A">
      <w:pPr>
        <w:pStyle w:val="BodyText"/>
        <w:ind w:left="360"/>
        <w:rPr>
          <w:rFonts w:eastAsia="Times New Roman"/>
        </w:rPr>
      </w:pPr>
      <w:r w:rsidRPr="008C1FA6">
        <w:rPr>
          <w:rFonts w:eastAsia="Times New Roman"/>
        </w:rPr>
        <w:t>Pri určení výšky odloženej dane sa používa sadzba dane z príjmov platná na nasledujúce obdobia. O odloženej daňovej pohľadávke sa účtuje len vtedy, ak je pravdepodobné, že základ dane, voči ktorému bude možné vyrovnať odpočítateľné dočasné rozdiely alebo umoriť daňovú stratu, je dosiahnuteľný.</w:t>
      </w:r>
    </w:p>
    <w:p w:rsidR="004C3DC9" w:rsidRPr="008C1FA6" w:rsidRDefault="004C3DC9">
      <w:pPr>
        <w:pStyle w:val="BodyText"/>
      </w:pPr>
    </w:p>
    <w:p w:rsidR="004C3DC9" w:rsidRPr="008C1FA6" w:rsidRDefault="004C3DC9" w:rsidP="00E3367A">
      <w:pPr>
        <w:pStyle w:val="Pismenka"/>
        <w:tabs>
          <w:tab w:val="clear" w:pos="426"/>
        </w:tabs>
        <w:ind w:left="360" w:hanging="360"/>
        <w:rPr>
          <w:rFonts w:eastAsia="Times New Roman"/>
        </w:rPr>
      </w:pPr>
      <w:r w:rsidRPr="008C1FA6">
        <w:t>(j)</w:t>
      </w:r>
      <w:r w:rsidRPr="008C1FA6">
        <w:tab/>
      </w:r>
      <w:r w:rsidRPr="008C1FA6">
        <w:rPr>
          <w:rFonts w:eastAsia="Times New Roman"/>
        </w:rPr>
        <w:t>Výdavky budúcich období a výnosy budúcich období</w:t>
      </w: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Výdavky budúcich období a výnosy budúcich období sa vykazujú vo výške, ktorá je potrebná na dodržanie zásady vecnej a časovej súvislosti s účtovným obdobím.</w:t>
      </w:r>
    </w:p>
    <w:p w:rsidR="004C3DC9" w:rsidRPr="008C1FA6" w:rsidRDefault="004C3DC9">
      <w:pPr>
        <w:pStyle w:val="BodyText"/>
      </w:pPr>
    </w:p>
    <w:p w:rsidR="004C3DC9" w:rsidRPr="008C1FA6" w:rsidRDefault="004C3DC9" w:rsidP="00E3367A">
      <w:pPr>
        <w:pStyle w:val="Pismenka"/>
        <w:tabs>
          <w:tab w:val="clear" w:pos="426"/>
        </w:tabs>
        <w:ind w:left="360" w:hanging="360"/>
        <w:rPr>
          <w:rFonts w:eastAsia="Times New Roman"/>
        </w:rPr>
      </w:pPr>
      <w:r w:rsidRPr="008C1FA6">
        <w:t>(k)</w:t>
      </w:r>
      <w:r w:rsidRPr="008C1FA6">
        <w:tab/>
      </w:r>
      <w:r w:rsidRPr="008C1FA6">
        <w:rPr>
          <w:rFonts w:eastAsia="Times New Roman"/>
        </w:rPr>
        <w:t>Dotácie zo štátneho rozpočtu</w:t>
      </w: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 xml:space="preserve">O nároku na dotácie zo štátneho rozpočtu sa účtuje, ak je takmer isté, že sa splnia všetky podmienky súvisiace s dotáciou a súčasne, že sa dotácia poskytne. </w:t>
      </w:r>
    </w:p>
    <w:p w:rsidR="004C3DC9" w:rsidRPr="008C1FA6" w:rsidRDefault="004C3DC9" w:rsidP="00E3367A">
      <w:pPr>
        <w:pStyle w:val="Pismenka"/>
        <w:tabs>
          <w:tab w:val="clear" w:pos="426"/>
        </w:tabs>
        <w:ind w:left="360" w:firstLine="0"/>
        <w:rPr>
          <w:rFonts w:eastAsia="Times New Roman"/>
          <w:b w:val="0"/>
          <w:bCs w:val="0"/>
        </w:rPr>
      </w:pP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C3DC9" w:rsidRPr="008C1FA6" w:rsidRDefault="004C3DC9" w:rsidP="00E3367A">
      <w:pPr>
        <w:pStyle w:val="Pismenka"/>
        <w:tabs>
          <w:tab w:val="clear" w:pos="426"/>
        </w:tabs>
        <w:ind w:left="360" w:firstLine="0"/>
        <w:rPr>
          <w:rFonts w:eastAsia="Times New Roman"/>
          <w:b w:val="0"/>
          <w:bCs w:val="0"/>
        </w:rPr>
      </w:pP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4C3DC9" w:rsidRPr="008C1FA6" w:rsidRDefault="004C3DC9">
      <w:pPr>
        <w:pStyle w:val="BodyText"/>
        <w:rPr>
          <w:sz w:val="16"/>
          <w:szCs w:val="16"/>
        </w:rPr>
      </w:pPr>
    </w:p>
    <w:p w:rsidR="004C3DC9" w:rsidRPr="008C1FA6" w:rsidRDefault="004C3DC9" w:rsidP="00E3367A">
      <w:pPr>
        <w:pStyle w:val="Pismenka"/>
        <w:tabs>
          <w:tab w:val="clear" w:pos="426"/>
        </w:tabs>
        <w:ind w:left="360" w:hanging="360"/>
        <w:rPr>
          <w:rFonts w:eastAsia="Times New Roman"/>
        </w:rPr>
      </w:pPr>
      <w:r w:rsidRPr="008C1FA6">
        <w:t>(l)</w:t>
      </w:r>
      <w:r w:rsidRPr="008C1FA6">
        <w:tab/>
      </w:r>
      <w:r w:rsidRPr="008C1FA6">
        <w:rPr>
          <w:rFonts w:eastAsia="Times New Roman"/>
        </w:rPr>
        <w:t>Prenájom (lízing)</w:t>
      </w: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Majetok prenajatý na základe operatívneho prenájmu vykazuje ako svoj majetok jeho vlastník, nie nájomca.</w:t>
      </w:r>
    </w:p>
    <w:p w:rsidR="004C3DC9" w:rsidRPr="008C1FA6" w:rsidRDefault="004C3DC9" w:rsidP="00E3367A">
      <w:pPr>
        <w:pStyle w:val="Pismenka"/>
        <w:tabs>
          <w:tab w:val="clear" w:pos="426"/>
        </w:tabs>
        <w:ind w:left="360" w:hanging="360"/>
        <w:rPr>
          <w:rFonts w:eastAsia="Times New Roman"/>
          <w:b w:val="0"/>
          <w:bCs w:val="0"/>
        </w:rPr>
      </w:pP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Finančný prenájom je obstaranie dlhodobé</w:t>
      </w:r>
      <w:bookmarkStart w:id="9" w:name="_GoBack"/>
      <w:bookmarkEnd w:id="9"/>
      <w:r w:rsidRPr="008C1FA6">
        <w:rPr>
          <w:rFonts w:eastAsia="Times New Roman"/>
          <w:b w:val="0"/>
          <w:bCs w:val="0"/>
        </w:rPr>
        <w:t>ho hmotného majetku na základe nájomnej zmluvy s dojednaným právom kúpy prenajatej veci za dohodnuté platby počas dohodnutej doby nájmu. Majetok prenajatý formou finančného prenájmu vykazuje ako svoj majetok a odpisuje ho nájomca, nie vlastník.</w:t>
      </w:r>
    </w:p>
    <w:p w:rsidR="004C3DC9" w:rsidRPr="008C1FA6" w:rsidRDefault="004C3DC9" w:rsidP="00E3367A">
      <w:pPr>
        <w:pStyle w:val="Pismenka"/>
        <w:tabs>
          <w:tab w:val="clear" w:pos="426"/>
        </w:tabs>
        <w:ind w:left="360" w:hanging="360"/>
        <w:rPr>
          <w:rFonts w:eastAsia="Times New Roman"/>
          <w:b w:val="0"/>
          <w:bCs w:val="0"/>
        </w:rPr>
      </w:pP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w:t>
      </w:r>
    </w:p>
    <w:p w:rsidR="004C3DC9" w:rsidRPr="008C1FA6" w:rsidRDefault="004C3DC9" w:rsidP="00697AE3">
      <w:pPr>
        <w:pStyle w:val="BodyText"/>
      </w:pP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4C3DC9" w:rsidRPr="008C1FA6" w:rsidRDefault="004C3DC9">
      <w:pPr>
        <w:pStyle w:val="BodyText"/>
        <w:rPr>
          <w:sz w:val="16"/>
          <w:szCs w:val="16"/>
        </w:rPr>
      </w:pPr>
    </w:p>
    <w:p w:rsidR="004C3DC9" w:rsidRPr="008C1FA6" w:rsidRDefault="004C3DC9" w:rsidP="00E3367A">
      <w:pPr>
        <w:pStyle w:val="Pismenka"/>
        <w:tabs>
          <w:tab w:val="clear" w:pos="426"/>
        </w:tabs>
        <w:ind w:left="360" w:hanging="360"/>
        <w:rPr>
          <w:rFonts w:eastAsia="Times New Roman"/>
        </w:rPr>
      </w:pPr>
      <w:r w:rsidRPr="008C1FA6">
        <w:t>(m)</w:t>
      </w:r>
      <w:r w:rsidRPr="008C1FA6">
        <w:tab/>
      </w:r>
      <w:r w:rsidRPr="008C1FA6">
        <w:rPr>
          <w:rFonts w:eastAsia="Times New Roman"/>
        </w:rPr>
        <w:t>Cudzia mena</w:t>
      </w: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4C3DC9" w:rsidRPr="008C1FA6" w:rsidRDefault="004C3DC9" w:rsidP="00E3367A">
      <w:pPr>
        <w:pStyle w:val="Pismenka"/>
        <w:tabs>
          <w:tab w:val="clear" w:pos="426"/>
        </w:tabs>
        <w:ind w:left="360" w:hanging="360"/>
        <w:rPr>
          <w:rFonts w:eastAsia="Times New Roman"/>
          <w:b w:val="0"/>
          <w:bCs w:val="0"/>
        </w:rPr>
      </w:pP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Na ocenenie prírastku cudzej meny nakúpenej za euro sa použije kurz, za ktorý bola táto cudzia mena nakúpená.</w:t>
      </w:r>
    </w:p>
    <w:p w:rsidR="004C3DC9" w:rsidRPr="008C1FA6" w:rsidRDefault="004C3DC9" w:rsidP="00E3367A">
      <w:pPr>
        <w:pStyle w:val="Pismenka"/>
        <w:tabs>
          <w:tab w:val="clear" w:pos="426"/>
        </w:tabs>
        <w:ind w:left="360" w:hanging="360"/>
        <w:rPr>
          <w:rFonts w:eastAsia="Times New Roman"/>
          <w:b w:val="0"/>
          <w:bCs w:val="0"/>
        </w:rPr>
      </w:pP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4C3DC9" w:rsidRPr="008C1FA6" w:rsidRDefault="004C3DC9" w:rsidP="00E3367A">
      <w:pPr>
        <w:pStyle w:val="Pismenka"/>
        <w:tabs>
          <w:tab w:val="clear" w:pos="426"/>
        </w:tabs>
        <w:ind w:left="360" w:hanging="360"/>
        <w:rPr>
          <w:rFonts w:eastAsia="Times New Roman"/>
          <w:b w:val="0"/>
          <w:bCs w:val="0"/>
        </w:rPr>
      </w:pP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4C3DC9" w:rsidRPr="008C1FA6" w:rsidRDefault="004C3DC9" w:rsidP="00E3367A">
      <w:pPr>
        <w:pStyle w:val="Pismenka"/>
        <w:tabs>
          <w:tab w:val="clear" w:pos="426"/>
        </w:tabs>
        <w:ind w:left="360" w:hanging="360"/>
        <w:rPr>
          <w:rFonts w:eastAsia="Times New Roman"/>
          <w:b w:val="0"/>
          <w:bCs w:val="0"/>
        </w:rPr>
      </w:pP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4C3DC9" w:rsidRPr="008C1FA6" w:rsidRDefault="004C3DC9" w:rsidP="00E3367A">
      <w:pPr>
        <w:pStyle w:val="Pismenka"/>
        <w:tabs>
          <w:tab w:val="clear" w:pos="426"/>
        </w:tabs>
        <w:ind w:left="360" w:hanging="360"/>
        <w:rPr>
          <w:rFonts w:eastAsia="Times New Roman"/>
          <w:b w:val="0"/>
          <w:bCs w:val="0"/>
        </w:rPr>
      </w:pP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 xml:space="preserve">Prijaté a poskytnuté preddavky v cudzej mene na účet zriadený v eurách a z účtu zriadeného v eurách sa prepočítavajú na menu euro kurzom, za ktorý boli tieto hodnoty nakúpené alebo predané. </w:t>
      </w:r>
    </w:p>
    <w:p w:rsidR="004C3DC9" w:rsidRPr="008C1FA6" w:rsidRDefault="004C3DC9">
      <w:pPr>
        <w:pStyle w:val="BodyText"/>
      </w:pPr>
    </w:p>
    <w:p w:rsidR="004C3DC9" w:rsidRPr="008C1FA6" w:rsidRDefault="004C3DC9" w:rsidP="00E3367A">
      <w:pPr>
        <w:pStyle w:val="Pismenka"/>
        <w:tabs>
          <w:tab w:val="clear" w:pos="426"/>
        </w:tabs>
        <w:ind w:left="360" w:hanging="360"/>
        <w:rPr>
          <w:rFonts w:eastAsia="Times New Roman"/>
        </w:rPr>
      </w:pPr>
      <w:r w:rsidRPr="008C1FA6">
        <w:t>(n)</w:t>
      </w:r>
      <w:r w:rsidRPr="008C1FA6">
        <w:tab/>
      </w:r>
      <w:r w:rsidRPr="008C1FA6">
        <w:rPr>
          <w:rFonts w:eastAsia="Times New Roman"/>
        </w:rPr>
        <w:t>Výnosy</w:t>
      </w:r>
    </w:p>
    <w:p w:rsidR="004C3DC9" w:rsidRPr="008C1FA6" w:rsidRDefault="004C3DC9" w:rsidP="00E3367A">
      <w:pPr>
        <w:pStyle w:val="Pismenka"/>
        <w:tabs>
          <w:tab w:val="clear" w:pos="426"/>
        </w:tabs>
        <w:ind w:left="360" w:firstLine="0"/>
        <w:rPr>
          <w:rFonts w:eastAsia="Times New Roman"/>
          <w:b w:val="0"/>
          <w:bCs w:val="0"/>
        </w:rPr>
      </w:pPr>
      <w:r w:rsidRPr="008C1FA6">
        <w:rPr>
          <w:rFonts w:eastAsia="Times New Roman"/>
          <w:b w:val="0"/>
          <w:bCs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C3DC9" w:rsidRPr="008C1FA6" w:rsidRDefault="004C3DC9" w:rsidP="003B5A6E">
      <w:pPr>
        <w:pStyle w:val="BodyText"/>
        <w:ind w:left="0"/>
        <w:rPr>
          <w:sz w:val="16"/>
          <w:szCs w:val="16"/>
        </w:rPr>
      </w:pPr>
    </w:p>
    <w:p w:rsidR="004C3DC9" w:rsidRPr="008C1FA6" w:rsidRDefault="004C3DC9">
      <w:pPr>
        <w:pStyle w:val="Heading1"/>
      </w:pPr>
      <w:bookmarkStart w:id="10" w:name="_Toc530739900"/>
      <w:r w:rsidRPr="008C1FA6">
        <w:t>informácie o údajoch na strane aktív súvahy</w:t>
      </w:r>
      <w:bookmarkEnd w:id="10"/>
    </w:p>
    <w:p w:rsidR="004C3DC9" w:rsidRPr="008C1FA6" w:rsidRDefault="004C3DC9">
      <w:pPr>
        <w:pStyle w:val="Header"/>
        <w:numPr>
          <w:ilvl w:val="12"/>
          <w:numId w:val="0"/>
        </w:numPr>
        <w:tabs>
          <w:tab w:val="clear" w:pos="4153"/>
          <w:tab w:val="clear" w:pos="8306"/>
        </w:tabs>
        <w:jc w:val="both"/>
        <w:rPr>
          <w:sz w:val="16"/>
          <w:szCs w:val="16"/>
        </w:rPr>
      </w:pPr>
    </w:p>
    <w:p w:rsidR="004C3DC9" w:rsidRPr="008C1FA6" w:rsidRDefault="004C3DC9" w:rsidP="006E5DCA">
      <w:pPr>
        <w:pStyle w:val="Heading2"/>
        <w:numPr>
          <w:ilvl w:val="0"/>
          <w:numId w:val="4"/>
        </w:numPr>
        <w:tabs>
          <w:tab w:val="clear" w:pos="360"/>
          <w:tab w:val="num" w:pos="426"/>
        </w:tabs>
        <w:rPr>
          <w:rFonts w:eastAsia="Times New Roman"/>
        </w:rPr>
      </w:pPr>
      <w:bookmarkStart w:id="11" w:name="_Toc530739901"/>
      <w:r w:rsidRPr="008C1FA6">
        <w:rPr>
          <w:rFonts w:eastAsia="Times New Roman"/>
        </w:rPr>
        <w:t>Dlhodobý nehmotný majetok a dlhodobý hmotný majetok</w:t>
      </w:r>
      <w:bookmarkEnd w:id="11"/>
    </w:p>
    <w:p w:rsidR="004C3DC9" w:rsidRPr="008C1FA6" w:rsidRDefault="004C3DC9" w:rsidP="001C64FB">
      <w:pPr>
        <w:pStyle w:val="Heading2"/>
        <w:ind w:left="360"/>
        <w:rPr>
          <w:rFonts w:eastAsia="Times New Roman"/>
          <w:b w:val="0"/>
          <w:bCs w:val="0"/>
        </w:rPr>
      </w:pPr>
    </w:p>
    <w:p w:rsidR="004C3DC9" w:rsidRPr="008C1FA6" w:rsidRDefault="004C3DC9" w:rsidP="001C64FB">
      <w:pPr>
        <w:pStyle w:val="Heading2"/>
        <w:ind w:left="360"/>
        <w:rPr>
          <w:rFonts w:eastAsia="Times New Roman"/>
          <w:b w:val="0"/>
          <w:bCs w:val="0"/>
        </w:rPr>
      </w:pPr>
      <w:r w:rsidRPr="008C1FA6">
        <w:rPr>
          <w:rFonts w:eastAsia="Times New Roman"/>
          <w:b w:val="0"/>
          <w:bCs w:val="0"/>
        </w:rPr>
        <w:t>Prehľad o pohybe dlhodobého nehmotného majetku a dlhodobého hmotného majetku od 1. januára 2014 do 31. decembra 2014 a za porovnateľné obdobie od 1. januára 2013 do 31. decembra 2013  je uvedený v tabuľke na strane 6 - 9.</w:t>
      </w:r>
    </w:p>
    <w:p w:rsidR="004C3DC9" w:rsidRPr="008C1FA6" w:rsidRDefault="004C3DC9" w:rsidP="001C64FB">
      <w:pPr>
        <w:pStyle w:val="Heading2"/>
        <w:ind w:left="360"/>
        <w:rPr>
          <w:rFonts w:eastAsia="Times New Roman"/>
          <w:b w:val="0"/>
          <w:bCs w:val="0"/>
        </w:rPr>
      </w:pPr>
    </w:p>
    <w:p w:rsidR="004C3DC9" w:rsidRPr="008C1FA6" w:rsidRDefault="004C3DC9" w:rsidP="001C64FB">
      <w:pPr>
        <w:pStyle w:val="Heading2"/>
        <w:ind w:left="360"/>
        <w:rPr>
          <w:rFonts w:eastAsia="Times New Roman"/>
          <w:b w:val="0"/>
          <w:bCs w:val="0"/>
        </w:rPr>
      </w:pPr>
      <w:r w:rsidRPr="008C1FA6">
        <w:rPr>
          <w:rFonts w:eastAsia="Times New Roman"/>
          <w:b w:val="0"/>
          <w:bCs w:val="0"/>
        </w:rPr>
        <w:t>Spoločnosť mimo sídla spoločnosti vlastní nehnuteľnosť (dom) v obstarávacej cene  157 348 EUR (zostatková cena k 31. decembru 2014: 120 314 EUR)  a pozemky v hodnote 149 373 EUR.</w:t>
      </w:r>
    </w:p>
    <w:p w:rsidR="004C3DC9" w:rsidRPr="008C1FA6" w:rsidRDefault="004C3DC9">
      <w:pPr>
        <w:pStyle w:val="BodyText"/>
        <w:rPr>
          <w:sz w:val="16"/>
          <w:szCs w:val="16"/>
        </w:rPr>
      </w:pPr>
    </w:p>
    <w:p w:rsidR="004C3DC9" w:rsidRPr="008C1FA6" w:rsidRDefault="004C3DC9" w:rsidP="001C64FB">
      <w:pPr>
        <w:pStyle w:val="BodyText"/>
        <w:ind w:left="360"/>
        <w:rPr>
          <w:rFonts w:eastAsia="Times New Roman"/>
        </w:rPr>
      </w:pPr>
      <w:r w:rsidRPr="008C1FA6">
        <w:rPr>
          <w:rFonts w:eastAsia="Times New Roman"/>
        </w:rPr>
        <w:t>V predchádzajúcich rokoch boli vytvorené opravné položky na 2 formy  z dôvodu neistej ďalšej výroby odliatkov z nich.    V priebehu roka 2014 spoločnosť upravila opravnú položku na jednu z nich – spojka pre zákazníka VW na novú  hodnotu 134 575 EUR z dôvodu aktualizácie časti zostatkovej hodnoty, ktorá nebude využitá pre ďalšiu výroby odliatkov z tejto formy v budúcnosti. Žiadny iný – ďalší nevyužívaný majetok nebol definovaný. Opravná položka k 31.decembru 2014  je  vytvorená na dve formy  v hodnote 183 547 EUR.</w:t>
      </w:r>
    </w:p>
    <w:p w:rsidR="004C3DC9" w:rsidRPr="008C1FA6" w:rsidRDefault="004C3DC9" w:rsidP="001C64FB">
      <w:pPr>
        <w:pStyle w:val="BodyText"/>
        <w:ind w:left="360"/>
        <w:rPr>
          <w:rFonts w:eastAsia="Times New Roman"/>
        </w:rPr>
      </w:pPr>
    </w:p>
    <w:p w:rsidR="004C3DC9" w:rsidRPr="008C1FA6" w:rsidRDefault="004C3DC9" w:rsidP="001C64FB">
      <w:pPr>
        <w:pStyle w:val="BodyText"/>
        <w:ind w:left="360"/>
        <w:rPr>
          <w:rFonts w:eastAsia="Times New Roman"/>
        </w:rPr>
      </w:pPr>
      <w:r w:rsidRPr="008C1FA6">
        <w:rPr>
          <w:rFonts w:eastAsia="Times New Roman"/>
        </w:rPr>
        <w:t xml:space="preserve">Dlhodobý hmotný majetok je poistený pre prípad škôd spôsobených krádežou a živelnou pohromou až do výšky </w:t>
      </w:r>
      <w:r w:rsidRPr="008C1FA6">
        <w:rPr>
          <w:rFonts w:eastAsia="Times New Roman"/>
        </w:rPr>
        <w:br/>
        <w:t xml:space="preserve">27 611 000 EUR (2013: 27 811 000 EUR). Poistná zmluva je v správe poisťovateľa: Generali Poisťovňa, a.s. Táto zmluva je súčasťou medzinárodného programu pre poistenie majetku a prerušenia prevádzky vystaveného pre spoločnosti skupiny MCC COOP. </w:t>
      </w:r>
    </w:p>
    <w:p w:rsidR="004C3DC9" w:rsidRPr="008C1FA6" w:rsidRDefault="004C3DC9" w:rsidP="002B016D">
      <w:pPr>
        <w:pStyle w:val="BodyText"/>
      </w:pPr>
    </w:p>
    <w:p w:rsidR="004C3DC9" w:rsidRPr="008C1FA6" w:rsidRDefault="004C3DC9" w:rsidP="002B016D">
      <w:pPr>
        <w:pStyle w:val="BodyText"/>
        <w:sectPr w:rsidR="004C3DC9" w:rsidRPr="008C1FA6" w:rsidSect="006E4DDB">
          <w:headerReference w:type="default" r:id="rId11"/>
          <w:footerReference w:type="default" r:id="rId12"/>
          <w:headerReference w:type="first" r:id="rId13"/>
          <w:footerReference w:type="first" r:id="rId14"/>
          <w:pgSz w:w="11907" w:h="16840" w:code="9"/>
          <w:pgMar w:top="1725" w:right="1021" w:bottom="357" w:left="1673" w:header="568" w:footer="408" w:gutter="0"/>
          <w:cols w:space="708"/>
          <w:titlePg/>
          <w:docGrid w:linePitch="272"/>
        </w:sectPr>
      </w:pPr>
    </w:p>
    <w:p w:rsidR="004C3DC9" w:rsidRPr="008C1FA6" w:rsidRDefault="004C3DC9">
      <w:pPr>
        <w:pStyle w:val="BodyText"/>
      </w:pPr>
      <w:bookmarkStart w:id="12" w:name="OLE_LINK5"/>
      <w:bookmarkStart w:id="13" w:name="OLE_LINK6"/>
    </w:p>
    <w:p w:rsidR="004C3DC9" w:rsidRPr="008C1FA6" w:rsidRDefault="004C3DC9">
      <w:pPr>
        <w:pStyle w:val="BodyText"/>
      </w:pPr>
    </w:p>
    <w:p w:rsidR="004C3DC9" w:rsidRPr="008C1FA6" w:rsidRDefault="004C3DC9">
      <w:pPr>
        <w:pStyle w:val="BodyText"/>
      </w:pPr>
    </w:p>
    <w:p w:rsidR="004C3DC9" w:rsidRPr="008C1FA6" w:rsidRDefault="004C3DC9">
      <w:pPr>
        <w:pStyle w:val="BodyText"/>
      </w:pPr>
    </w:p>
    <w:bookmarkStart w:id="14" w:name="_MON_1455609252"/>
    <w:bookmarkEnd w:id="14"/>
    <w:p w:rsidR="004C3DC9" w:rsidRPr="008C1FA6" w:rsidRDefault="004C3DC9" w:rsidP="00925C23">
      <w:pPr>
        <w:pStyle w:val="BodyText"/>
      </w:pPr>
      <w:r w:rsidRPr="008C1FA6">
        <w:object w:dxaOrig="14465" w:dyaOrig="7546">
          <v:shape id="_x0000_i1035" type="#_x0000_t75" style="width:723pt;height:377.25pt" o:ole="">
            <v:imagedata r:id="rId15" o:title=""/>
          </v:shape>
          <o:OLEObject Type="Embed" ProgID="Excel.Sheet.8" ShapeID="_x0000_i1035" DrawAspect="Content" ObjectID="_1486977192" r:id="rId16"/>
        </w:object>
      </w:r>
    </w:p>
    <w:bookmarkStart w:id="15" w:name="_MON_1455609335"/>
    <w:bookmarkEnd w:id="15"/>
    <w:p w:rsidR="004C3DC9" w:rsidRPr="008C1FA6" w:rsidRDefault="004C3DC9" w:rsidP="00681E82">
      <w:pPr>
        <w:pStyle w:val="BodyText"/>
      </w:pPr>
      <w:r w:rsidRPr="008C1FA6">
        <w:object w:dxaOrig="14465" w:dyaOrig="7546">
          <v:shape id="_x0000_i1036" type="#_x0000_t75" style="width:723pt;height:373.5pt" o:ole="">
            <v:imagedata r:id="rId17" o:title=""/>
          </v:shape>
          <o:OLEObject Type="Embed" ProgID="Excel.Sheet.8" ShapeID="_x0000_i1036" DrawAspect="Content" ObjectID="_1486977193" r:id="rId18"/>
        </w:object>
      </w:r>
    </w:p>
    <w:bookmarkStart w:id="16" w:name="_MON_1455609402"/>
    <w:bookmarkEnd w:id="16"/>
    <w:p w:rsidR="004C3DC9" w:rsidRPr="008C1FA6" w:rsidRDefault="004C3DC9" w:rsidP="003F6EC4">
      <w:pPr>
        <w:pStyle w:val="BodyText"/>
        <w:sectPr w:rsidR="004C3DC9" w:rsidRPr="008C1FA6" w:rsidSect="006E4DDB">
          <w:headerReference w:type="default" r:id="rId19"/>
          <w:footerReference w:type="default" r:id="rId20"/>
          <w:headerReference w:type="first" r:id="rId21"/>
          <w:footerReference w:type="first" r:id="rId22"/>
          <w:pgSz w:w="16840" w:h="11907" w:orient="landscape" w:code="9"/>
          <w:pgMar w:top="1555" w:right="714" w:bottom="709" w:left="851" w:header="284" w:footer="408" w:gutter="0"/>
          <w:cols w:space="708"/>
          <w:titlePg/>
        </w:sectPr>
      </w:pPr>
      <w:r w:rsidRPr="008C1FA6">
        <w:object w:dxaOrig="15456" w:dyaOrig="7546">
          <v:shape id="_x0000_i1037" type="#_x0000_t75" style="width:772.5pt;height:377.25pt" o:ole="">
            <v:imagedata r:id="rId23" o:title=""/>
          </v:shape>
          <o:OLEObject Type="Embed" ProgID="Excel.Sheet.8" ShapeID="_x0000_i1037" DrawAspect="Content" ObjectID="_1486977194" r:id="rId24"/>
        </w:object>
      </w:r>
      <w:bookmarkStart w:id="17" w:name="_MON_1455609445"/>
      <w:bookmarkEnd w:id="17"/>
      <w:r w:rsidRPr="008C1FA6">
        <w:object w:dxaOrig="14606" w:dyaOrig="7546">
          <v:shape id="_x0000_i1038" type="#_x0000_t75" style="width:730.5pt;height:377.25pt" o:ole="">
            <v:imagedata r:id="rId25" o:title=""/>
          </v:shape>
          <o:OLEObject Type="Embed" ProgID="Excel.Sheet.8" ShapeID="_x0000_i1038" DrawAspect="Content" ObjectID="_1486977195" r:id="rId26"/>
        </w:object>
      </w:r>
    </w:p>
    <w:bookmarkEnd w:id="12"/>
    <w:bookmarkEnd w:id="13"/>
    <w:p w:rsidR="004C3DC9" w:rsidRPr="008C1FA6" w:rsidRDefault="004C3DC9" w:rsidP="006E5DCA">
      <w:pPr>
        <w:pStyle w:val="Heading2"/>
        <w:numPr>
          <w:ilvl w:val="0"/>
          <w:numId w:val="4"/>
        </w:numPr>
        <w:tabs>
          <w:tab w:val="clear" w:pos="360"/>
          <w:tab w:val="num" w:pos="426"/>
        </w:tabs>
        <w:rPr>
          <w:rFonts w:eastAsia="Times New Roman"/>
        </w:rPr>
      </w:pPr>
      <w:r w:rsidRPr="008C1FA6">
        <w:rPr>
          <w:rFonts w:eastAsia="Times New Roman"/>
        </w:rPr>
        <w:t>Zásoby</w:t>
      </w:r>
    </w:p>
    <w:p w:rsidR="004C3DC9" w:rsidRPr="008C1FA6" w:rsidRDefault="004C3DC9" w:rsidP="00410A25">
      <w:pPr>
        <w:pStyle w:val="BodyText"/>
        <w:ind w:left="360"/>
        <w:rPr>
          <w:rFonts w:eastAsia="Times New Roman"/>
        </w:rPr>
      </w:pPr>
    </w:p>
    <w:p w:rsidR="004C3DC9" w:rsidRPr="008C1FA6" w:rsidRDefault="004C3DC9" w:rsidP="00410A25">
      <w:pPr>
        <w:pStyle w:val="BodyText"/>
        <w:ind w:left="360"/>
        <w:rPr>
          <w:rFonts w:eastAsia="Times New Roman"/>
        </w:rPr>
      </w:pPr>
      <w:r w:rsidRPr="008C1FA6">
        <w:rPr>
          <w:rFonts w:eastAsia="Times New Roman"/>
        </w:rPr>
        <w:t>Vývoj opravnej položky v priebehu účtovného obdobia je uvedený v nasledujúcom prehľade:</w:t>
      </w:r>
    </w:p>
    <w:p w:rsidR="004C3DC9" w:rsidRPr="008C1FA6" w:rsidRDefault="004C3DC9" w:rsidP="00410A25">
      <w:pPr>
        <w:pStyle w:val="BodyText"/>
        <w:ind w:left="360"/>
        <w:rPr>
          <w:rFonts w:eastAsia="Times New Roman"/>
        </w:rPr>
      </w:pPr>
    </w:p>
    <w:bookmarkStart w:id="18" w:name="_MON_1455506330"/>
    <w:bookmarkEnd w:id="18"/>
    <w:p w:rsidR="004C3DC9" w:rsidRPr="008C1FA6" w:rsidRDefault="004C3DC9" w:rsidP="00A71992">
      <w:pPr>
        <w:pStyle w:val="BodyText"/>
        <w:ind w:left="284"/>
      </w:pPr>
      <w:r w:rsidRPr="008C1FA6">
        <w:object w:dxaOrig="9098" w:dyaOrig="4640">
          <v:shape id="_x0000_i1041" type="#_x0000_t75" style="width:436.5pt;height:248.25pt" o:ole="" o:preferrelative="f">
            <v:imagedata r:id="rId27" o:title=""/>
            <o:lock v:ext="edit" aspectratio="f"/>
          </v:shape>
          <o:OLEObject Type="Embed" ProgID="Excel.Sheet.12" ShapeID="_x0000_i1041" DrawAspect="Content" ObjectID="_1486977196" r:id="rId28"/>
        </w:object>
      </w:r>
    </w:p>
    <w:p w:rsidR="004C3DC9" w:rsidRPr="008C1FA6" w:rsidRDefault="004C3DC9" w:rsidP="00FB00E3">
      <w:pPr>
        <w:pStyle w:val="BodyText"/>
      </w:pPr>
    </w:p>
    <w:p w:rsidR="004C3DC9" w:rsidRPr="008C1FA6" w:rsidRDefault="004C3DC9" w:rsidP="00410A25">
      <w:pPr>
        <w:autoSpaceDE w:val="0"/>
        <w:autoSpaceDN w:val="0"/>
        <w:adjustRightInd w:val="0"/>
        <w:ind w:left="360"/>
        <w:rPr>
          <w:rFonts w:eastAsia="Times New Roman"/>
          <w:sz w:val="18"/>
          <w:szCs w:val="18"/>
        </w:rPr>
      </w:pPr>
      <w:r w:rsidRPr="008C1FA6">
        <w:rPr>
          <w:rFonts w:eastAsia="Times New Roman"/>
          <w:sz w:val="18"/>
          <w:szCs w:val="18"/>
        </w:rPr>
        <w:t>Pri zásobách materiálu a náhradných dielov sa opravná položka tvorí percentom z hodnoty bezobrátkových zásob podľa internej smernice spoločnosti, alebo podľa individuálneho posúdenia. Metóda výpočtu opravnej položky je v súlade s metódou používanou v rámci skupiny Fagor Ederlan. Pri zásobách NV, HV a polotovarov vlastnej výroby sa opravná položka tvorí podľa individuálneho posúdenia, ak očakávaná realizačná cena je nižšia ako hodnota ocenenia v účtovníctve.</w:t>
      </w:r>
    </w:p>
    <w:p w:rsidR="004C3DC9" w:rsidRPr="008C1FA6" w:rsidRDefault="004C3DC9" w:rsidP="00410A25">
      <w:pPr>
        <w:autoSpaceDE w:val="0"/>
        <w:autoSpaceDN w:val="0"/>
        <w:adjustRightInd w:val="0"/>
        <w:ind w:left="360"/>
        <w:rPr>
          <w:rFonts w:eastAsia="Times New Roman"/>
          <w:sz w:val="18"/>
          <w:szCs w:val="18"/>
        </w:rPr>
      </w:pPr>
    </w:p>
    <w:p w:rsidR="004C3DC9" w:rsidRPr="008C1FA6" w:rsidRDefault="004C3DC9" w:rsidP="00410A25">
      <w:pPr>
        <w:autoSpaceDE w:val="0"/>
        <w:autoSpaceDN w:val="0"/>
        <w:adjustRightInd w:val="0"/>
        <w:ind w:left="360"/>
        <w:rPr>
          <w:rFonts w:eastAsia="Times New Roman"/>
          <w:sz w:val="18"/>
          <w:szCs w:val="18"/>
        </w:rPr>
      </w:pPr>
      <w:r w:rsidRPr="008C1FA6">
        <w:rPr>
          <w:rFonts w:eastAsia="Times New Roman"/>
          <w:sz w:val="18"/>
          <w:szCs w:val="18"/>
        </w:rPr>
        <w:t>Na zásoby spoločnosti nie je zriadené záložné právo a spoločnosť má neobmedzené právo s nimi nakladať.</w:t>
      </w:r>
    </w:p>
    <w:p w:rsidR="004C3DC9" w:rsidRPr="008C1FA6" w:rsidRDefault="004C3DC9" w:rsidP="00410A25">
      <w:pPr>
        <w:autoSpaceDE w:val="0"/>
        <w:autoSpaceDN w:val="0"/>
        <w:adjustRightInd w:val="0"/>
        <w:ind w:left="360"/>
        <w:rPr>
          <w:rFonts w:eastAsia="Times New Roman"/>
          <w:sz w:val="18"/>
          <w:szCs w:val="18"/>
        </w:rPr>
      </w:pPr>
    </w:p>
    <w:p w:rsidR="004C3DC9" w:rsidRPr="008C1FA6" w:rsidRDefault="004C3DC9" w:rsidP="00410A25">
      <w:pPr>
        <w:autoSpaceDE w:val="0"/>
        <w:autoSpaceDN w:val="0"/>
        <w:adjustRightInd w:val="0"/>
        <w:ind w:left="360"/>
        <w:rPr>
          <w:rFonts w:eastAsia="Times New Roman"/>
          <w:sz w:val="18"/>
          <w:szCs w:val="18"/>
        </w:rPr>
      </w:pPr>
      <w:r w:rsidRPr="008C1FA6">
        <w:rPr>
          <w:rFonts w:eastAsia="Times New Roman"/>
          <w:sz w:val="18"/>
          <w:szCs w:val="18"/>
        </w:rPr>
        <w:t xml:space="preserve">Zásoby sú poistené pre prípad škôd spôsobených krádežou a živelnou pohromou až do výšky  2 288 129 EUR </w:t>
      </w:r>
      <w:r w:rsidRPr="008C1FA6">
        <w:rPr>
          <w:rFonts w:eastAsia="Times New Roman"/>
          <w:sz w:val="18"/>
          <w:szCs w:val="18"/>
        </w:rPr>
        <w:br/>
        <w:t>(2013: 2 404 788 EUR). Poistná zmluva je v správe poisťovateľa: Generali Poisťovňa, a.s. Táto zmluva je súčasťou medzinárodného programu pre poistenie majetku a prerušenia prevádzky vystaveného pre spoločnosti skupiny MCC COOP.</w:t>
      </w: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rsidP="008D2D49">
      <w:pPr>
        <w:pStyle w:val="BodyText"/>
        <w:ind w:left="0"/>
      </w:pPr>
    </w:p>
    <w:p w:rsidR="004C3DC9" w:rsidRPr="008C1FA6" w:rsidRDefault="004C3DC9" w:rsidP="006E5DCA">
      <w:pPr>
        <w:pStyle w:val="Heading2"/>
        <w:numPr>
          <w:ilvl w:val="0"/>
          <w:numId w:val="4"/>
        </w:numPr>
        <w:tabs>
          <w:tab w:val="clear" w:pos="360"/>
          <w:tab w:val="num" w:pos="426"/>
        </w:tabs>
      </w:pPr>
      <w:bookmarkStart w:id="19" w:name="_Toc530739904"/>
      <w:r w:rsidRPr="008C1FA6">
        <w:t>Pohľadávky</w:t>
      </w:r>
      <w:bookmarkEnd w:id="19"/>
    </w:p>
    <w:p w:rsidR="004C3DC9" w:rsidRPr="008C1FA6" w:rsidRDefault="004C3DC9" w:rsidP="00A71992">
      <w:pPr>
        <w:pStyle w:val="BodyText"/>
        <w:ind w:left="360"/>
        <w:rPr>
          <w:rFonts w:eastAsia="Times New Roman"/>
        </w:rPr>
      </w:pPr>
    </w:p>
    <w:p w:rsidR="004C3DC9" w:rsidRPr="008C1FA6" w:rsidRDefault="004C3DC9" w:rsidP="004E405D">
      <w:pPr>
        <w:pStyle w:val="BodyText"/>
        <w:ind w:left="360"/>
        <w:rPr>
          <w:rFonts w:eastAsia="Times New Roman"/>
        </w:rPr>
      </w:pPr>
      <w:r w:rsidRPr="008C1FA6">
        <w:rPr>
          <w:rFonts w:eastAsia="Times New Roman"/>
        </w:rPr>
        <w:t>Vývoj opravnej položky v priebehu účtovného obdobia je zobrazený v nasledujúcom prehľade:</w:t>
      </w:r>
    </w:p>
    <w:p w:rsidR="004C3DC9" w:rsidRPr="008C1FA6" w:rsidRDefault="004C3DC9" w:rsidP="004E405D">
      <w:pPr>
        <w:pStyle w:val="BodyText"/>
        <w:ind w:left="360"/>
        <w:rPr>
          <w:rFonts w:eastAsia="Times New Roman"/>
        </w:rPr>
      </w:pPr>
    </w:p>
    <w:bookmarkStart w:id="20" w:name="_MON_1455506407"/>
    <w:bookmarkEnd w:id="20"/>
    <w:p w:rsidR="004C3DC9" w:rsidRPr="008C1FA6" w:rsidRDefault="004C3DC9" w:rsidP="007E1D74">
      <w:pPr>
        <w:pStyle w:val="BodyText"/>
      </w:pPr>
      <w:r w:rsidRPr="008C1FA6">
        <w:object w:dxaOrig="9013" w:dyaOrig="5509">
          <v:shape id="_x0000_i1042" type="#_x0000_t75" style="width:437.25pt;height:297.75pt" o:ole="" o:preferrelative="f">
            <v:imagedata r:id="rId29" o:title=""/>
            <o:lock v:ext="edit" aspectratio="f"/>
          </v:shape>
          <o:OLEObject Type="Embed" ProgID="Excel.Sheet.12" ShapeID="_x0000_i1042" DrawAspect="Content" ObjectID="_1486977197" r:id="rId30"/>
        </w:object>
      </w:r>
    </w:p>
    <w:p w:rsidR="004C3DC9" w:rsidRPr="008C1FA6" w:rsidRDefault="004C3DC9" w:rsidP="007E1D74">
      <w:pPr>
        <w:pStyle w:val="BodyText"/>
        <w:ind w:left="0"/>
        <w:rPr>
          <w:i/>
          <w:iCs/>
        </w:rPr>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pPr>
        <w:pStyle w:val="BodyText"/>
      </w:pPr>
    </w:p>
    <w:p w:rsidR="004C3DC9" w:rsidRPr="008C1FA6" w:rsidRDefault="004C3DC9" w:rsidP="000F49AD">
      <w:pPr>
        <w:pStyle w:val="BodyText"/>
        <w:tabs>
          <w:tab w:val="left" w:pos="2968"/>
        </w:tabs>
      </w:pPr>
      <w:r w:rsidRPr="008C1FA6">
        <w:tab/>
      </w:r>
    </w:p>
    <w:p w:rsidR="004C3DC9" w:rsidRPr="008C1FA6" w:rsidRDefault="004C3DC9">
      <w:pPr>
        <w:pStyle w:val="BodyText"/>
      </w:pPr>
    </w:p>
    <w:p w:rsidR="004C3DC9" w:rsidRPr="008C1FA6" w:rsidRDefault="004C3DC9" w:rsidP="005535EB">
      <w:pPr>
        <w:pStyle w:val="BodyText"/>
        <w:ind w:left="0"/>
      </w:pPr>
    </w:p>
    <w:p w:rsidR="004C3DC9" w:rsidRPr="008C1FA6" w:rsidRDefault="004C3DC9" w:rsidP="00A71992">
      <w:pPr>
        <w:pStyle w:val="BodyText"/>
        <w:ind w:left="360"/>
        <w:rPr>
          <w:rFonts w:eastAsia="Times New Roman"/>
        </w:rPr>
      </w:pPr>
    </w:p>
    <w:p w:rsidR="004C3DC9" w:rsidRPr="008C1FA6" w:rsidRDefault="004C3DC9" w:rsidP="00A71992">
      <w:pPr>
        <w:pStyle w:val="BodyText"/>
        <w:ind w:left="360"/>
        <w:rPr>
          <w:rFonts w:eastAsia="Times New Roman"/>
        </w:rPr>
      </w:pPr>
      <w:r w:rsidRPr="008C1FA6">
        <w:rPr>
          <w:rFonts w:eastAsia="Times New Roman"/>
        </w:rPr>
        <w:t>Veková štruktúra pohľadávok za bežné účtovné obdobie je uvedená v nasledujúcom prehľade:</w:t>
      </w:r>
    </w:p>
    <w:p w:rsidR="004C3DC9" w:rsidRPr="008C1FA6" w:rsidRDefault="004C3DC9" w:rsidP="00FB00E3">
      <w:pPr>
        <w:pStyle w:val="BodyText"/>
      </w:pPr>
    </w:p>
    <w:p w:rsidR="004C3DC9" w:rsidRPr="008C1FA6" w:rsidRDefault="004C3DC9" w:rsidP="00FB00E3">
      <w:pPr>
        <w:pStyle w:val="BodyText"/>
      </w:pPr>
    </w:p>
    <w:bookmarkStart w:id="21" w:name="_MON_1485955610"/>
    <w:bookmarkEnd w:id="21"/>
    <w:p w:rsidR="004C3DC9" w:rsidRPr="008C1FA6" w:rsidRDefault="004C3DC9" w:rsidP="007E1D74">
      <w:pPr>
        <w:pStyle w:val="BodyText"/>
      </w:pPr>
      <w:r w:rsidRPr="008C1FA6">
        <w:object w:dxaOrig="9019" w:dyaOrig="6072">
          <v:shape id="_x0000_i1043" type="#_x0000_t75" style="width:437.25pt;height:327.75pt" o:ole="" o:preferrelative="f">
            <v:imagedata r:id="rId31" o:title=""/>
            <o:lock v:ext="edit" aspectratio="f"/>
          </v:shape>
          <o:OLEObject Type="Embed" ProgID="Excel.Sheet.12" ShapeID="_x0000_i1043" DrawAspect="Content" ObjectID="_1486977198" r:id="rId32"/>
        </w:object>
      </w: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7E1D74">
      <w:pPr>
        <w:pStyle w:val="BodyText"/>
      </w:pPr>
    </w:p>
    <w:p w:rsidR="004C3DC9" w:rsidRPr="008C1FA6" w:rsidRDefault="004C3DC9" w:rsidP="005535EB">
      <w:pPr>
        <w:pStyle w:val="BodyText"/>
        <w:ind w:left="0"/>
      </w:pPr>
    </w:p>
    <w:p w:rsidR="004C3DC9" w:rsidRPr="008C1FA6" w:rsidRDefault="004C3DC9" w:rsidP="003A13B6">
      <w:pPr>
        <w:pStyle w:val="BodyText"/>
        <w:ind w:left="0"/>
      </w:pPr>
    </w:p>
    <w:p w:rsidR="004C3DC9" w:rsidRPr="008C1FA6" w:rsidRDefault="004C3DC9" w:rsidP="007E1D74">
      <w:pPr>
        <w:pStyle w:val="BodyText"/>
      </w:pPr>
    </w:p>
    <w:p w:rsidR="004C3DC9" w:rsidRPr="008C1FA6" w:rsidRDefault="004C3DC9" w:rsidP="00A71992">
      <w:pPr>
        <w:pStyle w:val="BodyText"/>
        <w:ind w:left="360"/>
      </w:pPr>
      <w:r w:rsidRPr="008C1FA6">
        <w:t xml:space="preserve"> </w:t>
      </w:r>
    </w:p>
    <w:p w:rsidR="004C3DC9" w:rsidRPr="008C1FA6" w:rsidRDefault="004C3DC9" w:rsidP="00FE4896">
      <w:pPr>
        <w:pStyle w:val="BodyText"/>
        <w:ind w:left="0" w:firstLine="284"/>
      </w:pPr>
      <w:r w:rsidRPr="008C1FA6">
        <w:t>Veková štruktúra pohľadávok za predchádzajúce účtovné obdobie je uvedená v nasledujúcom prehľade:</w:t>
      </w:r>
    </w:p>
    <w:p w:rsidR="004C3DC9" w:rsidRPr="008C1FA6" w:rsidRDefault="004C3DC9" w:rsidP="007E1D74">
      <w:pPr>
        <w:pStyle w:val="BodyText"/>
      </w:pPr>
    </w:p>
    <w:p w:rsidR="004C3DC9" w:rsidRPr="008C1FA6" w:rsidRDefault="004C3DC9" w:rsidP="00A71992">
      <w:pPr>
        <w:pStyle w:val="BodyText"/>
        <w:ind w:left="284"/>
      </w:pPr>
      <w:r w:rsidRPr="008C1FA6">
        <w:object w:dxaOrig="9063" w:dyaOrig="6083">
          <v:shape id="_x0000_i1044" type="#_x0000_t75" style="width:439.5pt;height:331.5pt" o:ole="" o:preferrelative="f">
            <v:imagedata r:id="rId33" o:title=""/>
            <o:lock v:ext="edit" aspectratio="f"/>
          </v:shape>
          <o:OLEObject Type="Embed" ProgID="Excel.Sheet.12" ShapeID="_x0000_i1044" DrawAspect="Content" ObjectID="_1486977199" r:id="rId34"/>
        </w:object>
      </w:r>
    </w:p>
    <w:p w:rsidR="004C3DC9" w:rsidRPr="008C1FA6" w:rsidRDefault="004C3DC9" w:rsidP="00A71992">
      <w:pPr>
        <w:pStyle w:val="BodyText"/>
        <w:ind w:left="360"/>
      </w:pPr>
      <w:r w:rsidRPr="008C1FA6">
        <w:t>Súčasťou tabuliek o vekovej štruktúre pohľadávok za bežné a predchádzajúce účtovné obdobie nie je odložená daňová pohľadávka (účet 481). Informácie o odloženej dani sú uvedené v časti F.4.</w:t>
      </w:r>
    </w:p>
    <w:p w:rsidR="004C3DC9" w:rsidRPr="008C1FA6" w:rsidRDefault="004C3DC9" w:rsidP="00A71992">
      <w:pPr>
        <w:pStyle w:val="BodyText"/>
        <w:ind w:left="360"/>
      </w:pPr>
    </w:p>
    <w:p w:rsidR="004C3DC9" w:rsidRPr="008C1FA6" w:rsidRDefault="004C3DC9" w:rsidP="00A71992">
      <w:pPr>
        <w:pStyle w:val="BodyText"/>
        <w:ind w:left="360"/>
      </w:pPr>
    </w:p>
    <w:p w:rsidR="004C3DC9" w:rsidRPr="008C1FA6" w:rsidRDefault="004C3DC9" w:rsidP="00A71992">
      <w:pPr>
        <w:pStyle w:val="BodyText"/>
        <w:ind w:left="360"/>
      </w:pPr>
      <w:r w:rsidRPr="008C1FA6">
        <w:t>Na zmluvne zabezpečené pohľadávky bolo v prospech banky zriadené záložné právo v prípade čerpania krátkodobého – kontokorentného úveru. K 31. decembru 2014 tento úver nebol čerpaný. Bližšie pozri bod G.5</w:t>
      </w: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03381">
      <w:pPr>
        <w:pStyle w:val="BodyText"/>
        <w:ind w:left="0"/>
      </w:pPr>
    </w:p>
    <w:p w:rsidR="004C3DC9" w:rsidRPr="008C1FA6" w:rsidRDefault="004C3DC9" w:rsidP="006E5DCA">
      <w:pPr>
        <w:pStyle w:val="Heading2"/>
        <w:numPr>
          <w:ilvl w:val="0"/>
          <w:numId w:val="4"/>
        </w:numPr>
        <w:tabs>
          <w:tab w:val="clear" w:pos="360"/>
          <w:tab w:val="num" w:pos="426"/>
        </w:tabs>
      </w:pPr>
      <w:r w:rsidRPr="008C1FA6">
        <w:t>Odložená daňová pohľadávka</w:t>
      </w:r>
    </w:p>
    <w:p w:rsidR="004C3DC9" w:rsidRPr="008C1FA6" w:rsidRDefault="004C3DC9" w:rsidP="00A71992">
      <w:pPr>
        <w:ind w:left="360"/>
        <w:rPr>
          <w:rFonts w:eastAsia="Times New Roman"/>
        </w:rPr>
      </w:pPr>
    </w:p>
    <w:p w:rsidR="004C3DC9" w:rsidRPr="008C1FA6" w:rsidRDefault="004C3DC9" w:rsidP="00A71992">
      <w:pPr>
        <w:ind w:left="360"/>
        <w:rPr>
          <w:rFonts w:eastAsia="Times New Roman"/>
          <w:sz w:val="18"/>
          <w:szCs w:val="18"/>
        </w:rPr>
      </w:pPr>
      <w:r w:rsidRPr="008C1FA6">
        <w:rPr>
          <w:rFonts w:eastAsia="Times New Roman"/>
          <w:sz w:val="18"/>
          <w:szCs w:val="18"/>
        </w:rPr>
        <w:t>Výpočet odloženej daňovej pohľadávky je uvedený v nasledujúcom prehľade:</w:t>
      </w:r>
    </w:p>
    <w:p w:rsidR="004C3DC9" w:rsidRPr="008C1FA6" w:rsidRDefault="004C3DC9" w:rsidP="00E331D8">
      <w:pPr>
        <w:pStyle w:val="BodyText"/>
        <w:ind w:left="360"/>
        <w:rPr>
          <w:rFonts w:eastAsia="Times New Roman"/>
        </w:rPr>
      </w:pPr>
    </w:p>
    <w:bookmarkStart w:id="22" w:name="_MON_1455609310"/>
    <w:bookmarkEnd w:id="22"/>
    <w:p w:rsidR="004C3DC9" w:rsidRPr="008C1FA6" w:rsidRDefault="004C3DC9" w:rsidP="00E24AE6">
      <w:pPr>
        <w:pStyle w:val="BodyText"/>
      </w:pPr>
      <w:r w:rsidRPr="008C1FA6">
        <w:object w:dxaOrig="8940" w:dyaOrig="6523">
          <v:shape id="_x0000_i1045" type="#_x0000_t75" style="width:438pt;height:345.75pt" o:ole="" o:preferrelative="f">
            <v:imagedata r:id="rId35" o:title=""/>
            <o:lock v:ext="edit" aspectratio="f"/>
          </v:shape>
          <o:OLEObject Type="Embed" ProgID="Excel.Sheet.12" ShapeID="_x0000_i1045" DrawAspect="Content" ObjectID="_1486977200" r:id="rId36"/>
        </w:object>
      </w:r>
    </w:p>
    <w:p w:rsidR="004C3DC9" w:rsidRPr="008C1FA6" w:rsidRDefault="004C3DC9" w:rsidP="00E24AE6">
      <w:pPr>
        <w:pStyle w:val="BodyText"/>
      </w:pPr>
    </w:p>
    <w:p w:rsidR="004C3DC9" w:rsidRPr="008C1FA6" w:rsidRDefault="004C3DC9" w:rsidP="00E331D8">
      <w:pPr>
        <w:ind w:left="360"/>
        <w:rPr>
          <w:rFonts w:eastAsia="Times New Roman"/>
          <w:sz w:val="18"/>
          <w:szCs w:val="18"/>
        </w:rPr>
      </w:pPr>
      <w:r w:rsidRPr="008C1FA6">
        <w:rPr>
          <w:rFonts w:eastAsia="Times New Roman"/>
          <w:sz w:val="18"/>
          <w:szCs w:val="18"/>
        </w:rPr>
        <w:t xml:space="preserve">Spoločnosť sa rozhodla zaúčtovať v bežnom období odloženú daňovú pohľadávku v plnej výške, rovnako ako v predchádzajúcom období. </w:t>
      </w:r>
    </w:p>
    <w:p w:rsidR="004C3DC9" w:rsidRPr="008C1FA6" w:rsidRDefault="004C3DC9">
      <w:pPr>
        <w:pStyle w:val="BodyText"/>
      </w:pPr>
    </w:p>
    <w:p w:rsidR="004C3DC9" w:rsidRPr="008C1FA6" w:rsidRDefault="004C3DC9" w:rsidP="006E5DCA">
      <w:pPr>
        <w:pStyle w:val="Heading2"/>
        <w:numPr>
          <w:ilvl w:val="0"/>
          <w:numId w:val="4"/>
        </w:numPr>
        <w:tabs>
          <w:tab w:val="clear" w:pos="360"/>
          <w:tab w:val="num" w:pos="426"/>
        </w:tabs>
      </w:pPr>
      <w:bookmarkStart w:id="23" w:name="_Toc530739905"/>
      <w:r w:rsidRPr="008C1FA6">
        <w:t>Finančné účty</w:t>
      </w:r>
      <w:bookmarkEnd w:id="23"/>
    </w:p>
    <w:p w:rsidR="004C3DC9" w:rsidRPr="008C1FA6" w:rsidRDefault="004C3DC9" w:rsidP="00A71992">
      <w:pPr>
        <w:ind w:left="360"/>
        <w:rPr>
          <w:rFonts w:eastAsia="Times New Roman"/>
          <w:sz w:val="18"/>
          <w:szCs w:val="18"/>
        </w:rPr>
      </w:pPr>
    </w:p>
    <w:p w:rsidR="004C3DC9" w:rsidRPr="008C1FA6" w:rsidRDefault="004C3DC9" w:rsidP="00CB5D7B">
      <w:pPr>
        <w:ind w:left="360"/>
        <w:rPr>
          <w:rFonts w:eastAsia="Times New Roman"/>
          <w:sz w:val="18"/>
          <w:szCs w:val="18"/>
        </w:rPr>
      </w:pPr>
      <w:r w:rsidRPr="008C1FA6">
        <w:rPr>
          <w:rFonts w:eastAsia="Times New Roman"/>
          <w:sz w:val="18"/>
          <w:szCs w:val="18"/>
        </w:rPr>
        <w:t>Ako finančné účty sú vykázané peniaze v pokladnici a účty v bankách. Účtami v bankách môže spoločnosť voľne disponovať.</w:t>
      </w:r>
    </w:p>
    <w:p w:rsidR="004C3DC9" w:rsidRPr="008C1FA6" w:rsidRDefault="004C3DC9" w:rsidP="004A35E9">
      <w:pPr>
        <w:ind w:left="360"/>
        <w:rPr>
          <w:rFonts w:eastAsia="Times New Roman"/>
          <w:sz w:val="18"/>
          <w:szCs w:val="18"/>
        </w:rPr>
      </w:pPr>
    </w:p>
    <w:p w:rsidR="004C3DC9" w:rsidRPr="008C1FA6" w:rsidRDefault="004C3DC9" w:rsidP="00A71992">
      <w:pPr>
        <w:ind w:left="360"/>
        <w:rPr>
          <w:rFonts w:eastAsia="Times New Roman"/>
          <w:sz w:val="18"/>
          <w:szCs w:val="18"/>
        </w:rPr>
      </w:pPr>
      <w:r w:rsidRPr="008C1FA6">
        <w:rPr>
          <w:rFonts w:eastAsia="Times New Roman"/>
          <w:sz w:val="18"/>
          <w:szCs w:val="18"/>
        </w:rPr>
        <w:t>Prehľad jednotlivých položiek finančných účtov:</w:t>
      </w:r>
    </w:p>
    <w:p w:rsidR="004C3DC9" w:rsidRPr="008C1FA6" w:rsidRDefault="004C3DC9" w:rsidP="00204187">
      <w:pPr>
        <w:pStyle w:val="BodyText"/>
      </w:pPr>
    </w:p>
    <w:bookmarkStart w:id="24" w:name="_MON_1455605296"/>
    <w:bookmarkEnd w:id="24"/>
    <w:p w:rsidR="004C3DC9" w:rsidRPr="008C1FA6" w:rsidRDefault="004C3DC9" w:rsidP="0093093A">
      <w:pPr>
        <w:ind w:left="360"/>
      </w:pPr>
      <w:r w:rsidRPr="008C1FA6">
        <w:object w:dxaOrig="9052" w:dyaOrig="1892">
          <v:shape id="_x0000_i1046" type="#_x0000_t75" style="width:438.75pt;height:102pt" o:ole="" o:preferrelative="f">
            <v:imagedata r:id="rId37" o:title=""/>
            <o:lock v:ext="edit" aspectratio="f"/>
          </v:shape>
          <o:OLEObject Type="Embed" ProgID="Excel.Sheet.12" ShapeID="_x0000_i1046" DrawAspect="Content" ObjectID="_1486977201" r:id="rId38"/>
        </w:object>
      </w:r>
    </w:p>
    <w:p w:rsidR="004C3DC9" w:rsidRPr="008C1FA6" w:rsidRDefault="004C3DC9" w:rsidP="00BF2B3E">
      <w:pPr>
        <w:pStyle w:val="Heading2"/>
        <w:ind w:left="360"/>
      </w:pPr>
      <w:bookmarkStart w:id="25" w:name="_Toc530739906"/>
    </w:p>
    <w:p w:rsidR="004C3DC9" w:rsidRPr="008C1FA6" w:rsidRDefault="004C3DC9" w:rsidP="00A4691D"/>
    <w:p w:rsidR="004C3DC9" w:rsidRPr="008C1FA6" w:rsidRDefault="004C3DC9" w:rsidP="00A4691D"/>
    <w:p w:rsidR="004C3DC9" w:rsidRPr="008C1FA6" w:rsidRDefault="004C3DC9" w:rsidP="006E5DCA">
      <w:pPr>
        <w:pStyle w:val="Heading2"/>
        <w:numPr>
          <w:ilvl w:val="0"/>
          <w:numId w:val="4"/>
        </w:numPr>
        <w:tabs>
          <w:tab w:val="clear" w:pos="360"/>
          <w:tab w:val="num" w:pos="426"/>
        </w:tabs>
      </w:pPr>
      <w:r w:rsidRPr="008C1FA6">
        <w:t>Časové rozlíšenie</w:t>
      </w:r>
      <w:bookmarkEnd w:id="25"/>
    </w:p>
    <w:p w:rsidR="004C3DC9" w:rsidRPr="008C1FA6" w:rsidRDefault="004C3DC9" w:rsidP="00E331D8">
      <w:pPr>
        <w:ind w:left="360"/>
        <w:rPr>
          <w:rFonts w:eastAsia="Times New Roman"/>
          <w:sz w:val="18"/>
          <w:szCs w:val="18"/>
        </w:rPr>
      </w:pPr>
    </w:p>
    <w:p w:rsidR="004C3DC9" w:rsidRPr="008C1FA6" w:rsidRDefault="004C3DC9" w:rsidP="00E331D8">
      <w:pPr>
        <w:ind w:left="360"/>
        <w:rPr>
          <w:rFonts w:eastAsia="Times New Roman"/>
          <w:sz w:val="18"/>
          <w:szCs w:val="18"/>
        </w:rPr>
      </w:pPr>
      <w:r w:rsidRPr="008C1FA6">
        <w:rPr>
          <w:rFonts w:eastAsia="Times New Roman"/>
          <w:sz w:val="18"/>
          <w:szCs w:val="18"/>
        </w:rPr>
        <w:t>Ide o tieto položky:</w:t>
      </w:r>
    </w:p>
    <w:p w:rsidR="004C3DC9" w:rsidRPr="008C1FA6" w:rsidRDefault="004C3DC9" w:rsidP="00204187">
      <w:pPr>
        <w:pStyle w:val="BodyText"/>
      </w:pPr>
    </w:p>
    <w:bookmarkStart w:id="26" w:name="_MON_1455605714"/>
    <w:bookmarkEnd w:id="26"/>
    <w:p w:rsidR="004C3DC9" w:rsidRPr="008C1FA6" w:rsidRDefault="004C3DC9" w:rsidP="00E331D8">
      <w:pPr>
        <w:ind w:left="426"/>
        <w:rPr>
          <w:sz w:val="18"/>
          <w:szCs w:val="18"/>
        </w:rPr>
      </w:pPr>
      <w:r w:rsidRPr="008C1FA6">
        <w:object w:dxaOrig="8990" w:dyaOrig="4419">
          <v:shape id="_x0000_i1047" type="#_x0000_t75" style="width:435.75pt;height:243pt" o:ole="" o:preferrelative="f">
            <v:imagedata r:id="rId39" o:title=""/>
            <o:lock v:ext="edit" aspectratio="f"/>
          </v:shape>
          <o:OLEObject Type="Embed" ProgID="Excel.Sheet.12" ShapeID="_x0000_i1047" DrawAspect="Content" ObjectID="_1486977202" r:id="rId40"/>
        </w:object>
      </w:r>
      <w:r w:rsidRPr="008C1FA6">
        <w:br w:type="page"/>
      </w:r>
    </w:p>
    <w:p w:rsidR="004C3DC9" w:rsidRPr="008C1FA6" w:rsidRDefault="004C3DC9">
      <w:pPr>
        <w:pStyle w:val="Heading1"/>
      </w:pPr>
      <w:r w:rsidRPr="008C1FA6">
        <w:t>Informácie o údajoch na strane pasív súvahy</w:t>
      </w:r>
    </w:p>
    <w:p w:rsidR="004C3DC9" w:rsidRPr="008C1FA6" w:rsidRDefault="004C3DC9">
      <w:pPr>
        <w:pStyle w:val="BodyText"/>
      </w:pPr>
    </w:p>
    <w:p w:rsidR="004C3DC9" w:rsidRPr="008C1FA6" w:rsidRDefault="004C3DC9" w:rsidP="006E5DCA">
      <w:pPr>
        <w:pStyle w:val="Heading2"/>
        <w:numPr>
          <w:ilvl w:val="0"/>
          <w:numId w:val="6"/>
        </w:numPr>
      </w:pPr>
      <w:bookmarkStart w:id="27" w:name="_Toc530739908"/>
      <w:r w:rsidRPr="008C1FA6">
        <w:t>Vlastné imanie</w:t>
      </w:r>
    </w:p>
    <w:p w:rsidR="004C3DC9" w:rsidRPr="008C1FA6" w:rsidRDefault="004C3DC9" w:rsidP="00E331D8">
      <w:pPr>
        <w:ind w:left="360"/>
        <w:rPr>
          <w:rFonts w:eastAsia="Times New Roman"/>
          <w:sz w:val="18"/>
          <w:szCs w:val="18"/>
        </w:rPr>
      </w:pPr>
    </w:p>
    <w:p w:rsidR="004C3DC9" w:rsidRPr="008C1FA6" w:rsidRDefault="004C3DC9" w:rsidP="00A71992">
      <w:pPr>
        <w:pStyle w:val="BodyText"/>
        <w:ind w:left="360"/>
      </w:pPr>
      <w:r w:rsidRPr="008C1FA6">
        <w:rPr>
          <w:rFonts w:eastAsia="Times New Roman"/>
        </w:rPr>
        <w:t>Informácie o vlastnom imaní sú uvedené v časti C a P.</w:t>
      </w:r>
    </w:p>
    <w:p w:rsidR="004C3DC9" w:rsidRPr="008C1FA6" w:rsidRDefault="004C3DC9">
      <w:pPr>
        <w:pStyle w:val="BodyText"/>
      </w:pPr>
    </w:p>
    <w:p w:rsidR="004C3DC9" w:rsidRPr="008C1FA6" w:rsidRDefault="004C3DC9" w:rsidP="006E5DCA">
      <w:pPr>
        <w:pStyle w:val="Heading2"/>
        <w:numPr>
          <w:ilvl w:val="0"/>
          <w:numId w:val="6"/>
        </w:numPr>
      </w:pPr>
      <w:r w:rsidRPr="008C1FA6">
        <w:t>Rezervy</w:t>
      </w:r>
      <w:bookmarkEnd w:id="27"/>
    </w:p>
    <w:p w:rsidR="004C3DC9" w:rsidRPr="008C1FA6" w:rsidRDefault="004C3DC9" w:rsidP="00E331D8">
      <w:pPr>
        <w:pStyle w:val="BodyText"/>
        <w:ind w:left="360"/>
        <w:rPr>
          <w:rFonts w:eastAsia="Times New Roman"/>
        </w:rPr>
      </w:pPr>
    </w:p>
    <w:p w:rsidR="004C3DC9" w:rsidRPr="008C1FA6" w:rsidRDefault="004C3DC9" w:rsidP="00E331D8">
      <w:pPr>
        <w:pStyle w:val="BodyText"/>
        <w:ind w:left="360"/>
        <w:rPr>
          <w:rFonts w:eastAsia="Times New Roman"/>
        </w:rPr>
      </w:pPr>
      <w:r w:rsidRPr="008C1FA6">
        <w:rPr>
          <w:rFonts w:eastAsia="Times New Roman"/>
        </w:rPr>
        <w:t>Prehľad o rezervách za bežné účtovné obdobie je uvedený v nasledujúcom prehľade:</w:t>
      </w:r>
    </w:p>
    <w:bookmarkStart w:id="28" w:name="_MON_1454826772"/>
    <w:bookmarkEnd w:id="28"/>
    <w:p w:rsidR="004C3DC9" w:rsidRPr="008C1FA6" w:rsidRDefault="004C3DC9" w:rsidP="00EA378A">
      <w:pPr>
        <w:pStyle w:val="BodyText"/>
        <w:ind w:left="0" w:firstLine="426"/>
        <w:jc w:val="left"/>
      </w:pPr>
      <w:r w:rsidRPr="008C1FA6">
        <w:object w:dxaOrig="8748" w:dyaOrig="8974">
          <v:shape id="_x0000_i1048" type="#_x0000_t75" style="width:437.25pt;height:502.5pt" o:ole="" o:preferrelative="f">
            <v:imagedata r:id="rId41" o:title=""/>
            <o:lock v:ext="edit" aspectratio="f"/>
          </v:shape>
          <o:OLEObject Type="Embed" ProgID="Excel.Sheet.12" ShapeID="_x0000_i1048" DrawAspect="Content" ObjectID="_1486977203" r:id="rId42"/>
        </w:object>
      </w:r>
    </w:p>
    <w:p w:rsidR="004C3DC9" w:rsidRPr="008C1FA6" w:rsidRDefault="004C3DC9" w:rsidP="00204187">
      <w:pPr>
        <w:pStyle w:val="BodyText"/>
        <w:jc w:val="left"/>
      </w:pPr>
    </w:p>
    <w:p w:rsidR="004C3DC9" w:rsidRPr="008C1FA6" w:rsidRDefault="004C3DC9" w:rsidP="00204187">
      <w:pPr>
        <w:pStyle w:val="BodyText"/>
        <w:jc w:val="left"/>
      </w:pPr>
    </w:p>
    <w:p w:rsidR="004C3DC9" w:rsidRPr="008C1FA6" w:rsidRDefault="004C3DC9" w:rsidP="00204187">
      <w:pPr>
        <w:rPr>
          <w:sz w:val="18"/>
          <w:szCs w:val="18"/>
        </w:rPr>
      </w:pPr>
    </w:p>
    <w:p w:rsidR="004C3DC9" w:rsidRPr="008C1FA6" w:rsidRDefault="004C3DC9" w:rsidP="00204187">
      <w:pPr>
        <w:pStyle w:val="BodyText"/>
      </w:pPr>
      <w:r w:rsidRPr="008C1FA6">
        <w:t>Prehľad o rezervách za predchádzajúce účtovné obdobie je uvedený v nasledujúcom prehľade:</w:t>
      </w:r>
    </w:p>
    <w:p w:rsidR="004C3DC9" w:rsidRPr="008C1FA6" w:rsidRDefault="004C3DC9" w:rsidP="00204187">
      <w:pPr>
        <w:pStyle w:val="BodyText"/>
        <w:jc w:val="left"/>
      </w:pPr>
    </w:p>
    <w:bookmarkStart w:id="29" w:name="_MON_1454827063"/>
    <w:bookmarkEnd w:id="29"/>
    <w:p w:rsidR="004C3DC9" w:rsidRPr="008C1FA6" w:rsidRDefault="004C3DC9" w:rsidP="00CB5D7B">
      <w:pPr>
        <w:pStyle w:val="BodyText"/>
      </w:pPr>
      <w:r w:rsidRPr="008C1FA6">
        <w:object w:dxaOrig="8823" w:dyaOrig="8320">
          <v:shape id="_x0000_i1049" type="#_x0000_t75" style="width:436.5pt;height:462pt" o:ole="" o:preferrelative="f">
            <v:imagedata r:id="rId43" o:title=""/>
            <o:lock v:ext="edit" aspectratio="f"/>
          </v:shape>
          <o:OLEObject Type="Embed" ProgID="Excel.Sheet.12" ShapeID="_x0000_i1049" DrawAspect="Content" ObjectID="_1486977204" r:id="rId44"/>
        </w:object>
      </w:r>
    </w:p>
    <w:p w:rsidR="004C3DC9" w:rsidRPr="008C1FA6" w:rsidRDefault="004C3DC9" w:rsidP="00EA54F6">
      <w:pPr>
        <w:pStyle w:val="BodyText"/>
        <w:ind w:left="360"/>
      </w:pPr>
      <w:r w:rsidRPr="008C1FA6">
        <w:rPr>
          <w:b/>
          <w:bCs/>
        </w:rPr>
        <w:t>Ostatné rezervy</w:t>
      </w:r>
    </w:p>
    <w:p w:rsidR="004C3DC9" w:rsidRPr="008C1FA6" w:rsidRDefault="004C3DC9">
      <w:pPr>
        <w:pStyle w:val="BodyText"/>
      </w:pPr>
    </w:p>
    <w:p w:rsidR="004C3DC9" w:rsidRPr="008C1FA6" w:rsidRDefault="004C3DC9" w:rsidP="00EA54F6">
      <w:pPr>
        <w:ind w:left="360"/>
        <w:rPr>
          <w:rFonts w:eastAsia="Times New Roman"/>
          <w:sz w:val="18"/>
          <w:szCs w:val="18"/>
        </w:rPr>
      </w:pPr>
      <w:r w:rsidRPr="008C1FA6">
        <w:rPr>
          <w:rFonts w:eastAsia="Times New Roman"/>
          <w:sz w:val="18"/>
          <w:szCs w:val="18"/>
        </w:rPr>
        <w:t xml:space="preserve">Rezerva na záručné opravy a reklamácie vo výške  209 765 EUR bola vytvorená na predpokladané náklady na záručné opravy výrobkov, ktoré boli predané pred 31. decembrom 2014. Bola vypočítaná ako súčet nákladov na záručné opravy výrobkov, ktoré boli ku dňu zostavenia účtovnej závierky už reklamované, ale reklamácia zatiaľ nebola uzatvorená  (táto časť rezervy sa tvorila individuálnym spôsobom) a nákladov na záručné opravy výrobkov, ktoré ku dňu zostavenia účtovnej závierky ešte neboli reklamované (táto časť rezervy sa tvorila paušálnym spôsobom, ako percentuálny podiel z obratu za 2. polrok 2014 na základe skúseností z predchádzajúcich období). Predpokladá sa, že rezerva bude použitá v nasledujúcom účtovnom období (2015). </w:t>
      </w:r>
    </w:p>
    <w:p w:rsidR="004C3DC9" w:rsidRPr="008C1FA6" w:rsidRDefault="004C3DC9">
      <w:pPr>
        <w:pStyle w:val="BodyText"/>
        <w:rPr>
          <w:color w:val="FF0000"/>
        </w:rPr>
      </w:pPr>
    </w:p>
    <w:p w:rsidR="004C3DC9" w:rsidRPr="008C1FA6" w:rsidRDefault="004C3DC9" w:rsidP="003F0637">
      <w:pPr>
        <w:pStyle w:val="BodyText"/>
      </w:pPr>
      <w:r w:rsidRPr="008C1FA6">
        <w:t>Rezerva na súdne spory je tvorená z dôvodu prebiehajúcich súdnych sporov z dvoma dodávateľmi služieb, s ktorými má Spoločnosť už ukončený zmluvný vzťah.</w:t>
      </w:r>
    </w:p>
    <w:p w:rsidR="004C3DC9" w:rsidRPr="008C1FA6" w:rsidRDefault="004C3DC9" w:rsidP="003037DD">
      <w:pPr>
        <w:pStyle w:val="BodyText"/>
        <w:ind w:left="0"/>
      </w:pPr>
    </w:p>
    <w:p w:rsidR="004C3DC9" w:rsidRPr="008C1FA6" w:rsidRDefault="004C3DC9" w:rsidP="00E46714">
      <w:pPr>
        <w:pStyle w:val="BodyText"/>
      </w:pPr>
      <w:r w:rsidRPr="008C1FA6">
        <w:t>Rezervy na refundáciu amortizačných príspevkov zákazníkom sú rezervy na vopred zaplatené amortizačné príspevky na výrobu foriem, ktorých náklady znáša Spoločnosť. Na tieto formy zákazník prispieva formou platby amortizačného príspevku v období, keď Spoločnosť realizuje výrobu na jeho (zákazníkových) formách. K uzatvoreniu uvedených rezerv medzi Spoločnosťou a zákazníkom dochádza až pri ukončení jednotlivých projektov. Výška uvedených rezerv tvorí k </w:t>
      </w:r>
      <w:r w:rsidRPr="008C1FA6">
        <w:br/>
        <w:t>31. decembru 2014 hodnotu 4 183 237 EUR.</w:t>
      </w:r>
    </w:p>
    <w:p w:rsidR="004C3DC9" w:rsidRPr="008C1FA6" w:rsidRDefault="004C3DC9" w:rsidP="00387099">
      <w:pPr>
        <w:pStyle w:val="BodyText"/>
      </w:pPr>
    </w:p>
    <w:p w:rsidR="004C3DC9" w:rsidRPr="008C1FA6" w:rsidRDefault="004C3DC9" w:rsidP="00315FED">
      <w:pPr>
        <w:pStyle w:val="BodyText"/>
      </w:pPr>
      <w:r w:rsidRPr="008C1FA6">
        <w:t>Rezerva na odchodné do dôchodku a na životné a pracovné jubileá bola vytvorená s použitím poistnej matematiky.</w:t>
      </w:r>
    </w:p>
    <w:p w:rsidR="004C3DC9" w:rsidRPr="008C1FA6" w:rsidRDefault="004C3DC9" w:rsidP="00315FED">
      <w:pPr>
        <w:pStyle w:val="BodyText"/>
      </w:pPr>
    </w:p>
    <w:p w:rsidR="004C3DC9" w:rsidRPr="008C1FA6" w:rsidRDefault="004C3DC9" w:rsidP="00315FED">
      <w:pPr>
        <w:pStyle w:val="BodyText"/>
        <w:jc w:val="left"/>
      </w:pPr>
      <w:r w:rsidRPr="008C1FA6">
        <w:rPr>
          <w:b/>
          <w:bCs/>
        </w:rPr>
        <w:t>Nevyfakturované služby</w:t>
      </w:r>
    </w:p>
    <w:p w:rsidR="004C3DC9" w:rsidRPr="008C1FA6" w:rsidRDefault="004C3DC9" w:rsidP="001443CC">
      <w:pPr>
        <w:pStyle w:val="BodyText"/>
      </w:pPr>
    </w:p>
    <w:p w:rsidR="004C3DC9" w:rsidRPr="008C1FA6" w:rsidRDefault="004C3DC9" w:rsidP="001443CC">
      <w:pPr>
        <w:pStyle w:val="BodyText"/>
      </w:pPr>
      <w:r w:rsidRPr="008C1FA6">
        <w:t>Rezervy na nevyfakturované služby sa v priebehu rokov 2013 a 2014 nevytvárali.</w:t>
      </w:r>
    </w:p>
    <w:p w:rsidR="004C3DC9" w:rsidRPr="008C1FA6" w:rsidRDefault="004C3DC9" w:rsidP="001443CC">
      <w:pPr>
        <w:pStyle w:val="BodyText"/>
      </w:pPr>
    </w:p>
    <w:p w:rsidR="004C3DC9" w:rsidRPr="008C1FA6" w:rsidRDefault="004C3DC9" w:rsidP="00EA54F6">
      <w:pPr>
        <w:pStyle w:val="BodyText"/>
      </w:pPr>
    </w:p>
    <w:p w:rsidR="004C3DC9" w:rsidRPr="008C1FA6" w:rsidRDefault="004C3DC9" w:rsidP="006E5DCA">
      <w:pPr>
        <w:pStyle w:val="Heading2"/>
        <w:numPr>
          <w:ilvl w:val="0"/>
          <w:numId w:val="6"/>
        </w:numPr>
      </w:pPr>
      <w:bookmarkStart w:id="30" w:name="_Toc530739909"/>
      <w:r w:rsidRPr="008C1FA6">
        <w:t xml:space="preserve"> Záväzky</w:t>
      </w:r>
      <w:bookmarkEnd w:id="30"/>
    </w:p>
    <w:p w:rsidR="004C3DC9" w:rsidRPr="008C1FA6" w:rsidRDefault="004C3DC9">
      <w:pPr>
        <w:pStyle w:val="BodyText"/>
      </w:pPr>
    </w:p>
    <w:p w:rsidR="004C3DC9" w:rsidRPr="008C1FA6" w:rsidRDefault="004C3DC9" w:rsidP="00E33C1C">
      <w:pPr>
        <w:pStyle w:val="BodyText"/>
      </w:pPr>
      <w:r w:rsidRPr="008C1FA6">
        <w:t>Štruktúra záväzkov (okrem bankových úverov) podľa zostatkovej doby splatnosti je uvedená v nasledujúcom prehľade:</w:t>
      </w:r>
    </w:p>
    <w:p w:rsidR="004C3DC9" w:rsidRPr="008C1FA6" w:rsidRDefault="004C3DC9" w:rsidP="00E33C1C">
      <w:pPr>
        <w:pStyle w:val="BodyText"/>
      </w:pPr>
    </w:p>
    <w:bookmarkStart w:id="31" w:name="_MON_1455606870"/>
    <w:bookmarkEnd w:id="31"/>
    <w:p w:rsidR="004C3DC9" w:rsidRPr="008C1FA6" w:rsidRDefault="004C3DC9" w:rsidP="00FE4896">
      <w:pPr>
        <w:pStyle w:val="BodyText"/>
      </w:pPr>
      <w:r w:rsidRPr="008C1FA6">
        <w:object w:dxaOrig="8927" w:dyaOrig="3017">
          <v:shape id="_x0000_i1050" type="#_x0000_t75" style="width:437.25pt;height:164.25pt" o:ole="" o:preferrelative="f">
            <v:imagedata r:id="rId45" o:title=""/>
            <o:lock v:ext="edit" aspectratio="f"/>
          </v:shape>
          <o:OLEObject Type="Embed" ProgID="Excel.Sheet.12" ShapeID="_x0000_i1050" DrawAspect="Content" ObjectID="_1486977205" r:id="rId46"/>
        </w:object>
      </w:r>
    </w:p>
    <w:p w:rsidR="004C3DC9" w:rsidRPr="008C1FA6" w:rsidRDefault="004C3DC9" w:rsidP="006E5DCA">
      <w:pPr>
        <w:pStyle w:val="Heading2"/>
        <w:numPr>
          <w:ilvl w:val="0"/>
          <w:numId w:val="6"/>
        </w:numPr>
      </w:pPr>
      <w:bookmarkStart w:id="32" w:name="_Toc530739911"/>
      <w:r w:rsidRPr="008C1FA6">
        <w:t xml:space="preserve"> Sociálny fond</w:t>
      </w:r>
      <w:bookmarkEnd w:id="32"/>
    </w:p>
    <w:p w:rsidR="004C3DC9" w:rsidRPr="008C1FA6" w:rsidRDefault="004C3DC9">
      <w:pPr>
        <w:pStyle w:val="BodyText"/>
      </w:pPr>
    </w:p>
    <w:p w:rsidR="004C3DC9" w:rsidRPr="008C1FA6" w:rsidRDefault="004C3DC9" w:rsidP="0093093A">
      <w:pPr>
        <w:pStyle w:val="BodyText"/>
      </w:pPr>
      <w:r w:rsidRPr="008C1FA6">
        <w:t>Tvorba a čerpanie sociálneho fondu v priebehu účtovného obdobia sú znázornené v nasledujúcom prehľade:</w:t>
      </w:r>
    </w:p>
    <w:p w:rsidR="004C3DC9" w:rsidRPr="008C1FA6" w:rsidRDefault="004C3DC9" w:rsidP="0093093A">
      <w:pPr>
        <w:pStyle w:val="BodyText"/>
      </w:pPr>
    </w:p>
    <w:bookmarkStart w:id="33" w:name="_MON_1455607003"/>
    <w:bookmarkEnd w:id="33"/>
    <w:p w:rsidR="004C3DC9" w:rsidRPr="008C1FA6" w:rsidRDefault="004C3DC9" w:rsidP="00E33C1C">
      <w:pPr>
        <w:pStyle w:val="BodyText"/>
      </w:pPr>
      <w:r w:rsidRPr="008C1FA6">
        <w:object w:dxaOrig="8972" w:dyaOrig="2814">
          <v:shape id="_x0000_i1051" type="#_x0000_t75" style="width:439.5pt;height:153pt" o:ole="" o:preferrelative="f">
            <v:imagedata r:id="rId47" o:title=""/>
            <o:lock v:ext="edit" aspectratio="f"/>
          </v:shape>
          <o:OLEObject Type="Embed" ProgID="Excel.Sheet.12" ShapeID="_x0000_i1051" DrawAspect="Content" ObjectID="_1486977206" r:id="rId48"/>
        </w:object>
      </w:r>
    </w:p>
    <w:p w:rsidR="004C3DC9" w:rsidRPr="008C1FA6" w:rsidRDefault="004C3DC9" w:rsidP="00E33C1C">
      <w:pPr>
        <w:pStyle w:val="BodyText"/>
      </w:pPr>
    </w:p>
    <w:p w:rsidR="004C3DC9" w:rsidRPr="008C1FA6" w:rsidRDefault="004C3DC9" w:rsidP="00FE4896">
      <w:pPr>
        <w:pStyle w:val="BodyText"/>
      </w:pPr>
      <w:r w:rsidRPr="008C1FA6">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C3DC9" w:rsidRPr="008C1FA6" w:rsidRDefault="004C3DC9" w:rsidP="00367B2C">
      <w:pPr>
        <w:pStyle w:val="BodyText"/>
        <w:ind w:left="0"/>
      </w:pPr>
    </w:p>
    <w:p w:rsidR="004C3DC9" w:rsidRPr="008C1FA6" w:rsidRDefault="004C3DC9" w:rsidP="006E5DCA">
      <w:pPr>
        <w:pStyle w:val="Heading2"/>
        <w:numPr>
          <w:ilvl w:val="0"/>
          <w:numId w:val="6"/>
        </w:numPr>
      </w:pPr>
      <w:bookmarkStart w:id="34" w:name="_Toc530739912"/>
      <w:r w:rsidRPr="008C1FA6">
        <w:t xml:space="preserve"> Bankové úvery</w:t>
      </w:r>
      <w:bookmarkEnd w:id="34"/>
    </w:p>
    <w:p w:rsidR="004C3DC9" w:rsidRPr="008C1FA6" w:rsidRDefault="004C3DC9">
      <w:pPr>
        <w:pStyle w:val="BodyText"/>
      </w:pPr>
    </w:p>
    <w:p w:rsidR="004C3DC9" w:rsidRPr="008C1FA6" w:rsidRDefault="004C3DC9" w:rsidP="00E33C1C">
      <w:pPr>
        <w:pStyle w:val="BodyText"/>
      </w:pPr>
      <w:r w:rsidRPr="008C1FA6">
        <w:t>Štruktúra bankových úverov je uvedená v nasledujúcom prehľade:</w:t>
      </w:r>
    </w:p>
    <w:p w:rsidR="004C3DC9" w:rsidRPr="008C1FA6" w:rsidRDefault="004C3DC9" w:rsidP="00CA4C21">
      <w:pPr>
        <w:pStyle w:val="BodyText"/>
        <w:ind w:left="0"/>
      </w:pPr>
    </w:p>
    <w:p w:rsidR="004C3DC9" w:rsidRPr="008C1FA6" w:rsidRDefault="004C3DC9" w:rsidP="00E33C1C">
      <w:pPr>
        <w:pStyle w:val="BodyText"/>
      </w:pPr>
    </w:p>
    <w:bookmarkStart w:id="35" w:name="_MON_1405949005"/>
    <w:bookmarkEnd w:id="35"/>
    <w:p w:rsidR="004C3DC9" w:rsidRPr="008C1FA6" w:rsidRDefault="004C3DC9" w:rsidP="00726A28">
      <w:pPr>
        <w:pStyle w:val="BodyText"/>
      </w:pPr>
      <w:r w:rsidRPr="008C1FA6">
        <w:object w:dxaOrig="9105" w:dyaOrig="3986">
          <v:shape id="_x0000_i1052" type="#_x0000_t75" style="width:446.25pt;height:217.5pt" o:ole="" o:preferrelative="f">
            <v:imagedata r:id="rId49" o:title=""/>
            <o:lock v:ext="edit" aspectratio="f"/>
          </v:shape>
          <o:OLEObject Type="Embed" ProgID="Excel.Sheet.12" ShapeID="_x0000_i1052" DrawAspect="Content" ObjectID="_1486977207" r:id="rId50"/>
        </w:object>
      </w:r>
    </w:p>
    <w:p w:rsidR="004C3DC9" w:rsidRPr="008C1FA6" w:rsidRDefault="004C3DC9" w:rsidP="00726A28">
      <w:pPr>
        <w:pStyle w:val="BodyText"/>
        <w:rPr>
          <w:color w:val="FF0000"/>
        </w:rPr>
      </w:pPr>
      <w:r w:rsidRPr="008C1FA6">
        <w:t>Krátkodobý - kontokorentný bankový úver od VÚB, a.s. bol poskytnutý na financovanie bežných prevádzkových potrieb spoločnosti. Úverový rámec je stanovený tak, že jeho výška bude zodpovedať 90 % celkovej čiastky akceptovateľných pohľadávok, najviac však v čiastke 2 000 000 EUR. Z dôvodu dostatku finančných prostriedkov k  31. decembru 2014  sa neuskutočnilo  z tohto úveru žiadne čerpanie.</w:t>
      </w:r>
    </w:p>
    <w:p w:rsidR="004C3DC9" w:rsidRPr="008C1FA6" w:rsidRDefault="004C3DC9" w:rsidP="00726A28">
      <w:pPr>
        <w:pStyle w:val="BodyText"/>
      </w:pPr>
    </w:p>
    <w:p w:rsidR="004C3DC9" w:rsidRPr="008C1FA6" w:rsidRDefault="004C3DC9" w:rsidP="00B40FC1">
      <w:pPr>
        <w:pStyle w:val="BodyText"/>
      </w:pPr>
    </w:p>
    <w:p w:rsidR="004C3DC9" w:rsidRPr="008C1FA6" w:rsidRDefault="004C3DC9" w:rsidP="00E9379A">
      <w:pPr>
        <w:pStyle w:val="BodyText"/>
        <w:ind w:left="0"/>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C70C66">
      <w:pPr>
        <w:pStyle w:val="BodyText"/>
      </w:pPr>
    </w:p>
    <w:p w:rsidR="004C3DC9" w:rsidRPr="008C1FA6" w:rsidRDefault="004C3DC9" w:rsidP="006E5DCA">
      <w:pPr>
        <w:pStyle w:val="Heading2"/>
        <w:numPr>
          <w:ilvl w:val="0"/>
          <w:numId w:val="6"/>
        </w:numPr>
      </w:pPr>
      <w:bookmarkStart w:id="36" w:name="_Toc530739913"/>
      <w:r w:rsidRPr="008C1FA6">
        <w:t xml:space="preserve"> Časové rozlíšenie</w:t>
      </w:r>
      <w:bookmarkEnd w:id="36"/>
    </w:p>
    <w:p w:rsidR="004C3DC9" w:rsidRPr="008C1FA6" w:rsidRDefault="004C3DC9">
      <w:pPr>
        <w:pStyle w:val="BodyText"/>
      </w:pPr>
    </w:p>
    <w:p w:rsidR="004C3DC9" w:rsidRPr="008C1FA6" w:rsidRDefault="004C3DC9" w:rsidP="00E33C1C">
      <w:pPr>
        <w:pStyle w:val="BodyText"/>
      </w:pPr>
      <w:r w:rsidRPr="008C1FA6">
        <w:t>Štruktúra časového rozlíšenia je uvedená v nasledujúcom prehľade:</w:t>
      </w:r>
    </w:p>
    <w:p w:rsidR="004C3DC9" w:rsidRPr="008C1FA6" w:rsidRDefault="004C3DC9" w:rsidP="00E33C1C">
      <w:pPr>
        <w:pStyle w:val="BodyText"/>
      </w:pPr>
    </w:p>
    <w:bookmarkStart w:id="37" w:name="_MON_1455607181"/>
    <w:bookmarkEnd w:id="37"/>
    <w:p w:rsidR="004C3DC9" w:rsidRPr="008C1FA6" w:rsidRDefault="004C3DC9" w:rsidP="00E33C1C">
      <w:pPr>
        <w:pStyle w:val="BodyText"/>
      </w:pPr>
      <w:r w:rsidRPr="008C1FA6">
        <w:object w:dxaOrig="8810" w:dyaOrig="3729">
          <v:shape id="_x0000_i1053" type="#_x0000_t75" style="width:435.75pt;height:207pt" o:ole="" o:preferrelative="f">
            <v:imagedata r:id="rId51" o:title=""/>
            <o:lock v:ext="edit" aspectratio="f"/>
          </v:shape>
          <o:OLEObject Type="Embed" ProgID="Excel.Sheet.12" ShapeID="_x0000_i1053" DrawAspect="Content" ObjectID="_1486977208" r:id="rId52"/>
        </w:object>
      </w:r>
    </w:p>
    <w:p w:rsidR="004C3DC9" w:rsidRPr="008C1FA6" w:rsidRDefault="004C3DC9" w:rsidP="00CD1C80">
      <w:pPr>
        <w:pStyle w:val="BodyText"/>
      </w:pPr>
      <w:r w:rsidRPr="008C1FA6">
        <w:t xml:space="preserve">Na účte Výnosov budúcich období Spoločnosť vykazuje hodnotu nenávratného finančného príspevku z prostriedkov EU a štátneho rozpočtu a z prostriedkov Európskeho fondu regionálneho rozvoja. </w:t>
      </w:r>
    </w:p>
    <w:p w:rsidR="004C3DC9" w:rsidRPr="008C1FA6" w:rsidRDefault="004C3DC9" w:rsidP="00CD1C80">
      <w:pPr>
        <w:pStyle w:val="BodyText"/>
      </w:pPr>
    </w:p>
    <w:p w:rsidR="004C3DC9" w:rsidRPr="008C1FA6" w:rsidRDefault="004C3DC9">
      <w:pPr>
        <w:pStyle w:val="Heading1"/>
      </w:pPr>
      <w:r w:rsidRPr="008C1FA6">
        <w:t>Informácie o výnosoch</w:t>
      </w:r>
    </w:p>
    <w:p w:rsidR="004C3DC9" w:rsidRPr="008C1FA6" w:rsidRDefault="004C3DC9" w:rsidP="00C70C66"/>
    <w:p w:rsidR="004C3DC9" w:rsidRPr="008C1FA6" w:rsidRDefault="004C3DC9">
      <w:pPr>
        <w:pStyle w:val="Heading2"/>
      </w:pPr>
      <w:bookmarkStart w:id="38" w:name="_Toc530739914"/>
    </w:p>
    <w:p w:rsidR="004C3DC9" w:rsidRPr="008C1FA6" w:rsidRDefault="004C3DC9" w:rsidP="006E5DCA">
      <w:pPr>
        <w:pStyle w:val="Pismenka"/>
        <w:numPr>
          <w:ilvl w:val="0"/>
          <w:numId w:val="13"/>
        </w:numPr>
        <w:ind w:left="284" w:hanging="284"/>
        <w:rPr>
          <w:rFonts w:eastAsia="Times New Roman"/>
        </w:rPr>
      </w:pPr>
      <w:r w:rsidRPr="008C1FA6">
        <w:rPr>
          <w:rFonts w:eastAsia="Times New Roman"/>
        </w:rPr>
        <w:t xml:space="preserve"> Tržby za vlastné výkony a tovar</w:t>
      </w:r>
      <w:bookmarkEnd w:id="38"/>
    </w:p>
    <w:p w:rsidR="004C3DC9" w:rsidRPr="008C1FA6" w:rsidRDefault="004C3DC9" w:rsidP="00BA4B2E">
      <w:pPr>
        <w:pStyle w:val="Pismenka"/>
        <w:tabs>
          <w:tab w:val="clear" w:pos="426"/>
        </w:tabs>
        <w:ind w:left="360" w:hanging="360"/>
        <w:rPr>
          <w:rFonts w:eastAsia="Times New Roman"/>
        </w:rPr>
      </w:pPr>
    </w:p>
    <w:p w:rsidR="004C3DC9" w:rsidRPr="008C1FA6" w:rsidRDefault="004C3DC9" w:rsidP="00BA4B2E">
      <w:pPr>
        <w:pStyle w:val="Pismenka"/>
        <w:tabs>
          <w:tab w:val="clear" w:pos="426"/>
        </w:tabs>
        <w:ind w:left="360" w:firstLine="0"/>
        <w:rPr>
          <w:rFonts w:eastAsia="Times New Roman"/>
          <w:b w:val="0"/>
          <w:bCs w:val="0"/>
        </w:rPr>
      </w:pPr>
      <w:r w:rsidRPr="008C1FA6">
        <w:rPr>
          <w:rFonts w:eastAsia="Times New Roman"/>
          <w:b w:val="0"/>
          <w:bCs w:val="0"/>
        </w:rPr>
        <w:t>Tržby za vlastné výkony a tovar podľa jednotlivých segmentov, t. j. podľa typov výrobkov a služieb, a podľa hlavných teritórií sú uvedené v nasledujúcom prehľade:</w:t>
      </w:r>
    </w:p>
    <w:p w:rsidR="004C3DC9" w:rsidRPr="008C1FA6" w:rsidRDefault="004C3DC9" w:rsidP="00EF7E9D">
      <w:pPr>
        <w:pStyle w:val="BodyText"/>
      </w:pPr>
    </w:p>
    <w:p w:rsidR="004C3DC9" w:rsidRPr="008C1FA6" w:rsidRDefault="004C3DC9" w:rsidP="00EF7E9D">
      <w:pPr>
        <w:pStyle w:val="BodyText"/>
      </w:pPr>
    </w:p>
    <w:bookmarkStart w:id="39" w:name="_MON_1454827608"/>
    <w:bookmarkEnd w:id="39"/>
    <w:p w:rsidR="004C3DC9" w:rsidRPr="008C1FA6" w:rsidRDefault="004C3DC9" w:rsidP="00F45D20">
      <w:pPr>
        <w:pStyle w:val="BodyText"/>
      </w:pPr>
      <w:r w:rsidRPr="008C1FA6">
        <w:object w:dxaOrig="9974" w:dyaOrig="3355">
          <v:shape id="_x0000_i1054" type="#_x0000_t75" style="width:468.75pt;height:177.75pt" o:ole="" o:preferrelative="f">
            <v:imagedata r:id="rId53" o:title=""/>
            <o:lock v:ext="edit" aspectratio="f"/>
          </v:shape>
          <o:OLEObject Type="Embed" ProgID="Excel.Sheet.12" ShapeID="_x0000_i1054" DrawAspect="Content" ObjectID="_1486977209" r:id="rId54"/>
        </w:object>
      </w:r>
    </w:p>
    <w:p w:rsidR="004C3DC9" w:rsidRPr="008C1FA6" w:rsidRDefault="004C3DC9" w:rsidP="00F45D20">
      <w:pPr>
        <w:pStyle w:val="BodyText"/>
      </w:pPr>
    </w:p>
    <w:p w:rsidR="004C3DC9" w:rsidRPr="008C1FA6" w:rsidRDefault="004C3DC9" w:rsidP="00F45D20">
      <w:pPr>
        <w:pStyle w:val="BodyText"/>
      </w:pPr>
    </w:p>
    <w:p w:rsidR="004C3DC9" w:rsidRPr="008C1FA6" w:rsidRDefault="004C3DC9" w:rsidP="00F45D20">
      <w:pPr>
        <w:pStyle w:val="BodyText"/>
      </w:pPr>
    </w:p>
    <w:p w:rsidR="004C3DC9" w:rsidRPr="008C1FA6" w:rsidRDefault="004C3DC9" w:rsidP="00F45D20">
      <w:pPr>
        <w:pStyle w:val="BodyText"/>
      </w:pPr>
    </w:p>
    <w:p w:rsidR="004C3DC9" w:rsidRPr="008C1FA6" w:rsidRDefault="004C3DC9" w:rsidP="00F45D20">
      <w:pPr>
        <w:pStyle w:val="BodyText"/>
      </w:pPr>
    </w:p>
    <w:p w:rsidR="004C3DC9" w:rsidRPr="008C1FA6" w:rsidRDefault="004C3DC9" w:rsidP="006E5DCA">
      <w:pPr>
        <w:pStyle w:val="Pismenka"/>
        <w:numPr>
          <w:ilvl w:val="0"/>
          <w:numId w:val="13"/>
        </w:numPr>
        <w:ind w:left="284" w:hanging="284"/>
      </w:pPr>
      <w:bookmarkStart w:id="40" w:name="_Toc530739915"/>
      <w:r w:rsidRPr="008C1FA6">
        <w:t xml:space="preserve"> Zmena stavu zásob vlastnej výroby</w:t>
      </w:r>
    </w:p>
    <w:p w:rsidR="004C3DC9" w:rsidRPr="008C1FA6" w:rsidRDefault="004C3DC9" w:rsidP="00EF7E9D">
      <w:pPr>
        <w:pStyle w:val="BodyText"/>
      </w:pPr>
    </w:p>
    <w:p w:rsidR="004C3DC9" w:rsidRPr="008C1FA6" w:rsidRDefault="004C3DC9" w:rsidP="00BA4B2E">
      <w:pPr>
        <w:pStyle w:val="Pismenka"/>
        <w:tabs>
          <w:tab w:val="clear" w:pos="426"/>
        </w:tabs>
        <w:ind w:left="360" w:firstLine="0"/>
        <w:rPr>
          <w:rFonts w:eastAsia="Times New Roman"/>
          <w:b w:val="0"/>
          <w:bCs w:val="0"/>
        </w:rPr>
      </w:pPr>
      <w:r w:rsidRPr="008C1FA6">
        <w:rPr>
          <w:rFonts w:eastAsia="Times New Roman"/>
          <w:b w:val="0"/>
          <w:bCs w:val="0"/>
        </w:rPr>
        <w:t xml:space="preserve">Zmena stavu zásob vlastnej výroby vykázaná vo výkaze ziskov a strát je zvýšenie 18 603 EUR (v roku 2013 zvýšenie  </w:t>
      </w:r>
      <w:r w:rsidRPr="008C1FA6">
        <w:rPr>
          <w:rFonts w:eastAsia="Times New Roman"/>
          <w:b w:val="0"/>
          <w:bCs w:val="0"/>
        </w:rPr>
        <w:br/>
        <w:t>109 064 EUR). Vychádzajúc zo súvahových položiek predstavuje zvýšenie tú istú hodnotu, ako je to znázornené v nasledujúcom prehľade:</w:t>
      </w:r>
    </w:p>
    <w:p w:rsidR="004C3DC9" w:rsidRPr="008C1FA6" w:rsidRDefault="004C3DC9" w:rsidP="00EF7E9D">
      <w:pPr>
        <w:pStyle w:val="BodyText"/>
      </w:pPr>
    </w:p>
    <w:bookmarkStart w:id="41" w:name="_MON_1455607300"/>
    <w:bookmarkEnd w:id="41"/>
    <w:p w:rsidR="004C3DC9" w:rsidRPr="008C1FA6" w:rsidRDefault="004C3DC9" w:rsidP="00A01523">
      <w:pPr>
        <w:pStyle w:val="BodyText"/>
      </w:pPr>
      <w:r w:rsidRPr="008C1FA6">
        <w:object w:dxaOrig="8874" w:dyaOrig="3989">
          <v:shape id="_x0000_i1055" type="#_x0000_t75" style="width:439.5pt;height:221.25pt" o:ole="" o:preferrelative="f">
            <v:imagedata r:id="rId55" o:title=""/>
            <o:lock v:ext="edit" aspectratio="f"/>
          </v:shape>
          <o:OLEObject Type="Embed" ProgID="Excel.Sheet.12" ShapeID="_x0000_i1055" DrawAspect="Content" ObjectID="_1486977210" r:id="rId56"/>
        </w:object>
      </w:r>
      <w:bookmarkStart w:id="42" w:name="_Toc530739916"/>
    </w:p>
    <w:p w:rsidR="004C3DC9" w:rsidRPr="008C1FA6" w:rsidRDefault="004C3DC9" w:rsidP="006E5DCA">
      <w:pPr>
        <w:pStyle w:val="Pismenka"/>
        <w:numPr>
          <w:ilvl w:val="0"/>
          <w:numId w:val="13"/>
        </w:numPr>
        <w:ind w:left="284" w:hanging="284"/>
      </w:pPr>
      <w:r w:rsidRPr="008C1FA6">
        <w:t xml:space="preserve"> Aktivácia</w:t>
      </w:r>
      <w:bookmarkEnd w:id="42"/>
      <w:r w:rsidRPr="008C1FA6">
        <w:t xml:space="preserve"> nákladov, výnosy z hospodárskej činnosti, finančnej činnosti a mimoriadnej činnosti</w:t>
      </w:r>
    </w:p>
    <w:p w:rsidR="004C3DC9" w:rsidRPr="008C1FA6" w:rsidRDefault="004C3DC9" w:rsidP="00BA4B2E">
      <w:pPr>
        <w:pStyle w:val="Pismenka"/>
        <w:tabs>
          <w:tab w:val="clear" w:pos="426"/>
        </w:tabs>
        <w:ind w:left="360" w:hanging="360"/>
        <w:rPr>
          <w:rFonts w:eastAsia="Times New Roman"/>
        </w:rPr>
      </w:pPr>
    </w:p>
    <w:p w:rsidR="004C3DC9" w:rsidRPr="008C1FA6" w:rsidRDefault="004C3DC9" w:rsidP="00BA4B2E">
      <w:pPr>
        <w:pStyle w:val="Pismenka"/>
        <w:tabs>
          <w:tab w:val="clear" w:pos="426"/>
        </w:tabs>
        <w:ind w:left="360" w:firstLine="0"/>
        <w:rPr>
          <w:rFonts w:eastAsia="Times New Roman"/>
          <w:b w:val="0"/>
          <w:bCs w:val="0"/>
        </w:rPr>
      </w:pPr>
      <w:r w:rsidRPr="008C1FA6">
        <w:rPr>
          <w:rFonts w:eastAsia="Times New Roman"/>
          <w:b w:val="0"/>
          <w:bCs w:val="0"/>
        </w:rPr>
        <w:t xml:space="preserve">Prehľad o výnosoch pri aktivácii nákladov, výnosoch z hospodárskej činnosti, finančnej činnosti a mimoriadnej činnosti je uvedený v nasledujúcom prehľade: </w:t>
      </w:r>
    </w:p>
    <w:p w:rsidR="004C3DC9" w:rsidRPr="008C1FA6" w:rsidRDefault="004C3DC9" w:rsidP="00EF7E9D">
      <w:pPr>
        <w:pStyle w:val="BodyText"/>
      </w:pPr>
    </w:p>
    <w:bookmarkStart w:id="43" w:name="_MON_1455607347"/>
    <w:bookmarkEnd w:id="43"/>
    <w:p w:rsidR="004C3DC9" w:rsidRPr="008C1FA6" w:rsidRDefault="004C3DC9" w:rsidP="00A57457">
      <w:pPr>
        <w:pStyle w:val="BodyText"/>
      </w:pPr>
      <w:r w:rsidRPr="008C1FA6">
        <w:object w:dxaOrig="9021" w:dyaOrig="4953">
          <v:shape id="_x0000_i1056" type="#_x0000_t75" style="width:437.25pt;height:270pt" o:ole="" o:preferrelative="f">
            <v:imagedata r:id="rId57" o:title=""/>
            <o:lock v:ext="edit" aspectratio="f"/>
          </v:shape>
          <o:OLEObject Type="Embed" ProgID="Excel.Sheet.12" ShapeID="_x0000_i1056" DrawAspect="Content" ObjectID="_1486977211" r:id="rId58"/>
        </w:object>
      </w:r>
    </w:p>
    <w:p w:rsidR="004C3DC9" w:rsidRPr="008C1FA6" w:rsidRDefault="004C3DC9" w:rsidP="00EF7E9D">
      <w:pPr>
        <w:pStyle w:val="BodyText"/>
      </w:pPr>
    </w:p>
    <w:p w:rsidR="004C3DC9" w:rsidRPr="008C1FA6" w:rsidRDefault="004C3DC9" w:rsidP="006E5DCA">
      <w:pPr>
        <w:pStyle w:val="Pismenka"/>
        <w:numPr>
          <w:ilvl w:val="0"/>
          <w:numId w:val="13"/>
        </w:numPr>
        <w:ind w:left="284" w:hanging="284"/>
      </w:pPr>
      <w:r w:rsidRPr="008C1FA6">
        <w:t xml:space="preserve">Čistý obrat </w:t>
      </w:r>
    </w:p>
    <w:p w:rsidR="004C3DC9" w:rsidRPr="008C1FA6" w:rsidRDefault="004C3DC9" w:rsidP="00BA4B2E">
      <w:pPr>
        <w:pStyle w:val="Pismenka"/>
        <w:tabs>
          <w:tab w:val="clear" w:pos="426"/>
        </w:tabs>
        <w:ind w:left="284" w:firstLine="0"/>
      </w:pPr>
    </w:p>
    <w:p w:rsidR="004C3DC9" w:rsidRPr="008C1FA6" w:rsidRDefault="004C3DC9" w:rsidP="00BA4B2E">
      <w:pPr>
        <w:pStyle w:val="Pismenka"/>
        <w:tabs>
          <w:tab w:val="clear" w:pos="426"/>
        </w:tabs>
        <w:ind w:left="284" w:firstLine="0"/>
        <w:rPr>
          <w:b w:val="0"/>
          <w:bCs w:val="0"/>
        </w:rPr>
      </w:pPr>
      <w:r w:rsidRPr="008C1FA6">
        <w:rPr>
          <w:b w:val="0"/>
          <w:bCs w:val="0"/>
        </w:rPr>
        <w:t>Čistý obrat Spoločnosti na účely zistenia povinnosti overenia individuálnej účtovnej závierky audítorom [§ 19 ods. 1</w:t>
      </w:r>
    </w:p>
    <w:p w:rsidR="004C3DC9" w:rsidRPr="008C1FA6" w:rsidRDefault="004C3DC9" w:rsidP="00BA4B2E">
      <w:pPr>
        <w:pStyle w:val="Pismenka"/>
        <w:tabs>
          <w:tab w:val="clear" w:pos="426"/>
        </w:tabs>
        <w:ind w:left="284" w:firstLine="0"/>
        <w:rPr>
          <w:b w:val="0"/>
          <w:bCs w:val="0"/>
        </w:rPr>
      </w:pPr>
      <w:r w:rsidRPr="008C1FA6">
        <w:rPr>
          <w:b w:val="0"/>
          <w:bCs w:val="0"/>
        </w:rPr>
        <w:t>písm. a) zákona o účtovníctve] je uvedený v nasledujúcom prehľade:</w:t>
      </w:r>
    </w:p>
    <w:p w:rsidR="004C3DC9" w:rsidRPr="008C1FA6" w:rsidRDefault="004C3DC9" w:rsidP="00EF7E9D">
      <w:pPr>
        <w:pStyle w:val="BodyText"/>
      </w:pPr>
    </w:p>
    <w:p w:rsidR="004C3DC9" w:rsidRPr="008C1FA6" w:rsidRDefault="004C3DC9" w:rsidP="00EF7E9D">
      <w:pPr>
        <w:pStyle w:val="BodyText"/>
      </w:pPr>
    </w:p>
    <w:bookmarkStart w:id="44" w:name="_MON_1410264058"/>
    <w:bookmarkEnd w:id="44"/>
    <w:p w:rsidR="004C3DC9" w:rsidRPr="008C1FA6" w:rsidRDefault="004C3DC9" w:rsidP="00FE4896">
      <w:pPr>
        <w:pStyle w:val="BodyText"/>
        <w:ind w:left="284"/>
      </w:pPr>
      <w:r w:rsidRPr="008C1FA6">
        <w:object w:dxaOrig="8569" w:dyaOrig="2366">
          <v:shape id="_x0000_i1057" type="#_x0000_t75" style="width:450pt;height:132.75pt" o:ole="" o:preferrelative="f">
            <v:imagedata r:id="rId59" o:title=""/>
            <o:lock v:ext="edit" aspectratio="f"/>
          </v:shape>
          <o:OLEObject Type="Embed" ProgID="Excel.Sheet.12" ShapeID="_x0000_i1057" DrawAspect="Content" ObjectID="_1486977212" r:id="rId60"/>
        </w:object>
      </w:r>
      <w:bookmarkStart w:id="45" w:name="_MON_1455507074"/>
      <w:bookmarkEnd w:id="40"/>
      <w:bookmarkEnd w:id="45"/>
    </w:p>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67D84"/>
    <w:p w:rsidR="004C3DC9" w:rsidRPr="008C1FA6" w:rsidRDefault="004C3DC9" w:rsidP="000A742E">
      <w:pPr>
        <w:pStyle w:val="Heading1"/>
      </w:pPr>
      <w:r w:rsidRPr="008C1FA6">
        <w:t>Informácie o nákladoch</w:t>
      </w:r>
      <w:r w:rsidRPr="008C1FA6">
        <w:br/>
      </w:r>
    </w:p>
    <w:p w:rsidR="004C3DC9" w:rsidRPr="008C1FA6" w:rsidRDefault="004C3DC9" w:rsidP="006E5DCA">
      <w:pPr>
        <w:pStyle w:val="Heading2"/>
        <w:numPr>
          <w:ilvl w:val="0"/>
          <w:numId w:val="3"/>
        </w:numPr>
      </w:pPr>
      <w:r w:rsidRPr="008C1FA6">
        <w:t xml:space="preserve">Náklady na poskytnuté služby, ostatné náklady na hospodársku činnosť, finančné a mimoriadne náklady </w:t>
      </w:r>
    </w:p>
    <w:p w:rsidR="004C3DC9" w:rsidRPr="008C1FA6" w:rsidRDefault="004C3DC9" w:rsidP="0035215D">
      <w:pPr>
        <w:pStyle w:val="Pismenka"/>
        <w:tabs>
          <w:tab w:val="clear" w:pos="426"/>
        </w:tabs>
        <w:ind w:left="284" w:firstLine="0"/>
      </w:pPr>
    </w:p>
    <w:p w:rsidR="004C3DC9" w:rsidRPr="008C1FA6" w:rsidRDefault="004C3DC9" w:rsidP="0035215D">
      <w:pPr>
        <w:pStyle w:val="Pismenka"/>
        <w:tabs>
          <w:tab w:val="clear" w:pos="426"/>
        </w:tabs>
        <w:ind w:left="360" w:firstLine="0"/>
        <w:rPr>
          <w:b w:val="0"/>
          <w:bCs w:val="0"/>
        </w:rPr>
      </w:pPr>
      <w:r w:rsidRPr="008C1FA6">
        <w:rPr>
          <w:b w:val="0"/>
          <w:bCs w:val="0"/>
        </w:rPr>
        <w:t xml:space="preserve">Prehľad o nákladoch na poskytnuté služby, ostatných nákladoch na hospodársku činnosť, finančných a mimoriadnych nákladoch:  </w:t>
      </w:r>
    </w:p>
    <w:p w:rsidR="004C3DC9" w:rsidRPr="008C1FA6" w:rsidRDefault="004C3DC9" w:rsidP="00DD2324"/>
    <w:p w:rsidR="004C3DC9" w:rsidRPr="008C1FA6" w:rsidRDefault="004C3DC9" w:rsidP="00CA23F9">
      <w:pPr>
        <w:ind w:left="360"/>
      </w:pPr>
      <w:r>
        <w:rPr>
          <w:noProof/>
          <w:lang w:eastAsia="sk-SK"/>
        </w:rPr>
        <w:pict>
          <v:shape id="_x0000_s1026" type="#_x0000_t75" style="position:absolute;left:0;text-align:left;margin-left:21pt;margin-top:3.6pt;width:413.6pt;height:482.55pt;z-index:251657728" o:preferrelative="f">
            <v:imagedata r:id="rId61" o:title=""/>
            <o:lock v:ext="edit" aspectratio="f"/>
            <w10:wrap type="square" side="right"/>
          </v:shape>
          <o:OLEObject Type="Embed" ProgID="Excel.Sheet.12" ShapeID="_x0000_s1026" DrawAspect="Content" ObjectID="_1486977221" r:id="rId62"/>
        </w:pict>
      </w:r>
    </w:p>
    <w:p w:rsidR="004C3DC9" w:rsidRPr="008C1FA6" w:rsidRDefault="004C3DC9" w:rsidP="003A7292">
      <w:pPr>
        <w:pStyle w:val="BodyText"/>
      </w:pPr>
    </w:p>
    <w:p w:rsidR="004C3DC9" w:rsidRPr="008C1FA6" w:rsidRDefault="004C3DC9" w:rsidP="000E0753">
      <w:pPr>
        <w:pStyle w:val="BodyText"/>
      </w:pPr>
      <w:r w:rsidRPr="008C1FA6">
        <w:br/>
      </w:r>
    </w:p>
    <w:p w:rsidR="004C3DC9" w:rsidRPr="008C1FA6" w:rsidRDefault="004C3DC9" w:rsidP="002366F7">
      <w:pPr>
        <w:pStyle w:val="BodyText"/>
        <w:ind w:left="0"/>
      </w:pPr>
    </w:p>
    <w:p w:rsidR="004C3DC9" w:rsidRPr="008C1FA6" w:rsidRDefault="004C3DC9">
      <w:pPr>
        <w:pStyle w:val="Heading1"/>
      </w:pPr>
      <w:r w:rsidRPr="008C1FA6">
        <w:t>Informácie o daniach z príjmov</w:t>
      </w:r>
    </w:p>
    <w:p w:rsidR="004C3DC9" w:rsidRPr="008C1FA6" w:rsidRDefault="004C3DC9" w:rsidP="0035215D">
      <w:pPr>
        <w:pStyle w:val="Pismenka"/>
        <w:tabs>
          <w:tab w:val="clear" w:pos="426"/>
        </w:tabs>
        <w:ind w:left="284" w:firstLine="0"/>
      </w:pPr>
    </w:p>
    <w:p w:rsidR="004C3DC9" w:rsidRPr="008C1FA6" w:rsidRDefault="004C3DC9" w:rsidP="0035215D">
      <w:pPr>
        <w:pStyle w:val="Pismenka"/>
        <w:tabs>
          <w:tab w:val="clear" w:pos="426"/>
        </w:tabs>
        <w:ind w:left="284" w:firstLine="76"/>
        <w:rPr>
          <w:b w:val="0"/>
          <w:bCs w:val="0"/>
        </w:rPr>
      </w:pPr>
      <w:r w:rsidRPr="008C1FA6">
        <w:rPr>
          <w:b w:val="0"/>
          <w:bCs w:val="0"/>
        </w:rPr>
        <w:t>Prevod od teoretickej dane z príjmov k vykázanej dani z príjmov je uvedený v nasledujúcom prehľade:</w:t>
      </w:r>
    </w:p>
    <w:p w:rsidR="004C3DC9" w:rsidRPr="008C1FA6" w:rsidRDefault="004C3DC9" w:rsidP="00AA3F6C">
      <w:pPr>
        <w:pStyle w:val="BodyText"/>
      </w:pPr>
    </w:p>
    <w:bookmarkStart w:id="46" w:name="_MON_1455607537"/>
    <w:bookmarkEnd w:id="46"/>
    <w:p w:rsidR="004C3DC9" w:rsidRPr="008C1FA6" w:rsidRDefault="004C3DC9" w:rsidP="00AD79B6">
      <w:pPr>
        <w:pStyle w:val="BodyText"/>
      </w:pPr>
      <w:r w:rsidRPr="008C1FA6">
        <w:object w:dxaOrig="9143" w:dyaOrig="4915">
          <v:shape id="_x0000_i1060" type="#_x0000_t75" style="width:438.75pt;height:263.25pt" o:ole="" o:preferrelative="f">
            <v:imagedata r:id="rId63" o:title=""/>
            <o:lock v:ext="edit" aspectratio="f"/>
          </v:shape>
          <o:OLEObject Type="Embed" ProgID="Excel.Sheet.12" ShapeID="_x0000_i1060" DrawAspect="Content" ObjectID="_1486977213" r:id="rId64"/>
        </w:object>
      </w: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p>
    <w:p w:rsidR="004C3DC9" w:rsidRPr="008C1FA6" w:rsidRDefault="004C3DC9" w:rsidP="00AD79B6">
      <w:pPr>
        <w:pStyle w:val="BodyText"/>
      </w:pPr>
      <w:r w:rsidRPr="008C1FA6">
        <w:t>Ďalšie informácie k odloženým daniam:</w:t>
      </w:r>
    </w:p>
    <w:p w:rsidR="004C3DC9" w:rsidRPr="008C1FA6" w:rsidRDefault="004C3DC9" w:rsidP="00AA3F6C">
      <w:pPr>
        <w:pStyle w:val="BodyText"/>
      </w:pPr>
      <w:r w:rsidRPr="008C1FA6">
        <w:object w:dxaOrig="9066" w:dyaOrig="5679">
          <v:shape id="_x0000_i1061" type="#_x0000_t75" style="width:435pt;height:303.75pt" o:ole="" o:preferrelative="f">
            <v:imagedata r:id="rId65" o:title=""/>
            <o:lock v:ext="edit" aspectratio="f"/>
          </v:shape>
          <o:OLEObject Type="Embed" ProgID="Excel.Sheet.12" ShapeID="_x0000_i1061" DrawAspect="Content" ObjectID="_1486977214" r:id="rId66"/>
        </w:object>
      </w:r>
    </w:p>
    <w:p w:rsidR="004C3DC9" w:rsidRPr="008C1FA6" w:rsidRDefault="004C3DC9" w:rsidP="00AA3F6C">
      <w:pPr>
        <w:pStyle w:val="BodyText"/>
      </w:pPr>
    </w:p>
    <w:p w:rsidR="004C3DC9" w:rsidRPr="008C1FA6" w:rsidRDefault="004C3DC9" w:rsidP="00334126">
      <w:pPr>
        <w:pStyle w:val="BodyText"/>
      </w:pPr>
      <w:r w:rsidRPr="008C1FA6">
        <w:t xml:space="preserve">Splatná – zrážková daň  z príjmov z kreditných úverov predstavuje hodnotu 3 239 EUR. Splatná daň zo zdaniteľného základu dane z príjmov má hodnotu 471 973 EUR. Z tejto hodnoty si Spoločnosť nárokuje úľavu na dani v zmysle Zákona o dani z príjmu č. 595/2003 Z.z.,  § 30a Úľava na dani pre príjemcov investičnej pomoci. Podľa uvedeného paragrafu bod (2)  Daňovník si môže uplatniť nárok na úľavu na dani do výšky dane pripadajúcej na pomernú časť základu dane. Pomerná časť základu dane sa vypočíta tak, že základ dane sa vynásobí b) koeficientom vo výške 0,8. Pre Spoločnosť za rok 2014 takto vypočítaná výška predstavuje úľavu na splatnej dani z príjmov v hodnote 377 578 EUR. Vykázaná  splatná daň z príjmov vo výkaze ziskov a strát je v hodnote 94 395 EUR.  </w:t>
      </w:r>
    </w:p>
    <w:p w:rsidR="004C3DC9" w:rsidRPr="008C1FA6" w:rsidRDefault="004C3DC9" w:rsidP="00194A64">
      <w:pPr>
        <w:pStyle w:val="BodyText"/>
        <w:ind w:left="0"/>
      </w:pPr>
    </w:p>
    <w:p w:rsidR="004C3DC9" w:rsidRPr="008C1FA6" w:rsidRDefault="004C3DC9" w:rsidP="00AA3F6C">
      <w:pPr>
        <w:pStyle w:val="BodyText"/>
      </w:pPr>
      <w:r w:rsidRPr="008C1FA6">
        <w:t xml:space="preserve">Investičnú pomoc pre Spoločnosť na realizáciu investičného zámeru „Rozšírenie závodu s cieľom navýšenia výrobných kapacít a inovácie technologických zariadení pre komplexnú výrobu odliatkov z hliníkových zliatin v spoločnosti Fagor Ederlan Slovensko, a.s. v okrese Žiar nad Hronom, Banskobystrický kraj“ v maximálnej nominálnej výške 2 600 000 EUR vo forme úľavy na dani z príjmu podľa  § 2 ods. 1 pís,m. b) zákona o investičnej pomoci schválilo Ministerstvo hospodárstva Slovenskej republiky rozhodnutím č. 20/2012 zo dňa 22. októbra 2012, číslo: 1674/2012-1000. </w:t>
      </w:r>
    </w:p>
    <w:p w:rsidR="004C3DC9" w:rsidRPr="008C1FA6" w:rsidRDefault="004C3DC9" w:rsidP="00D17BA4">
      <w:pPr>
        <w:spacing w:after="200" w:line="276" w:lineRule="auto"/>
        <w:rPr>
          <w:b/>
          <w:bCs/>
          <w:caps/>
          <w:sz w:val="18"/>
          <w:szCs w:val="18"/>
        </w:rPr>
      </w:pPr>
    </w:p>
    <w:p w:rsidR="004C3DC9" w:rsidRPr="008C1FA6" w:rsidRDefault="004C3DC9" w:rsidP="00D17BA4">
      <w:pPr>
        <w:pStyle w:val="Heading1"/>
      </w:pPr>
      <w:r w:rsidRPr="008C1FA6">
        <w:t>Informácie o údajoch na podsúvahových  účtoch</w:t>
      </w:r>
    </w:p>
    <w:p w:rsidR="004C3DC9" w:rsidRPr="008C1FA6" w:rsidRDefault="004C3DC9">
      <w:pPr>
        <w:pStyle w:val="BodyText"/>
      </w:pPr>
    </w:p>
    <w:p w:rsidR="004C3DC9" w:rsidRPr="008C1FA6" w:rsidRDefault="004C3DC9" w:rsidP="006E5DCA">
      <w:pPr>
        <w:pStyle w:val="Heading2"/>
        <w:numPr>
          <w:ilvl w:val="0"/>
          <w:numId w:val="7"/>
        </w:numPr>
      </w:pPr>
      <w:bookmarkStart w:id="47" w:name="_Toc530739920"/>
      <w:r w:rsidRPr="008C1FA6">
        <w:t>Najatý majetok</w:t>
      </w:r>
      <w:bookmarkEnd w:id="47"/>
      <w:r w:rsidRPr="008C1FA6">
        <w:t xml:space="preserve"> </w:t>
      </w:r>
    </w:p>
    <w:p w:rsidR="004C3DC9" w:rsidRPr="008C1FA6" w:rsidRDefault="004C3DC9" w:rsidP="00D17BA4">
      <w:pPr>
        <w:pStyle w:val="BodyText"/>
      </w:pPr>
    </w:p>
    <w:p w:rsidR="004C3DC9" w:rsidRPr="008C1FA6" w:rsidRDefault="004C3DC9" w:rsidP="006372EE">
      <w:pPr>
        <w:pStyle w:val="BodyText"/>
        <w:ind w:left="360"/>
      </w:pPr>
      <w:r w:rsidRPr="008C1FA6">
        <w:t>Spoločnosť má v nájme 5 kusov vysokozdvižných vozíkov od tretej osoby v obstarávacej cene 71 263 EUR, ktoré nevykazuje ako svoj majetok. Tak isto má v prenájme fľaše na technické plyny v obstarávacej cene 5 637 EUR.</w:t>
      </w:r>
    </w:p>
    <w:p w:rsidR="004C3DC9" w:rsidRPr="008C1FA6" w:rsidRDefault="004C3DC9" w:rsidP="00371D5C">
      <w:pPr>
        <w:pStyle w:val="BodyText"/>
        <w:rPr>
          <w:color w:val="FF0000"/>
        </w:rPr>
      </w:pPr>
    </w:p>
    <w:p w:rsidR="004C3DC9" w:rsidRPr="008C1FA6" w:rsidRDefault="004C3DC9" w:rsidP="00371D5C">
      <w:pPr>
        <w:pStyle w:val="BodyText"/>
        <w:rPr>
          <w:color w:val="FF0000"/>
        </w:rPr>
      </w:pPr>
    </w:p>
    <w:p w:rsidR="004C3DC9" w:rsidRPr="008C1FA6" w:rsidRDefault="004C3DC9" w:rsidP="006E5DCA">
      <w:pPr>
        <w:pStyle w:val="Heading2"/>
        <w:numPr>
          <w:ilvl w:val="0"/>
          <w:numId w:val="7"/>
        </w:numPr>
      </w:pPr>
      <w:r w:rsidRPr="008C1FA6">
        <w:t>Prenajatý majetok</w:t>
      </w:r>
    </w:p>
    <w:p w:rsidR="004C3DC9" w:rsidRPr="008C1FA6" w:rsidRDefault="004C3DC9" w:rsidP="006372EE">
      <w:pPr>
        <w:pStyle w:val="BodyText"/>
        <w:ind w:left="0"/>
      </w:pPr>
    </w:p>
    <w:p w:rsidR="004C3DC9" w:rsidRPr="008C1FA6" w:rsidRDefault="004C3DC9" w:rsidP="006372EE">
      <w:pPr>
        <w:pStyle w:val="BodyText"/>
        <w:ind w:left="0" w:firstLine="360"/>
      </w:pPr>
      <w:r w:rsidRPr="008C1FA6">
        <w:t>Spoločnosť prenajíma časť nevýrobných priestorov tretím osobám na administratívne a stravovacie účely.</w:t>
      </w:r>
    </w:p>
    <w:p w:rsidR="004C3DC9" w:rsidRPr="008C1FA6" w:rsidRDefault="004C3DC9" w:rsidP="006372EE">
      <w:pPr>
        <w:pStyle w:val="BodyText"/>
        <w:ind w:left="360"/>
      </w:pPr>
      <w:r w:rsidRPr="008C1FA6">
        <w:t>Taktiež prenajíma časť výrobných priestorov tretím osobám Prenajatú časť nehnuteľností vykazuje v súvahe ako dlhodobý hmotný majetok.</w:t>
      </w:r>
    </w:p>
    <w:p w:rsidR="004C3DC9" w:rsidRPr="008C1FA6" w:rsidRDefault="004C3DC9" w:rsidP="006372EE">
      <w:pPr>
        <w:pStyle w:val="BodyText"/>
        <w:ind w:left="0"/>
      </w:pPr>
    </w:p>
    <w:p w:rsidR="004C3DC9" w:rsidRPr="008C1FA6" w:rsidRDefault="004C3DC9" w:rsidP="006372EE">
      <w:pPr>
        <w:pStyle w:val="BodyText"/>
        <w:ind w:left="0" w:firstLine="360"/>
      </w:pPr>
      <w:r w:rsidRPr="008C1FA6">
        <w:t xml:space="preserve">Ročné výnosy z nájomného boli 13 122 EUR. </w:t>
      </w:r>
    </w:p>
    <w:p w:rsidR="004C3DC9" w:rsidRPr="008C1FA6" w:rsidRDefault="004C3DC9" w:rsidP="006372EE">
      <w:pPr>
        <w:pStyle w:val="BodyText"/>
        <w:ind w:left="0"/>
      </w:pPr>
    </w:p>
    <w:p w:rsidR="004C3DC9" w:rsidRPr="008C1FA6" w:rsidRDefault="004C3DC9">
      <w:pPr>
        <w:pStyle w:val="BodyText"/>
      </w:pPr>
    </w:p>
    <w:p w:rsidR="004C3DC9" w:rsidRPr="008C1FA6" w:rsidRDefault="004C3DC9" w:rsidP="006E5DCA">
      <w:pPr>
        <w:pStyle w:val="Heading2"/>
        <w:numPr>
          <w:ilvl w:val="0"/>
          <w:numId w:val="2"/>
        </w:numPr>
      </w:pPr>
      <w:r w:rsidRPr="008C1FA6">
        <w:t>Prehľad o podsúvahových položkách</w:t>
      </w:r>
    </w:p>
    <w:p w:rsidR="004C3DC9" w:rsidRPr="008C1FA6" w:rsidRDefault="004C3DC9" w:rsidP="00D17BA4">
      <w:pPr>
        <w:pStyle w:val="BodyText"/>
      </w:pPr>
    </w:p>
    <w:bookmarkStart w:id="48" w:name="_MON_1454830540"/>
    <w:bookmarkEnd w:id="48"/>
    <w:p w:rsidR="004C3DC9" w:rsidRPr="008C1FA6" w:rsidRDefault="004C3DC9">
      <w:pPr>
        <w:pStyle w:val="BodyText"/>
      </w:pPr>
      <w:r w:rsidRPr="008C1FA6">
        <w:object w:dxaOrig="8861" w:dyaOrig="2780">
          <v:shape id="_x0000_i1062" type="#_x0000_t75" style="width:438.75pt;height:154.5pt" o:ole="" o:preferrelative="f">
            <v:imagedata r:id="rId67" o:title=""/>
            <o:lock v:ext="edit" aspectratio="f"/>
          </v:shape>
          <o:OLEObject Type="Embed" ProgID="Excel.Sheet.12" ShapeID="_x0000_i1062" DrawAspect="Content" ObjectID="_1486977215" r:id="rId68"/>
        </w:object>
      </w:r>
    </w:p>
    <w:p w:rsidR="004C3DC9" w:rsidRPr="008C1FA6" w:rsidRDefault="004C3DC9">
      <w:pPr>
        <w:pStyle w:val="Heading1"/>
      </w:pPr>
      <w:r w:rsidRPr="008C1FA6">
        <w:t>Informácie o iných aktívach a iných  pasívach</w:t>
      </w:r>
    </w:p>
    <w:p w:rsidR="004C3DC9" w:rsidRPr="008C1FA6" w:rsidRDefault="004C3DC9">
      <w:pPr>
        <w:pStyle w:val="BodyText"/>
        <w:ind w:left="0"/>
      </w:pPr>
    </w:p>
    <w:p w:rsidR="004C3DC9" w:rsidRPr="008C1FA6" w:rsidRDefault="004C3DC9" w:rsidP="006E5DCA">
      <w:pPr>
        <w:pStyle w:val="Heading2"/>
        <w:numPr>
          <w:ilvl w:val="0"/>
          <w:numId w:val="8"/>
        </w:numPr>
      </w:pPr>
      <w:bookmarkStart w:id="49" w:name="_Toc530739921"/>
      <w:r w:rsidRPr="008C1FA6">
        <w:t>Podmienené záväzky</w:t>
      </w:r>
      <w:bookmarkEnd w:id="49"/>
    </w:p>
    <w:p w:rsidR="004C3DC9" w:rsidRPr="008C1FA6" w:rsidRDefault="004C3DC9" w:rsidP="006372EE">
      <w:pPr>
        <w:pStyle w:val="BodyText"/>
        <w:ind w:left="0"/>
      </w:pPr>
    </w:p>
    <w:p w:rsidR="004C3DC9" w:rsidRPr="008C1FA6" w:rsidRDefault="004C3DC9" w:rsidP="006372EE">
      <w:pPr>
        <w:pStyle w:val="BodyText"/>
        <w:ind w:left="0" w:firstLine="360"/>
      </w:pPr>
      <w:r w:rsidRPr="008C1FA6">
        <w:t>Spoločnosť nemá podmienené záväzky, ktoré sa nesledujú v bežnom účtovníctve a neuvádzajú sa v súvahe.</w:t>
      </w:r>
    </w:p>
    <w:p w:rsidR="004C3DC9" w:rsidRPr="008C1FA6" w:rsidRDefault="004C3DC9" w:rsidP="006372EE">
      <w:pPr>
        <w:pStyle w:val="BodyText"/>
        <w:ind w:left="0"/>
      </w:pPr>
    </w:p>
    <w:p w:rsidR="004C3DC9" w:rsidRPr="008C1FA6" w:rsidRDefault="004C3DC9" w:rsidP="006372EE">
      <w:pPr>
        <w:pStyle w:val="BodyText"/>
        <w:ind w:left="360"/>
      </w:pPr>
      <w:r w:rsidRPr="008C1FA6">
        <w:t>Vzhľadom na to, že mnohé oblasti slovenského daňového práva doteraz neboli dostatočne overené praxou, existuje neistota v tom, ako ich budú daňové orgány aplikovať. Mieru tejto neistoty nie je možné kvantifikovať a zanikne až potom, keď budú k dispozícií právne precedensy, prípadne oficiálne interpretácie príslušných orgánov. Vedenie Spoločnosti si nie je vedomé žiadnych okolností, v dôsledku ktorých by jej vznikol významný náklad.</w:t>
      </w:r>
    </w:p>
    <w:p w:rsidR="004C3DC9" w:rsidRPr="008C1FA6" w:rsidRDefault="004C3DC9">
      <w:pPr>
        <w:pStyle w:val="BodyText"/>
      </w:pPr>
    </w:p>
    <w:p w:rsidR="004C3DC9" w:rsidRPr="008C1FA6" w:rsidRDefault="004C3DC9">
      <w:pPr>
        <w:pStyle w:val="BodyText"/>
      </w:pPr>
    </w:p>
    <w:p w:rsidR="004C3DC9" w:rsidRPr="008C1FA6" w:rsidRDefault="004C3DC9">
      <w:pPr>
        <w:pStyle w:val="Heading1"/>
      </w:pPr>
      <w:bookmarkStart w:id="50" w:name="_Toc530739923"/>
      <w:r w:rsidRPr="008C1FA6">
        <w:t>Informácie o príjmoch a výhodách členov štatutárnych orgánov, dozorných orgánov</w:t>
      </w:r>
      <w:bookmarkEnd w:id="50"/>
      <w:r w:rsidRPr="008C1FA6">
        <w:t xml:space="preserve"> a iných orgánov účtovnej jednotky</w:t>
      </w:r>
    </w:p>
    <w:p w:rsidR="004C3DC9" w:rsidRPr="008C1FA6" w:rsidRDefault="004C3DC9" w:rsidP="006372EE">
      <w:pPr>
        <w:pStyle w:val="BodyText"/>
        <w:ind w:left="0"/>
      </w:pPr>
    </w:p>
    <w:p w:rsidR="004C3DC9" w:rsidRPr="008C1FA6" w:rsidRDefault="004C3DC9" w:rsidP="006372EE">
      <w:pPr>
        <w:pStyle w:val="BodyText"/>
        <w:ind w:left="360"/>
      </w:pPr>
      <w:r w:rsidRPr="008C1FA6">
        <w:t>Odmeny členov štatutárnych orgánov Fagor Ederlan Slovensko, a.s. za ich činnosť pre Fagor Ederlan Slovensko, a.s. v sledovanom účtovnom období  ani v roku 2013 neboli vyplácané, tak isto ako neboli vyplácané ani odmeny dozorných orgánov Fagor Ederlan Slovensko, a. s. za sledované obdobie ako aj za rok 2013.</w:t>
      </w:r>
    </w:p>
    <w:p w:rsidR="004C3DC9" w:rsidRPr="008C1FA6" w:rsidRDefault="004C3DC9" w:rsidP="001A2CC6">
      <w:pPr>
        <w:pStyle w:val="BodyText"/>
        <w:ind w:left="0"/>
      </w:pPr>
    </w:p>
    <w:p w:rsidR="004C3DC9" w:rsidRPr="008C1FA6" w:rsidRDefault="004C3DC9" w:rsidP="006372EE">
      <w:pPr>
        <w:pStyle w:val="BodyText"/>
        <w:ind w:left="360"/>
      </w:pPr>
      <w:r w:rsidRPr="008C1FA6">
        <w:t>Členom štatutárneho orgánu, ani členom dozorných orgánov neboli v roku 2014 poskytnuté žiadne pôžičky, záruky alebo iné formy zabezpečenia, ani finančné prostriedky alebo iné plnenia na súkromné účely členov, ktoré sa vyúčtovávajú (v roku 2013 : žiadne).</w:t>
      </w:r>
    </w:p>
    <w:p w:rsidR="004C3DC9" w:rsidRPr="008C1FA6" w:rsidRDefault="004C3DC9" w:rsidP="001A2CC6">
      <w:pPr>
        <w:pStyle w:val="BodyText"/>
        <w:ind w:left="0"/>
      </w:pPr>
    </w:p>
    <w:p w:rsidR="004C3DC9" w:rsidRPr="008C1FA6" w:rsidRDefault="004C3DC9" w:rsidP="001A2CC6">
      <w:pPr>
        <w:pStyle w:val="BodyText"/>
        <w:ind w:left="0"/>
      </w:pPr>
    </w:p>
    <w:p w:rsidR="004C3DC9" w:rsidRPr="008C1FA6" w:rsidRDefault="004C3DC9" w:rsidP="001A2CC6">
      <w:pPr>
        <w:pStyle w:val="BodyText"/>
        <w:ind w:left="0"/>
      </w:pPr>
    </w:p>
    <w:p w:rsidR="004C3DC9" w:rsidRPr="008C1FA6" w:rsidRDefault="004C3DC9" w:rsidP="001A2CC6">
      <w:pPr>
        <w:pStyle w:val="BodyText"/>
        <w:ind w:left="0"/>
      </w:pPr>
    </w:p>
    <w:p w:rsidR="004C3DC9" w:rsidRPr="008C1FA6" w:rsidRDefault="004C3DC9" w:rsidP="001A2CC6">
      <w:pPr>
        <w:pStyle w:val="BodyText"/>
        <w:ind w:left="0"/>
      </w:pPr>
    </w:p>
    <w:p w:rsidR="004C3DC9" w:rsidRPr="008C1FA6" w:rsidRDefault="004C3DC9" w:rsidP="001A2CC6">
      <w:pPr>
        <w:pStyle w:val="BodyText"/>
        <w:ind w:left="0"/>
      </w:pPr>
    </w:p>
    <w:p w:rsidR="004C3DC9" w:rsidRPr="008C1FA6" w:rsidRDefault="004C3DC9" w:rsidP="001A2CC6">
      <w:pPr>
        <w:pStyle w:val="BodyText"/>
        <w:ind w:left="0"/>
      </w:pPr>
    </w:p>
    <w:p w:rsidR="004C3DC9" w:rsidRPr="008C1FA6" w:rsidRDefault="004C3DC9" w:rsidP="001A2CC6">
      <w:pPr>
        <w:pStyle w:val="BodyText"/>
        <w:ind w:left="0"/>
      </w:pPr>
    </w:p>
    <w:p w:rsidR="004C3DC9" w:rsidRPr="008C1FA6" w:rsidRDefault="004C3DC9" w:rsidP="001A2CC6">
      <w:pPr>
        <w:pStyle w:val="BodyText"/>
        <w:ind w:left="0"/>
      </w:pPr>
    </w:p>
    <w:p w:rsidR="004C3DC9" w:rsidRPr="008C1FA6" w:rsidRDefault="004C3DC9" w:rsidP="001A2CC6">
      <w:pPr>
        <w:pStyle w:val="BodyText"/>
        <w:ind w:left="0"/>
      </w:pPr>
    </w:p>
    <w:p w:rsidR="004C3DC9" w:rsidRPr="008C1FA6" w:rsidRDefault="004C3DC9">
      <w:pPr>
        <w:pStyle w:val="Heading1"/>
      </w:pPr>
      <w:bookmarkStart w:id="51" w:name="_Toc530739924"/>
      <w:r w:rsidRPr="008C1FA6">
        <w:t>Informácie o ekonomických vzťahoch účtovnej jednotky a spriaznených osôb</w:t>
      </w:r>
      <w:bookmarkEnd w:id="51"/>
    </w:p>
    <w:p w:rsidR="004C3DC9" w:rsidRPr="008C1FA6" w:rsidRDefault="004C3DC9" w:rsidP="006372EE">
      <w:pPr>
        <w:pStyle w:val="BodyText"/>
        <w:ind w:left="0"/>
      </w:pPr>
    </w:p>
    <w:p w:rsidR="004C3DC9" w:rsidRPr="008C1FA6" w:rsidRDefault="004C3DC9" w:rsidP="006372EE">
      <w:pPr>
        <w:pStyle w:val="BodyText"/>
        <w:ind w:left="360"/>
      </w:pPr>
      <w:r w:rsidRPr="008C1FA6">
        <w:t xml:space="preserve">Spoločnosť uskutočnila v priebehu účtovného obdobia nasledujúce transakcie so spriaznenými osobami (okrem transakcií s materskou účtovnou jednotkou a dcérskymi účtovnými jednotkami. </w:t>
      </w:r>
    </w:p>
    <w:p w:rsidR="004C3DC9" w:rsidRPr="008C1FA6" w:rsidRDefault="004C3DC9" w:rsidP="00DD2324">
      <w:pPr>
        <w:pStyle w:val="BodyText"/>
      </w:pPr>
      <w:bookmarkStart w:id="52" w:name="_MON_1456136272"/>
      <w:bookmarkEnd w:id="52"/>
    </w:p>
    <w:bookmarkStart w:id="53" w:name="_MON_1486145462"/>
    <w:bookmarkEnd w:id="53"/>
    <w:p w:rsidR="004C3DC9" w:rsidRPr="008C1FA6" w:rsidRDefault="004C3DC9" w:rsidP="00425D38">
      <w:pPr>
        <w:pStyle w:val="BodyText"/>
      </w:pPr>
      <w:r w:rsidRPr="008C1FA6">
        <w:object w:dxaOrig="8940" w:dyaOrig="4424">
          <v:shape id="_x0000_i1063" type="#_x0000_t75" style="width:442.5pt;height:243pt" o:ole="" o:preferrelative="f">
            <v:imagedata r:id="rId69" o:title=""/>
            <o:lock v:ext="edit" aspectratio="f"/>
          </v:shape>
          <o:OLEObject Type="Embed" ProgID="Excel.Sheet.12" ShapeID="_x0000_i1063" DrawAspect="Content" ObjectID="_1486977216" r:id="rId70"/>
        </w:object>
      </w:r>
      <w:r w:rsidRPr="008C1FA6">
        <w:t>Vybrané aktíva a pasíva vyplývajúce z transakcií so spriaznenými osobami sú uvedené v nasledujúcom prehľade:</w:t>
      </w:r>
    </w:p>
    <w:p w:rsidR="004C3DC9" w:rsidRPr="008C1FA6" w:rsidRDefault="004C3DC9" w:rsidP="004246FC">
      <w:pPr>
        <w:pStyle w:val="BodyText"/>
        <w:ind w:left="0" w:firstLine="426"/>
      </w:pPr>
    </w:p>
    <w:bookmarkStart w:id="54" w:name="_MON_1454830657"/>
    <w:bookmarkEnd w:id="54"/>
    <w:p w:rsidR="004C3DC9" w:rsidRPr="008C1FA6" w:rsidRDefault="004C3DC9">
      <w:pPr>
        <w:pStyle w:val="BodyText"/>
      </w:pPr>
      <w:r w:rsidRPr="008C1FA6">
        <w:object w:dxaOrig="9049" w:dyaOrig="1921">
          <v:shape id="_x0000_i1064" type="#_x0000_t75" style="width:438.75pt;height:103.5pt" o:ole="" o:preferrelative="f">
            <v:imagedata r:id="rId71" o:title=""/>
            <o:lock v:ext="edit" aspectratio="f"/>
          </v:shape>
          <o:OLEObject Type="Embed" ProgID="Excel.Sheet.12" ShapeID="_x0000_i1064" DrawAspect="Content" ObjectID="_1486977217" r:id="rId72"/>
        </w:object>
      </w:r>
    </w:p>
    <w:p w:rsidR="004C3DC9" w:rsidRPr="008C1FA6" w:rsidRDefault="004C3DC9">
      <w:pPr>
        <w:pStyle w:val="BodyText"/>
      </w:pPr>
    </w:p>
    <w:p w:rsidR="004C3DC9" w:rsidRPr="008C1FA6" w:rsidRDefault="004C3DC9" w:rsidP="00366D32">
      <w:pPr>
        <w:pStyle w:val="Heading1"/>
      </w:pPr>
      <w:bookmarkStart w:id="55" w:name="_Toc530739925"/>
      <w:r w:rsidRPr="008C1FA6">
        <w:t>Informácie o skutočnostiach,  ktoré nastali po dni,  ku ktorému sa zostavuje účtovná závierka,  do dňa zostavenia účtovnej závierky</w:t>
      </w:r>
      <w:bookmarkEnd w:id="55"/>
    </w:p>
    <w:p w:rsidR="004C3DC9" w:rsidRPr="008C1FA6" w:rsidRDefault="004C3DC9" w:rsidP="00425D38">
      <w:pPr>
        <w:pStyle w:val="BodyText"/>
        <w:ind w:left="360"/>
      </w:pPr>
    </w:p>
    <w:p w:rsidR="004C3DC9" w:rsidRPr="008C1FA6" w:rsidRDefault="004C3DC9" w:rsidP="00425D38">
      <w:pPr>
        <w:pStyle w:val="BodyText"/>
        <w:ind w:left="360"/>
      </w:pPr>
      <w:r w:rsidRPr="008C1FA6">
        <w:t>Po 31. decembri 2014 nenastali udalosti, ktoré majú významný vplyv na verné zobrazenie skutočností, ktoré sú predmetom účtovníctva.</w:t>
      </w:r>
    </w:p>
    <w:p w:rsidR="004C3DC9" w:rsidRPr="008C1FA6" w:rsidRDefault="004C3DC9" w:rsidP="00366D32">
      <w:pPr>
        <w:pStyle w:val="BodyText"/>
      </w:pPr>
    </w:p>
    <w:p w:rsidR="004C3DC9" w:rsidRPr="008C1FA6" w:rsidRDefault="004C3DC9" w:rsidP="00366D32">
      <w:pPr>
        <w:pStyle w:val="BodyText"/>
      </w:pPr>
    </w:p>
    <w:p w:rsidR="004C3DC9" w:rsidRPr="008C1FA6" w:rsidRDefault="004C3DC9" w:rsidP="00366D32">
      <w:pPr>
        <w:pStyle w:val="BodyText"/>
      </w:pPr>
    </w:p>
    <w:p w:rsidR="004C3DC9" w:rsidRPr="008C1FA6" w:rsidRDefault="004C3DC9" w:rsidP="00366D32">
      <w:pPr>
        <w:pStyle w:val="BodyText"/>
      </w:pPr>
    </w:p>
    <w:p w:rsidR="004C3DC9" w:rsidRPr="008C1FA6" w:rsidRDefault="004C3DC9" w:rsidP="00366D32">
      <w:pPr>
        <w:pStyle w:val="BodyText"/>
      </w:pPr>
    </w:p>
    <w:p w:rsidR="004C3DC9" w:rsidRPr="008C1FA6" w:rsidRDefault="004C3DC9" w:rsidP="00366D32">
      <w:pPr>
        <w:pStyle w:val="BodyText"/>
      </w:pPr>
    </w:p>
    <w:p w:rsidR="004C3DC9" w:rsidRPr="008C1FA6" w:rsidRDefault="004C3DC9" w:rsidP="00366D32">
      <w:pPr>
        <w:pStyle w:val="BodyText"/>
      </w:pPr>
    </w:p>
    <w:p w:rsidR="004C3DC9" w:rsidRPr="008C1FA6" w:rsidRDefault="004C3DC9" w:rsidP="00366D32">
      <w:pPr>
        <w:pStyle w:val="BodyText"/>
      </w:pPr>
    </w:p>
    <w:p w:rsidR="004C3DC9" w:rsidRPr="008C1FA6" w:rsidRDefault="004C3DC9" w:rsidP="00366D32">
      <w:pPr>
        <w:pStyle w:val="BodyText"/>
      </w:pPr>
    </w:p>
    <w:p w:rsidR="004C3DC9" w:rsidRPr="008C1FA6" w:rsidRDefault="004C3DC9">
      <w:pPr>
        <w:pStyle w:val="Heading1"/>
      </w:pPr>
      <w:bookmarkStart w:id="56" w:name="_Toc530739907"/>
      <w:r w:rsidRPr="008C1FA6">
        <w:t>Informácie o Vlastnom imaní</w:t>
      </w:r>
      <w:bookmarkEnd w:id="56"/>
    </w:p>
    <w:p w:rsidR="004C3DC9" w:rsidRPr="008C1FA6" w:rsidRDefault="004C3DC9" w:rsidP="00425D38">
      <w:pPr>
        <w:pStyle w:val="BodyText"/>
        <w:ind w:left="360"/>
      </w:pPr>
    </w:p>
    <w:p w:rsidR="004C3DC9" w:rsidRPr="008C1FA6" w:rsidRDefault="004C3DC9" w:rsidP="00425D38">
      <w:pPr>
        <w:pStyle w:val="BodyText"/>
        <w:ind w:left="360"/>
      </w:pPr>
      <w:r>
        <w:rPr>
          <w:noProof/>
          <w:lang w:eastAsia="sk-SK"/>
        </w:rPr>
        <w:pict>
          <v:shape id="_x0000_s1027" type="#_x0000_t75" style="position:absolute;left:0;text-align:left;margin-left:17.25pt;margin-top:20.55pt;width:447.25pt;height:338.7pt;z-index:251658752" o:preferrelative="f">
            <v:imagedata r:id="rId73" o:title=""/>
            <o:lock v:ext="edit" aspectratio="f"/>
            <w10:wrap type="square" side="right"/>
          </v:shape>
          <o:OLEObject Type="Embed" ProgID="Excel.Sheet.12" ShapeID="_x0000_s1027" DrawAspect="Content" ObjectID="_1486977222" r:id="rId74"/>
        </w:pict>
      </w:r>
      <w:r w:rsidRPr="008C1FA6">
        <w:t>Prehľad o pohybe vlastného imania v priebehu účtovného obdobia je uvedený v nasledujúcom prehľade:</w:t>
      </w:r>
    </w:p>
    <w:p w:rsidR="004C3DC9" w:rsidRPr="008C1FA6" w:rsidRDefault="004C3DC9" w:rsidP="00425D38">
      <w:pPr>
        <w:pStyle w:val="BodyText"/>
        <w:ind w:left="360"/>
      </w:pPr>
    </w:p>
    <w:p w:rsidR="004C3DC9" w:rsidRPr="008C1FA6" w:rsidRDefault="004C3DC9" w:rsidP="00727258">
      <w:pPr>
        <w:pStyle w:val="BodyText"/>
      </w:pPr>
      <w:bookmarkStart w:id="57" w:name="_MON_1455507449"/>
      <w:bookmarkEnd w:id="57"/>
      <w:r w:rsidRPr="008C1FA6">
        <w:br w:type="textWrapping" w:clear="all"/>
      </w: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C36443">
      <w:pPr>
        <w:pStyle w:val="BodyText"/>
        <w:ind w:left="0" w:firstLine="426"/>
      </w:pPr>
      <w:r w:rsidRPr="008C1FA6">
        <w:t>Prehľad o pohybe vlastného imania za predchádzajúce účtovné obdobie je uvedený v nasledujúcom prehľade:</w:t>
      </w:r>
    </w:p>
    <w:p w:rsidR="004C3DC9" w:rsidRPr="008C1FA6" w:rsidRDefault="004C3DC9" w:rsidP="00C36443">
      <w:pPr>
        <w:pStyle w:val="BodyText"/>
        <w:ind w:left="0" w:firstLine="426"/>
      </w:pPr>
    </w:p>
    <w:p w:rsidR="004C3DC9" w:rsidRPr="008C1FA6" w:rsidRDefault="004C3DC9" w:rsidP="009A0042">
      <w:pPr>
        <w:pStyle w:val="BodyText"/>
        <w:ind w:left="0"/>
      </w:pPr>
    </w:p>
    <w:bookmarkStart w:id="58" w:name="_MON_1455507734"/>
    <w:bookmarkEnd w:id="58"/>
    <w:p w:rsidR="004C3DC9" w:rsidRPr="008C1FA6" w:rsidRDefault="004C3DC9" w:rsidP="009A0042">
      <w:pPr>
        <w:pStyle w:val="BodyText"/>
      </w:pPr>
      <w:r w:rsidRPr="008C1FA6">
        <w:object w:dxaOrig="9278" w:dyaOrig="6803">
          <v:shape id="_x0000_i1067" type="#_x0000_t75" style="width:445.5pt;height:363.75pt" o:ole="" o:preferrelative="f">
            <v:imagedata r:id="rId75" o:title=""/>
            <o:lock v:ext="edit" aspectratio="f"/>
          </v:shape>
          <o:OLEObject Type="Embed" ProgID="Excel.Sheet.12" ShapeID="_x0000_i1067" DrawAspect="Content" ObjectID="_1486977218" r:id="rId76"/>
        </w:object>
      </w:r>
    </w:p>
    <w:p w:rsidR="004C3DC9" w:rsidRPr="008C1FA6" w:rsidRDefault="004C3DC9" w:rsidP="00B95EE0">
      <w:pPr>
        <w:pStyle w:val="BodyText"/>
      </w:pPr>
      <w:r w:rsidRPr="008C1FA6">
        <w:t>Základné imanie Spoločnosti vo výške 6 577 687 EUR (31. decembra: 2013: 6 577 687EUR) tvorí:</w:t>
      </w:r>
    </w:p>
    <w:p w:rsidR="004C3DC9" w:rsidRPr="008C1FA6" w:rsidRDefault="004C3DC9" w:rsidP="00EA1CC8">
      <w:pPr>
        <w:pStyle w:val="ListParagraph"/>
        <w:numPr>
          <w:ilvl w:val="0"/>
          <w:numId w:val="12"/>
        </w:numPr>
        <w:ind w:hanging="294"/>
        <w:jc w:val="both"/>
        <w:rPr>
          <w:rFonts w:eastAsia="Times New Roman"/>
          <w:sz w:val="18"/>
          <w:szCs w:val="18"/>
        </w:rPr>
      </w:pPr>
      <w:r w:rsidRPr="008C1FA6">
        <w:rPr>
          <w:rFonts w:eastAsia="Times New Roman"/>
          <w:sz w:val="18"/>
          <w:szCs w:val="18"/>
        </w:rPr>
        <w:t>100 kusov kmeňových akcií s menovitou hodnotou 65 777 EUR, akcia znie na meno a má podobu zaknihovaného cenného papiera (k 31. decembru 2013: 100 kusov kmeňových akcií s menovitou hodnotou 65 777 EUR),</w:t>
      </w:r>
    </w:p>
    <w:p w:rsidR="004C3DC9" w:rsidRPr="008C1FA6" w:rsidRDefault="004C3DC9" w:rsidP="00B95EE0">
      <w:pPr>
        <w:ind w:left="766"/>
        <w:jc w:val="both"/>
        <w:rPr>
          <w:rFonts w:eastAsia="Times New Roman"/>
          <w:i/>
          <w:iCs/>
          <w:sz w:val="18"/>
          <w:szCs w:val="18"/>
        </w:rPr>
      </w:pPr>
    </w:p>
    <w:p w:rsidR="004C3DC9" w:rsidRPr="008C1FA6" w:rsidRDefault="004C3DC9" w:rsidP="009A0042">
      <w:pPr>
        <w:pStyle w:val="BodyText"/>
      </w:pPr>
      <w:r w:rsidRPr="008C1FA6">
        <w:t>Všetky akcie boli riadne splatené.</w:t>
      </w:r>
    </w:p>
    <w:p w:rsidR="004C3DC9" w:rsidRPr="008C1FA6" w:rsidRDefault="004C3DC9" w:rsidP="009A0042">
      <w:pPr>
        <w:pStyle w:val="BodyText"/>
      </w:pPr>
    </w:p>
    <w:p w:rsidR="004C3DC9" w:rsidRPr="008C1FA6" w:rsidRDefault="004C3DC9" w:rsidP="009A0042">
      <w:pPr>
        <w:pStyle w:val="BodyText"/>
      </w:pPr>
      <w:r w:rsidRPr="008C1FA6">
        <w:t>Držitelia akcií majú nárok na dividendy podľa rozhodnutia valného zhromaždenia a majú právo hlasovať, pričom každých 65 777 EUR predstavuje jeden hlas.</w:t>
      </w:r>
    </w:p>
    <w:p w:rsidR="004C3DC9" w:rsidRPr="008C1FA6" w:rsidRDefault="004C3DC9" w:rsidP="009A0042">
      <w:pPr>
        <w:pStyle w:val="BodyText"/>
      </w:pPr>
    </w:p>
    <w:p w:rsidR="004C3DC9" w:rsidRPr="008C1FA6" w:rsidRDefault="004C3DC9" w:rsidP="00546E2B">
      <w:pPr>
        <w:pStyle w:val="BodyText"/>
        <w:ind w:left="0"/>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1E4AA4">
      <w:pPr>
        <w:pStyle w:val="BodyText"/>
        <w:ind w:left="0" w:firstLine="426"/>
      </w:pPr>
      <w:r w:rsidRPr="008C1FA6">
        <w:t>Účtovný zisk za rok 2013 bol rozdelený takto:</w:t>
      </w:r>
    </w:p>
    <w:p w:rsidR="004C3DC9" w:rsidRPr="008C1FA6" w:rsidRDefault="004C3DC9" w:rsidP="009A0042">
      <w:pPr>
        <w:pStyle w:val="BodyText"/>
      </w:pPr>
    </w:p>
    <w:bookmarkStart w:id="59" w:name="_MON_1454831176"/>
    <w:bookmarkEnd w:id="59"/>
    <w:p w:rsidR="004C3DC9" w:rsidRPr="008C1FA6" w:rsidRDefault="004C3DC9" w:rsidP="009A0042">
      <w:pPr>
        <w:pStyle w:val="BodyText"/>
      </w:pPr>
      <w:r w:rsidRPr="008C1FA6">
        <w:object w:dxaOrig="8919" w:dyaOrig="711">
          <v:shape id="_x0000_i1068" type="#_x0000_t75" style="width:437.25pt;height:36pt" o:ole="" o:preferrelative="f">
            <v:imagedata r:id="rId77" o:title=""/>
          </v:shape>
          <o:OLEObject Type="Embed" ProgID="Excel.Sheet.12" ShapeID="_x0000_i1068" DrawAspect="Content" ObjectID="_1486977219" r:id="rId78"/>
        </w:object>
      </w:r>
    </w:p>
    <w:p w:rsidR="004C3DC9" w:rsidRPr="008C1FA6" w:rsidRDefault="004C3DC9" w:rsidP="009A0042">
      <w:pPr>
        <w:pStyle w:val="BodyText"/>
      </w:pPr>
    </w:p>
    <w:bookmarkStart w:id="60" w:name="_MON_1454831172"/>
    <w:bookmarkEnd w:id="60"/>
    <w:p w:rsidR="004C3DC9" w:rsidRPr="008C1FA6" w:rsidRDefault="004C3DC9" w:rsidP="009A0042">
      <w:pPr>
        <w:pStyle w:val="BodyText"/>
      </w:pPr>
      <w:r w:rsidRPr="008C1FA6">
        <w:object w:dxaOrig="8922" w:dyaOrig="2583">
          <v:shape id="_x0000_i1069" type="#_x0000_t75" style="width:437.25pt;height:141pt" o:ole="" o:preferrelative="f">
            <v:imagedata r:id="rId79" o:title=""/>
            <o:lock v:ext="edit" aspectratio="f"/>
          </v:shape>
          <o:OLEObject Type="Embed" ProgID="Excel.Sheet.12" ShapeID="_x0000_i1069" DrawAspect="Content" ObjectID="_1486977220" r:id="rId80"/>
        </w:object>
      </w:r>
    </w:p>
    <w:p w:rsidR="004C3DC9" w:rsidRPr="008C1FA6" w:rsidRDefault="004C3DC9" w:rsidP="009A0042">
      <w:pPr>
        <w:pStyle w:val="BodyText"/>
      </w:pPr>
    </w:p>
    <w:p w:rsidR="004C3DC9" w:rsidRPr="008C1FA6" w:rsidRDefault="004C3DC9" w:rsidP="00702DC7">
      <w:pPr>
        <w:pStyle w:val="BodyText"/>
      </w:pPr>
      <w:r w:rsidRPr="008C1FA6">
        <w:t>O rozdelení výsledku hospodárenia za účtovné obdobie 2014 vo výške 1 291 721 EUR rozhodne valné zhromaždenie. Návrh štatutárneho orgánu valnému zhromaždeniu je takýto:</w:t>
      </w:r>
    </w:p>
    <w:p w:rsidR="004C3DC9" w:rsidRPr="008C1FA6" w:rsidRDefault="004C3DC9" w:rsidP="00702DC7">
      <w:pPr>
        <w:pStyle w:val="BodyText"/>
        <w:numPr>
          <w:ilvl w:val="0"/>
          <w:numId w:val="9"/>
        </w:numPr>
      </w:pPr>
      <w:r w:rsidRPr="008C1FA6">
        <w:t>povinný prídel do zákonného rezervného fondu 61 078 EUR,</w:t>
      </w:r>
    </w:p>
    <w:p w:rsidR="004C3DC9" w:rsidRPr="008C1FA6" w:rsidRDefault="004C3DC9" w:rsidP="00702DC7">
      <w:pPr>
        <w:pStyle w:val="BodyText"/>
        <w:numPr>
          <w:ilvl w:val="0"/>
          <w:numId w:val="9"/>
        </w:numPr>
      </w:pPr>
      <w:r w:rsidRPr="008C1FA6">
        <w:t>prevod na nerozdelený zisk minulých rokov 1 230 643  EUR.</w:t>
      </w:r>
    </w:p>
    <w:p w:rsidR="004C3DC9" w:rsidRPr="008C1FA6" w:rsidRDefault="004C3DC9" w:rsidP="00702DC7">
      <w:pPr>
        <w:pStyle w:val="BodyText"/>
        <w:ind w:left="766"/>
      </w:pPr>
    </w:p>
    <w:p w:rsidR="004C3DC9" w:rsidRPr="008C1FA6" w:rsidRDefault="004C3DC9" w:rsidP="00702DC7">
      <w:pPr>
        <w:pStyle w:val="BodyText"/>
        <w:ind w:left="766"/>
      </w:pPr>
    </w:p>
    <w:p w:rsidR="004C3DC9" w:rsidRPr="008C1FA6" w:rsidRDefault="004C3DC9" w:rsidP="00702DC7">
      <w:pPr>
        <w:pStyle w:val="BodyText"/>
      </w:pPr>
      <w:r w:rsidRPr="008C1FA6">
        <w:t>Vyšší povinný prídel do zákonného rezervného fondu nie je potrebný, pretože zákonný rezervný fond s navrhovanou  výškou prídelu dosiahne svoju maximálnu hranicu stanovenú v právnych predpisoch a v stanovách spoločnosti.</w:t>
      </w: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A0042">
      <w:pPr>
        <w:pStyle w:val="BodyText"/>
      </w:pPr>
    </w:p>
    <w:p w:rsidR="004C3DC9" w:rsidRPr="008C1FA6" w:rsidRDefault="004C3DC9" w:rsidP="00996E14">
      <w:pPr>
        <w:pStyle w:val="BodyText"/>
        <w:ind w:left="0"/>
      </w:pPr>
    </w:p>
    <w:p w:rsidR="004C3DC9" w:rsidRPr="008C1FA6" w:rsidRDefault="004C3DC9" w:rsidP="009A0042">
      <w:pPr>
        <w:pStyle w:val="BodyText"/>
        <w:ind w:left="0"/>
      </w:pPr>
    </w:p>
    <w:p w:rsidR="004C3DC9" w:rsidRPr="008C1FA6" w:rsidRDefault="004C3DC9" w:rsidP="0064791A">
      <w:pPr>
        <w:pStyle w:val="Heading1"/>
      </w:pPr>
      <w:r>
        <w:rPr>
          <w:noProof/>
          <w:lang w:eastAsia="sk-SK"/>
        </w:rPr>
        <w:pict>
          <v:shape id="_x0000_s1028" type="#_x0000_t75" style="position:absolute;left:0;text-align:left;margin-left:.15pt;margin-top:20pt;width:419.8pt;height:562.4pt;z-index:251656704">
            <v:imagedata r:id="rId81" o:title=""/>
            <w10:wrap type="topAndBottom" side="right"/>
          </v:shape>
          <o:OLEObject Type="Embed" ProgID="Excel.Sheet.8" ShapeID="_x0000_s1028" DrawAspect="Content" ObjectID="_1486977223" r:id="rId82"/>
        </w:pict>
      </w:r>
      <w:r w:rsidRPr="008C1FA6">
        <w:t>Prehľad peňažných tokov k 31. decembru 20</w:t>
      </w:r>
      <w:bookmarkEnd w:id="1"/>
      <w:r w:rsidRPr="008C1FA6">
        <w:t>14</w:t>
      </w:r>
    </w:p>
    <w:p w:rsidR="004C3DC9" w:rsidRPr="008C1FA6" w:rsidRDefault="004C3DC9" w:rsidP="00EA36F9">
      <w:r w:rsidRPr="008C1FA6">
        <w:br w:type="textWrapping" w:clear="all"/>
      </w:r>
    </w:p>
    <w:p w:rsidR="004C3DC9" w:rsidRPr="008C1FA6" w:rsidRDefault="004C3DC9" w:rsidP="00EA36F9"/>
    <w:p w:rsidR="004C3DC9" w:rsidRPr="008C1FA6" w:rsidRDefault="004C3DC9" w:rsidP="00EA36F9"/>
    <w:p w:rsidR="004C3DC9" w:rsidRPr="008C1FA6" w:rsidRDefault="004C3DC9" w:rsidP="00BF10DC">
      <w:pPr>
        <w:pStyle w:val="BodyText"/>
        <w:ind w:left="0"/>
        <w:rPr>
          <w:b/>
          <w:bCs/>
        </w:rPr>
      </w:pPr>
      <w:r w:rsidRPr="008C1FA6">
        <w:rPr>
          <w:b/>
          <w:bCs/>
        </w:rPr>
        <w:t xml:space="preserve">          </w:t>
      </w:r>
    </w:p>
    <w:p w:rsidR="004C3DC9" w:rsidRPr="008C1FA6" w:rsidRDefault="004C3DC9" w:rsidP="00CA23F9">
      <w:pPr>
        <w:pStyle w:val="BodyText"/>
        <w:ind w:left="0" w:firstLine="426"/>
        <w:rPr>
          <w:b/>
          <w:bCs/>
        </w:rPr>
      </w:pPr>
      <w:r w:rsidRPr="008C1FA6">
        <w:rPr>
          <w:b/>
          <w:bCs/>
        </w:rPr>
        <w:t>Peňažné prostriedky</w:t>
      </w:r>
    </w:p>
    <w:p w:rsidR="004C3DC9" w:rsidRPr="008C1FA6" w:rsidRDefault="004C3DC9" w:rsidP="00BF10DC">
      <w:pPr>
        <w:pStyle w:val="BodyText"/>
        <w:ind w:left="0"/>
        <w:rPr>
          <w:b/>
          <w:bCs/>
        </w:rPr>
      </w:pPr>
    </w:p>
    <w:p w:rsidR="004C3DC9" w:rsidRPr="008C1FA6" w:rsidRDefault="004C3DC9">
      <w:pPr>
        <w:pStyle w:val="BodyText"/>
      </w:pPr>
      <w:r w:rsidRPr="008C1FA6">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4C3DC9" w:rsidRPr="008C1FA6" w:rsidRDefault="004C3DC9">
      <w:pPr>
        <w:pStyle w:val="BodyText"/>
      </w:pPr>
    </w:p>
    <w:p w:rsidR="004C3DC9" w:rsidRPr="008C1FA6" w:rsidRDefault="004C3DC9">
      <w:pPr>
        <w:pStyle w:val="BodyText"/>
        <w:rPr>
          <w:b/>
          <w:bCs/>
        </w:rPr>
      </w:pPr>
      <w:r w:rsidRPr="008C1FA6">
        <w:rPr>
          <w:b/>
          <w:bCs/>
        </w:rPr>
        <w:t>Peňažné ekvivalenty</w:t>
      </w:r>
    </w:p>
    <w:p w:rsidR="004C3DC9" w:rsidRPr="008C1FA6" w:rsidRDefault="004C3DC9">
      <w:pPr>
        <w:pStyle w:val="BodyText"/>
        <w:rPr>
          <w:b/>
          <w:bCs/>
        </w:rPr>
      </w:pPr>
    </w:p>
    <w:p w:rsidR="004C3DC9" w:rsidRPr="008C1FA6" w:rsidRDefault="004C3DC9">
      <w:pPr>
        <w:pStyle w:val="BodyText"/>
      </w:pPr>
      <w:r w:rsidRPr="008C1FA6">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4C3DC9" w:rsidRPr="008C1FA6" w:rsidRDefault="004C3DC9">
      <w:pPr>
        <w:pStyle w:val="BodyText"/>
      </w:pPr>
    </w:p>
    <w:p w:rsidR="004C3DC9" w:rsidRPr="008C1FA6" w:rsidRDefault="004C3DC9">
      <w:pPr>
        <w:pStyle w:val="BodyText"/>
      </w:pPr>
    </w:p>
    <w:p w:rsidR="004C3DC9" w:rsidRPr="008C1FA6" w:rsidRDefault="004C3DC9" w:rsidP="00C6464A">
      <w:pPr>
        <w:pStyle w:val="BodyText"/>
      </w:pPr>
      <w:r w:rsidRPr="008C1FA6">
        <w:t xml:space="preserve"> </w:t>
      </w:r>
    </w:p>
    <w:sectPr w:rsidR="004C3DC9" w:rsidRPr="008C1FA6" w:rsidSect="00E576FE">
      <w:headerReference w:type="default" r:id="rId83"/>
      <w:footerReference w:type="default" r:id="rId84"/>
      <w:pgSz w:w="11907" w:h="16840" w:code="9"/>
      <w:pgMar w:top="1980" w:right="1021" w:bottom="357" w:left="1673" w:header="675" w:footer="4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3DC9" w:rsidRDefault="004C3DC9">
      <w:r>
        <w:separator/>
      </w:r>
    </w:p>
  </w:endnote>
  <w:endnote w:type="continuationSeparator" w:id="1">
    <w:p w:rsidR="004C3DC9" w:rsidRDefault="004C3DC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
    <w:panose1 w:val="02010600030101010101"/>
    <w:charset w:val="86"/>
    <w:family w:val="auto"/>
    <w:pitch w:val="variable"/>
    <w:sig w:usb0="00000003" w:usb1="080E0000" w:usb2="00000010" w:usb3="00000000" w:csb0="00040001" w:csb1="00000000"/>
  </w:font>
  <w:font w:name="Geneva">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Impact">
    <w:panose1 w:val="020B0806030902050204"/>
    <w:charset w:val="EE"/>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DC9" w:rsidRDefault="004C3DC9">
    <w:pPr>
      <w:pStyle w:val="Footer"/>
      <w:jc w:val="center"/>
    </w:pPr>
    <w:fldSimple w:instr=" PAGE   \* MERGEFORMAT ">
      <w:r>
        <w:rPr>
          <w:noProof/>
        </w:rPr>
        <w:t>5</w:t>
      </w:r>
    </w:fldSimple>
  </w:p>
  <w:p w:rsidR="004C3DC9" w:rsidRDefault="004C3DC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DC9" w:rsidRPr="003B18B3" w:rsidRDefault="004C3DC9">
    <w:pPr>
      <w:pStyle w:val="Footer"/>
      <w:jc w:val="center"/>
      <w:rPr>
        <w:sz w:val="18"/>
        <w:szCs w:val="18"/>
      </w:rPr>
    </w:pPr>
    <w:r w:rsidRPr="003B18B3">
      <w:rPr>
        <w:sz w:val="18"/>
        <w:szCs w:val="18"/>
      </w:rPr>
      <w:fldChar w:fldCharType="begin"/>
    </w:r>
    <w:r w:rsidRPr="003B18B3">
      <w:rPr>
        <w:sz w:val="18"/>
        <w:szCs w:val="18"/>
      </w:rPr>
      <w:instrText xml:space="preserve"> PAGE   \* MERGEFORMAT </w:instrText>
    </w:r>
    <w:r w:rsidRPr="003B18B3">
      <w:rPr>
        <w:sz w:val="18"/>
        <w:szCs w:val="18"/>
      </w:rPr>
      <w:fldChar w:fldCharType="separate"/>
    </w:r>
    <w:r>
      <w:rPr>
        <w:noProof/>
        <w:sz w:val="18"/>
        <w:szCs w:val="18"/>
      </w:rPr>
      <w:t>1</w:t>
    </w:r>
    <w:r w:rsidRPr="003B18B3">
      <w:rPr>
        <w:sz w:val="18"/>
        <w:szCs w:val="18"/>
      </w:rPr>
      <w:fldChar w:fldCharType="end"/>
    </w:r>
  </w:p>
  <w:p w:rsidR="004C3DC9" w:rsidRDefault="004C3DC9">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DC9" w:rsidRDefault="004C3DC9">
    <w:pPr>
      <w:autoSpaceDE w:val="0"/>
      <w:autoSpaceDN w:val="0"/>
      <w:adjustRightInd w:val="0"/>
    </w:pPr>
  </w:p>
  <w:p w:rsidR="004C3DC9" w:rsidRDefault="004C3DC9" w:rsidP="00F94EBB">
    <w:pPr>
      <w:autoSpaceDE w:val="0"/>
      <w:autoSpaceDN w:val="0"/>
      <w:adjustRightInd w:val="0"/>
      <w:rPr>
        <w:rStyle w:val="PageNumber"/>
      </w:rPr>
    </w:pPr>
    <w:r>
      <w:rPr>
        <w:rStyle w:val="PageNumber"/>
      </w:rPr>
      <w:t xml:space="preserve">                                                                                                                  </w:t>
    </w:r>
    <w:r>
      <w:rPr>
        <w:rStyle w:val="PageNumber"/>
      </w:rPr>
      <w:tab/>
    </w:r>
    <w:r>
      <w:rPr>
        <w:rStyle w:val="PageNumber"/>
      </w:rPr>
      <w:tab/>
    </w:r>
    <w:r>
      <w:rPr>
        <w:rStyle w:val="PageNumber"/>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9</w:t>
    </w:r>
    <w:r>
      <w:rPr>
        <w:rStyle w:val="PageNumber"/>
      </w:rPr>
      <w:fldChar w:fldCharType="end"/>
    </w:r>
  </w:p>
  <w:p w:rsidR="004C3DC9" w:rsidRDefault="004C3DC9">
    <w:pPr>
      <w:autoSpaceDE w:val="0"/>
      <w:autoSpaceDN w:val="0"/>
      <w:adjustRightInd w:val="0"/>
    </w:pPr>
  </w:p>
  <w:p w:rsidR="004C3DC9" w:rsidRDefault="004C3DC9">
    <w:pPr>
      <w:pStyle w:val="Footer"/>
      <w:ind w:right="360"/>
    </w:pPr>
    <w:r>
      <w:tab/>
    </w:r>
  </w:p>
  <w:p w:rsidR="004C3DC9" w:rsidRDefault="004C3DC9">
    <w:pPr>
      <w:pStyle w:val="Footer"/>
      <w:ind w:right="360"/>
      <w:rPr>
        <w:sz w:val="18"/>
        <w:szCs w:val="18"/>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DC9" w:rsidRDefault="004C3DC9">
    <w:pPr>
      <w:autoSpaceDE w:val="0"/>
      <w:autoSpaceDN w:val="0"/>
      <w:adjustRightInd w:val="0"/>
    </w:pPr>
  </w:p>
  <w:p w:rsidR="004C3DC9" w:rsidRDefault="004C3DC9" w:rsidP="00BF2932">
    <w:pPr>
      <w:autoSpaceDE w:val="0"/>
      <w:autoSpaceDN w:val="0"/>
      <w:adjustRightInd w:val="0"/>
      <w:rPr>
        <w:rStyle w:val="PageNumber"/>
      </w:rPr>
    </w:pPr>
    <w:r>
      <w:rPr>
        <w:rStyle w:val="PageNumber"/>
      </w:rPr>
      <w:t xml:space="preserve">                                                                                                                  </w:t>
    </w:r>
    <w:r>
      <w:rPr>
        <w:rStyle w:val="PageNumber"/>
      </w:rPr>
      <w:tab/>
    </w:r>
    <w:r>
      <w:rPr>
        <w:rStyle w:val="PageNumber"/>
      </w:rPr>
      <w:tab/>
    </w:r>
    <w:r>
      <w:rPr>
        <w:rStyle w:val="PageNumber"/>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p>
  <w:p w:rsidR="004C3DC9" w:rsidRDefault="004C3DC9">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DC9" w:rsidRDefault="004C3DC9">
    <w:pPr>
      <w:autoSpaceDE w:val="0"/>
      <w:autoSpaceDN w:val="0"/>
      <w:adjustRightInd w:val="0"/>
    </w:pPr>
  </w:p>
  <w:p w:rsidR="004C3DC9" w:rsidRDefault="004C3DC9" w:rsidP="00F94EBB">
    <w:pPr>
      <w:tabs>
        <w:tab w:val="left" w:pos="1418"/>
      </w:tabs>
      <w:autoSpaceDE w:val="0"/>
      <w:autoSpaceDN w:val="0"/>
      <w:adjustRightInd w:val="0"/>
      <w:rPr>
        <w:rStyle w:val="PageNumber"/>
      </w:rPr>
    </w:pPr>
    <w:r>
      <w:rPr>
        <w:rStyle w:val="PageNumber"/>
      </w:rPr>
      <w:t xml:space="preserve">                                                                       </w:t>
    </w:r>
    <w:r>
      <w:rPr>
        <w:rStyle w:val="PageNumber"/>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32</w:t>
    </w:r>
    <w:r>
      <w:rPr>
        <w:rStyle w:val="PageNumber"/>
      </w:rPr>
      <w:fldChar w:fldCharType="end"/>
    </w:r>
  </w:p>
  <w:p w:rsidR="004C3DC9" w:rsidRDefault="004C3DC9">
    <w:pPr>
      <w:pStyle w:val="Footer"/>
      <w:ind w:right="360"/>
    </w:pPr>
  </w:p>
  <w:p w:rsidR="004C3DC9" w:rsidRDefault="004C3DC9">
    <w:pPr>
      <w:pStyle w:val="Footer"/>
      <w:ind w:right="360"/>
      <w:rPr>
        <w:sz w:val="18"/>
        <w:szCs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3DC9" w:rsidRDefault="004C3DC9">
      <w:r>
        <w:separator/>
      </w:r>
    </w:p>
  </w:footnote>
  <w:footnote w:type="continuationSeparator" w:id="1">
    <w:p w:rsidR="004C3DC9" w:rsidRDefault="004C3DC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DC9" w:rsidRDefault="004C3DC9" w:rsidP="006E4DDB">
    <w:pPr>
      <w:pStyle w:val="Header"/>
      <w:tabs>
        <w:tab w:val="clear" w:pos="4153"/>
        <w:tab w:val="clear" w:pos="8306"/>
        <w:tab w:val="center" w:pos="4820"/>
        <w:tab w:val="right" w:pos="9214"/>
      </w:tabs>
      <w:ind w:right="-1"/>
      <w:rPr>
        <w:sz w:val="18"/>
        <w:szCs w:val="18"/>
      </w:rPr>
    </w:pPr>
    <w:r w:rsidRPr="00685D38">
      <w:rPr>
        <w:rFonts w:ascii="Impact" w:hAnsi="Impact" w:cs="Impact"/>
        <w:noProof/>
        <w:color w:val="000080"/>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6" o:spid="_x0000_i1026" type="#_x0000_t75" style="width:68.25pt;height:21.75pt;visibility:visible">
          <v:imagedata r:id="rId1" o:title=""/>
        </v:shape>
      </w:pict>
    </w:r>
    <w:r>
      <w:rPr>
        <w:rFonts w:ascii="Impact" w:hAnsi="Impact" w:cs="Impact"/>
        <w:color w:val="000080"/>
      </w:rPr>
      <w:t xml:space="preserve">                                               </w:t>
    </w:r>
    <w:r>
      <w:rPr>
        <w:b/>
        <w:bCs/>
        <w:sz w:val="18"/>
        <w:szCs w:val="18"/>
      </w:rPr>
      <w:t>Fagor Ederlan Slovensko, a.s.</w:t>
    </w:r>
    <w:r>
      <w:rPr>
        <w:rFonts w:ascii="Impact" w:hAnsi="Impact" w:cs="Impact"/>
        <w:color w:val="000080"/>
      </w:rPr>
      <w:t xml:space="preserve">                                       </w:t>
    </w:r>
    <w:r>
      <w:rPr>
        <w:sz w:val="18"/>
        <w:szCs w:val="18"/>
      </w:rPr>
      <w:t xml:space="preserve">Poznámky </w:t>
    </w:r>
    <w:r>
      <w:rPr>
        <w:rFonts w:ascii="Impact" w:hAnsi="Impact" w:cs="Impact"/>
        <w:color w:val="000080"/>
      </w:rPr>
      <w:t xml:space="preserve"> </w:t>
    </w:r>
    <w:r>
      <w:rPr>
        <w:sz w:val="18"/>
        <w:szCs w:val="18"/>
      </w:rPr>
      <w:t>k účtovnej závierke</w:t>
    </w:r>
  </w:p>
  <w:p w:rsidR="004C3DC9" w:rsidRDefault="004C3DC9" w:rsidP="006E4DDB">
    <w:pPr>
      <w:pStyle w:val="Header"/>
      <w:tabs>
        <w:tab w:val="clear" w:pos="4153"/>
        <w:tab w:val="clear" w:pos="8306"/>
        <w:tab w:val="center" w:pos="4820"/>
        <w:tab w:val="right" w:pos="9214"/>
      </w:tabs>
      <w:ind w:right="-1"/>
      <w:rPr>
        <w:rFonts w:ascii="Impact" w:hAnsi="Impact" w:cs="Impact"/>
        <w:b/>
        <w:bCs/>
        <w:color w:val="000080"/>
      </w:rPr>
    </w:pPr>
    <w:r>
      <w:rPr>
        <w:sz w:val="18"/>
        <w:szCs w:val="18"/>
      </w:rPr>
      <w:t xml:space="preserve">                                                                                                                                                               k 31. decembru 2014</w:t>
    </w:r>
    <w:r>
      <w:rPr>
        <w:rFonts w:ascii="Impact" w:hAnsi="Impact" w:cs="Impact"/>
        <w:color w:val="000080"/>
      </w:rPr>
      <w:tab/>
    </w:r>
    <w:r>
      <w:rPr>
        <w:rFonts w:ascii="Impact" w:hAnsi="Impact" w:cs="Impact"/>
        <w:color w:val="000080"/>
      </w:rPr>
      <w:tab/>
    </w:r>
  </w:p>
  <w:p w:rsidR="004C3DC9" w:rsidRDefault="004C3DC9" w:rsidP="006E4DDB">
    <w:pPr>
      <w:pStyle w:val="Header"/>
      <w:tabs>
        <w:tab w:val="clear" w:pos="4153"/>
        <w:tab w:val="clear" w:pos="8306"/>
        <w:tab w:val="center" w:pos="4820"/>
        <w:tab w:val="right" w:pos="9214"/>
      </w:tabs>
      <w:ind w:right="-1"/>
      <w:rPr>
        <w:b/>
        <w:bCs/>
        <w:sz w:val="18"/>
        <w:szCs w:val="18"/>
      </w:rPr>
    </w:pPr>
    <w:r>
      <w:rPr>
        <w:b/>
        <w:bCs/>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62"/>
      <w:gridCol w:w="4317"/>
      <w:gridCol w:w="280"/>
      <w:gridCol w:w="279"/>
      <w:gridCol w:w="283"/>
      <w:gridCol w:w="282"/>
      <w:gridCol w:w="283"/>
      <w:gridCol w:w="282"/>
      <w:gridCol w:w="283"/>
      <w:gridCol w:w="282"/>
      <w:gridCol w:w="283"/>
      <w:gridCol w:w="282"/>
    </w:tblGrid>
    <w:tr w:rsidR="004C3DC9" w:rsidRPr="007E14EF">
      <w:trPr>
        <w:trHeight w:val="126"/>
      </w:trPr>
      <w:tc>
        <w:tcPr>
          <w:tcW w:w="2062" w:type="dxa"/>
          <w:tcBorders>
            <w:top w:val="nil"/>
            <w:left w:val="nil"/>
            <w:bottom w:val="nil"/>
            <w:right w:val="nil"/>
          </w:tcBorders>
          <w:vAlign w:val="center"/>
        </w:tcPr>
        <w:p w:rsidR="004C3DC9" w:rsidRPr="007E14EF" w:rsidRDefault="004C3DC9" w:rsidP="006E4DDB">
          <w:pPr>
            <w:tabs>
              <w:tab w:val="center" w:pos="4253"/>
              <w:tab w:val="right" w:pos="9072"/>
              <w:tab w:val="right" w:pos="9213"/>
            </w:tabs>
            <w:spacing w:line="276" w:lineRule="auto"/>
            <w:ind w:firstLine="2"/>
            <w:rPr>
              <w:rFonts w:eastAsia="Times New Roman"/>
              <w:sz w:val="18"/>
              <w:szCs w:val="18"/>
            </w:rPr>
          </w:pPr>
          <w:r w:rsidRPr="007E14EF">
            <w:rPr>
              <w:rFonts w:eastAsia="Times New Roman"/>
              <w:sz w:val="18"/>
              <w:szCs w:val="18"/>
            </w:rPr>
            <w:t>Poznámky Úč POD 3 - 01</w:t>
          </w:r>
        </w:p>
      </w:tc>
      <w:tc>
        <w:tcPr>
          <w:tcW w:w="4317" w:type="dxa"/>
          <w:tcBorders>
            <w:top w:val="nil"/>
            <w:left w:val="nil"/>
            <w:bottom w:val="nil"/>
            <w:right w:val="nil"/>
          </w:tcBorders>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IČO</w:t>
          </w:r>
        </w:p>
      </w:tc>
      <w:tc>
        <w:tcPr>
          <w:tcW w:w="280" w:type="dxa"/>
          <w:tcBorders>
            <w:top w:val="nil"/>
            <w:left w:val="nil"/>
            <w:bottom w:val="nil"/>
            <w:right w:val="nil"/>
          </w:tcBorders>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p>
      </w:tc>
      <w:tc>
        <w:tcPr>
          <w:tcW w:w="279" w:type="dxa"/>
          <w:tcBorders>
            <w:top w:val="nil"/>
            <w:left w:val="nil"/>
            <w:bottom w:val="nil"/>
          </w:tcBorders>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p>
      </w:tc>
      <w:tc>
        <w:tcPr>
          <w:tcW w:w="283"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83"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82"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3"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2"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9</w:t>
          </w:r>
        </w:p>
      </w:tc>
      <w:tc>
        <w:tcPr>
          <w:tcW w:w="283"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r>
  </w:tbl>
  <w:p w:rsidR="004C3DC9" w:rsidRPr="007E14EF" w:rsidRDefault="004C3DC9" w:rsidP="006E4DDB">
    <w:pPr>
      <w:tabs>
        <w:tab w:val="center" w:pos="4536"/>
        <w:tab w:val="center" w:pos="4962"/>
        <w:tab w:val="right" w:pos="9072"/>
        <w:tab w:val="right" w:pos="9213"/>
      </w:tabs>
      <w:ind w:right="-1"/>
      <w:jc w:val="right"/>
      <w:rPr>
        <w:rFonts w:eastAsia="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4162"/>
      <w:gridCol w:w="279"/>
      <w:gridCol w:w="280"/>
      <w:gridCol w:w="279"/>
      <w:gridCol w:w="287"/>
      <w:gridCol w:w="279"/>
      <w:gridCol w:w="278"/>
      <w:gridCol w:w="279"/>
      <w:gridCol w:w="278"/>
      <w:gridCol w:w="279"/>
      <w:gridCol w:w="278"/>
    </w:tblGrid>
    <w:tr w:rsidR="004C3DC9" w:rsidRPr="007E14EF">
      <w:trPr>
        <w:trHeight w:val="127"/>
      </w:trPr>
      <w:tc>
        <w:tcPr>
          <w:tcW w:w="2012" w:type="dxa"/>
          <w:tcBorders>
            <w:top w:val="nil"/>
            <w:left w:val="nil"/>
            <w:bottom w:val="nil"/>
            <w:right w:val="nil"/>
          </w:tcBorders>
          <w:vAlign w:val="center"/>
        </w:tcPr>
        <w:p w:rsidR="004C3DC9" w:rsidRPr="007E14EF" w:rsidRDefault="004C3DC9" w:rsidP="006E4DDB">
          <w:pPr>
            <w:spacing w:after="200" w:line="276" w:lineRule="auto"/>
            <w:rPr>
              <w:rFonts w:ascii="Calibri" w:eastAsia="Times New Roman" w:hAnsi="Calibri"/>
              <w:sz w:val="22"/>
              <w:szCs w:val="22"/>
            </w:rPr>
          </w:pPr>
        </w:p>
      </w:tc>
      <w:tc>
        <w:tcPr>
          <w:tcW w:w="4162" w:type="dxa"/>
          <w:tcBorders>
            <w:top w:val="nil"/>
            <w:left w:val="nil"/>
            <w:bottom w:val="nil"/>
          </w:tcBorders>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DIČ</w:t>
          </w:r>
        </w:p>
      </w:tc>
      <w:tc>
        <w:tcPr>
          <w:tcW w:w="279"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0"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7"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8"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79"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c>
        <w:tcPr>
          <w:tcW w:w="278"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5</w:t>
          </w:r>
        </w:p>
      </w:tc>
      <w:tc>
        <w:tcPr>
          <w:tcW w:w="278"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7</w:t>
          </w:r>
        </w:p>
      </w:tc>
    </w:tr>
  </w:tbl>
  <w:p w:rsidR="004C3DC9" w:rsidRPr="00797BDE" w:rsidRDefault="004C3DC9" w:rsidP="00797BDE">
    <w:pPr>
      <w:pStyle w:val="Header"/>
      <w:tabs>
        <w:tab w:val="clear" w:pos="4153"/>
        <w:tab w:val="clear" w:pos="8306"/>
        <w:tab w:val="center" w:pos="4820"/>
        <w:tab w:val="right" w:pos="9214"/>
      </w:tabs>
      <w:ind w:right="-1"/>
      <w:rPr>
        <w:rFonts w:ascii="Impact" w:hAnsi="Impact" w:cs="Impact"/>
        <w:b/>
        <w:bCs/>
        <w:color w:val="000080"/>
      </w:rPr>
    </w:pPr>
    <w:r>
      <w:rPr>
        <w:b/>
        <w:bCs/>
        <w:sz w:val="18"/>
        <w:szCs w:val="18"/>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DC9" w:rsidRDefault="004C3DC9" w:rsidP="002A48EB">
    <w:pPr>
      <w:pStyle w:val="Header"/>
      <w:tabs>
        <w:tab w:val="clear" w:pos="4153"/>
        <w:tab w:val="clear" w:pos="8306"/>
        <w:tab w:val="center" w:pos="4820"/>
        <w:tab w:val="right" w:pos="9214"/>
      </w:tabs>
      <w:ind w:right="-1"/>
      <w:rPr>
        <w:sz w:val="18"/>
        <w:szCs w:val="18"/>
      </w:rPr>
    </w:pPr>
    <w:r w:rsidRPr="00685D38">
      <w:rPr>
        <w:rFonts w:ascii="Impact" w:hAnsi="Impact" w:cs="Impact"/>
        <w:noProof/>
        <w:color w:val="000080"/>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68.25pt;height:21.75pt;visibility:visible">
          <v:imagedata r:id="rId1" o:title=""/>
        </v:shape>
      </w:pict>
    </w:r>
    <w:r>
      <w:rPr>
        <w:rFonts w:ascii="Impact" w:hAnsi="Impact" w:cs="Impact"/>
        <w:color w:val="000080"/>
      </w:rPr>
      <w:t xml:space="preserve">                                               </w:t>
    </w:r>
    <w:r>
      <w:rPr>
        <w:b/>
        <w:bCs/>
        <w:sz w:val="18"/>
        <w:szCs w:val="18"/>
      </w:rPr>
      <w:t>Fagor Ederlan Slovensko, a.s.</w:t>
    </w:r>
    <w:r>
      <w:rPr>
        <w:rFonts w:ascii="Impact" w:hAnsi="Impact" w:cs="Impact"/>
        <w:color w:val="000080"/>
      </w:rPr>
      <w:t xml:space="preserve">                                       </w:t>
    </w:r>
    <w:r>
      <w:rPr>
        <w:sz w:val="18"/>
        <w:szCs w:val="18"/>
      </w:rPr>
      <w:t xml:space="preserve">Poznámky </w:t>
    </w:r>
    <w:r>
      <w:rPr>
        <w:rFonts w:ascii="Impact" w:hAnsi="Impact" w:cs="Impact"/>
        <w:color w:val="000080"/>
      </w:rPr>
      <w:t xml:space="preserve"> </w:t>
    </w:r>
    <w:r>
      <w:rPr>
        <w:sz w:val="18"/>
        <w:szCs w:val="18"/>
      </w:rPr>
      <w:t>k účtovnej závierke</w:t>
    </w:r>
  </w:p>
  <w:p w:rsidR="004C3DC9" w:rsidRDefault="004C3DC9" w:rsidP="002A48EB">
    <w:pPr>
      <w:pStyle w:val="Header"/>
      <w:tabs>
        <w:tab w:val="clear" w:pos="4153"/>
        <w:tab w:val="clear" w:pos="8306"/>
        <w:tab w:val="center" w:pos="4820"/>
        <w:tab w:val="right" w:pos="9214"/>
      </w:tabs>
      <w:ind w:right="-1"/>
      <w:rPr>
        <w:rFonts w:ascii="Impact" w:hAnsi="Impact" w:cs="Impact"/>
        <w:b/>
        <w:bCs/>
        <w:color w:val="000080"/>
      </w:rPr>
    </w:pPr>
    <w:r>
      <w:rPr>
        <w:sz w:val="18"/>
        <w:szCs w:val="18"/>
      </w:rPr>
      <w:t xml:space="preserve">                                                                                                                                                               k 31. decembru 2014</w:t>
    </w:r>
    <w:r>
      <w:rPr>
        <w:rFonts w:ascii="Impact" w:hAnsi="Impact" w:cs="Impact"/>
        <w:color w:val="000080"/>
      </w:rPr>
      <w:tab/>
    </w:r>
    <w:r>
      <w:rPr>
        <w:rFonts w:ascii="Impact" w:hAnsi="Impact" w:cs="Impact"/>
        <w:color w:val="000080"/>
      </w:rPr>
      <w:tab/>
    </w:r>
  </w:p>
  <w:p w:rsidR="004C3DC9" w:rsidRDefault="004C3DC9" w:rsidP="002A48EB">
    <w:pPr>
      <w:pStyle w:val="Header"/>
      <w:tabs>
        <w:tab w:val="clear" w:pos="4153"/>
        <w:tab w:val="clear" w:pos="8306"/>
        <w:tab w:val="center" w:pos="4820"/>
        <w:tab w:val="right" w:pos="9214"/>
      </w:tabs>
      <w:ind w:right="-1"/>
      <w:rPr>
        <w:b/>
        <w:bCs/>
        <w:sz w:val="18"/>
        <w:szCs w:val="18"/>
      </w:rPr>
    </w:pPr>
    <w:r>
      <w:rPr>
        <w:b/>
        <w:bCs/>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62"/>
      <w:gridCol w:w="4317"/>
      <w:gridCol w:w="280"/>
      <w:gridCol w:w="279"/>
      <w:gridCol w:w="283"/>
      <w:gridCol w:w="282"/>
      <w:gridCol w:w="283"/>
      <w:gridCol w:w="282"/>
      <w:gridCol w:w="283"/>
      <w:gridCol w:w="282"/>
      <w:gridCol w:w="283"/>
      <w:gridCol w:w="282"/>
    </w:tblGrid>
    <w:tr w:rsidR="004C3DC9" w:rsidRPr="007E14EF">
      <w:trPr>
        <w:trHeight w:val="126"/>
      </w:trPr>
      <w:tc>
        <w:tcPr>
          <w:tcW w:w="2062" w:type="dxa"/>
          <w:tcBorders>
            <w:top w:val="nil"/>
            <w:left w:val="nil"/>
            <w:bottom w:val="nil"/>
            <w:right w:val="nil"/>
          </w:tcBorders>
          <w:vAlign w:val="center"/>
        </w:tcPr>
        <w:p w:rsidR="004C3DC9" w:rsidRPr="007E14EF" w:rsidRDefault="004C3DC9" w:rsidP="007E14EF">
          <w:pPr>
            <w:tabs>
              <w:tab w:val="center" w:pos="4253"/>
              <w:tab w:val="right" w:pos="9072"/>
              <w:tab w:val="right" w:pos="9213"/>
            </w:tabs>
            <w:spacing w:line="276" w:lineRule="auto"/>
            <w:ind w:firstLine="2"/>
            <w:rPr>
              <w:rFonts w:eastAsia="Times New Roman"/>
              <w:sz w:val="18"/>
              <w:szCs w:val="18"/>
            </w:rPr>
          </w:pPr>
          <w:r w:rsidRPr="007E14EF">
            <w:rPr>
              <w:rFonts w:eastAsia="Times New Roman"/>
              <w:sz w:val="18"/>
              <w:szCs w:val="18"/>
            </w:rPr>
            <w:t>Poznámky Úč POD 3 - 01</w:t>
          </w:r>
        </w:p>
      </w:tc>
      <w:tc>
        <w:tcPr>
          <w:tcW w:w="4317" w:type="dxa"/>
          <w:tcBorders>
            <w:top w:val="nil"/>
            <w:left w:val="nil"/>
            <w:bottom w:val="nil"/>
            <w:right w:val="nil"/>
          </w:tcBorders>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IČO</w:t>
          </w:r>
        </w:p>
      </w:tc>
      <w:tc>
        <w:tcPr>
          <w:tcW w:w="280" w:type="dxa"/>
          <w:tcBorders>
            <w:top w:val="nil"/>
            <w:left w:val="nil"/>
            <w:bottom w:val="nil"/>
            <w:right w:val="nil"/>
          </w:tcBorders>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p>
      </w:tc>
      <w:tc>
        <w:tcPr>
          <w:tcW w:w="279" w:type="dxa"/>
          <w:tcBorders>
            <w:top w:val="nil"/>
            <w:left w:val="nil"/>
            <w:bottom w:val="nil"/>
          </w:tcBorders>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p>
      </w:tc>
      <w:tc>
        <w:tcPr>
          <w:tcW w:w="283"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83"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82"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3"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2"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9</w:t>
          </w:r>
        </w:p>
      </w:tc>
      <w:tc>
        <w:tcPr>
          <w:tcW w:w="283"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r>
  </w:tbl>
  <w:p w:rsidR="004C3DC9" w:rsidRPr="007E14EF" w:rsidRDefault="004C3DC9" w:rsidP="007E14EF">
    <w:pPr>
      <w:tabs>
        <w:tab w:val="center" w:pos="4536"/>
        <w:tab w:val="center" w:pos="4962"/>
        <w:tab w:val="right" w:pos="9072"/>
        <w:tab w:val="right" w:pos="9213"/>
      </w:tabs>
      <w:ind w:right="-1"/>
      <w:jc w:val="right"/>
      <w:rPr>
        <w:rFonts w:eastAsia="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4162"/>
      <w:gridCol w:w="279"/>
      <w:gridCol w:w="280"/>
      <w:gridCol w:w="279"/>
      <w:gridCol w:w="287"/>
      <w:gridCol w:w="279"/>
      <w:gridCol w:w="278"/>
      <w:gridCol w:w="279"/>
      <w:gridCol w:w="278"/>
      <w:gridCol w:w="279"/>
      <w:gridCol w:w="278"/>
    </w:tblGrid>
    <w:tr w:rsidR="004C3DC9" w:rsidRPr="007E14EF">
      <w:trPr>
        <w:trHeight w:val="127"/>
      </w:trPr>
      <w:tc>
        <w:tcPr>
          <w:tcW w:w="2012" w:type="dxa"/>
          <w:tcBorders>
            <w:top w:val="nil"/>
            <w:left w:val="nil"/>
            <w:bottom w:val="nil"/>
            <w:right w:val="nil"/>
          </w:tcBorders>
          <w:vAlign w:val="center"/>
        </w:tcPr>
        <w:p w:rsidR="004C3DC9" w:rsidRPr="007E14EF" w:rsidRDefault="004C3DC9" w:rsidP="007E14EF">
          <w:pPr>
            <w:spacing w:after="200" w:line="276" w:lineRule="auto"/>
            <w:rPr>
              <w:rFonts w:ascii="Calibri" w:eastAsia="Times New Roman" w:hAnsi="Calibri"/>
              <w:sz w:val="22"/>
              <w:szCs w:val="22"/>
            </w:rPr>
          </w:pPr>
        </w:p>
      </w:tc>
      <w:tc>
        <w:tcPr>
          <w:tcW w:w="4162" w:type="dxa"/>
          <w:tcBorders>
            <w:top w:val="nil"/>
            <w:left w:val="nil"/>
            <w:bottom w:val="nil"/>
          </w:tcBorders>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DIČ</w:t>
          </w:r>
        </w:p>
      </w:tc>
      <w:tc>
        <w:tcPr>
          <w:tcW w:w="279"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0"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7"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8"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79"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c>
        <w:tcPr>
          <w:tcW w:w="278"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5</w:t>
          </w:r>
        </w:p>
      </w:tc>
      <w:tc>
        <w:tcPr>
          <w:tcW w:w="278" w:type="dxa"/>
          <w:vAlign w:val="center"/>
        </w:tcPr>
        <w:p w:rsidR="004C3DC9" w:rsidRPr="007E14EF" w:rsidRDefault="004C3DC9"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7</w:t>
          </w:r>
        </w:p>
      </w:tc>
    </w:tr>
  </w:tbl>
  <w:p w:rsidR="004C3DC9" w:rsidRPr="007E14EF" w:rsidRDefault="004C3DC9" w:rsidP="007E14EF">
    <w:pPr>
      <w:rPr>
        <w:lang w:eastAsia="sk-SK"/>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DC9" w:rsidRDefault="004C3DC9" w:rsidP="00EC7399">
    <w:pPr>
      <w:pStyle w:val="Header"/>
      <w:tabs>
        <w:tab w:val="clear" w:pos="4153"/>
        <w:tab w:val="clear" w:pos="8306"/>
        <w:tab w:val="center" w:pos="4820"/>
        <w:tab w:val="left" w:pos="5954"/>
        <w:tab w:val="right" w:pos="9214"/>
      </w:tabs>
      <w:ind w:right="-1"/>
      <w:rPr>
        <w:sz w:val="18"/>
        <w:szCs w:val="18"/>
      </w:rPr>
    </w:pPr>
    <w:r w:rsidRPr="00685D38">
      <w:rPr>
        <w:rFonts w:ascii="Impact" w:hAnsi="Impact" w:cs="Impact"/>
        <w:noProof/>
        <w:color w:val="000080"/>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68.25pt;height:21.75pt;visibility:visible">
          <v:imagedata r:id="rId1" o:title=""/>
        </v:shape>
      </w:pict>
    </w:r>
    <w:r>
      <w:rPr>
        <w:rFonts w:ascii="Impact" w:hAnsi="Impact" w:cs="Impact"/>
        <w:color w:val="000080"/>
      </w:rPr>
      <w:t xml:space="preserve">                                      </w:t>
    </w:r>
    <w:r>
      <w:rPr>
        <w:rFonts w:ascii="Impact" w:hAnsi="Impact" w:cs="Impact"/>
        <w:color w:val="000080"/>
      </w:rPr>
      <w:tab/>
    </w:r>
    <w:r>
      <w:rPr>
        <w:rFonts w:ascii="Impact" w:hAnsi="Impact" w:cs="Impact"/>
        <w:color w:val="000080"/>
      </w:rPr>
      <w:tab/>
    </w:r>
    <w:r>
      <w:rPr>
        <w:b/>
        <w:bCs/>
        <w:sz w:val="18"/>
        <w:szCs w:val="18"/>
      </w:rPr>
      <w:t>Fagor Ederlan Slovensko, a.s.</w:t>
    </w:r>
    <w:r>
      <w:rPr>
        <w:rFonts w:ascii="Impact" w:hAnsi="Impact" w:cs="Impact"/>
        <w:color w:val="000080"/>
      </w:rPr>
      <w:t xml:space="preserve">                                 </w:t>
    </w:r>
    <w:r>
      <w:rPr>
        <w:rFonts w:ascii="Impact" w:hAnsi="Impact" w:cs="Impact"/>
        <w:color w:val="000080"/>
      </w:rPr>
      <w:tab/>
      <w:t xml:space="preserve"> </w:t>
    </w:r>
    <w:r>
      <w:rPr>
        <w:rFonts w:ascii="Impact" w:hAnsi="Impact" w:cs="Impact"/>
        <w:color w:val="000080"/>
      </w:rPr>
      <w:tab/>
    </w:r>
    <w:r>
      <w:rPr>
        <w:rFonts w:ascii="Impact" w:hAnsi="Impact" w:cs="Impact"/>
        <w:color w:val="000080"/>
      </w:rPr>
      <w:tab/>
      <w:t xml:space="preserve">             </w:t>
    </w:r>
    <w:r>
      <w:rPr>
        <w:sz w:val="18"/>
        <w:szCs w:val="18"/>
      </w:rPr>
      <w:t xml:space="preserve">Poznámky </w:t>
    </w:r>
    <w:r>
      <w:rPr>
        <w:rFonts w:ascii="Impact" w:hAnsi="Impact" w:cs="Impact"/>
        <w:color w:val="000080"/>
      </w:rPr>
      <w:t xml:space="preserve"> </w:t>
    </w:r>
    <w:r>
      <w:rPr>
        <w:sz w:val="18"/>
        <w:szCs w:val="18"/>
      </w:rPr>
      <w:t>k účtovnej závierke</w:t>
    </w:r>
  </w:p>
  <w:p w:rsidR="004C3DC9" w:rsidRDefault="004C3DC9" w:rsidP="00EC7399">
    <w:pPr>
      <w:pStyle w:val="Header"/>
      <w:tabs>
        <w:tab w:val="clear" w:pos="4153"/>
        <w:tab w:val="clear" w:pos="8306"/>
        <w:tab w:val="center" w:pos="4820"/>
        <w:tab w:val="right" w:pos="9214"/>
      </w:tabs>
      <w:ind w:right="-1"/>
      <w:rPr>
        <w:rFonts w:ascii="Impact" w:hAnsi="Impact" w:cs="Impact"/>
        <w:b/>
        <w:bCs/>
        <w:color w:val="000080"/>
      </w:rPr>
    </w:pPr>
    <w:r>
      <w:rPr>
        <w:sz w:val="18"/>
        <w:szCs w:val="18"/>
      </w:rPr>
      <w:t xml:space="preserve">                                                                                                                                                            </w:t>
    </w:r>
    <w:r>
      <w:rPr>
        <w:sz w:val="18"/>
        <w:szCs w:val="18"/>
      </w:rPr>
      <w:tab/>
    </w:r>
    <w:r>
      <w:rPr>
        <w:sz w:val="18"/>
        <w:szCs w:val="18"/>
      </w:rPr>
      <w:tab/>
    </w:r>
    <w:r>
      <w:rPr>
        <w:sz w:val="18"/>
        <w:szCs w:val="18"/>
      </w:rPr>
      <w:tab/>
    </w:r>
    <w:r>
      <w:rPr>
        <w:sz w:val="18"/>
        <w:szCs w:val="18"/>
      </w:rPr>
      <w:tab/>
      <w:t xml:space="preserve"> </w:t>
    </w:r>
    <w:r>
      <w:rPr>
        <w:sz w:val="18"/>
        <w:szCs w:val="18"/>
      </w:rPr>
      <w:tab/>
    </w:r>
    <w:r>
      <w:rPr>
        <w:sz w:val="18"/>
        <w:szCs w:val="18"/>
      </w:rPr>
      <w:tab/>
      <w:t xml:space="preserve">  k 31. decembru 2014</w:t>
    </w:r>
    <w:r>
      <w:rPr>
        <w:rFonts w:ascii="Impact" w:hAnsi="Impact" w:cs="Impact"/>
        <w:color w:val="000080"/>
      </w:rPr>
      <w:tab/>
    </w:r>
    <w:r>
      <w:rPr>
        <w:rFonts w:ascii="Impact" w:hAnsi="Impact" w:cs="Impact"/>
        <w:color w:val="000080"/>
      </w:rPr>
      <w:tab/>
    </w:r>
  </w:p>
  <w:p w:rsidR="004C3DC9" w:rsidRDefault="004C3DC9" w:rsidP="00EC7399">
    <w:pPr>
      <w:pStyle w:val="Header"/>
      <w:tabs>
        <w:tab w:val="clear" w:pos="4153"/>
        <w:tab w:val="clear" w:pos="8306"/>
        <w:tab w:val="center" w:pos="4820"/>
        <w:tab w:val="right" w:pos="9214"/>
      </w:tabs>
      <w:ind w:right="-1"/>
      <w:rPr>
        <w:b/>
        <w:bCs/>
        <w:sz w:val="18"/>
        <w:szCs w:val="18"/>
      </w:rPr>
    </w:pPr>
    <w:r>
      <w:rPr>
        <w:b/>
        <w:bCs/>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62"/>
      <w:gridCol w:w="9490"/>
      <w:gridCol w:w="280"/>
      <w:gridCol w:w="279"/>
      <w:gridCol w:w="283"/>
      <w:gridCol w:w="282"/>
      <w:gridCol w:w="283"/>
      <w:gridCol w:w="282"/>
      <w:gridCol w:w="283"/>
      <w:gridCol w:w="282"/>
      <w:gridCol w:w="283"/>
      <w:gridCol w:w="282"/>
    </w:tblGrid>
    <w:tr w:rsidR="004C3DC9" w:rsidRPr="007E14EF">
      <w:trPr>
        <w:trHeight w:val="126"/>
      </w:trPr>
      <w:tc>
        <w:tcPr>
          <w:tcW w:w="2062" w:type="dxa"/>
          <w:tcBorders>
            <w:top w:val="nil"/>
            <w:left w:val="nil"/>
            <w:bottom w:val="nil"/>
            <w:right w:val="nil"/>
          </w:tcBorders>
          <w:vAlign w:val="center"/>
        </w:tcPr>
        <w:p w:rsidR="004C3DC9" w:rsidRPr="007E14EF" w:rsidRDefault="004C3DC9" w:rsidP="00526BB1">
          <w:pPr>
            <w:tabs>
              <w:tab w:val="center" w:pos="4253"/>
              <w:tab w:val="right" w:pos="9072"/>
              <w:tab w:val="right" w:pos="9213"/>
            </w:tabs>
            <w:spacing w:line="276" w:lineRule="auto"/>
            <w:ind w:firstLine="2"/>
            <w:rPr>
              <w:rFonts w:eastAsia="Times New Roman"/>
              <w:sz w:val="18"/>
              <w:szCs w:val="18"/>
            </w:rPr>
          </w:pPr>
          <w:r w:rsidRPr="007E14EF">
            <w:rPr>
              <w:rFonts w:eastAsia="Times New Roman"/>
              <w:sz w:val="18"/>
              <w:szCs w:val="18"/>
            </w:rPr>
            <w:t>Poznámky Úč POD 3 - 01</w:t>
          </w:r>
        </w:p>
      </w:tc>
      <w:tc>
        <w:tcPr>
          <w:tcW w:w="9490" w:type="dxa"/>
          <w:tcBorders>
            <w:top w:val="nil"/>
            <w:left w:val="nil"/>
            <w:bottom w:val="nil"/>
            <w:right w:val="nil"/>
          </w:tcBorders>
          <w:vAlign w:val="center"/>
        </w:tcPr>
        <w:p w:rsidR="004C3DC9" w:rsidRPr="007E14EF" w:rsidRDefault="004C3DC9" w:rsidP="00526BB1">
          <w:pPr>
            <w:tabs>
              <w:tab w:val="center" w:pos="4253"/>
              <w:tab w:val="left" w:pos="7152"/>
              <w:tab w:val="right" w:pos="9072"/>
              <w:tab w:val="right" w:pos="9213"/>
            </w:tabs>
            <w:spacing w:line="276" w:lineRule="auto"/>
            <w:jc w:val="right"/>
            <w:rPr>
              <w:rFonts w:eastAsia="Times New Roman"/>
              <w:sz w:val="18"/>
              <w:szCs w:val="18"/>
            </w:rPr>
          </w:pPr>
          <w:r w:rsidRPr="007E14EF">
            <w:rPr>
              <w:rFonts w:eastAsia="Times New Roman"/>
              <w:sz w:val="18"/>
              <w:szCs w:val="18"/>
            </w:rPr>
            <w:t xml:space="preserve">                                                                                     IČO</w:t>
          </w:r>
        </w:p>
      </w:tc>
      <w:tc>
        <w:tcPr>
          <w:tcW w:w="280" w:type="dxa"/>
          <w:tcBorders>
            <w:top w:val="nil"/>
            <w:left w:val="nil"/>
            <w:bottom w:val="nil"/>
            <w:right w:val="nil"/>
          </w:tcBorders>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p>
      </w:tc>
      <w:tc>
        <w:tcPr>
          <w:tcW w:w="279" w:type="dxa"/>
          <w:tcBorders>
            <w:top w:val="nil"/>
            <w:left w:val="nil"/>
            <w:bottom w:val="nil"/>
          </w:tcBorders>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p>
      </w:tc>
      <w:tc>
        <w:tcPr>
          <w:tcW w:w="283"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83"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82"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3"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2"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9</w:t>
          </w:r>
        </w:p>
      </w:tc>
      <w:tc>
        <w:tcPr>
          <w:tcW w:w="283"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r>
  </w:tbl>
  <w:p w:rsidR="004C3DC9" w:rsidRPr="007E14EF" w:rsidRDefault="004C3DC9" w:rsidP="00EC7399">
    <w:pPr>
      <w:tabs>
        <w:tab w:val="center" w:pos="4536"/>
        <w:tab w:val="center" w:pos="4962"/>
        <w:tab w:val="right" w:pos="9072"/>
        <w:tab w:val="right" w:pos="9213"/>
      </w:tabs>
      <w:ind w:right="-1"/>
      <w:jc w:val="right"/>
      <w:rPr>
        <w:rFonts w:eastAsia="Times New Roman"/>
        <w:sz w:val="18"/>
        <w:szCs w:val="18"/>
        <w:lang w:val="en-GB"/>
      </w:rPr>
    </w:pPr>
  </w:p>
  <w:tbl>
    <w:tblPr>
      <w:tblW w:w="14125"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9317"/>
      <w:gridCol w:w="279"/>
      <w:gridCol w:w="280"/>
      <w:gridCol w:w="279"/>
      <w:gridCol w:w="287"/>
      <w:gridCol w:w="279"/>
      <w:gridCol w:w="278"/>
      <w:gridCol w:w="279"/>
      <w:gridCol w:w="278"/>
      <w:gridCol w:w="279"/>
      <w:gridCol w:w="278"/>
    </w:tblGrid>
    <w:tr w:rsidR="004C3DC9" w:rsidRPr="007E14EF">
      <w:trPr>
        <w:trHeight w:val="127"/>
      </w:trPr>
      <w:tc>
        <w:tcPr>
          <w:tcW w:w="2012" w:type="dxa"/>
          <w:tcBorders>
            <w:top w:val="nil"/>
            <w:left w:val="nil"/>
            <w:bottom w:val="nil"/>
            <w:right w:val="nil"/>
          </w:tcBorders>
          <w:vAlign w:val="center"/>
        </w:tcPr>
        <w:p w:rsidR="004C3DC9" w:rsidRPr="007E14EF" w:rsidRDefault="004C3DC9" w:rsidP="00526BB1">
          <w:pPr>
            <w:spacing w:after="200" w:line="276" w:lineRule="auto"/>
            <w:rPr>
              <w:rFonts w:ascii="Calibri" w:eastAsia="Times New Roman" w:hAnsi="Calibri"/>
              <w:sz w:val="22"/>
              <w:szCs w:val="22"/>
            </w:rPr>
          </w:pPr>
        </w:p>
      </w:tc>
      <w:tc>
        <w:tcPr>
          <w:tcW w:w="9317" w:type="dxa"/>
          <w:tcBorders>
            <w:top w:val="nil"/>
            <w:left w:val="nil"/>
            <w:bottom w:val="nil"/>
          </w:tcBorders>
          <w:vAlign w:val="center"/>
        </w:tcPr>
        <w:p w:rsidR="004C3DC9" w:rsidRPr="007E14EF" w:rsidRDefault="004C3DC9" w:rsidP="00526BB1">
          <w:pPr>
            <w:tabs>
              <w:tab w:val="center" w:pos="4253"/>
              <w:tab w:val="right" w:pos="9072"/>
              <w:tab w:val="right" w:pos="9213"/>
            </w:tabs>
            <w:spacing w:line="276" w:lineRule="auto"/>
            <w:jc w:val="right"/>
            <w:rPr>
              <w:rFonts w:eastAsia="Times New Roman"/>
              <w:sz w:val="18"/>
              <w:szCs w:val="18"/>
            </w:rPr>
          </w:pPr>
          <w:r w:rsidRPr="007E14EF">
            <w:rPr>
              <w:rFonts w:eastAsia="Times New Roman"/>
              <w:sz w:val="18"/>
              <w:szCs w:val="18"/>
            </w:rPr>
            <w:t xml:space="preserve">                                                                                DIČ</w:t>
          </w:r>
        </w:p>
      </w:tc>
      <w:tc>
        <w:tcPr>
          <w:tcW w:w="279"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0"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7"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8"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79"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c>
        <w:tcPr>
          <w:tcW w:w="278"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5</w:t>
          </w:r>
        </w:p>
      </w:tc>
      <w:tc>
        <w:tcPr>
          <w:tcW w:w="278"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7</w:t>
          </w:r>
        </w:p>
      </w:tc>
    </w:tr>
  </w:tbl>
  <w:p w:rsidR="004C3DC9" w:rsidRPr="006E4DDB" w:rsidRDefault="004C3DC9" w:rsidP="00EC7399">
    <w:pPr>
      <w:pStyle w:val="Header"/>
    </w:pPr>
  </w:p>
  <w:p w:rsidR="004C3DC9" w:rsidRPr="006E4DDB" w:rsidRDefault="004C3DC9" w:rsidP="006E4DDB">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DC9" w:rsidRDefault="004C3DC9" w:rsidP="006E4DDB">
    <w:pPr>
      <w:pStyle w:val="Header"/>
      <w:tabs>
        <w:tab w:val="clear" w:pos="4153"/>
        <w:tab w:val="clear" w:pos="8306"/>
        <w:tab w:val="center" w:pos="4820"/>
        <w:tab w:val="left" w:pos="5954"/>
        <w:tab w:val="right" w:pos="9214"/>
      </w:tabs>
      <w:ind w:right="-1"/>
      <w:rPr>
        <w:sz w:val="18"/>
        <w:szCs w:val="18"/>
      </w:rPr>
    </w:pPr>
    <w:r w:rsidRPr="00685D38">
      <w:rPr>
        <w:rFonts w:ascii="Impact" w:hAnsi="Impact" w:cs="Impact"/>
        <w:noProof/>
        <w:color w:val="000080"/>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68.25pt;height:21.75pt;visibility:visible">
          <v:imagedata r:id="rId1" o:title=""/>
        </v:shape>
      </w:pict>
    </w:r>
    <w:r>
      <w:rPr>
        <w:rFonts w:ascii="Impact" w:hAnsi="Impact" w:cs="Impact"/>
        <w:color w:val="000080"/>
      </w:rPr>
      <w:t xml:space="preserve">                                      </w:t>
    </w:r>
    <w:r>
      <w:rPr>
        <w:rFonts w:ascii="Impact" w:hAnsi="Impact" w:cs="Impact"/>
        <w:color w:val="000080"/>
      </w:rPr>
      <w:tab/>
    </w:r>
    <w:r>
      <w:rPr>
        <w:rFonts w:ascii="Impact" w:hAnsi="Impact" w:cs="Impact"/>
        <w:color w:val="000080"/>
      </w:rPr>
      <w:tab/>
    </w:r>
    <w:r>
      <w:rPr>
        <w:b/>
        <w:bCs/>
        <w:sz w:val="18"/>
        <w:szCs w:val="18"/>
      </w:rPr>
      <w:t>Fagor Ederlan Slovensko, a.s.</w:t>
    </w:r>
    <w:r>
      <w:rPr>
        <w:rFonts w:ascii="Impact" w:hAnsi="Impact" w:cs="Impact"/>
        <w:color w:val="000080"/>
      </w:rPr>
      <w:t xml:space="preserve">                                 </w:t>
    </w:r>
    <w:r>
      <w:rPr>
        <w:rFonts w:ascii="Impact" w:hAnsi="Impact" w:cs="Impact"/>
        <w:color w:val="000080"/>
      </w:rPr>
      <w:tab/>
      <w:t xml:space="preserve"> </w:t>
    </w:r>
    <w:r>
      <w:rPr>
        <w:rFonts w:ascii="Impact" w:hAnsi="Impact" w:cs="Impact"/>
        <w:color w:val="000080"/>
      </w:rPr>
      <w:tab/>
    </w:r>
    <w:r>
      <w:rPr>
        <w:rFonts w:ascii="Impact" w:hAnsi="Impact" w:cs="Impact"/>
        <w:color w:val="000080"/>
      </w:rPr>
      <w:tab/>
      <w:t xml:space="preserve">             </w:t>
    </w:r>
    <w:r>
      <w:rPr>
        <w:sz w:val="18"/>
        <w:szCs w:val="18"/>
      </w:rPr>
      <w:t xml:space="preserve">Poznámky </w:t>
    </w:r>
    <w:r>
      <w:rPr>
        <w:rFonts w:ascii="Impact" w:hAnsi="Impact" w:cs="Impact"/>
        <w:color w:val="000080"/>
      </w:rPr>
      <w:t xml:space="preserve"> </w:t>
    </w:r>
    <w:r>
      <w:rPr>
        <w:sz w:val="18"/>
        <w:szCs w:val="18"/>
      </w:rPr>
      <w:t>k účtovnej závierke</w:t>
    </w:r>
  </w:p>
  <w:p w:rsidR="004C3DC9" w:rsidRDefault="004C3DC9" w:rsidP="006E4DDB">
    <w:pPr>
      <w:pStyle w:val="Header"/>
      <w:tabs>
        <w:tab w:val="clear" w:pos="4153"/>
        <w:tab w:val="clear" w:pos="8306"/>
        <w:tab w:val="center" w:pos="4820"/>
        <w:tab w:val="right" w:pos="9214"/>
      </w:tabs>
      <w:ind w:right="-1"/>
      <w:rPr>
        <w:rFonts w:ascii="Impact" w:hAnsi="Impact" w:cs="Impact"/>
        <w:b/>
        <w:bCs/>
        <w:color w:val="000080"/>
      </w:rPr>
    </w:pPr>
    <w:r>
      <w:rPr>
        <w:sz w:val="18"/>
        <w:szCs w:val="18"/>
      </w:rPr>
      <w:t xml:space="preserve">                                                                                                                                                            </w:t>
    </w:r>
    <w:r>
      <w:rPr>
        <w:sz w:val="18"/>
        <w:szCs w:val="18"/>
      </w:rPr>
      <w:tab/>
    </w:r>
    <w:r>
      <w:rPr>
        <w:sz w:val="18"/>
        <w:szCs w:val="18"/>
      </w:rPr>
      <w:tab/>
    </w:r>
    <w:r>
      <w:rPr>
        <w:sz w:val="18"/>
        <w:szCs w:val="18"/>
      </w:rPr>
      <w:tab/>
    </w:r>
    <w:r>
      <w:rPr>
        <w:sz w:val="18"/>
        <w:szCs w:val="18"/>
      </w:rPr>
      <w:tab/>
      <w:t xml:space="preserve"> </w:t>
    </w:r>
    <w:r>
      <w:rPr>
        <w:sz w:val="18"/>
        <w:szCs w:val="18"/>
      </w:rPr>
      <w:tab/>
    </w:r>
    <w:r>
      <w:rPr>
        <w:sz w:val="18"/>
        <w:szCs w:val="18"/>
      </w:rPr>
      <w:tab/>
      <w:t xml:space="preserve">  k 31. decembru 2014</w:t>
    </w:r>
    <w:r>
      <w:rPr>
        <w:rFonts w:ascii="Impact" w:hAnsi="Impact" w:cs="Impact"/>
        <w:color w:val="000080"/>
      </w:rPr>
      <w:tab/>
    </w:r>
    <w:r>
      <w:rPr>
        <w:rFonts w:ascii="Impact" w:hAnsi="Impact" w:cs="Impact"/>
        <w:color w:val="000080"/>
      </w:rPr>
      <w:tab/>
    </w:r>
  </w:p>
  <w:p w:rsidR="004C3DC9" w:rsidRDefault="004C3DC9" w:rsidP="006E4DDB">
    <w:pPr>
      <w:pStyle w:val="Header"/>
      <w:tabs>
        <w:tab w:val="clear" w:pos="4153"/>
        <w:tab w:val="clear" w:pos="8306"/>
        <w:tab w:val="center" w:pos="4820"/>
        <w:tab w:val="right" w:pos="9214"/>
      </w:tabs>
      <w:ind w:right="-1"/>
      <w:rPr>
        <w:b/>
        <w:bCs/>
        <w:sz w:val="18"/>
        <w:szCs w:val="18"/>
      </w:rPr>
    </w:pPr>
    <w:r>
      <w:rPr>
        <w:b/>
        <w:bCs/>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62"/>
      <w:gridCol w:w="9490"/>
      <w:gridCol w:w="280"/>
      <w:gridCol w:w="279"/>
      <w:gridCol w:w="283"/>
      <w:gridCol w:w="282"/>
      <w:gridCol w:w="283"/>
      <w:gridCol w:w="282"/>
      <w:gridCol w:w="283"/>
      <w:gridCol w:w="282"/>
      <w:gridCol w:w="283"/>
      <w:gridCol w:w="282"/>
    </w:tblGrid>
    <w:tr w:rsidR="004C3DC9" w:rsidRPr="007E14EF">
      <w:trPr>
        <w:trHeight w:val="126"/>
      </w:trPr>
      <w:tc>
        <w:tcPr>
          <w:tcW w:w="2062" w:type="dxa"/>
          <w:tcBorders>
            <w:top w:val="nil"/>
            <w:left w:val="nil"/>
            <w:bottom w:val="nil"/>
            <w:right w:val="nil"/>
          </w:tcBorders>
          <w:vAlign w:val="center"/>
        </w:tcPr>
        <w:p w:rsidR="004C3DC9" w:rsidRPr="007E14EF" w:rsidRDefault="004C3DC9" w:rsidP="006E4DDB">
          <w:pPr>
            <w:tabs>
              <w:tab w:val="center" w:pos="4253"/>
              <w:tab w:val="right" w:pos="9072"/>
              <w:tab w:val="right" w:pos="9213"/>
            </w:tabs>
            <w:spacing w:line="276" w:lineRule="auto"/>
            <w:ind w:firstLine="2"/>
            <w:rPr>
              <w:rFonts w:eastAsia="Times New Roman"/>
              <w:sz w:val="18"/>
              <w:szCs w:val="18"/>
            </w:rPr>
          </w:pPr>
          <w:r w:rsidRPr="007E14EF">
            <w:rPr>
              <w:rFonts w:eastAsia="Times New Roman"/>
              <w:sz w:val="18"/>
              <w:szCs w:val="18"/>
            </w:rPr>
            <w:t>Poznámky Úč POD 3 - 01</w:t>
          </w:r>
        </w:p>
      </w:tc>
      <w:tc>
        <w:tcPr>
          <w:tcW w:w="9490" w:type="dxa"/>
          <w:tcBorders>
            <w:top w:val="nil"/>
            <w:left w:val="nil"/>
            <w:bottom w:val="nil"/>
            <w:right w:val="nil"/>
          </w:tcBorders>
          <w:vAlign w:val="center"/>
        </w:tcPr>
        <w:p w:rsidR="004C3DC9" w:rsidRPr="007E14EF" w:rsidRDefault="004C3DC9" w:rsidP="006E4DDB">
          <w:pPr>
            <w:tabs>
              <w:tab w:val="center" w:pos="4253"/>
              <w:tab w:val="left" w:pos="7152"/>
              <w:tab w:val="right" w:pos="9072"/>
              <w:tab w:val="right" w:pos="9213"/>
            </w:tabs>
            <w:spacing w:line="276" w:lineRule="auto"/>
            <w:jc w:val="right"/>
            <w:rPr>
              <w:rFonts w:eastAsia="Times New Roman"/>
              <w:sz w:val="18"/>
              <w:szCs w:val="18"/>
            </w:rPr>
          </w:pPr>
          <w:r w:rsidRPr="007E14EF">
            <w:rPr>
              <w:rFonts w:eastAsia="Times New Roman"/>
              <w:sz w:val="18"/>
              <w:szCs w:val="18"/>
            </w:rPr>
            <w:t xml:space="preserve">                                                                                     IČO</w:t>
          </w:r>
        </w:p>
      </w:tc>
      <w:tc>
        <w:tcPr>
          <w:tcW w:w="280" w:type="dxa"/>
          <w:tcBorders>
            <w:top w:val="nil"/>
            <w:left w:val="nil"/>
            <w:bottom w:val="nil"/>
            <w:right w:val="nil"/>
          </w:tcBorders>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p>
      </w:tc>
      <w:tc>
        <w:tcPr>
          <w:tcW w:w="279" w:type="dxa"/>
          <w:tcBorders>
            <w:top w:val="nil"/>
            <w:left w:val="nil"/>
            <w:bottom w:val="nil"/>
          </w:tcBorders>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p>
      </w:tc>
      <w:tc>
        <w:tcPr>
          <w:tcW w:w="283"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83"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82"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3"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2"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9</w:t>
          </w:r>
        </w:p>
      </w:tc>
      <w:tc>
        <w:tcPr>
          <w:tcW w:w="283"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r>
  </w:tbl>
  <w:p w:rsidR="004C3DC9" w:rsidRPr="007E14EF" w:rsidRDefault="004C3DC9" w:rsidP="006E4DDB">
    <w:pPr>
      <w:tabs>
        <w:tab w:val="center" w:pos="4536"/>
        <w:tab w:val="center" w:pos="4962"/>
        <w:tab w:val="right" w:pos="9072"/>
        <w:tab w:val="right" w:pos="9213"/>
      </w:tabs>
      <w:ind w:right="-1"/>
      <w:jc w:val="right"/>
      <w:rPr>
        <w:rFonts w:eastAsia="Times New Roman"/>
        <w:sz w:val="18"/>
        <w:szCs w:val="18"/>
        <w:lang w:val="en-GB"/>
      </w:rPr>
    </w:pPr>
  </w:p>
  <w:tbl>
    <w:tblPr>
      <w:tblW w:w="14125"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9317"/>
      <w:gridCol w:w="279"/>
      <w:gridCol w:w="280"/>
      <w:gridCol w:w="279"/>
      <w:gridCol w:w="287"/>
      <w:gridCol w:w="279"/>
      <w:gridCol w:w="278"/>
      <w:gridCol w:w="279"/>
      <w:gridCol w:w="278"/>
      <w:gridCol w:w="279"/>
      <w:gridCol w:w="278"/>
    </w:tblGrid>
    <w:tr w:rsidR="004C3DC9" w:rsidRPr="007E14EF">
      <w:trPr>
        <w:trHeight w:val="127"/>
      </w:trPr>
      <w:tc>
        <w:tcPr>
          <w:tcW w:w="2012" w:type="dxa"/>
          <w:tcBorders>
            <w:top w:val="nil"/>
            <w:left w:val="nil"/>
            <w:bottom w:val="nil"/>
            <w:right w:val="nil"/>
          </w:tcBorders>
          <w:vAlign w:val="center"/>
        </w:tcPr>
        <w:p w:rsidR="004C3DC9" w:rsidRPr="007E14EF" w:rsidRDefault="004C3DC9" w:rsidP="006E4DDB">
          <w:pPr>
            <w:spacing w:after="200" w:line="276" w:lineRule="auto"/>
            <w:rPr>
              <w:rFonts w:ascii="Calibri" w:eastAsia="Times New Roman" w:hAnsi="Calibri"/>
              <w:sz w:val="22"/>
              <w:szCs w:val="22"/>
            </w:rPr>
          </w:pPr>
        </w:p>
      </w:tc>
      <w:tc>
        <w:tcPr>
          <w:tcW w:w="9317" w:type="dxa"/>
          <w:tcBorders>
            <w:top w:val="nil"/>
            <w:left w:val="nil"/>
            <w:bottom w:val="nil"/>
          </w:tcBorders>
          <w:vAlign w:val="center"/>
        </w:tcPr>
        <w:p w:rsidR="004C3DC9" w:rsidRPr="007E14EF" w:rsidRDefault="004C3DC9" w:rsidP="006E4DDB">
          <w:pPr>
            <w:tabs>
              <w:tab w:val="center" w:pos="4253"/>
              <w:tab w:val="right" w:pos="9072"/>
              <w:tab w:val="right" w:pos="9213"/>
            </w:tabs>
            <w:spacing w:line="276" w:lineRule="auto"/>
            <w:jc w:val="right"/>
            <w:rPr>
              <w:rFonts w:eastAsia="Times New Roman"/>
              <w:sz w:val="18"/>
              <w:szCs w:val="18"/>
            </w:rPr>
          </w:pPr>
          <w:r w:rsidRPr="007E14EF">
            <w:rPr>
              <w:rFonts w:eastAsia="Times New Roman"/>
              <w:sz w:val="18"/>
              <w:szCs w:val="18"/>
            </w:rPr>
            <w:t xml:space="preserve">                                                                                DIČ</w:t>
          </w:r>
        </w:p>
      </w:tc>
      <w:tc>
        <w:tcPr>
          <w:tcW w:w="279"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0"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7"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8"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79"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c>
        <w:tcPr>
          <w:tcW w:w="278"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5</w:t>
          </w:r>
        </w:p>
      </w:tc>
      <w:tc>
        <w:tcPr>
          <w:tcW w:w="278" w:type="dxa"/>
          <w:vAlign w:val="center"/>
        </w:tcPr>
        <w:p w:rsidR="004C3DC9" w:rsidRPr="007E14EF" w:rsidRDefault="004C3DC9"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7</w:t>
          </w:r>
        </w:p>
      </w:tc>
    </w:tr>
  </w:tbl>
  <w:p w:rsidR="004C3DC9" w:rsidRPr="006E4DDB" w:rsidRDefault="004C3DC9" w:rsidP="006E4DDB">
    <w:pPr>
      <w:pStyle w:val="Heade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3DC9" w:rsidRDefault="004C3DC9" w:rsidP="00EC7399">
    <w:pPr>
      <w:pStyle w:val="Header"/>
      <w:tabs>
        <w:tab w:val="clear" w:pos="4153"/>
        <w:tab w:val="clear" w:pos="8306"/>
        <w:tab w:val="center" w:pos="4820"/>
        <w:tab w:val="right" w:pos="9214"/>
      </w:tabs>
      <w:ind w:right="-1"/>
      <w:rPr>
        <w:sz w:val="18"/>
        <w:szCs w:val="18"/>
      </w:rPr>
    </w:pPr>
    <w:r w:rsidRPr="00685D38">
      <w:rPr>
        <w:rFonts w:ascii="Impact" w:hAnsi="Impact" w:cs="Impact"/>
        <w:noProof/>
        <w:color w:val="000080"/>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68.25pt;height:21.75pt;visibility:visible">
          <v:imagedata r:id="rId1" o:title=""/>
        </v:shape>
      </w:pict>
    </w:r>
    <w:r>
      <w:rPr>
        <w:rFonts w:ascii="Impact" w:hAnsi="Impact" w:cs="Impact"/>
        <w:color w:val="000080"/>
      </w:rPr>
      <w:t xml:space="preserve">                                               </w:t>
    </w:r>
    <w:r>
      <w:rPr>
        <w:b/>
        <w:bCs/>
        <w:sz w:val="18"/>
        <w:szCs w:val="18"/>
      </w:rPr>
      <w:t>Fagor Ederlan Slovensko, a.s.</w:t>
    </w:r>
    <w:r>
      <w:rPr>
        <w:rFonts w:ascii="Impact" w:hAnsi="Impact" w:cs="Impact"/>
        <w:color w:val="000080"/>
      </w:rPr>
      <w:t xml:space="preserve">                                       </w:t>
    </w:r>
    <w:r>
      <w:rPr>
        <w:sz w:val="18"/>
        <w:szCs w:val="18"/>
      </w:rPr>
      <w:t xml:space="preserve">Poznámky </w:t>
    </w:r>
    <w:r>
      <w:rPr>
        <w:rFonts w:ascii="Impact" w:hAnsi="Impact" w:cs="Impact"/>
        <w:color w:val="000080"/>
      </w:rPr>
      <w:t xml:space="preserve"> </w:t>
    </w:r>
    <w:r>
      <w:rPr>
        <w:sz w:val="18"/>
        <w:szCs w:val="18"/>
      </w:rPr>
      <w:t>k účtovnej závierke</w:t>
    </w:r>
  </w:p>
  <w:p w:rsidR="004C3DC9" w:rsidRDefault="004C3DC9" w:rsidP="00EC7399">
    <w:pPr>
      <w:pStyle w:val="Header"/>
      <w:tabs>
        <w:tab w:val="clear" w:pos="4153"/>
        <w:tab w:val="clear" w:pos="8306"/>
        <w:tab w:val="center" w:pos="4820"/>
        <w:tab w:val="right" w:pos="9214"/>
      </w:tabs>
      <w:ind w:right="-1"/>
      <w:rPr>
        <w:rFonts w:ascii="Impact" w:hAnsi="Impact" w:cs="Impact"/>
        <w:b/>
        <w:bCs/>
        <w:color w:val="000080"/>
      </w:rPr>
    </w:pPr>
    <w:r>
      <w:rPr>
        <w:sz w:val="18"/>
        <w:szCs w:val="18"/>
      </w:rPr>
      <w:t xml:space="preserve">                                                                                                                                                               k 31. decembru 2014</w:t>
    </w:r>
    <w:r>
      <w:rPr>
        <w:rFonts w:ascii="Impact" w:hAnsi="Impact" w:cs="Impact"/>
        <w:color w:val="000080"/>
      </w:rPr>
      <w:tab/>
    </w:r>
    <w:r>
      <w:rPr>
        <w:rFonts w:ascii="Impact" w:hAnsi="Impact" w:cs="Impact"/>
        <w:color w:val="000080"/>
      </w:rPr>
      <w:tab/>
    </w:r>
  </w:p>
  <w:p w:rsidR="004C3DC9" w:rsidRDefault="004C3DC9" w:rsidP="00EC7399">
    <w:pPr>
      <w:pStyle w:val="Header"/>
      <w:tabs>
        <w:tab w:val="clear" w:pos="4153"/>
        <w:tab w:val="clear" w:pos="8306"/>
        <w:tab w:val="center" w:pos="4820"/>
        <w:tab w:val="right" w:pos="9214"/>
      </w:tabs>
      <w:ind w:right="-1"/>
      <w:rPr>
        <w:b/>
        <w:bCs/>
        <w:sz w:val="18"/>
        <w:szCs w:val="18"/>
      </w:rPr>
    </w:pPr>
    <w:r>
      <w:rPr>
        <w:b/>
        <w:bCs/>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62"/>
      <w:gridCol w:w="4317"/>
      <w:gridCol w:w="280"/>
      <w:gridCol w:w="279"/>
      <w:gridCol w:w="283"/>
      <w:gridCol w:w="282"/>
      <w:gridCol w:w="283"/>
      <w:gridCol w:w="282"/>
      <w:gridCol w:w="283"/>
      <w:gridCol w:w="282"/>
      <w:gridCol w:w="283"/>
      <w:gridCol w:w="282"/>
    </w:tblGrid>
    <w:tr w:rsidR="004C3DC9" w:rsidRPr="007E14EF">
      <w:trPr>
        <w:trHeight w:val="126"/>
      </w:trPr>
      <w:tc>
        <w:tcPr>
          <w:tcW w:w="2062" w:type="dxa"/>
          <w:tcBorders>
            <w:top w:val="nil"/>
            <w:left w:val="nil"/>
            <w:bottom w:val="nil"/>
            <w:right w:val="nil"/>
          </w:tcBorders>
          <w:vAlign w:val="center"/>
        </w:tcPr>
        <w:p w:rsidR="004C3DC9" w:rsidRPr="007E14EF" w:rsidRDefault="004C3DC9" w:rsidP="00526BB1">
          <w:pPr>
            <w:tabs>
              <w:tab w:val="center" w:pos="4253"/>
              <w:tab w:val="right" w:pos="9072"/>
              <w:tab w:val="right" w:pos="9213"/>
            </w:tabs>
            <w:spacing w:line="276" w:lineRule="auto"/>
            <w:ind w:firstLine="2"/>
            <w:rPr>
              <w:rFonts w:eastAsia="Times New Roman"/>
              <w:sz w:val="18"/>
              <w:szCs w:val="18"/>
            </w:rPr>
          </w:pPr>
          <w:r w:rsidRPr="007E14EF">
            <w:rPr>
              <w:rFonts w:eastAsia="Times New Roman"/>
              <w:sz w:val="18"/>
              <w:szCs w:val="18"/>
            </w:rPr>
            <w:t>Poznámky Úč POD 3 - 01</w:t>
          </w:r>
        </w:p>
      </w:tc>
      <w:tc>
        <w:tcPr>
          <w:tcW w:w="4317" w:type="dxa"/>
          <w:tcBorders>
            <w:top w:val="nil"/>
            <w:left w:val="nil"/>
            <w:bottom w:val="nil"/>
            <w:right w:val="nil"/>
          </w:tcBorders>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IČO</w:t>
          </w:r>
        </w:p>
      </w:tc>
      <w:tc>
        <w:tcPr>
          <w:tcW w:w="280" w:type="dxa"/>
          <w:tcBorders>
            <w:top w:val="nil"/>
            <w:left w:val="nil"/>
            <w:bottom w:val="nil"/>
            <w:right w:val="nil"/>
          </w:tcBorders>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p>
      </w:tc>
      <w:tc>
        <w:tcPr>
          <w:tcW w:w="279" w:type="dxa"/>
          <w:tcBorders>
            <w:top w:val="nil"/>
            <w:left w:val="nil"/>
            <w:bottom w:val="nil"/>
          </w:tcBorders>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p>
      </w:tc>
      <w:tc>
        <w:tcPr>
          <w:tcW w:w="283"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83"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82"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3"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2"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9</w:t>
          </w:r>
        </w:p>
      </w:tc>
      <w:tc>
        <w:tcPr>
          <w:tcW w:w="283"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r>
  </w:tbl>
  <w:p w:rsidR="004C3DC9" w:rsidRPr="007E14EF" w:rsidRDefault="004C3DC9" w:rsidP="00EC7399">
    <w:pPr>
      <w:tabs>
        <w:tab w:val="center" w:pos="4536"/>
        <w:tab w:val="center" w:pos="4962"/>
        <w:tab w:val="right" w:pos="9072"/>
        <w:tab w:val="right" w:pos="9213"/>
      </w:tabs>
      <w:ind w:right="-1"/>
      <w:jc w:val="right"/>
      <w:rPr>
        <w:rFonts w:eastAsia="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4162"/>
      <w:gridCol w:w="279"/>
      <w:gridCol w:w="280"/>
      <w:gridCol w:w="279"/>
      <w:gridCol w:w="287"/>
      <w:gridCol w:w="279"/>
      <w:gridCol w:w="278"/>
      <w:gridCol w:w="279"/>
      <w:gridCol w:w="278"/>
      <w:gridCol w:w="279"/>
      <w:gridCol w:w="278"/>
    </w:tblGrid>
    <w:tr w:rsidR="004C3DC9" w:rsidRPr="007E14EF">
      <w:trPr>
        <w:trHeight w:val="127"/>
      </w:trPr>
      <w:tc>
        <w:tcPr>
          <w:tcW w:w="2012" w:type="dxa"/>
          <w:tcBorders>
            <w:top w:val="nil"/>
            <w:left w:val="nil"/>
            <w:bottom w:val="nil"/>
            <w:right w:val="nil"/>
          </w:tcBorders>
          <w:vAlign w:val="center"/>
        </w:tcPr>
        <w:p w:rsidR="004C3DC9" w:rsidRPr="007E14EF" w:rsidRDefault="004C3DC9" w:rsidP="00526BB1">
          <w:pPr>
            <w:spacing w:after="200" w:line="276" w:lineRule="auto"/>
            <w:rPr>
              <w:rFonts w:ascii="Calibri" w:eastAsia="Times New Roman" w:hAnsi="Calibri"/>
              <w:sz w:val="22"/>
              <w:szCs w:val="22"/>
            </w:rPr>
          </w:pPr>
        </w:p>
      </w:tc>
      <w:tc>
        <w:tcPr>
          <w:tcW w:w="4162" w:type="dxa"/>
          <w:tcBorders>
            <w:top w:val="nil"/>
            <w:left w:val="nil"/>
            <w:bottom w:val="nil"/>
          </w:tcBorders>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DIČ</w:t>
          </w:r>
        </w:p>
      </w:tc>
      <w:tc>
        <w:tcPr>
          <w:tcW w:w="279"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0"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7"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8"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79"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c>
        <w:tcPr>
          <w:tcW w:w="278"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5</w:t>
          </w:r>
        </w:p>
      </w:tc>
      <w:tc>
        <w:tcPr>
          <w:tcW w:w="278" w:type="dxa"/>
          <w:vAlign w:val="center"/>
        </w:tcPr>
        <w:p w:rsidR="004C3DC9" w:rsidRPr="007E14EF" w:rsidRDefault="004C3DC9"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7</w:t>
          </w:r>
        </w:p>
      </w:tc>
    </w:tr>
  </w:tbl>
  <w:p w:rsidR="004C3DC9" w:rsidRPr="006E4DDB" w:rsidRDefault="004C3DC9" w:rsidP="006E4DD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ascii="Times New Roman" w:hAnsi="Times New Roman"/>
        <w:b w:val="0"/>
        <w:bCs w:val="0"/>
        <w:i w:val="0"/>
        <w:iCs w:val="0"/>
        <w:caps w:val="0"/>
        <w:smallCaps w:val="0"/>
        <w:strike w:val="0"/>
        <w:vanish w:val="0"/>
        <w:color w:val="000000"/>
      </w:rPr>
    </w:lvl>
    <w:lvl w:ilvl="1" w:tplc="04090019">
      <w:start w:val="1"/>
      <w:numFmt w:val="lowerLetter"/>
      <w:lvlText w:val="%2."/>
      <w:lvlJc w:val="left"/>
      <w:pPr>
        <w:tabs>
          <w:tab w:val="num" w:pos="1912"/>
        </w:tabs>
        <w:ind w:left="1912" w:hanging="360"/>
      </w:pPr>
      <w:rPr>
        <w:rFonts w:ascii="Times New Roman" w:hAnsi="Times New Roman"/>
        <w:b w:val="0"/>
        <w:bCs w:val="0"/>
        <w:i w:val="0"/>
        <w:iCs w:val="0"/>
        <w:caps w:val="0"/>
        <w:smallCaps w:val="0"/>
        <w:strike w:val="0"/>
        <w:vanish w:val="0"/>
        <w:color w:val="000000"/>
      </w:rPr>
    </w:lvl>
    <w:lvl w:ilvl="2" w:tplc="0409001B">
      <w:start w:val="1"/>
      <w:numFmt w:val="lowerRoman"/>
      <w:lvlText w:val="%3."/>
      <w:lvlJc w:val="right"/>
      <w:pPr>
        <w:tabs>
          <w:tab w:val="num" w:pos="2632"/>
        </w:tabs>
        <w:ind w:left="2632" w:hanging="180"/>
      </w:pPr>
      <w:rPr>
        <w:rFonts w:ascii="Times New Roman" w:hAnsi="Times New Roman"/>
        <w:b w:val="0"/>
        <w:bCs w:val="0"/>
        <w:i w:val="0"/>
        <w:iCs w:val="0"/>
        <w:caps w:val="0"/>
        <w:smallCaps w:val="0"/>
        <w:strike w:val="0"/>
        <w:vanish w:val="0"/>
        <w:color w:val="000000"/>
      </w:rPr>
    </w:lvl>
    <w:lvl w:ilvl="3" w:tplc="0409000F">
      <w:start w:val="1"/>
      <w:numFmt w:val="decimal"/>
      <w:lvlText w:val="%4."/>
      <w:lvlJc w:val="left"/>
      <w:pPr>
        <w:tabs>
          <w:tab w:val="num" w:pos="3352"/>
        </w:tabs>
        <w:ind w:left="3352" w:hanging="360"/>
      </w:pPr>
      <w:rPr>
        <w:rFonts w:ascii="Times New Roman" w:hAnsi="Times New Roman"/>
        <w:b w:val="0"/>
        <w:bCs w:val="0"/>
        <w:i w:val="0"/>
        <w:iCs w:val="0"/>
        <w:caps w:val="0"/>
        <w:smallCaps w:val="0"/>
        <w:strike w:val="0"/>
        <w:vanish w:val="0"/>
        <w:color w:val="000000"/>
      </w:rPr>
    </w:lvl>
    <w:lvl w:ilvl="4" w:tplc="04090019">
      <w:start w:val="1"/>
      <w:numFmt w:val="lowerLetter"/>
      <w:lvlText w:val="%5."/>
      <w:lvlJc w:val="left"/>
      <w:pPr>
        <w:tabs>
          <w:tab w:val="num" w:pos="4072"/>
        </w:tabs>
        <w:ind w:left="4072" w:hanging="360"/>
      </w:pPr>
      <w:rPr>
        <w:rFonts w:ascii="Times New Roman" w:hAnsi="Times New Roman"/>
        <w:b w:val="0"/>
        <w:bCs w:val="0"/>
        <w:i w:val="0"/>
        <w:iCs w:val="0"/>
        <w:caps w:val="0"/>
        <w:smallCaps w:val="0"/>
        <w:strike w:val="0"/>
        <w:vanish w:val="0"/>
        <w:color w:val="000000"/>
      </w:rPr>
    </w:lvl>
    <w:lvl w:ilvl="5" w:tplc="0409001B">
      <w:start w:val="1"/>
      <w:numFmt w:val="lowerRoman"/>
      <w:lvlText w:val="%6."/>
      <w:lvlJc w:val="right"/>
      <w:pPr>
        <w:tabs>
          <w:tab w:val="num" w:pos="4792"/>
        </w:tabs>
        <w:ind w:left="4792" w:hanging="180"/>
      </w:pPr>
      <w:rPr>
        <w:rFonts w:ascii="Times New Roman" w:hAnsi="Times New Roman"/>
        <w:b w:val="0"/>
        <w:bCs w:val="0"/>
        <w:i w:val="0"/>
        <w:iCs w:val="0"/>
        <w:caps w:val="0"/>
        <w:smallCaps w:val="0"/>
        <w:strike w:val="0"/>
        <w:vanish w:val="0"/>
        <w:color w:val="000000"/>
      </w:rPr>
    </w:lvl>
    <w:lvl w:ilvl="6" w:tplc="0409000F">
      <w:start w:val="1"/>
      <w:numFmt w:val="decimal"/>
      <w:lvlText w:val="%7."/>
      <w:lvlJc w:val="left"/>
      <w:pPr>
        <w:tabs>
          <w:tab w:val="num" w:pos="5512"/>
        </w:tabs>
        <w:ind w:left="5512" w:hanging="360"/>
      </w:pPr>
      <w:rPr>
        <w:rFonts w:ascii="Times New Roman" w:hAnsi="Times New Roman"/>
        <w:b w:val="0"/>
        <w:bCs w:val="0"/>
        <w:i w:val="0"/>
        <w:iCs w:val="0"/>
        <w:caps w:val="0"/>
        <w:smallCaps w:val="0"/>
        <w:strike w:val="0"/>
        <w:vanish w:val="0"/>
        <w:color w:val="000000"/>
      </w:rPr>
    </w:lvl>
    <w:lvl w:ilvl="7" w:tplc="04090019">
      <w:start w:val="1"/>
      <w:numFmt w:val="lowerLetter"/>
      <w:lvlText w:val="%8."/>
      <w:lvlJc w:val="left"/>
      <w:pPr>
        <w:tabs>
          <w:tab w:val="num" w:pos="6232"/>
        </w:tabs>
        <w:ind w:left="6232" w:hanging="360"/>
      </w:pPr>
      <w:rPr>
        <w:rFonts w:ascii="Times New Roman" w:hAnsi="Times New Roman"/>
        <w:b w:val="0"/>
        <w:bCs w:val="0"/>
        <w:i w:val="0"/>
        <w:iCs w:val="0"/>
        <w:caps w:val="0"/>
        <w:smallCaps w:val="0"/>
        <w:strike w:val="0"/>
        <w:vanish w:val="0"/>
        <w:color w:val="000000"/>
      </w:rPr>
    </w:lvl>
    <w:lvl w:ilvl="8" w:tplc="0409001B">
      <w:start w:val="1"/>
      <w:numFmt w:val="lowerRoman"/>
      <w:lvlText w:val="%9."/>
      <w:lvlJc w:val="right"/>
      <w:pPr>
        <w:tabs>
          <w:tab w:val="num" w:pos="6952"/>
        </w:tabs>
        <w:ind w:left="6952" w:hanging="180"/>
      </w:pPr>
      <w:rPr>
        <w:rFonts w:ascii="Times New Roman" w:hAnsi="Times New Roman"/>
        <w:b w:val="0"/>
        <w:bCs w:val="0"/>
        <w:i w:val="0"/>
        <w:iCs w:val="0"/>
        <w:caps w:val="0"/>
        <w:smallCaps w:val="0"/>
        <w:strike w:val="0"/>
        <w:vanish w:val="0"/>
        <w:color w:val="000000"/>
      </w:rPr>
    </w:lvl>
  </w:abstractNum>
  <w:abstractNum w:abstractNumId="1">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szCs w:val="22"/>
      </w:rPr>
    </w:lvl>
  </w:abstractNum>
  <w:abstractNum w:abstractNumId="2">
    <w:nsid w:val="35CD3027"/>
    <w:multiLevelType w:val="hybridMultilevel"/>
    <w:tmpl w:val="C60E8E0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6BE61C3"/>
    <w:multiLevelType w:val="singleLevel"/>
    <w:tmpl w:val="86FE4BA0"/>
    <w:lvl w:ilvl="0">
      <w:start w:val="1"/>
      <w:numFmt w:val="decimal"/>
      <w:lvlText w:val="%1."/>
      <w:lvlJc w:val="left"/>
      <w:pPr>
        <w:tabs>
          <w:tab w:val="num" w:pos="360"/>
        </w:tabs>
        <w:ind w:left="360" w:hanging="360"/>
      </w:pPr>
      <w:rPr>
        <w:rFonts w:ascii="Times New Roman" w:hAnsi="Times New Roman" w:cs="Times New Roman" w:hint="default"/>
        <w:b/>
        <w:bCs/>
        <w:i w:val="0"/>
        <w:iCs w:val="0"/>
        <w:caps w:val="0"/>
        <w:smallCaps w:val="0"/>
        <w:strike w:val="0"/>
        <w:vanish w:val="0"/>
        <w:color w:val="000000"/>
      </w:rPr>
    </w:lvl>
  </w:abstractNum>
  <w:abstractNum w:abstractNumId="4">
    <w:nsid w:val="408F6BC5"/>
    <w:multiLevelType w:val="hybridMultilevel"/>
    <w:tmpl w:val="DAEC2670"/>
    <w:lvl w:ilvl="0" w:tplc="751AE264">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5">
    <w:nsid w:val="73473C13"/>
    <w:multiLevelType w:val="singleLevel"/>
    <w:tmpl w:val="F77283CE"/>
    <w:lvl w:ilvl="0">
      <w:start w:val="1"/>
      <w:numFmt w:val="upperLetter"/>
      <w:pStyle w:val="Heading1"/>
      <w:lvlText w:val="%1."/>
      <w:lvlJc w:val="left"/>
      <w:pPr>
        <w:tabs>
          <w:tab w:val="num" w:pos="360"/>
        </w:tabs>
        <w:ind w:left="360" w:hanging="360"/>
      </w:pPr>
      <w:rPr>
        <w:rFonts w:ascii="Times New Roman" w:hAnsi="Times New Roman" w:cs="Times New Roman" w:hint="default"/>
        <w:b/>
        <w:bCs/>
        <w:i w:val="0"/>
        <w:iCs w:val="0"/>
        <w:caps w:val="0"/>
        <w:smallCaps w:val="0"/>
        <w:strike w:val="0"/>
        <w:vanish w:val="0"/>
        <w:color w:val="000000"/>
      </w:rPr>
    </w:lvl>
  </w:abstractNum>
  <w:abstractNum w:abstractNumId="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b w:val="0"/>
        <w:bCs w:val="0"/>
        <w:i w:val="0"/>
        <w:iCs w:val="0"/>
        <w:caps w:val="0"/>
        <w:smallCaps w:val="0"/>
        <w:strike w:val="0"/>
        <w:vanish w:val="0"/>
        <w:color w:val="000000"/>
      </w:rPr>
    </w:lvl>
    <w:lvl w:ilvl="1" w:tplc="041B0003">
      <w:start w:val="1"/>
      <w:numFmt w:val="bullet"/>
      <w:lvlText w:val="o"/>
      <w:lvlJc w:val="left"/>
      <w:pPr>
        <w:tabs>
          <w:tab w:val="num" w:pos="1866"/>
        </w:tabs>
        <w:ind w:left="1866" w:hanging="360"/>
      </w:pPr>
      <w:rPr>
        <w:rFonts w:ascii="Courier New" w:hAnsi="Courier New" w:cs="Courier New" w:hint="default"/>
        <w:b w:val="0"/>
        <w:bCs w:val="0"/>
        <w:i/>
        <w:iCs/>
        <w:caps w:val="0"/>
        <w:smallCaps w:val="0"/>
        <w:strike w:val="0"/>
        <w:vanish w:val="0"/>
        <w:color w:val="000000"/>
      </w:rPr>
    </w:lvl>
    <w:lvl w:ilvl="2" w:tplc="041B0005">
      <w:start w:val="1"/>
      <w:numFmt w:val="bullet"/>
      <w:lvlText w:val=""/>
      <w:lvlJc w:val="left"/>
      <w:pPr>
        <w:tabs>
          <w:tab w:val="num" w:pos="2586"/>
        </w:tabs>
        <w:ind w:left="2586" w:hanging="360"/>
      </w:pPr>
      <w:rPr>
        <w:rFonts w:ascii="Wingdings" w:hAnsi="Wingdings" w:cs="Wingdings" w:hint="default"/>
        <w:b w:val="0"/>
        <w:bCs w:val="0"/>
        <w:i/>
        <w:iCs/>
        <w:caps w:val="0"/>
        <w:smallCaps w:val="0"/>
        <w:strike w:val="0"/>
        <w:outline/>
        <w:vanish w:val="0"/>
        <w:color w:val="000000"/>
      </w:rPr>
    </w:lvl>
    <w:lvl w:ilvl="3" w:tplc="041B0001">
      <w:start w:val="1"/>
      <w:numFmt w:val="bullet"/>
      <w:lvlText w:val=""/>
      <w:lvlJc w:val="left"/>
      <w:pPr>
        <w:tabs>
          <w:tab w:val="num" w:pos="3306"/>
        </w:tabs>
        <w:ind w:left="3306" w:hanging="360"/>
      </w:pPr>
      <w:rPr>
        <w:rFonts w:ascii="Symbol" w:hAnsi="Symbol" w:cs="Symbol" w:hint="default"/>
        <w:b/>
        <w:bCs/>
        <w:i/>
        <w:iCs/>
        <w:caps w:val="0"/>
        <w:smallCaps w:val="0"/>
        <w:strike w:val="0"/>
        <w:vanish w:val="0"/>
        <w:color w:val="000000"/>
      </w:rPr>
    </w:lvl>
    <w:lvl w:ilvl="4" w:tplc="041B0003">
      <w:start w:val="1"/>
      <w:numFmt w:val="bullet"/>
      <w:lvlText w:val="o"/>
      <w:lvlJc w:val="left"/>
      <w:pPr>
        <w:tabs>
          <w:tab w:val="num" w:pos="4026"/>
        </w:tabs>
        <w:ind w:left="4026" w:hanging="360"/>
      </w:pPr>
      <w:rPr>
        <w:rFonts w:ascii="Courier New" w:hAnsi="Courier New" w:cs="Courier New" w:hint="default"/>
        <w:b w:val="0"/>
        <w:bCs w:val="0"/>
        <w:i/>
        <w:iCs/>
        <w:caps w:val="0"/>
        <w:smallCaps w:val="0"/>
        <w:strike w:val="0"/>
        <w:vanish w:val="0"/>
        <w:color w:val="000000"/>
      </w:rPr>
    </w:lvl>
    <w:lvl w:ilvl="5" w:tplc="041B0005">
      <w:start w:val="1"/>
      <w:numFmt w:val="bullet"/>
      <w:lvlText w:val=""/>
      <w:lvlJc w:val="left"/>
      <w:pPr>
        <w:tabs>
          <w:tab w:val="num" w:pos="4746"/>
        </w:tabs>
        <w:ind w:left="4746" w:hanging="360"/>
      </w:pPr>
      <w:rPr>
        <w:rFonts w:ascii="Wingdings" w:hAnsi="Wingdings" w:cs="Wingdings" w:hint="default"/>
        <w:b w:val="0"/>
        <w:bCs w:val="0"/>
        <w:i/>
        <w:iCs/>
        <w:caps w:val="0"/>
        <w:smallCaps w:val="0"/>
        <w:strike w:val="0"/>
        <w:outline/>
        <w:vanish w:val="0"/>
        <w:color w:val="000000"/>
      </w:rPr>
    </w:lvl>
    <w:lvl w:ilvl="6" w:tplc="041B0001">
      <w:start w:val="1"/>
      <w:numFmt w:val="bullet"/>
      <w:lvlText w:val=""/>
      <w:lvlJc w:val="left"/>
      <w:pPr>
        <w:tabs>
          <w:tab w:val="num" w:pos="5466"/>
        </w:tabs>
        <w:ind w:left="5466" w:hanging="360"/>
      </w:pPr>
      <w:rPr>
        <w:rFonts w:ascii="Symbol" w:hAnsi="Symbol" w:cs="Symbol" w:hint="default"/>
        <w:b/>
        <w:bCs/>
        <w:i/>
        <w:iCs/>
        <w:caps w:val="0"/>
        <w:smallCaps w:val="0"/>
        <w:strike w:val="0"/>
        <w:vanish w:val="0"/>
        <w:color w:val="000000"/>
      </w:rPr>
    </w:lvl>
    <w:lvl w:ilvl="7" w:tplc="041B0003">
      <w:start w:val="1"/>
      <w:numFmt w:val="bullet"/>
      <w:lvlText w:val="o"/>
      <w:lvlJc w:val="left"/>
      <w:pPr>
        <w:tabs>
          <w:tab w:val="num" w:pos="6186"/>
        </w:tabs>
        <w:ind w:left="6186" w:hanging="360"/>
      </w:pPr>
      <w:rPr>
        <w:rFonts w:ascii="Courier New" w:hAnsi="Courier New" w:cs="Courier New" w:hint="default"/>
        <w:b w:val="0"/>
        <w:bCs w:val="0"/>
        <w:i/>
        <w:iCs/>
        <w:caps w:val="0"/>
        <w:smallCaps w:val="0"/>
        <w:strike w:val="0"/>
        <w:vanish w:val="0"/>
        <w:color w:val="000000"/>
      </w:rPr>
    </w:lvl>
    <w:lvl w:ilvl="8" w:tplc="041B0005">
      <w:start w:val="1"/>
      <w:numFmt w:val="bullet"/>
      <w:lvlText w:val=""/>
      <w:lvlJc w:val="left"/>
      <w:pPr>
        <w:tabs>
          <w:tab w:val="num" w:pos="6906"/>
        </w:tabs>
        <w:ind w:left="6906" w:hanging="360"/>
      </w:pPr>
      <w:rPr>
        <w:rFonts w:ascii="Wingdings" w:hAnsi="Wingdings" w:cs="Wingdings" w:hint="default"/>
        <w:b w:val="0"/>
        <w:bCs w:val="0"/>
        <w:i/>
        <w:iCs/>
        <w:caps w:val="0"/>
        <w:smallCaps w:val="0"/>
        <w:strike w:val="0"/>
        <w:outline/>
        <w:vanish w:val="0"/>
        <w:color w:val="000000"/>
      </w:rPr>
    </w:lvl>
  </w:abstractNum>
  <w:num w:numId="1">
    <w:abstractNumId w:val="5"/>
  </w:num>
  <w:num w:numId="2">
    <w:abstractNumId w:val="3"/>
  </w:num>
  <w:num w:numId="3">
    <w:abstractNumId w:val="3"/>
    <w:lvlOverride w:ilvl="0">
      <w:startOverride w:val="1"/>
    </w:lvlOverride>
  </w:num>
  <w:num w:numId="4">
    <w:abstractNumId w:val="3"/>
    <w:lvlOverride w:ilvl="0">
      <w:startOverride w:val="1"/>
    </w:lvlOverride>
  </w:num>
  <w:num w:numId="5">
    <w:abstractNumId w:val="0"/>
  </w:num>
  <w:num w:numId="6">
    <w:abstractNumId w:val="3"/>
    <w:lvlOverride w:ilvl="0">
      <w:startOverride w:val="1"/>
    </w:lvlOverride>
  </w:num>
  <w:num w:numId="7">
    <w:abstractNumId w:val="3"/>
    <w:lvlOverride w:ilvl="0">
      <w:startOverride w:val="1"/>
    </w:lvlOverride>
  </w:num>
  <w:num w:numId="8">
    <w:abstractNumId w:val="3"/>
    <w:lvlOverride w:ilvl="0">
      <w:startOverride w:val="1"/>
    </w:lvlOverride>
  </w:num>
  <w:num w:numId="9">
    <w:abstractNumId w:val="6"/>
  </w:num>
  <w:num w:numId="10">
    <w:abstractNumId w:val="5"/>
    <w:lvlOverride w:ilvl="0">
      <w:startOverride w:val="1"/>
    </w:lvlOverride>
  </w:num>
  <w:num w:numId="11">
    <w:abstractNumId w:val="1"/>
  </w:num>
  <w:num w:numId="12">
    <w:abstractNumId w:val="4"/>
  </w:num>
  <w:num w:numId="1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hyphenationZone w:val="357"/>
  <w:doNotHyphenateCaps/>
  <w:drawingGridHorizontalSpacing w:val="100"/>
  <w:drawingGridVerticalSpacing w:val="181"/>
  <w:displayHorizontalDrawingGridEvery w:val="0"/>
  <w:displayVerticalDrawingGridEvery w:val="0"/>
  <w:characterSpacingControl w:val="doNotCompress"/>
  <w:doNotValidateAgainstSchema/>
  <w:doNotDemarcateInvalidXml/>
  <w:footnotePr>
    <w:footnote w:id="0"/>
    <w:footnote w:id="1"/>
  </w:footnotePr>
  <w:endnotePr>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1140C"/>
    <w:rsid w:val="00001082"/>
    <w:rsid w:val="00002202"/>
    <w:rsid w:val="0000377F"/>
    <w:rsid w:val="00003797"/>
    <w:rsid w:val="000049A7"/>
    <w:rsid w:val="00005B56"/>
    <w:rsid w:val="00005F3A"/>
    <w:rsid w:val="000067A8"/>
    <w:rsid w:val="000109F8"/>
    <w:rsid w:val="000110C3"/>
    <w:rsid w:val="0001169F"/>
    <w:rsid w:val="00012D37"/>
    <w:rsid w:val="00014926"/>
    <w:rsid w:val="00014D5D"/>
    <w:rsid w:val="00015E76"/>
    <w:rsid w:val="00016AA4"/>
    <w:rsid w:val="000173F7"/>
    <w:rsid w:val="000209FD"/>
    <w:rsid w:val="0002100E"/>
    <w:rsid w:val="00021594"/>
    <w:rsid w:val="0002244C"/>
    <w:rsid w:val="00022A19"/>
    <w:rsid w:val="00024049"/>
    <w:rsid w:val="00024DBB"/>
    <w:rsid w:val="00024FA2"/>
    <w:rsid w:val="000275F9"/>
    <w:rsid w:val="00027837"/>
    <w:rsid w:val="0003036B"/>
    <w:rsid w:val="00030936"/>
    <w:rsid w:val="00030F62"/>
    <w:rsid w:val="000312EB"/>
    <w:rsid w:val="00033039"/>
    <w:rsid w:val="00035BFF"/>
    <w:rsid w:val="000377D9"/>
    <w:rsid w:val="0004150B"/>
    <w:rsid w:val="0004233A"/>
    <w:rsid w:val="00045239"/>
    <w:rsid w:val="00046F32"/>
    <w:rsid w:val="0005022B"/>
    <w:rsid w:val="00050302"/>
    <w:rsid w:val="000509C1"/>
    <w:rsid w:val="000509C2"/>
    <w:rsid w:val="00055FBB"/>
    <w:rsid w:val="0005608C"/>
    <w:rsid w:val="000571E3"/>
    <w:rsid w:val="000607DC"/>
    <w:rsid w:val="00063330"/>
    <w:rsid w:val="0006362C"/>
    <w:rsid w:val="000645D1"/>
    <w:rsid w:val="00064EF1"/>
    <w:rsid w:val="000652DF"/>
    <w:rsid w:val="00065AE4"/>
    <w:rsid w:val="00065D9C"/>
    <w:rsid w:val="00067207"/>
    <w:rsid w:val="000676B5"/>
    <w:rsid w:val="00067D84"/>
    <w:rsid w:val="000708C6"/>
    <w:rsid w:val="00071243"/>
    <w:rsid w:val="000729D6"/>
    <w:rsid w:val="000737E2"/>
    <w:rsid w:val="00074F69"/>
    <w:rsid w:val="00075FCB"/>
    <w:rsid w:val="00076559"/>
    <w:rsid w:val="00080656"/>
    <w:rsid w:val="00080DB1"/>
    <w:rsid w:val="00081115"/>
    <w:rsid w:val="00081ED4"/>
    <w:rsid w:val="00082B9F"/>
    <w:rsid w:val="00083CE5"/>
    <w:rsid w:val="00084594"/>
    <w:rsid w:val="000858E5"/>
    <w:rsid w:val="00086855"/>
    <w:rsid w:val="00087847"/>
    <w:rsid w:val="00092CE7"/>
    <w:rsid w:val="00093772"/>
    <w:rsid w:val="00093861"/>
    <w:rsid w:val="0009458B"/>
    <w:rsid w:val="00095DBD"/>
    <w:rsid w:val="00095F78"/>
    <w:rsid w:val="00097134"/>
    <w:rsid w:val="000A2194"/>
    <w:rsid w:val="000A2815"/>
    <w:rsid w:val="000A356B"/>
    <w:rsid w:val="000A3700"/>
    <w:rsid w:val="000A6C7D"/>
    <w:rsid w:val="000A742E"/>
    <w:rsid w:val="000B100E"/>
    <w:rsid w:val="000B2433"/>
    <w:rsid w:val="000B2717"/>
    <w:rsid w:val="000B2788"/>
    <w:rsid w:val="000B5DCD"/>
    <w:rsid w:val="000B62FC"/>
    <w:rsid w:val="000B6BAE"/>
    <w:rsid w:val="000B7862"/>
    <w:rsid w:val="000C020F"/>
    <w:rsid w:val="000C0EB2"/>
    <w:rsid w:val="000C1973"/>
    <w:rsid w:val="000C3B97"/>
    <w:rsid w:val="000C633A"/>
    <w:rsid w:val="000D00A5"/>
    <w:rsid w:val="000D600F"/>
    <w:rsid w:val="000D7EA1"/>
    <w:rsid w:val="000E0753"/>
    <w:rsid w:val="000E0854"/>
    <w:rsid w:val="000E3E0E"/>
    <w:rsid w:val="000E4630"/>
    <w:rsid w:val="000E4A47"/>
    <w:rsid w:val="000E5484"/>
    <w:rsid w:val="000E62CF"/>
    <w:rsid w:val="000E7166"/>
    <w:rsid w:val="000E71D8"/>
    <w:rsid w:val="000E77CC"/>
    <w:rsid w:val="000F1038"/>
    <w:rsid w:val="000F1126"/>
    <w:rsid w:val="000F149B"/>
    <w:rsid w:val="000F26D5"/>
    <w:rsid w:val="000F2F5C"/>
    <w:rsid w:val="000F2F95"/>
    <w:rsid w:val="000F49AD"/>
    <w:rsid w:val="000F642C"/>
    <w:rsid w:val="000F763A"/>
    <w:rsid w:val="00104678"/>
    <w:rsid w:val="00104D07"/>
    <w:rsid w:val="001053E4"/>
    <w:rsid w:val="00105F51"/>
    <w:rsid w:val="00105F59"/>
    <w:rsid w:val="0010664B"/>
    <w:rsid w:val="00106899"/>
    <w:rsid w:val="00110733"/>
    <w:rsid w:val="00110F0E"/>
    <w:rsid w:val="0011140C"/>
    <w:rsid w:val="00111D71"/>
    <w:rsid w:val="00113670"/>
    <w:rsid w:val="001143FF"/>
    <w:rsid w:val="001149E2"/>
    <w:rsid w:val="001157D5"/>
    <w:rsid w:val="00117F2D"/>
    <w:rsid w:val="00120748"/>
    <w:rsid w:val="001209C5"/>
    <w:rsid w:val="00122778"/>
    <w:rsid w:val="00123BEE"/>
    <w:rsid w:val="0012492C"/>
    <w:rsid w:val="001258F8"/>
    <w:rsid w:val="00130BF3"/>
    <w:rsid w:val="00131231"/>
    <w:rsid w:val="00132B10"/>
    <w:rsid w:val="00134720"/>
    <w:rsid w:val="001353EB"/>
    <w:rsid w:val="00135624"/>
    <w:rsid w:val="00136E82"/>
    <w:rsid w:val="00136EC5"/>
    <w:rsid w:val="00137215"/>
    <w:rsid w:val="00141486"/>
    <w:rsid w:val="00142013"/>
    <w:rsid w:val="0014268A"/>
    <w:rsid w:val="001430D5"/>
    <w:rsid w:val="001437A5"/>
    <w:rsid w:val="00143C02"/>
    <w:rsid w:val="001443CC"/>
    <w:rsid w:val="00144BA6"/>
    <w:rsid w:val="00146DF1"/>
    <w:rsid w:val="001508BE"/>
    <w:rsid w:val="001522D2"/>
    <w:rsid w:val="001522F3"/>
    <w:rsid w:val="001539B6"/>
    <w:rsid w:val="001570FF"/>
    <w:rsid w:val="001572AC"/>
    <w:rsid w:val="0015757C"/>
    <w:rsid w:val="00157773"/>
    <w:rsid w:val="00160CF5"/>
    <w:rsid w:val="00161FFB"/>
    <w:rsid w:val="00163763"/>
    <w:rsid w:val="00164758"/>
    <w:rsid w:val="00166FB6"/>
    <w:rsid w:val="00167973"/>
    <w:rsid w:val="00170B1C"/>
    <w:rsid w:val="00174F10"/>
    <w:rsid w:val="00183A20"/>
    <w:rsid w:val="00183A22"/>
    <w:rsid w:val="00184F27"/>
    <w:rsid w:val="00190789"/>
    <w:rsid w:val="00190B10"/>
    <w:rsid w:val="00190E5A"/>
    <w:rsid w:val="001917BA"/>
    <w:rsid w:val="00192934"/>
    <w:rsid w:val="00193820"/>
    <w:rsid w:val="00194A64"/>
    <w:rsid w:val="001A2CC6"/>
    <w:rsid w:val="001A34A1"/>
    <w:rsid w:val="001A3733"/>
    <w:rsid w:val="001A6A80"/>
    <w:rsid w:val="001A74E5"/>
    <w:rsid w:val="001A7976"/>
    <w:rsid w:val="001A7F63"/>
    <w:rsid w:val="001B12FE"/>
    <w:rsid w:val="001B3A26"/>
    <w:rsid w:val="001B3C0D"/>
    <w:rsid w:val="001B49C9"/>
    <w:rsid w:val="001B5AFE"/>
    <w:rsid w:val="001B621A"/>
    <w:rsid w:val="001B64D6"/>
    <w:rsid w:val="001B79A9"/>
    <w:rsid w:val="001C4A95"/>
    <w:rsid w:val="001C64FB"/>
    <w:rsid w:val="001C6776"/>
    <w:rsid w:val="001C6F39"/>
    <w:rsid w:val="001C77C9"/>
    <w:rsid w:val="001D3209"/>
    <w:rsid w:val="001D4431"/>
    <w:rsid w:val="001D6B70"/>
    <w:rsid w:val="001D7903"/>
    <w:rsid w:val="001E09D4"/>
    <w:rsid w:val="001E1145"/>
    <w:rsid w:val="001E469A"/>
    <w:rsid w:val="001E4706"/>
    <w:rsid w:val="001E4AA4"/>
    <w:rsid w:val="001E560E"/>
    <w:rsid w:val="001F0124"/>
    <w:rsid w:val="001F06A8"/>
    <w:rsid w:val="001F2007"/>
    <w:rsid w:val="001F2688"/>
    <w:rsid w:val="001F2D1F"/>
    <w:rsid w:val="001F2E0D"/>
    <w:rsid w:val="001F31E0"/>
    <w:rsid w:val="001F466C"/>
    <w:rsid w:val="001F603A"/>
    <w:rsid w:val="001F63D5"/>
    <w:rsid w:val="001F6E7B"/>
    <w:rsid w:val="001F7106"/>
    <w:rsid w:val="00200A78"/>
    <w:rsid w:val="002017D4"/>
    <w:rsid w:val="0020226C"/>
    <w:rsid w:val="00204187"/>
    <w:rsid w:val="00205517"/>
    <w:rsid w:val="00205AA8"/>
    <w:rsid w:val="0020719F"/>
    <w:rsid w:val="00210041"/>
    <w:rsid w:val="002114F7"/>
    <w:rsid w:val="00212C7D"/>
    <w:rsid w:val="002138F6"/>
    <w:rsid w:val="00213CFC"/>
    <w:rsid w:val="002152DD"/>
    <w:rsid w:val="00217953"/>
    <w:rsid w:val="00217BFB"/>
    <w:rsid w:val="002201D6"/>
    <w:rsid w:val="0022026D"/>
    <w:rsid w:val="00221538"/>
    <w:rsid w:val="00222598"/>
    <w:rsid w:val="002263F8"/>
    <w:rsid w:val="00227A9A"/>
    <w:rsid w:val="00232D85"/>
    <w:rsid w:val="0023305D"/>
    <w:rsid w:val="002337B7"/>
    <w:rsid w:val="002366F7"/>
    <w:rsid w:val="00236BE6"/>
    <w:rsid w:val="00236CEC"/>
    <w:rsid w:val="00236D2C"/>
    <w:rsid w:val="0024148B"/>
    <w:rsid w:val="002427B5"/>
    <w:rsid w:val="00242F9B"/>
    <w:rsid w:val="0024386B"/>
    <w:rsid w:val="00247E2D"/>
    <w:rsid w:val="00250F0A"/>
    <w:rsid w:val="0025176F"/>
    <w:rsid w:val="00251C06"/>
    <w:rsid w:val="00252B4E"/>
    <w:rsid w:val="00254177"/>
    <w:rsid w:val="0025428D"/>
    <w:rsid w:val="00254437"/>
    <w:rsid w:val="002546E2"/>
    <w:rsid w:val="00254DC4"/>
    <w:rsid w:val="002554DA"/>
    <w:rsid w:val="00255539"/>
    <w:rsid w:val="002559E3"/>
    <w:rsid w:val="002560C7"/>
    <w:rsid w:val="002570B0"/>
    <w:rsid w:val="0026029B"/>
    <w:rsid w:val="00260B38"/>
    <w:rsid w:val="0026216B"/>
    <w:rsid w:val="00264966"/>
    <w:rsid w:val="002666B1"/>
    <w:rsid w:val="002678A7"/>
    <w:rsid w:val="0027023F"/>
    <w:rsid w:val="00271138"/>
    <w:rsid w:val="00271359"/>
    <w:rsid w:val="0027153A"/>
    <w:rsid w:val="00271735"/>
    <w:rsid w:val="0027222E"/>
    <w:rsid w:val="002731E7"/>
    <w:rsid w:val="0027342E"/>
    <w:rsid w:val="0027418E"/>
    <w:rsid w:val="00274795"/>
    <w:rsid w:val="00275E20"/>
    <w:rsid w:val="00276CC6"/>
    <w:rsid w:val="002818B9"/>
    <w:rsid w:val="002857F5"/>
    <w:rsid w:val="00287E11"/>
    <w:rsid w:val="002904EE"/>
    <w:rsid w:val="0029078A"/>
    <w:rsid w:val="0029099D"/>
    <w:rsid w:val="00295CDF"/>
    <w:rsid w:val="00296442"/>
    <w:rsid w:val="00296F41"/>
    <w:rsid w:val="00297832"/>
    <w:rsid w:val="0029785B"/>
    <w:rsid w:val="002A0B77"/>
    <w:rsid w:val="002A1C1B"/>
    <w:rsid w:val="002A3EFE"/>
    <w:rsid w:val="002A48EB"/>
    <w:rsid w:val="002A6C47"/>
    <w:rsid w:val="002A728A"/>
    <w:rsid w:val="002A7583"/>
    <w:rsid w:val="002B016D"/>
    <w:rsid w:val="002B0366"/>
    <w:rsid w:val="002B09A9"/>
    <w:rsid w:val="002B0DCC"/>
    <w:rsid w:val="002B18C2"/>
    <w:rsid w:val="002B1EF6"/>
    <w:rsid w:val="002B28E1"/>
    <w:rsid w:val="002B2904"/>
    <w:rsid w:val="002B30C2"/>
    <w:rsid w:val="002B389D"/>
    <w:rsid w:val="002B3F83"/>
    <w:rsid w:val="002B4EBA"/>
    <w:rsid w:val="002B6D92"/>
    <w:rsid w:val="002B7D52"/>
    <w:rsid w:val="002C2CFC"/>
    <w:rsid w:val="002C3FF6"/>
    <w:rsid w:val="002C465B"/>
    <w:rsid w:val="002C60DC"/>
    <w:rsid w:val="002C694A"/>
    <w:rsid w:val="002C7732"/>
    <w:rsid w:val="002D088F"/>
    <w:rsid w:val="002D115A"/>
    <w:rsid w:val="002D1F86"/>
    <w:rsid w:val="002D3754"/>
    <w:rsid w:val="002D37FD"/>
    <w:rsid w:val="002D46AC"/>
    <w:rsid w:val="002D4A39"/>
    <w:rsid w:val="002D4E13"/>
    <w:rsid w:val="002D5449"/>
    <w:rsid w:val="002E0088"/>
    <w:rsid w:val="002E0E04"/>
    <w:rsid w:val="002E10ED"/>
    <w:rsid w:val="002E1432"/>
    <w:rsid w:val="002E152E"/>
    <w:rsid w:val="002E50C8"/>
    <w:rsid w:val="002E51B3"/>
    <w:rsid w:val="002E541F"/>
    <w:rsid w:val="002E5A56"/>
    <w:rsid w:val="002E7EAE"/>
    <w:rsid w:val="002F06AA"/>
    <w:rsid w:val="002F1750"/>
    <w:rsid w:val="002F1E4C"/>
    <w:rsid w:val="002F3A4C"/>
    <w:rsid w:val="002F3D49"/>
    <w:rsid w:val="002F4095"/>
    <w:rsid w:val="002F50A2"/>
    <w:rsid w:val="002F58D5"/>
    <w:rsid w:val="002F6029"/>
    <w:rsid w:val="002F6607"/>
    <w:rsid w:val="002F6848"/>
    <w:rsid w:val="002F71F3"/>
    <w:rsid w:val="00301CB8"/>
    <w:rsid w:val="003037DD"/>
    <w:rsid w:val="00303C52"/>
    <w:rsid w:val="0030451D"/>
    <w:rsid w:val="00304E5B"/>
    <w:rsid w:val="0031222F"/>
    <w:rsid w:val="00314355"/>
    <w:rsid w:val="003146D3"/>
    <w:rsid w:val="003153F3"/>
    <w:rsid w:val="00315FED"/>
    <w:rsid w:val="003163E2"/>
    <w:rsid w:val="0031746C"/>
    <w:rsid w:val="00321B57"/>
    <w:rsid w:val="0032212B"/>
    <w:rsid w:val="00322AD1"/>
    <w:rsid w:val="003238FD"/>
    <w:rsid w:val="00324372"/>
    <w:rsid w:val="00326415"/>
    <w:rsid w:val="00326EB4"/>
    <w:rsid w:val="0033140C"/>
    <w:rsid w:val="00334126"/>
    <w:rsid w:val="003350BD"/>
    <w:rsid w:val="00336114"/>
    <w:rsid w:val="003364D1"/>
    <w:rsid w:val="0033759A"/>
    <w:rsid w:val="003378F7"/>
    <w:rsid w:val="003409FA"/>
    <w:rsid w:val="00340A76"/>
    <w:rsid w:val="00340F97"/>
    <w:rsid w:val="00341B23"/>
    <w:rsid w:val="00341B46"/>
    <w:rsid w:val="00342CB1"/>
    <w:rsid w:val="00343775"/>
    <w:rsid w:val="00343905"/>
    <w:rsid w:val="00344A20"/>
    <w:rsid w:val="00345073"/>
    <w:rsid w:val="00345282"/>
    <w:rsid w:val="00345896"/>
    <w:rsid w:val="00347178"/>
    <w:rsid w:val="003471AD"/>
    <w:rsid w:val="00350112"/>
    <w:rsid w:val="00350F6F"/>
    <w:rsid w:val="00351128"/>
    <w:rsid w:val="00351397"/>
    <w:rsid w:val="00351C59"/>
    <w:rsid w:val="00351F55"/>
    <w:rsid w:val="0035215D"/>
    <w:rsid w:val="003521DA"/>
    <w:rsid w:val="00356216"/>
    <w:rsid w:val="003571D0"/>
    <w:rsid w:val="00360A83"/>
    <w:rsid w:val="00360D4A"/>
    <w:rsid w:val="0036198C"/>
    <w:rsid w:val="00362E58"/>
    <w:rsid w:val="00363A24"/>
    <w:rsid w:val="00366D32"/>
    <w:rsid w:val="003670A1"/>
    <w:rsid w:val="00367B2C"/>
    <w:rsid w:val="003701CA"/>
    <w:rsid w:val="00370AA8"/>
    <w:rsid w:val="0037184D"/>
    <w:rsid w:val="003718A5"/>
    <w:rsid w:val="00371D5C"/>
    <w:rsid w:val="0037254B"/>
    <w:rsid w:val="00374126"/>
    <w:rsid w:val="00380AEE"/>
    <w:rsid w:val="00380D77"/>
    <w:rsid w:val="0038116D"/>
    <w:rsid w:val="00381854"/>
    <w:rsid w:val="00381896"/>
    <w:rsid w:val="0038246C"/>
    <w:rsid w:val="00382979"/>
    <w:rsid w:val="00382F6D"/>
    <w:rsid w:val="00384F54"/>
    <w:rsid w:val="003853A8"/>
    <w:rsid w:val="00385BEC"/>
    <w:rsid w:val="003862B9"/>
    <w:rsid w:val="00387099"/>
    <w:rsid w:val="003947C6"/>
    <w:rsid w:val="00395F4D"/>
    <w:rsid w:val="0039675C"/>
    <w:rsid w:val="003A0602"/>
    <w:rsid w:val="003A13B6"/>
    <w:rsid w:val="003A1D62"/>
    <w:rsid w:val="003A1E57"/>
    <w:rsid w:val="003A46C7"/>
    <w:rsid w:val="003A4D47"/>
    <w:rsid w:val="003A67A1"/>
    <w:rsid w:val="003A7292"/>
    <w:rsid w:val="003A7E53"/>
    <w:rsid w:val="003B038E"/>
    <w:rsid w:val="003B0743"/>
    <w:rsid w:val="003B18B3"/>
    <w:rsid w:val="003B2487"/>
    <w:rsid w:val="003B5A6E"/>
    <w:rsid w:val="003B5BA4"/>
    <w:rsid w:val="003B5FD1"/>
    <w:rsid w:val="003B6E55"/>
    <w:rsid w:val="003C0A1F"/>
    <w:rsid w:val="003C1925"/>
    <w:rsid w:val="003C237B"/>
    <w:rsid w:val="003C239F"/>
    <w:rsid w:val="003C4177"/>
    <w:rsid w:val="003C55DD"/>
    <w:rsid w:val="003D2EE3"/>
    <w:rsid w:val="003D40BD"/>
    <w:rsid w:val="003D4201"/>
    <w:rsid w:val="003D625F"/>
    <w:rsid w:val="003D6410"/>
    <w:rsid w:val="003E050D"/>
    <w:rsid w:val="003E05BD"/>
    <w:rsid w:val="003E252A"/>
    <w:rsid w:val="003E322D"/>
    <w:rsid w:val="003E3F44"/>
    <w:rsid w:val="003E5E10"/>
    <w:rsid w:val="003E5E71"/>
    <w:rsid w:val="003E67B3"/>
    <w:rsid w:val="003E6D28"/>
    <w:rsid w:val="003E6E3F"/>
    <w:rsid w:val="003F0637"/>
    <w:rsid w:val="003F0FF1"/>
    <w:rsid w:val="003F271B"/>
    <w:rsid w:val="003F30CE"/>
    <w:rsid w:val="003F4CC6"/>
    <w:rsid w:val="003F52B3"/>
    <w:rsid w:val="003F5906"/>
    <w:rsid w:val="003F5936"/>
    <w:rsid w:val="003F5C66"/>
    <w:rsid w:val="003F5D33"/>
    <w:rsid w:val="003F608F"/>
    <w:rsid w:val="003F6EC4"/>
    <w:rsid w:val="00400DB1"/>
    <w:rsid w:val="00402873"/>
    <w:rsid w:val="0040628D"/>
    <w:rsid w:val="004068CF"/>
    <w:rsid w:val="00410661"/>
    <w:rsid w:val="004108D0"/>
    <w:rsid w:val="00410A25"/>
    <w:rsid w:val="0041164A"/>
    <w:rsid w:val="00412657"/>
    <w:rsid w:val="00412840"/>
    <w:rsid w:val="00412EE6"/>
    <w:rsid w:val="004147A0"/>
    <w:rsid w:val="0041592D"/>
    <w:rsid w:val="00415B32"/>
    <w:rsid w:val="00416AEF"/>
    <w:rsid w:val="0041773B"/>
    <w:rsid w:val="00420208"/>
    <w:rsid w:val="00420663"/>
    <w:rsid w:val="00421C6A"/>
    <w:rsid w:val="00422C5C"/>
    <w:rsid w:val="004246FC"/>
    <w:rsid w:val="00425D38"/>
    <w:rsid w:val="00427E28"/>
    <w:rsid w:val="0043008C"/>
    <w:rsid w:val="00430280"/>
    <w:rsid w:val="004306E2"/>
    <w:rsid w:val="004318DC"/>
    <w:rsid w:val="004325BE"/>
    <w:rsid w:val="004326FB"/>
    <w:rsid w:val="00432D32"/>
    <w:rsid w:val="00432EC5"/>
    <w:rsid w:val="004342A4"/>
    <w:rsid w:val="00434CD2"/>
    <w:rsid w:val="00436575"/>
    <w:rsid w:val="00437DAC"/>
    <w:rsid w:val="00442803"/>
    <w:rsid w:val="00443F93"/>
    <w:rsid w:val="00445411"/>
    <w:rsid w:val="00445828"/>
    <w:rsid w:val="00445EB6"/>
    <w:rsid w:val="00446FDE"/>
    <w:rsid w:val="00450C38"/>
    <w:rsid w:val="00450C86"/>
    <w:rsid w:val="00453CDD"/>
    <w:rsid w:val="0045403D"/>
    <w:rsid w:val="004543A7"/>
    <w:rsid w:val="0045591F"/>
    <w:rsid w:val="00455CE0"/>
    <w:rsid w:val="00456101"/>
    <w:rsid w:val="0045711D"/>
    <w:rsid w:val="004574E5"/>
    <w:rsid w:val="00461240"/>
    <w:rsid w:val="004625FC"/>
    <w:rsid w:val="00463129"/>
    <w:rsid w:val="00464F3E"/>
    <w:rsid w:val="00467341"/>
    <w:rsid w:val="00471390"/>
    <w:rsid w:val="00471D20"/>
    <w:rsid w:val="00472041"/>
    <w:rsid w:val="00473F7F"/>
    <w:rsid w:val="004755E0"/>
    <w:rsid w:val="00475C35"/>
    <w:rsid w:val="0048062B"/>
    <w:rsid w:val="00480B5E"/>
    <w:rsid w:val="00480C17"/>
    <w:rsid w:val="00480CFF"/>
    <w:rsid w:val="00481645"/>
    <w:rsid w:val="00481D94"/>
    <w:rsid w:val="004827CD"/>
    <w:rsid w:val="00482D28"/>
    <w:rsid w:val="00483EB4"/>
    <w:rsid w:val="00485476"/>
    <w:rsid w:val="00486851"/>
    <w:rsid w:val="00486EC2"/>
    <w:rsid w:val="00491717"/>
    <w:rsid w:val="00493CDE"/>
    <w:rsid w:val="00495E4F"/>
    <w:rsid w:val="00496E8C"/>
    <w:rsid w:val="004A1303"/>
    <w:rsid w:val="004A18C2"/>
    <w:rsid w:val="004A2BB0"/>
    <w:rsid w:val="004A3275"/>
    <w:rsid w:val="004A35E9"/>
    <w:rsid w:val="004B193A"/>
    <w:rsid w:val="004B1E21"/>
    <w:rsid w:val="004B222B"/>
    <w:rsid w:val="004B26D2"/>
    <w:rsid w:val="004B2920"/>
    <w:rsid w:val="004B356B"/>
    <w:rsid w:val="004B3E36"/>
    <w:rsid w:val="004B4252"/>
    <w:rsid w:val="004B6D0A"/>
    <w:rsid w:val="004B791C"/>
    <w:rsid w:val="004C1E6C"/>
    <w:rsid w:val="004C2EA4"/>
    <w:rsid w:val="004C2EB2"/>
    <w:rsid w:val="004C2FC4"/>
    <w:rsid w:val="004C31D2"/>
    <w:rsid w:val="004C3DC9"/>
    <w:rsid w:val="004C6FC8"/>
    <w:rsid w:val="004D20E7"/>
    <w:rsid w:val="004D2785"/>
    <w:rsid w:val="004D297A"/>
    <w:rsid w:val="004D66DD"/>
    <w:rsid w:val="004E0530"/>
    <w:rsid w:val="004E0E32"/>
    <w:rsid w:val="004E1144"/>
    <w:rsid w:val="004E1196"/>
    <w:rsid w:val="004E25CC"/>
    <w:rsid w:val="004E2D81"/>
    <w:rsid w:val="004E405D"/>
    <w:rsid w:val="004E4F5C"/>
    <w:rsid w:val="004E6144"/>
    <w:rsid w:val="004F27B9"/>
    <w:rsid w:val="004F4CA6"/>
    <w:rsid w:val="004F5E88"/>
    <w:rsid w:val="004F6314"/>
    <w:rsid w:val="00500A5A"/>
    <w:rsid w:val="005016FE"/>
    <w:rsid w:val="00501CC6"/>
    <w:rsid w:val="00501EEB"/>
    <w:rsid w:val="005047A4"/>
    <w:rsid w:val="005071B0"/>
    <w:rsid w:val="00510AA5"/>
    <w:rsid w:val="00512A1A"/>
    <w:rsid w:val="00513B66"/>
    <w:rsid w:val="005147E8"/>
    <w:rsid w:val="00515C57"/>
    <w:rsid w:val="00515F36"/>
    <w:rsid w:val="00516235"/>
    <w:rsid w:val="005178B4"/>
    <w:rsid w:val="00521F01"/>
    <w:rsid w:val="00522872"/>
    <w:rsid w:val="0052543C"/>
    <w:rsid w:val="00525B90"/>
    <w:rsid w:val="00526BB1"/>
    <w:rsid w:val="005272A7"/>
    <w:rsid w:val="00527EBA"/>
    <w:rsid w:val="00530796"/>
    <w:rsid w:val="00530C18"/>
    <w:rsid w:val="00533398"/>
    <w:rsid w:val="00533C09"/>
    <w:rsid w:val="00534795"/>
    <w:rsid w:val="00540C5E"/>
    <w:rsid w:val="0054160B"/>
    <w:rsid w:val="005423A0"/>
    <w:rsid w:val="00542E3E"/>
    <w:rsid w:val="005443EE"/>
    <w:rsid w:val="00545192"/>
    <w:rsid w:val="005459B8"/>
    <w:rsid w:val="00546143"/>
    <w:rsid w:val="00546885"/>
    <w:rsid w:val="00546D5B"/>
    <w:rsid w:val="00546E2B"/>
    <w:rsid w:val="0055068F"/>
    <w:rsid w:val="0055098F"/>
    <w:rsid w:val="00551722"/>
    <w:rsid w:val="00552675"/>
    <w:rsid w:val="00552D9F"/>
    <w:rsid w:val="005535EB"/>
    <w:rsid w:val="00553719"/>
    <w:rsid w:val="005551DB"/>
    <w:rsid w:val="005553FA"/>
    <w:rsid w:val="005554B1"/>
    <w:rsid w:val="00556917"/>
    <w:rsid w:val="00557A23"/>
    <w:rsid w:val="005604E4"/>
    <w:rsid w:val="0056095B"/>
    <w:rsid w:val="0056493F"/>
    <w:rsid w:val="00565BD2"/>
    <w:rsid w:val="005710BD"/>
    <w:rsid w:val="00571193"/>
    <w:rsid w:val="00571FDD"/>
    <w:rsid w:val="005724AF"/>
    <w:rsid w:val="00573673"/>
    <w:rsid w:val="00575485"/>
    <w:rsid w:val="00577F69"/>
    <w:rsid w:val="00580FFD"/>
    <w:rsid w:val="00581A46"/>
    <w:rsid w:val="00583214"/>
    <w:rsid w:val="005837C0"/>
    <w:rsid w:val="00583C2D"/>
    <w:rsid w:val="00587BB3"/>
    <w:rsid w:val="00590473"/>
    <w:rsid w:val="00593DEC"/>
    <w:rsid w:val="00595081"/>
    <w:rsid w:val="00595678"/>
    <w:rsid w:val="0059589C"/>
    <w:rsid w:val="005968B3"/>
    <w:rsid w:val="0059752E"/>
    <w:rsid w:val="005A00CE"/>
    <w:rsid w:val="005A049D"/>
    <w:rsid w:val="005A0DB0"/>
    <w:rsid w:val="005A42DD"/>
    <w:rsid w:val="005A4351"/>
    <w:rsid w:val="005A5711"/>
    <w:rsid w:val="005B0BF7"/>
    <w:rsid w:val="005B203F"/>
    <w:rsid w:val="005B2253"/>
    <w:rsid w:val="005B2297"/>
    <w:rsid w:val="005B2BEB"/>
    <w:rsid w:val="005B4207"/>
    <w:rsid w:val="005B542D"/>
    <w:rsid w:val="005B625C"/>
    <w:rsid w:val="005B7731"/>
    <w:rsid w:val="005C3ABD"/>
    <w:rsid w:val="005C4672"/>
    <w:rsid w:val="005C4B19"/>
    <w:rsid w:val="005C5FFA"/>
    <w:rsid w:val="005D3AE7"/>
    <w:rsid w:val="005D5608"/>
    <w:rsid w:val="005D6921"/>
    <w:rsid w:val="005E0F24"/>
    <w:rsid w:val="005E10AD"/>
    <w:rsid w:val="005E3494"/>
    <w:rsid w:val="005E4843"/>
    <w:rsid w:val="005E791D"/>
    <w:rsid w:val="005E7A83"/>
    <w:rsid w:val="005F02A2"/>
    <w:rsid w:val="005F0635"/>
    <w:rsid w:val="005F1391"/>
    <w:rsid w:val="005F1F0D"/>
    <w:rsid w:val="005F200F"/>
    <w:rsid w:val="005F2D1B"/>
    <w:rsid w:val="005F332D"/>
    <w:rsid w:val="00600A5F"/>
    <w:rsid w:val="00603381"/>
    <w:rsid w:val="00604BC5"/>
    <w:rsid w:val="00604D2D"/>
    <w:rsid w:val="006062E0"/>
    <w:rsid w:val="00607269"/>
    <w:rsid w:val="00607FE3"/>
    <w:rsid w:val="0061074E"/>
    <w:rsid w:val="006139A7"/>
    <w:rsid w:val="00616621"/>
    <w:rsid w:val="00617303"/>
    <w:rsid w:val="00617B1F"/>
    <w:rsid w:val="006201F8"/>
    <w:rsid w:val="00621A9C"/>
    <w:rsid w:val="00624788"/>
    <w:rsid w:val="0062583C"/>
    <w:rsid w:val="00625DE7"/>
    <w:rsid w:val="00626213"/>
    <w:rsid w:val="006268CC"/>
    <w:rsid w:val="00626A90"/>
    <w:rsid w:val="00626C86"/>
    <w:rsid w:val="00627741"/>
    <w:rsid w:val="0063015D"/>
    <w:rsid w:val="00631D97"/>
    <w:rsid w:val="006342BF"/>
    <w:rsid w:val="006360CB"/>
    <w:rsid w:val="00636FFA"/>
    <w:rsid w:val="006370BF"/>
    <w:rsid w:val="006372EE"/>
    <w:rsid w:val="00637CC9"/>
    <w:rsid w:val="006413B3"/>
    <w:rsid w:val="00641898"/>
    <w:rsid w:val="00641949"/>
    <w:rsid w:val="00645430"/>
    <w:rsid w:val="006466F4"/>
    <w:rsid w:val="0064791A"/>
    <w:rsid w:val="006525F9"/>
    <w:rsid w:val="00652BD1"/>
    <w:rsid w:val="006537C2"/>
    <w:rsid w:val="00653D12"/>
    <w:rsid w:val="00654A7D"/>
    <w:rsid w:val="00655F58"/>
    <w:rsid w:val="00656396"/>
    <w:rsid w:val="00656AA5"/>
    <w:rsid w:val="006577FC"/>
    <w:rsid w:val="00657B92"/>
    <w:rsid w:val="00657E00"/>
    <w:rsid w:val="00660312"/>
    <w:rsid w:val="00660672"/>
    <w:rsid w:val="00661BEA"/>
    <w:rsid w:val="00662B94"/>
    <w:rsid w:val="0066337A"/>
    <w:rsid w:val="006654AD"/>
    <w:rsid w:val="006667EF"/>
    <w:rsid w:val="00666FFD"/>
    <w:rsid w:val="0067090A"/>
    <w:rsid w:val="00671ADF"/>
    <w:rsid w:val="00671CB4"/>
    <w:rsid w:val="006725D5"/>
    <w:rsid w:val="00672831"/>
    <w:rsid w:val="00672A99"/>
    <w:rsid w:val="00673B46"/>
    <w:rsid w:val="006740A5"/>
    <w:rsid w:val="00674190"/>
    <w:rsid w:val="00676641"/>
    <w:rsid w:val="006769CF"/>
    <w:rsid w:val="00680DB6"/>
    <w:rsid w:val="00681E82"/>
    <w:rsid w:val="00681E83"/>
    <w:rsid w:val="00682705"/>
    <w:rsid w:val="0068383E"/>
    <w:rsid w:val="00685D38"/>
    <w:rsid w:val="00685FD5"/>
    <w:rsid w:val="00686954"/>
    <w:rsid w:val="00691389"/>
    <w:rsid w:val="00697AE3"/>
    <w:rsid w:val="006A32EA"/>
    <w:rsid w:val="006A37D4"/>
    <w:rsid w:val="006A39F8"/>
    <w:rsid w:val="006A4B04"/>
    <w:rsid w:val="006A54E7"/>
    <w:rsid w:val="006A5D1A"/>
    <w:rsid w:val="006A6085"/>
    <w:rsid w:val="006A77B0"/>
    <w:rsid w:val="006B2092"/>
    <w:rsid w:val="006B288F"/>
    <w:rsid w:val="006B4868"/>
    <w:rsid w:val="006B5C32"/>
    <w:rsid w:val="006B6B13"/>
    <w:rsid w:val="006B6C4D"/>
    <w:rsid w:val="006C34D7"/>
    <w:rsid w:val="006C5294"/>
    <w:rsid w:val="006C6138"/>
    <w:rsid w:val="006C6180"/>
    <w:rsid w:val="006D010F"/>
    <w:rsid w:val="006D01D1"/>
    <w:rsid w:val="006D10B7"/>
    <w:rsid w:val="006D4655"/>
    <w:rsid w:val="006D4F5F"/>
    <w:rsid w:val="006D52DA"/>
    <w:rsid w:val="006D7C6B"/>
    <w:rsid w:val="006E00B3"/>
    <w:rsid w:val="006E048C"/>
    <w:rsid w:val="006E226C"/>
    <w:rsid w:val="006E3CCF"/>
    <w:rsid w:val="006E4DDB"/>
    <w:rsid w:val="006E5CE4"/>
    <w:rsid w:val="006E5DCA"/>
    <w:rsid w:val="006E5DE6"/>
    <w:rsid w:val="006E5F9E"/>
    <w:rsid w:val="006E61B5"/>
    <w:rsid w:val="006E6581"/>
    <w:rsid w:val="006E6D2D"/>
    <w:rsid w:val="006E7611"/>
    <w:rsid w:val="006E77C5"/>
    <w:rsid w:val="006E7A84"/>
    <w:rsid w:val="006E7D03"/>
    <w:rsid w:val="006F099C"/>
    <w:rsid w:val="006F3ED1"/>
    <w:rsid w:val="006F49F1"/>
    <w:rsid w:val="006F5420"/>
    <w:rsid w:val="006F78DF"/>
    <w:rsid w:val="006F7CAA"/>
    <w:rsid w:val="00701490"/>
    <w:rsid w:val="0070196B"/>
    <w:rsid w:val="00701E07"/>
    <w:rsid w:val="00702DC7"/>
    <w:rsid w:val="007036B9"/>
    <w:rsid w:val="0070461C"/>
    <w:rsid w:val="00704B45"/>
    <w:rsid w:val="00705268"/>
    <w:rsid w:val="00706A1A"/>
    <w:rsid w:val="00706B1C"/>
    <w:rsid w:val="00706FF6"/>
    <w:rsid w:val="007074C5"/>
    <w:rsid w:val="007102E7"/>
    <w:rsid w:val="00712CEF"/>
    <w:rsid w:val="007133E1"/>
    <w:rsid w:val="00713980"/>
    <w:rsid w:val="007151DA"/>
    <w:rsid w:val="007168CD"/>
    <w:rsid w:val="007168DA"/>
    <w:rsid w:val="00717DCA"/>
    <w:rsid w:val="007214B1"/>
    <w:rsid w:val="00723456"/>
    <w:rsid w:val="00726A28"/>
    <w:rsid w:val="00727258"/>
    <w:rsid w:val="00727A1F"/>
    <w:rsid w:val="00730252"/>
    <w:rsid w:val="0073081F"/>
    <w:rsid w:val="0073248C"/>
    <w:rsid w:val="007340EF"/>
    <w:rsid w:val="00734ADD"/>
    <w:rsid w:val="00736FEF"/>
    <w:rsid w:val="00741DF8"/>
    <w:rsid w:val="00741FA9"/>
    <w:rsid w:val="00742073"/>
    <w:rsid w:val="007425B8"/>
    <w:rsid w:val="0074357F"/>
    <w:rsid w:val="00743693"/>
    <w:rsid w:val="007451B3"/>
    <w:rsid w:val="007456AD"/>
    <w:rsid w:val="0074666C"/>
    <w:rsid w:val="00746C45"/>
    <w:rsid w:val="0075188D"/>
    <w:rsid w:val="00751A70"/>
    <w:rsid w:val="0075219E"/>
    <w:rsid w:val="00752FFF"/>
    <w:rsid w:val="00760714"/>
    <w:rsid w:val="00762430"/>
    <w:rsid w:val="00764110"/>
    <w:rsid w:val="00765303"/>
    <w:rsid w:val="00771768"/>
    <w:rsid w:val="00771D36"/>
    <w:rsid w:val="00772305"/>
    <w:rsid w:val="00772FEC"/>
    <w:rsid w:val="00773B07"/>
    <w:rsid w:val="0077446A"/>
    <w:rsid w:val="007757A5"/>
    <w:rsid w:val="00776523"/>
    <w:rsid w:val="0078012E"/>
    <w:rsid w:val="007821A5"/>
    <w:rsid w:val="007835FE"/>
    <w:rsid w:val="00783F16"/>
    <w:rsid w:val="007873CC"/>
    <w:rsid w:val="00787524"/>
    <w:rsid w:val="007879BA"/>
    <w:rsid w:val="00787D63"/>
    <w:rsid w:val="007931D4"/>
    <w:rsid w:val="00796422"/>
    <w:rsid w:val="00797191"/>
    <w:rsid w:val="00797BDE"/>
    <w:rsid w:val="00797D24"/>
    <w:rsid w:val="007A004B"/>
    <w:rsid w:val="007A1E9C"/>
    <w:rsid w:val="007A4EF5"/>
    <w:rsid w:val="007A52F9"/>
    <w:rsid w:val="007A63A3"/>
    <w:rsid w:val="007A721C"/>
    <w:rsid w:val="007A7647"/>
    <w:rsid w:val="007A7B05"/>
    <w:rsid w:val="007B0891"/>
    <w:rsid w:val="007B1958"/>
    <w:rsid w:val="007B240C"/>
    <w:rsid w:val="007B3931"/>
    <w:rsid w:val="007B562D"/>
    <w:rsid w:val="007B5DA5"/>
    <w:rsid w:val="007B7757"/>
    <w:rsid w:val="007C0F0A"/>
    <w:rsid w:val="007C19BB"/>
    <w:rsid w:val="007C49C7"/>
    <w:rsid w:val="007C4C58"/>
    <w:rsid w:val="007C61D2"/>
    <w:rsid w:val="007C70BC"/>
    <w:rsid w:val="007C7BFA"/>
    <w:rsid w:val="007D06EF"/>
    <w:rsid w:val="007D2266"/>
    <w:rsid w:val="007D2942"/>
    <w:rsid w:val="007D3513"/>
    <w:rsid w:val="007D4C5B"/>
    <w:rsid w:val="007D68F9"/>
    <w:rsid w:val="007D7BCA"/>
    <w:rsid w:val="007E14EF"/>
    <w:rsid w:val="007E1D74"/>
    <w:rsid w:val="007E2075"/>
    <w:rsid w:val="007E2C1B"/>
    <w:rsid w:val="007E447A"/>
    <w:rsid w:val="007E4EF8"/>
    <w:rsid w:val="007E52D2"/>
    <w:rsid w:val="007E5311"/>
    <w:rsid w:val="007E6FEC"/>
    <w:rsid w:val="007F147F"/>
    <w:rsid w:val="007F17BB"/>
    <w:rsid w:val="007F2558"/>
    <w:rsid w:val="007F29C4"/>
    <w:rsid w:val="007F307A"/>
    <w:rsid w:val="007F3E08"/>
    <w:rsid w:val="007F4320"/>
    <w:rsid w:val="007F551B"/>
    <w:rsid w:val="007F7DB2"/>
    <w:rsid w:val="0080189E"/>
    <w:rsid w:val="00801B65"/>
    <w:rsid w:val="00806656"/>
    <w:rsid w:val="008072B8"/>
    <w:rsid w:val="0081079E"/>
    <w:rsid w:val="00810B92"/>
    <w:rsid w:val="008113F6"/>
    <w:rsid w:val="008114CC"/>
    <w:rsid w:val="008130B8"/>
    <w:rsid w:val="008166E2"/>
    <w:rsid w:val="00821F61"/>
    <w:rsid w:val="008251FD"/>
    <w:rsid w:val="00825685"/>
    <w:rsid w:val="00826878"/>
    <w:rsid w:val="00827611"/>
    <w:rsid w:val="00827C91"/>
    <w:rsid w:val="00830A0A"/>
    <w:rsid w:val="00830C97"/>
    <w:rsid w:val="00832897"/>
    <w:rsid w:val="0083320E"/>
    <w:rsid w:val="00833E4D"/>
    <w:rsid w:val="00833EF5"/>
    <w:rsid w:val="00834913"/>
    <w:rsid w:val="00834D3D"/>
    <w:rsid w:val="00834ED0"/>
    <w:rsid w:val="008369B4"/>
    <w:rsid w:val="00840743"/>
    <w:rsid w:val="00840D7D"/>
    <w:rsid w:val="00841532"/>
    <w:rsid w:val="008422D4"/>
    <w:rsid w:val="00842E31"/>
    <w:rsid w:val="00842F8E"/>
    <w:rsid w:val="008433D0"/>
    <w:rsid w:val="008437E8"/>
    <w:rsid w:val="00843A81"/>
    <w:rsid w:val="00846113"/>
    <w:rsid w:val="00850963"/>
    <w:rsid w:val="008515D8"/>
    <w:rsid w:val="008523E4"/>
    <w:rsid w:val="008538C4"/>
    <w:rsid w:val="0085774B"/>
    <w:rsid w:val="00857826"/>
    <w:rsid w:val="0086201F"/>
    <w:rsid w:val="008620C4"/>
    <w:rsid w:val="008639F3"/>
    <w:rsid w:val="0086435A"/>
    <w:rsid w:val="008649A9"/>
    <w:rsid w:val="00865524"/>
    <w:rsid w:val="00865BD6"/>
    <w:rsid w:val="008677B8"/>
    <w:rsid w:val="00870478"/>
    <w:rsid w:val="008727EB"/>
    <w:rsid w:val="00873DD7"/>
    <w:rsid w:val="00874CFB"/>
    <w:rsid w:val="00874EB8"/>
    <w:rsid w:val="00877425"/>
    <w:rsid w:val="008829C9"/>
    <w:rsid w:val="0088303F"/>
    <w:rsid w:val="00883828"/>
    <w:rsid w:val="008851A4"/>
    <w:rsid w:val="008852BA"/>
    <w:rsid w:val="008855F3"/>
    <w:rsid w:val="00885755"/>
    <w:rsid w:val="00886005"/>
    <w:rsid w:val="00886D06"/>
    <w:rsid w:val="00890701"/>
    <w:rsid w:val="00890C72"/>
    <w:rsid w:val="00892526"/>
    <w:rsid w:val="00892C2E"/>
    <w:rsid w:val="00894C90"/>
    <w:rsid w:val="00895147"/>
    <w:rsid w:val="00896403"/>
    <w:rsid w:val="0089656D"/>
    <w:rsid w:val="00896FB7"/>
    <w:rsid w:val="00897970"/>
    <w:rsid w:val="008A09D3"/>
    <w:rsid w:val="008A0F0F"/>
    <w:rsid w:val="008A1507"/>
    <w:rsid w:val="008A2BDA"/>
    <w:rsid w:val="008A2F64"/>
    <w:rsid w:val="008A2F71"/>
    <w:rsid w:val="008A3322"/>
    <w:rsid w:val="008A4B93"/>
    <w:rsid w:val="008A4F84"/>
    <w:rsid w:val="008A5A86"/>
    <w:rsid w:val="008A60BB"/>
    <w:rsid w:val="008A6567"/>
    <w:rsid w:val="008C027B"/>
    <w:rsid w:val="008C0891"/>
    <w:rsid w:val="008C1FA6"/>
    <w:rsid w:val="008C3602"/>
    <w:rsid w:val="008D0C5A"/>
    <w:rsid w:val="008D0F7F"/>
    <w:rsid w:val="008D15A2"/>
    <w:rsid w:val="008D2145"/>
    <w:rsid w:val="008D2D49"/>
    <w:rsid w:val="008D6CFE"/>
    <w:rsid w:val="008D7790"/>
    <w:rsid w:val="008D7AAF"/>
    <w:rsid w:val="008E0009"/>
    <w:rsid w:val="008E085A"/>
    <w:rsid w:val="008E248F"/>
    <w:rsid w:val="008E2CBF"/>
    <w:rsid w:val="008E340B"/>
    <w:rsid w:val="008E6F9B"/>
    <w:rsid w:val="008F051D"/>
    <w:rsid w:val="008F1D8D"/>
    <w:rsid w:val="008F3281"/>
    <w:rsid w:val="008F3BE9"/>
    <w:rsid w:val="008F6358"/>
    <w:rsid w:val="008F6FF2"/>
    <w:rsid w:val="008F727E"/>
    <w:rsid w:val="008F72AE"/>
    <w:rsid w:val="008F7AA3"/>
    <w:rsid w:val="008F7EB8"/>
    <w:rsid w:val="00900417"/>
    <w:rsid w:val="00900596"/>
    <w:rsid w:val="009011D5"/>
    <w:rsid w:val="0090256F"/>
    <w:rsid w:val="0090475E"/>
    <w:rsid w:val="0090484F"/>
    <w:rsid w:val="0090518E"/>
    <w:rsid w:val="0090566F"/>
    <w:rsid w:val="00905D5F"/>
    <w:rsid w:val="009077C6"/>
    <w:rsid w:val="00911B1F"/>
    <w:rsid w:val="0091210F"/>
    <w:rsid w:val="0091247C"/>
    <w:rsid w:val="0091291A"/>
    <w:rsid w:val="009144F2"/>
    <w:rsid w:val="00915E45"/>
    <w:rsid w:val="00921999"/>
    <w:rsid w:val="009221DD"/>
    <w:rsid w:val="00922D64"/>
    <w:rsid w:val="00922E67"/>
    <w:rsid w:val="00923593"/>
    <w:rsid w:val="009247F1"/>
    <w:rsid w:val="00925B54"/>
    <w:rsid w:val="00925C23"/>
    <w:rsid w:val="009300D7"/>
    <w:rsid w:val="00930744"/>
    <w:rsid w:val="0093093A"/>
    <w:rsid w:val="009313EE"/>
    <w:rsid w:val="009316A2"/>
    <w:rsid w:val="00931F85"/>
    <w:rsid w:val="00932D06"/>
    <w:rsid w:val="00934C11"/>
    <w:rsid w:val="00934E97"/>
    <w:rsid w:val="0094133F"/>
    <w:rsid w:val="009421A7"/>
    <w:rsid w:val="00943ACB"/>
    <w:rsid w:val="00944D10"/>
    <w:rsid w:val="00947927"/>
    <w:rsid w:val="00947AD7"/>
    <w:rsid w:val="00951096"/>
    <w:rsid w:val="00952758"/>
    <w:rsid w:val="009529CD"/>
    <w:rsid w:val="00954F20"/>
    <w:rsid w:val="00955807"/>
    <w:rsid w:val="00956552"/>
    <w:rsid w:val="00956A49"/>
    <w:rsid w:val="00957651"/>
    <w:rsid w:val="00957BFE"/>
    <w:rsid w:val="00957FBF"/>
    <w:rsid w:val="00960387"/>
    <w:rsid w:val="009625EC"/>
    <w:rsid w:val="00962BD4"/>
    <w:rsid w:val="0096376A"/>
    <w:rsid w:val="00963A7F"/>
    <w:rsid w:val="00964474"/>
    <w:rsid w:val="009670CE"/>
    <w:rsid w:val="0096714B"/>
    <w:rsid w:val="00967E6D"/>
    <w:rsid w:val="009720BD"/>
    <w:rsid w:val="009732EA"/>
    <w:rsid w:val="00973AEF"/>
    <w:rsid w:val="00973D3D"/>
    <w:rsid w:val="00973D55"/>
    <w:rsid w:val="00976627"/>
    <w:rsid w:val="00976711"/>
    <w:rsid w:val="009771F0"/>
    <w:rsid w:val="00977B5D"/>
    <w:rsid w:val="0098082F"/>
    <w:rsid w:val="00980A28"/>
    <w:rsid w:val="009813A1"/>
    <w:rsid w:val="00983863"/>
    <w:rsid w:val="00984474"/>
    <w:rsid w:val="009876CE"/>
    <w:rsid w:val="009879FA"/>
    <w:rsid w:val="00987CDB"/>
    <w:rsid w:val="009909AC"/>
    <w:rsid w:val="00990D41"/>
    <w:rsid w:val="00991596"/>
    <w:rsid w:val="00994167"/>
    <w:rsid w:val="00994EB7"/>
    <w:rsid w:val="0099593E"/>
    <w:rsid w:val="00996D72"/>
    <w:rsid w:val="00996E14"/>
    <w:rsid w:val="00997079"/>
    <w:rsid w:val="009A0042"/>
    <w:rsid w:val="009A07C3"/>
    <w:rsid w:val="009A0B53"/>
    <w:rsid w:val="009A444F"/>
    <w:rsid w:val="009A44E7"/>
    <w:rsid w:val="009A6047"/>
    <w:rsid w:val="009B077C"/>
    <w:rsid w:val="009B17E7"/>
    <w:rsid w:val="009B6978"/>
    <w:rsid w:val="009B700F"/>
    <w:rsid w:val="009B73E3"/>
    <w:rsid w:val="009B77C0"/>
    <w:rsid w:val="009C01B3"/>
    <w:rsid w:val="009C112D"/>
    <w:rsid w:val="009C1E84"/>
    <w:rsid w:val="009C3B9D"/>
    <w:rsid w:val="009C516C"/>
    <w:rsid w:val="009C58E6"/>
    <w:rsid w:val="009C627A"/>
    <w:rsid w:val="009D02D3"/>
    <w:rsid w:val="009D0C76"/>
    <w:rsid w:val="009D2832"/>
    <w:rsid w:val="009D3372"/>
    <w:rsid w:val="009D72C8"/>
    <w:rsid w:val="009D7663"/>
    <w:rsid w:val="009D7882"/>
    <w:rsid w:val="009E3165"/>
    <w:rsid w:val="009F04D3"/>
    <w:rsid w:val="009F0A00"/>
    <w:rsid w:val="009F2252"/>
    <w:rsid w:val="009F50A5"/>
    <w:rsid w:val="00A00966"/>
    <w:rsid w:val="00A01523"/>
    <w:rsid w:val="00A01868"/>
    <w:rsid w:val="00A024E2"/>
    <w:rsid w:val="00A02C9C"/>
    <w:rsid w:val="00A03FE3"/>
    <w:rsid w:val="00A063CD"/>
    <w:rsid w:val="00A10891"/>
    <w:rsid w:val="00A115ED"/>
    <w:rsid w:val="00A1234B"/>
    <w:rsid w:val="00A15007"/>
    <w:rsid w:val="00A15302"/>
    <w:rsid w:val="00A15A62"/>
    <w:rsid w:val="00A1728B"/>
    <w:rsid w:val="00A212F2"/>
    <w:rsid w:val="00A2411F"/>
    <w:rsid w:val="00A255B4"/>
    <w:rsid w:val="00A25D3A"/>
    <w:rsid w:val="00A31207"/>
    <w:rsid w:val="00A32269"/>
    <w:rsid w:val="00A32475"/>
    <w:rsid w:val="00A33451"/>
    <w:rsid w:val="00A338C0"/>
    <w:rsid w:val="00A35B55"/>
    <w:rsid w:val="00A36CF9"/>
    <w:rsid w:val="00A4096C"/>
    <w:rsid w:val="00A41B6F"/>
    <w:rsid w:val="00A41D4D"/>
    <w:rsid w:val="00A42C1E"/>
    <w:rsid w:val="00A43ACC"/>
    <w:rsid w:val="00A43C05"/>
    <w:rsid w:val="00A44210"/>
    <w:rsid w:val="00A462CF"/>
    <w:rsid w:val="00A4657C"/>
    <w:rsid w:val="00A4691D"/>
    <w:rsid w:val="00A50256"/>
    <w:rsid w:val="00A512A6"/>
    <w:rsid w:val="00A54E68"/>
    <w:rsid w:val="00A55BD4"/>
    <w:rsid w:val="00A5641B"/>
    <w:rsid w:val="00A56EA8"/>
    <w:rsid w:val="00A57457"/>
    <w:rsid w:val="00A57F5A"/>
    <w:rsid w:val="00A600AB"/>
    <w:rsid w:val="00A600F0"/>
    <w:rsid w:val="00A623F5"/>
    <w:rsid w:val="00A62464"/>
    <w:rsid w:val="00A63027"/>
    <w:rsid w:val="00A63D48"/>
    <w:rsid w:val="00A64AAD"/>
    <w:rsid w:val="00A64C90"/>
    <w:rsid w:val="00A64E3E"/>
    <w:rsid w:val="00A65823"/>
    <w:rsid w:val="00A668DF"/>
    <w:rsid w:val="00A66F76"/>
    <w:rsid w:val="00A709AD"/>
    <w:rsid w:val="00A71992"/>
    <w:rsid w:val="00A731CD"/>
    <w:rsid w:val="00A753A3"/>
    <w:rsid w:val="00A75469"/>
    <w:rsid w:val="00A8297F"/>
    <w:rsid w:val="00A832B7"/>
    <w:rsid w:val="00A83B5E"/>
    <w:rsid w:val="00A83C82"/>
    <w:rsid w:val="00A84B5D"/>
    <w:rsid w:val="00A84B64"/>
    <w:rsid w:val="00A8533C"/>
    <w:rsid w:val="00A86919"/>
    <w:rsid w:val="00A90AF8"/>
    <w:rsid w:val="00A90FEB"/>
    <w:rsid w:val="00A927E3"/>
    <w:rsid w:val="00A9293F"/>
    <w:rsid w:val="00A936EB"/>
    <w:rsid w:val="00A945BC"/>
    <w:rsid w:val="00A95AB4"/>
    <w:rsid w:val="00AA06E3"/>
    <w:rsid w:val="00AA0E55"/>
    <w:rsid w:val="00AA1AE5"/>
    <w:rsid w:val="00AA2ED4"/>
    <w:rsid w:val="00AA387A"/>
    <w:rsid w:val="00AA3F6C"/>
    <w:rsid w:val="00AA4728"/>
    <w:rsid w:val="00AA6073"/>
    <w:rsid w:val="00AA6A49"/>
    <w:rsid w:val="00AB27C1"/>
    <w:rsid w:val="00AB31B2"/>
    <w:rsid w:val="00AB64C4"/>
    <w:rsid w:val="00AB7F24"/>
    <w:rsid w:val="00AC04DE"/>
    <w:rsid w:val="00AC08F4"/>
    <w:rsid w:val="00AC0A4C"/>
    <w:rsid w:val="00AC1349"/>
    <w:rsid w:val="00AC2093"/>
    <w:rsid w:val="00AC2157"/>
    <w:rsid w:val="00AC4B89"/>
    <w:rsid w:val="00AC6124"/>
    <w:rsid w:val="00AC6240"/>
    <w:rsid w:val="00AC6371"/>
    <w:rsid w:val="00AC6BEF"/>
    <w:rsid w:val="00AD0710"/>
    <w:rsid w:val="00AD148E"/>
    <w:rsid w:val="00AD2BF2"/>
    <w:rsid w:val="00AD2DF6"/>
    <w:rsid w:val="00AD364D"/>
    <w:rsid w:val="00AD6144"/>
    <w:rsid w:val="00AD79B6"/>
    <w:rsid w:val="00AE15E7"/>
    <w:rsid w:val="00AE1A3E"/>
    <w:rsid w:val="00AE1BF5"/>
    <w:rsid w:val="00AE2C02"/>
    <w:rsid w:val="00AE2D9E"/>
    <w:rsid w:val="00AE425C"/>
    <w:rsid w:val="00AE4807"/>
    <w:rsid w:val="00AE7549"/>
    <w:rsid w:val="00AE7C06"/>
    <w:rsid w:val="00AF0D7C"/>
    <w:rsid w:val="00AF3F1D"/>
    <w:rsid w:val="00AF442C"/>
    <w:rsid w:val="00AF501E"/>
    <w:rsid w:val="00AF6541"/>
    <w:rsid w:val="00B00287"/>
    <w:rsid w:val="00B01A45"/>
    <w:rsid w:val="00B01AF4"/>
    <w:rsid w:val="00B01B38"/>
    <w:rsid w:val="00B02946"/>
    <w:rsid w:val="00B030B3"/>
    <w:rsid w:val="00B03903"/>
    <w:rsid w:val="00B03988"/>
    <w:rsid w:val="00B04227"/>
    <w:rsid w:val="00B043A5"/>
    <w:rsid w:val="00B05C2E"/>
    <w:rsid w:val="00B115E8"/>
    <w:rsid w:val="00B14D8C"/>
    <w:rsid w:val="00B161B8"/>
    <w:rsid w:val="00B16727"/>
    <w:rsid w:val="00B17A98"/>
    <w:rsid w:val="00B208D6"/>
    <w:rsid w:val="00B20ACC"/>
    <w:rsid w:val="00B2232B"/>
    <w:rsid w:val="00B223CA"/>
    <w:rsid w:val="00B22EFD"/>
    <w:rsid w:val="00B230DF"/>
    <w:rsid w:val="00B25011"/>
    <w:rsid w:val="00B2675D"/>
    <w:rsid w:val="00B26AB5"/>
    <w:rsid w:val="00B26B67"/>
    <w:rsid w:val="00B26ED8"/>
    <w:rsid w:val="00B27247"/>
    <w:rsid w:val="00B275C8"/>
    <w:rsid w:val="00B306E4"/>
    <w:rsid w:val="00B31F64"/>
    <w:rsid w:val="00B32023"/>
    <w:rsid w:val="00B32E1B"/>
    <w:rsid w:val="00B33593"/>
    <w:rsid w:val="00B36691"/>
    <w:rsid w:val="00B36912"/>
    <w:rsid w:val="00B37844"/>
    <w:rsid w:val="00B40502"/>
    <w:rsid w:val="00B40684"/>
    <w:rsid w:val="00B40885"/>
    <w:rsid w:val="00B40FC1"/>
    <w:rsid w:val="00B41748"/>
    <w:rsid w:val="00B461A4"/>
    <w:rsid w:val="00B4791C"/>
    <w:rsid w:val="00B55888"/>
    <w:rsid w:val="00B560EB"/>
    <w:rsid w:val="00B603DA"/>
    <w:rsid w:val="00B6161D"/>
    <w:rsid w:val="00B61C52"/>
    <w:rsid w:val="00B656DE"/>
    <w:rsid w:val="00B71BD6"/>
    <w:rsid w:val="00B71EA3"/>
    <w:rsid w:val="00B74026"/>
    <w:rsid w:val="00B7488E"/>
    <w:rsid w:val="00B74D87"/>
    <w:rsid w:val="00B750B1"/>
    <w:rsid w:val="00B81F54"/>
    <w:rsid w:val="00B836CA"/>
    <w:rsid w:val="00B853A5"/>
    <w:rsid w:val="00B85CF4"/>
    <w:rsid w:val="00B8672C"/>
    <w:rsid w:val="00B86B16"/>
    <w:rsid w:val="00B87D1F"/>
    <w:rsid w:val="00B87DA1"/>
    <w:rsid w:val="00B87EA4"/>
    <w:rsid w:val="00B9102D"/>
    <w:rsid w:val="00B92406"/>
    <w:rsid w:val="00B93D44"/>
    <w:rsid w:val="00B94973"/>
    <w:rsid w:val="00B95404"/>
    <w:rsid w:val="00B95EE0"/>
    <w:rsid w:val="00B96351"/>
    <w:rsid w:val="00B96C6D"/>
    <w:rsid w:val="00B97655"/>
    <w:rsid w:val="00B97719"/>
    <w:rsid w:val="00B97B4B"/>
    <w:rsid w:val="00BA0CDD"/>
    <w:rsid w:val="00BA4709"/>
    <w:rsid w:val="00BA4B2E"/>
    <w:rsid w:val="00BA6B40"/>
    <w:rsid w:val="00BA6BAD"/>
    <w:rsid w:val="00BA7E8C"/>
    <w:rsid w:val="00BB008B"/>
    <w:rsid w:val="00BB0728"/>
    <w:rsid w:val="00BB0DCD"/>
    <w:rsid w:val="00BB193C"/>
    <w:rsid w:val="00BB4492"/>
    <w:rsid w:val="00BB4C0E"/>
    <w:rsid w:val="00BB678C"/>
    <w:rsid w:val="00BB6B3E"/>
    <w:rsid w:val="00BB6D7D"/>
    <w:rsid w:val="00BC014E"/>
    <w:rsid w:val="00BC34AF"/>
    <w:rsid w:val="00BC3D73"/>
    <w:rsid w:val="00BC65D5"/>
    <w:rsid w:val="00BD0657"/>
    <w:rsid w:val="00BD1DA5"/>
    <w:rsid w:val="00BD2292"/>
    <w:rsid w:val="00BD5774"/>
    <w:rsid w:val="00BD61CB"/>
    <w:rsid w:val="00BE434F"/>
    <w:rsid w:val="00BE462B"/>
    <w:rsid w:val="00BE4E6B"/>
    <w:rsid w:val="00BE5B77"/>
    <w:rsid w:val="00BE68D8"/>
    <w:rsid w:val="00BE6ACE"/>
    <w:rsid w:val="00BF0718"/>
    <w:rsid w:val="00BF10DC"/>
    <w:rsid w:val="00BF15C5"/>
    <w:rsid w:val="00BF1830"/>
    <w:rsid w:val="00BF24EC"/>
    <w:rsid w:val="00BF2932"/>
    <w:rsid w:val="00BF2B3E"/>
    <w:rsid w:val="00BF4BCD"/>
    <w:rsid w:val="00BF4C22"/>
    <w:rsid w:val="00BF57E7"/>
    <w:rsid w:val="00BF59D5"/>
    <w:rsid w:val="00BF60A0"/>
    <w:rsid w:val="00BF6D43"/>
    <w:rsid w:val="00BF7E5E"/>
    <w:rsid w:val="00C01B81"/>
    <w:rsid w:val="00C026CF"/>
    <w:rsid w:val="00C0359F"/>
    <w:rsid w:val="00C040DB"/>
    <w:rsid w:val="00C041FD"/>
    <w:rsid w:val="00C042BB"/>
    <w:rsid w:val="00C04F64"/>
    <w:rsid w:val="00C11074"/>
    <w:rsid w:val="00C12587"/>
    <w:rsid w:val="00C12B92"/>
    <w:rsid w:val="00C13E3F"/>
    <w:rsid w:val="00C16AD9"/>
    <w:rsid w:val="00C17153"/>
    <w:rsid w:val="00C17F62"/>
    <w:rsid w:val="00C2051A"/>
    <w:rsid w:val="00C20A53"/>
    <w:rsid w:val="00C210A0"/>
    <w:rsid w:val="00C215DF"/>
    <w:rsid w:val="00C216DA"/>
    <w:rsid w:val="00C2195B"/>
    <w:rsid w:val="00C223B3"/>
    <w:rsid w:val="00C24665"/>
    <w:rsid w:val="00C2493F"/>
    <w:rsid w:val="00C24D64"/>
    <w:rsid w:val="00C311CE"/>
    <w:rsid w:val="00C321D7"/>
    <w:rsid w:val="00C32ADC"/>
    <w:rsid w:val="00C336DF"/>
    <w:rsid w:val="00C35793"/>
    <w:rsid w:val="00C36443"/>
    <w:rsid w:val="00C37559"/>
    <w:rsid w:val="00C40E1D"/>
    <w:rsid w:val="00C445F0"/>
    <w:rsid w:val="00C47430"/>
    <w:rsid w:val="00C5125A"/>
    <w:rsid w:val="00C51F10"/>
    <w:rsid w:val="00C535B2"/>
    <w:rsid w:val="00C542D4"/>
    <w:rsid w:val="00C54737"/>
    <w:rsid w:val="00C54846"/>
    <w:rsid w:val="00C550B0"/>
    <w:rsid w:val="00C5589D"/>
    <w:rsid w:val="00C55B37"/>
    <w:rsid w:val="00C5687F"/>
    <w:rsid w:val="00C579B7"/>
    <w:rsid w:val="00C63AC1"/>
    <w:rsid w:val="00C6464A"/>
    <w:rsid w:val="00C66F48"/>
    <w:rsid w:val="00C670A6"/>
    <w:rsid w:val="00C70C66"/>
    <w:rsid w:val="00C73339"/>
    <w:rsid w:val="00C73675"/>
    <w:rsid w:val="00C74208"/>
    <w:rsid w:val="00C7444D"/>
    <w:rsid w:val="00C74C07"/>
    <w:rsid w:val="00C767D2"/>
    <w:rsid w:val="00C8019B"/>
    <w:rsid w:val="00C84EF9"/>
    <w:rsid w:val="00C85CE1"/>
    <w:rsid w:val="00C85ED0"/>
    <w:rsid w:val="00C86CE2"/>
    <w:rsid w:val="00C8705C"/>
    <w:rsid w:val="00C8765A"/>
    <w:rsid w:val="00C90026"/>
    <w:rsid w:val="00C91738"/>
    <w:rsid w:val="00C91883"/>
    <w:rsid w:val="00C926D4"/>
    <w:rsid w:val="00C933F3"/>
    <w:rsid w:val="00C9340C"/>
    <w:rsid w:val="00C94161"/>
    <w:rsid w:val="00C9650B"/>
    <w:rsid w:val="00C97B38"/>
    <w:rsid w:val="00CA0223"/>
    <w:rsid w:val="00CA137B"/>
    <w:rsid w:val="00CA23F9"/>
    <w:rsid w:val="00CA2A2A"/>
    <w:rsid w:val="00CA3559"/>
    <w:rsid w:val="00CA4C21"/>
    <w:rsid w:val="00CB111F"/>
    <w:rsid w:val="00CB5D7B"/>
    <w:rsid w:val="00CB5E9C"/>
    <w:rsid w:val="00CB67D6"/>
    <w:rsid w:val="00CB7715"/>
    <w:rsid w:val="00CC0F11"/>
    <w:rsid w:val="00CC10A2"/>
    <w:rsid w:val="00CC1514"/>
    <w:rsid w:val="00CC1C76"/>
    <w:rsid w:val="00CC2420"/>
    <w:rsid w:val="00CC3586"/>
    <w:rsid w:val="00CC408D"/>
    <w:rsid w:val="00CC7835"/>
    <w:rsid w:val="00CD1C80"/>
    <w:rsid w:val="00CD2E48"/>
    <w:rsid w:val="00CD3868"/>
    <w:rsid w:val="00CD38FB"/>
    <w:rsid w:val="00CD603B"/>
    <w:rsid w:val="00CD6E51"/>
    <w:rsid w:val="00CD7726"/>
    <w:rsid w:val="00CD7F53"/>
    <w:rsid w:val="00CE04E6"/>
    <w:rsid w:val="00CE169D"/>
    <w:rsid w:val="00CE2ABD"/>
    <w:rsid w:val="00CE3D8F"/>
    <w:rsid w:val="00CE584A"/>
    <w:rsid w:val="00CE6065"/>
    <w:rsid w:val="00CE7BA5"/>
    <w:rsid w:val="00CF0AFF"/>
    <w:rsid w:val="00CF11F0"/>
    <w:rsid w:val="00CF14DA"/>
    <w:rsid w:val="00CF1BA4"/>
    <w:rsid w:val="00CF1BF8"/>
    <w:rsid w:val="00CF20C9"/>
    <w:rsid w:val="00CF28DC"/>
    <w:rsid w:val="00CF2A43"/>
    <w:rsid w:val="00CF2C17"/>
    <w:rsid w:val="00CF3029"/>
    <w:rsid w:val="00CF53C0"/>
    <w:rsid w:val="00CF5CCB"/>
    <w:rsid w:val="00CF7711"/>
    <w:rsid w:val="00D003FE"/>
    <w:rsid w:val="00D00BF4"/>
    <w:rsid w:val="00D01518"/>
    <w:rsid w:val="00D0257A"/>
    <w:rsid w:val="00D06B98"/>
    <w:rsid w:val="00D073B9"/>
    <w:rsid w:val="00D07493"/>
    <w:rsid w:val="00D0766F"/>
    <w:rsid w:val="00D07B48"/>
    <w:rsid w:val="00D1239B"/>
    <w:rsid w:val="00D13E32"/>
    <w:rsid w:val="00D17BA4"/>
    <w:rsid w:val="00D17F27"/>
    <w:rsid w:val="00D2026C"/>
    <w:rsid w:val="00D202ED"/>
    <w:rsid w:val="00D20586"/>
    <w:rsid w:val="00D20A15"/>
    <w:rsid w:val="00D217C9"/>
    <w:rsid w:val="00D23866"/>
    <w:rsid w:val="00D32C21"/>
    <w:rsid w:val="00D34174"/>
    <w:rsid w:val="00D365D1"/>
    <w:rsid w:val="00D36CFC"/>
    <w:rsid w:val="00D378D5"/>
    <w:rsid w:val="00D37CDE"/>
    <w:rsid w:val="00D42718"/>
    <w:rsid w:val="00D47D49"/>
    <w:rsid w:val="00D51D8C"/>
    <w:rsid w:val="00D5259A"/>
    <w:rsid w:val="00D525D2"/>
    <w:rsid w:val="00D52946"/>
    <w:rsid w:val="00D52B5A"/>
    <w:rsid w:val="00D5338A"/>
    <w:rsid w:val="00D56E8B"/>
    <w:rsid w:val="00D5728F"/>
    <w:rsid w:val="00D5748B"/>
    <w:rsid w:val="00D614A7"/>
    <w:rsid w:val="00D62381"/>
    <w:rsid w:val="00D63141"/>
    <w:rsid w:val="00D6332B"/>
    <w:rsid w:val="00D64D7C"/>
    <w:rsid w:val="00D64F60"/>
    <w:rsid w:val="00D65D70"/>
    <w:rsid w:val="00D708DA"/>
    <w:rsid w:val="00D70E84"/>
    <w:rsid w:val="00D72147"/>
    <w:rsid w:val="00D72F54"/>
    <w:rsid w:val="00D75D4F"/>
    <w:rsid w:val="00D76D3C"/>
    <w:rsid w:val="00D76F26"/>
    <w:rsid w:val="00D776C9"/>
    <w:rsid w:val="00D80C89"/>
    <w:rsid w:val="00D83F16"/>
    <w:rsid w:val="00D843D5"/>
    <w:rsid w:val="00D84E29"/>
    <w:rsid w:val="00D84F3F"/>
    <w:rsid w:val="00D85D6D"/>
    <w:rsid w:val="00D8669F"/>
    <w:rsid w:val="00D86A3D"/>
    <w:rsid w:val="00D8715B"/>
    <w:rsid w:val="00D90A12"/>
    <w:rsid w:val="00D91605"/>
    <w:rsid w:val="00D91DEB"/>
    <w:rsid w:val="00D93F23"/>
    <w:rsid w:val="00D94989"/>
    <w:rsid w:val="00D9503A"/>
    <w:rsid w:val="00DA21B3"/>
    <w:rsid w:val="00DA3C87"/>
    <w:rsid w:val="00DA3FCD"/>
    <w:rsid w:val="00DA508F"/>
    <w:rsid w:val="00DA620E"/>
    <w:rsid w:val="00DA740E"/>
    <w:rsid w:val="00DB010F"/>
    <w:rsid w:val="00DB2D85"/>
    <w:rsid w:val="00DB38A8"/>
    <w:rsid w:val="00DB3DB3"/>
    <w:rsid w:val="00DB55C3"/>
    <w:rsid w:val="00DC01A8"/>
    <w:rsid w:val="00DC02AE"/>
    <w:rsid w:val="00DC14CE"/>
    <w:rsid w:val="00DC3E21"/>
    <w:rsid w:val="00DC443E"/>
    <w:rsid w:val="00DC5540"/>
    <w:rsid w:val="00DC6278"/>
    <w:rsid w:val="00DC63E0"/>
    <w:rsid w:val="00DD2324"/>
    <w:rsid w:val="00DD57F9"/>
    <w:rsid w:val="00DD6E18"/>
    <w:rsid w:val="00DD6EED"/>
    <w:rsid w:val="00DE03AD"/>
    <w:rsid w:val="00DE2E5A"/>
    <w:rsid w:val="00DE3868"/>
    <w:rsid w:val="00DE424F"/>
    <w:rsid w:val="00DE5C3F"/>
    <w:rsid w:val="00DE5CB8"/>
    <w:rsid w:val="00DE624A"/>
    <w:rsid w:val="00DE69D7"/>
    <w:rsid w:val="00DE76ED"/>
    <w:rsid w:val="00DF1E53"/>
    <w:rsid w:val="00DF29C9"/>
    <w:rsid w:val="00DF2C2B"/>
    <w:rsid w:val="00DF5F1D"/>
    <w:rsid w:val="00DF6150"/>
    <w:rsid w:val="00E005F0"/>
    <w:rsid w:val="00E00CA8"/>
    <w:rsid w:val="00E00E78"/>
    <w:rsid w:val="00E02AFE"/>
    <w:rsid w:val="00E04C57"/>
    <w:rsid w:val="00E063C5"/>
    <w:rsid w:val="00E06C77"/>
    <w:rsid w:val="00E0701E"/>
    <w:rsid w:val="00E07DD8"/>
    <w:rsid w:val="00E10BE2"/>
    <w:rsid w:val="00E11194"/>
    <w:rsid w:val="00E12655"/>
    <w:rsid w:val="00E14844"/>
    <w:rsid w:val="00E15A9D"/>
    <w:rsid w:val="00E15E4C"/>
    <w:rsid w:val="00E17489"/>
    <w:rsid w:val="00E20240"/>
    <w:rsid w:val="00E202A0"/>
    <w:rsid w:val="00E20BD9"/>
    <w:rsid w:val="00E2105C"/>
    <w:rsid w:val="00E21EAA"/>
    <w:rsid w:val="00E2270B"/>
    <w:rsid w:val="00E24AE6"/>
    <w:rsid w:val="00E26B61"/>
    <w:rsid w:val="00E26BD9"/>
    <w:rsid w:val="00E30686"/>
    <w:rsid w:val="00E331D8"/>
    <w:rsid w:val="00E33498"/>
    <w:rsid w:val="00E3363D"/>
    <w:rsid w:val="00E3367A"/>
    <w:rsid w:val="00E33A28"/>
    <w:rsid w:val="00E33C1C"/>
    <w:rsid w:val="00E34053"/>
    <w:rsid w:val="00E34787"/>
    <w:rsid w:val="00E34CF4"/>
    <w:rsid w:val="00E35705"/>
    <w:rsid w:val="00E36C51"/>
    <w:rsid w:val="00E371FE"/>
    <w:rsid w:val="00E37682"/>
    <w:rsid w:val="00E41597"/>
    <w:rsid w:val="00E41DEF"/>
    <w:rsid w:val="00E43112"/>
    <w:rsid w:val="00E43D2A"/>
    <w:rsid w:val="00E43FFB"/>
    <w:rsid w:val="00E4533F"/>
    <w:rsid w:val="00E459BE"/>
    <w:rsid w:val="00E46699"/>
    <w:rsid w:val="00E46714"/>
    <w:rsid w:val="00E47150"/>
    <w:rsid w:val="00E4754B"/>
    <w:rsid w:val="00E5158B"/>
    <w:rsid w:val="00E51A79"/>
    <w:rsid w:val="00E53875"/>
    <w:rsid w:val="00E541D3"/>
    <w:rsid w:val="00E56225"/>
    <w:rsid w:val="00E5629B"/>
    <w:rsid w:val="00E576FE"/>
    <w:rsid w:val="00E57AE9"/>
    <w:rsid w:val="00E6470B"/>
    <w:rsid w:val="00E64C3E"/>
    <w:rsid w:val="00E658EB"/>
    <w:rsid w:val="00E67012"/>
    <w:rsid w:val="00E6770F"/>
    <w:rsid w:val="00E713CD"/>
    <w:rsid w:val="00E73EEC"/>
    <w:rsid w:val="00E742C9"/>
    <w:rsid w:val="00E74CB0"/>
    <w:rsid w:val="00E75BBA"/>
    <w:rsid w:val="00E77104"/>
    <w:rsid w:val="00E81177"/>
    <w:rsid w:val="00E8303B"/>
    <w:rsid w:val="00E832F0"/>
    <w:rsid w:val="00E87166"/>
    <w:rsid w:val="00E90EC5"/>
    <w:rsid w:val="00E92DBF"/>
    <w:rsid w:val="00E9379A"/>
    <w:rsid w:val="00E9790D"/>
    <w:rsid w:val="00E97F23"/>
    <w:rsid w:val="00EA1CC8"/>
    <w:rsid w:val="00EA36F9"/>
    <w:rsid w:val="00EA378A"/>
    <w:rsid w:val="00EA3C53"/>
    <w:rsid w:val="00EA3F35"/>
    <w:rsid w:val="00EA4655"/>
    <w:rsid w:val="00EA54F6"/>
    <w:rsid w:val="00EA67CD"/>
    <w:rsid w:val="00EA783C"/>
    <w:rsid w:val="00EA7A17"/>
    <w:rsid w:val="00EB31AD"/>
    <w:rsid w:val="00EB3D86"/>
    <w:rsid w:val="00EB7521"/>
    <w:rsid w:val="00EC0427"/>
    <w:rsid w:val="00EC06E6"/>
    <w:rsid w:val="00EC0A8A"/>
    <w:rsid w:val="00EC23EC"/>
    <w:rsid w:val="00EC251E"/>
    <w:rsid w:val="00EC4665"/>
    <w:rsid w:val="00EC4A77"/>
    <w:rsid w:val="00EC4AF8"/>
    <w:rsid w:val="00EC4C41"/>
    <w:rsid w:val="00EC598C"/>
    <w:rsid w:val="00EC618E"/>
    <w:rsid w:val="00EC652F"/>
    <w:rsid w:val="00EC717F"/>
    <w:rsid w:val="00EC7399"/>
    <w:rsid w:val="00EC76DA"/>
    <w:rsid w:val="00ED1F78"/>
    <w:rsid w:val="00ED7B8B"/>
    <w:rsid w:val="00EE02E8"/>
    <w:rsid w:val="00EE0BD7"/>
    <w:rsid w:val="00EE1F3D"/>
    <w:rsid w:val="00EE55A1"/>
    <w:rsid w:val="00EE5C88"/>
    <w:rsid w:val="00EF0375"/>
    <w:rsid w:val="00EF0BCC"/>
    <w:rsid w:val="00EF0F77"/>
    <w:rsid w:val="00EF105E"/>
    <w:rsid w:val="00EF167A"/>
    <w:rsid w:val="00EF277A"/>
    <w:rsid w:val="00EF44D3"/>
    <w:rsid w:val="00EF4812"/>
    <w:rsid w:val="00EF4FE6"/>
    <w:rsid w:val="00EF5C34"/>
    <w:rsid w:val="00EF7203"/>
    <w:rsid w:val="00EF7E9D"/>
    <w:rsid w:val="00F02C48"/>
    <w:rsid w:val="00F03215"/>
    <w:rsid w:val="00F068BA"/>
    <w:rsid w:val="00F10127"/>
    <w:rsid w:val="00F121F9"/>
    <w:rsid w:val="00F1302D"/>
    <w:rsid w:val="00F13578"/>
    <w:rsid w:val="00F14ACF"/>
    <w:rsid w:val="00F14DD5"/>
    <w:rsid w:val="00F15EEB"/>
    <w:rsid w:val="00F165AF"/>
    <w:rsid w:val="00F1761E"/>
    <w:rsid w:val="00F17BF0"/>
    <w:rsid w:val="00F17C05"/>
    <w:rsid w:val="00F17F86"/>
    <w:rsid w:val="00F203B2"/>
    <w:rsid w:val="00F21D70"/>
    <w:rsid w:val="00F23379"/>
    <w:rsid w:val="00F23660"/>
    <w:rsid w:val="00F257D3"/>
    <w:rsid w:val="00F25BAB"/>
    <w:rsid w:val="00F3097D"/>
    <w:rsid w:val="00F325D0"/>
    <w:rsid w:val="00F33260"/>
    <w:rsid w:val="00F3502A"/>
    <w:rsid w:val="00F3797B"/>
    <w:rsid w:val="00F416B5"/>
    <w:rsid w:val="00F41950"/>
    <w:rsid w:val="00F44FA1"/>
    <w:rsid w:val="00F45301"/>
    <w:rsid w:val="00F45527"/>
    <w:rsid w:val="00F45A28"/>
    <w:rsid w:val="00F45D20"/>
    <w:rsid w:val="00F462EE"/>
    <w:rsid w:val="00F47144"/>
    <w:rsid w:val="00F47907"/>
    <w:rsid w:val="00F509CB"/>
    <w:rsid w:val="00F50D80"/>
    <w:rsid w:val="00F5203C"/>
    <w:rsid w:val="00F526CA"/>
    <w:rsid w:val="00F531DB"/>
    <w:rsid w:val="00F53BF7"/>
    <w:rsid w:val="00F57F12"/>
    <w:rsid w:val="00F63B9D"/>
    <w:rsid w:val="00F70330"/>
    <w:rsid w:val="00F708F3"/>
    <w:rsid w:val="00F72BA5"/>
    <w:rsid w:val="00F73B73"/>
    <w:rsid w:val="00F74419"/>
    <w:rsid w:val="00F75571"/>
    <w:rsid w:val="00F8287C"/>
    <w:rsid w:val="00F82F2A"/>
    <w:rsid w:val="00F86636"/>
    <w:rsid w:val="00F86725"/>
    <w:rsid w:val="00F87D55"/>
    <w:rsid w:val="00F91559"/>
    <w:rsid w:val="00F923F8"/>
    <w:rsid w:val="00F933EA"/>
    <w:rsid w:val="00F9478B"/>
    <w:rsid w:val="00F94EBB"/>
    <w:rsid w:val="00F953D5"/>
    <w:rsid w:val="00F96FEC"/>
    <w:rsid w:val="00FA04BD"/>
    <w:rsid w:val="00FA1ADC"/>
    <w:rsid w:val="00FA3346"/>
    <w:rsid w:val="00FB00E3"/>
    <w:rsid w:val="00FB04D4"/>
    <w:rsid w:val="00FB0957"/>
    <w:rsid w:val="00FB0B84"/>
    <w:rsid w:val="00FB26F6"/>
    <w:rsid w:val="00FB3E06"/>
    <w:rsid w:val="00FB452F"/>
    <w:rsid w:val="00FB4EE2"/>
    <w:rsid w:val="00FB58A3"/>
    <w:rsid w:val="00FB6497"/>
    <w:rsid w:val="00FB7962"/>
    <w:rsid w:val="00FB7CD9"/>
    <w:rsid w:val="00FC0925"/>
    <w:rsid w:val="00FC4053"/>
    <w:rsid w:val="00FC4363"/>
    <w:rsid w:val="00FC440F"/>
    <w:rsid w:val="00FC6113"/>
    <w:rsid w:val="00FC624F"/>
    <w:rsid w:val="00FC6648"/>
    <w:rsid w:val="00FC6A83"/>
    <w:rsid w:val="00FD11DC"/>
    <w:rsid w:val="00FD1A2B"/>
    <w:rsid w:val="00FD2269"/>
    <w:rsid w:val="00FD4909"/>
    <w:rsid w:val="00FD5977"/>
    <w:rsid w:val="00FE2549"/>
    <w:rsid w:val="00FE3566"/>
    <w:rsid w:val="00FE4896"/>
    <w:rsid w:val="00FE5E71"/>
    <w:rsid w:val="00FF00CE"/>
    <w:rsid w:val="00FF07E4"/>
    <w:rsid w:val="00FF124D"/>
    <w:rsid w:val="00FF1361"/>
    <w:rsid w:val="00FF2862"/>
    <w:rsid w:val="00FF3D19"/>
    <w:rsid w:val="00FF428D"/>
    <w:rsid w:val="00FF4DD0"/>
    <w:rsid w:val="00FF64E7"/>
    <w:rsid w:val="00FF76D3"/>
    <w:rsid w:val="00FF7878"/>
    <w:rsid w:val="00FF7D2E"/>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date"/>
  <w:smartTagType w:namespaceuri="urn:schemas-microsoft-com:office:smarttags" w:name="metricconverter"/>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qFormat="1"/>
    <w:lsdException w:name="heading 4" w:semiHidden="0" w:qFormat="1"/>
    <w:lsdException w:name="heading 5" w:semiHidden="0" w:qFormat="1"/>
    <w:lsdException w:name="heading 6" w:semiHidden="0" w:qFormat="1"/>
    <w:lsdException w:name="heading 7" w:semiHidden="0" w:qFormat="1"/>
    <w:lsdException w:name="heading 8" w:semiHidden="0" w:qFormat="1"/>
    <w:lsdException w:name="heading 9" w:semiHidden="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Normal Indent" w:unhideWhenUsed="1"/>
    <w:lsdException w:name="footnote text" w:unhideWhenUsed="1"/>
    <w:lsdException w:name="index heading" w:unhideWhenUsed="1"/>
    <w:lsdException w:name="caption" w:uiPriority="35" w:unhideWhenUsed="1" w:qFormat="1"/>
    <w:lsdException w:name="table of figures" w:unhideWhenUsed="1"/>
    <w:lsdException w:name="envelope address" w:unhideWhenUsed="1"/>
    <w:lsdException w:name="envelope return" w:unhideWhenUsed="1"/>
    <w:lsdException w:name="footnote reference" w:unhideWhenUsed="1"/>
    <w:lsdException w:name="lin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10" w:qFormat="1"/>
    <w:lsdException w:name="Closing" w:unhideWhenUsed="1"/>
    <w:lsdException w:name="Signature"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3" w:unhideWhenUsed="1"/>
    <w:lsdException w:name="Body Text Indent 2" w:unhideWhenUsed="1"/>
    <w:lsdException w:name="Body Text Indent 3" w:unhideWhenUsed="1"/>
    <w:lsdException w:name="Block Text" w:unhideWhenUsed="1"/>
    <w:lsdException w:name="Strong" w:semiHidden="0" w:uiPriority="22" w:qFormat="1"/>
    <w:lsdException w:name="Emphasis" w:semiHidden="0" w:uiPriority="20" w:qFormat="1"/>
    <w:lsdException w:name="Document Map"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Table Grid" w:semiHidden="0" w:uiPriority="59"/>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6725D5"/>
    <w:rPr>
      <w:rFonts w:eastAsia="SimSun"/>
      <w:sz w:val="20"/>
      <w:szCs w:val="20"/>
      <w:lang w:eastAsia="en-US"/>
    </w:rPr>
  </w:style>
  <w:style w:type="paragraph" w:styleId="Heading1">
    <w:name w:val="heading 1"/>
    <w:basedOn w:val="Normal"/>
    <w:next w:val="Normal"/>
    <w:link w:val="Heading1Char"/>
    <w:uiPriority w:val="99"/>
    <w:qFormat/>
    <w:rsid w:val="006725D5"/>
    <w:pPr>
      <w:keepNext/>
      <w:numPr>
        <w:numId w:val="1"/>
      </w:numPr>
      <w:spacing w:before="120" w:after="60"/>
      <w:outlineLvl w:val="0"/>
    </w:pPr>
    <w:rPr>
      <w:b/>
      <w:bCs/>
      <w:caps/>
      <w:sz w:val="18"/>
      <w:szCs w:val="18"/>
    </w:rPr>
  </w:style>
  <w:style w:type="paragraph" w:styleId="Heading2">
    <w:name w:val="heading 2"/>
    <w:basedOn w:val="Normal"/>
    <w:next w:val="Normal"/>
    <w:link w:val="Heading2Char"/>
    <w:uiPriority w:val="99"/>
    <w:qFormat/>
    <w:rsid w:val="006725D5"/>
    <w:pPr>
      <w:keepNext/>
      <w:outlineLvl w:val="1"/>
    </w:pPr>
    <w:rPr>
      <w:b/>
      <w:bCs/>
      <w:sz w:val="18"/>
      <w:szCs w:val="18"/>
    </w:rPr>
  </w:style>
  <w:style w:type="paragraph" w:styleId="Heading3">
    <w:name w:val="heading 3"/>
    <w:basedOn w:val="Normal"/>
    <w:next w:val="Normal"/>
    <w:link w:val="Heading3Char"/>
    <w:uiPriority w:val="99"/>
    <w:qFormat/>
    <w:rsid w:val="006725D5"/>
    <w:pPr>
      <w:keepNext/>
      <w:outlineLvl w:val="2"/>
    </w:pPr>
    <w:rPr>
      <w:rFonts w:ascii="Geneva" w:hAnsi="Geneva" w:cs="Geneva"/>
      <w:b/>
      <w:bCs/>
      <w:i/>
      <w:iCs/>
      <w:color w:val="000000"/>
      <w:sz w:val="16"/>
      <w:szCs w:val="16"/>
      <w:lang w:val="en-GB"/>
    </w:rPr>
  </w:style>
  <w:style w:type="paragraph" w:styleId="Heading4">
    <w:name w:val="heading 4"/>
    <w:basedOn w:val="Normal"/>
    <w:next w:val="Normal"/>
    <w:link w:val="Heading4Char"/>
    <w:uiPriority w:val="99"/>
    <w:qFormat/>
    <w:rsid w:val="006725D5"/>
    <w:pPr>
      <w:keepNext/>
      <w:outlineLvl w:val="3"/>
    </w:pPr>
    <w:rPr>
      <w:b/>
      <w:bCs/>
    </w:rPr>
  </w:style>
  <w:style w:type="paragraph" w:styleId="Heading5">
    <w:name w:val="heading 5"/>
    <w:basedOn w:val="Normal"/>
    <w:next w:val="Normal"/>
    <w:link w:val="Heading5Char"/>
    <w:uiPriority w:val="99"/>
    <w:qFormat/>
    <w:rsid w:val="006725D5"/>
    <w:pPr>
      <w:keepNext/>
      <w:outlineLvl w:val="4"/>
    </w:pPr>
    <w:rPr>
      <w:b/>
      <w:bCs/>
      <w:sz w:val="28"/>
      <w:szCs w:val="28"/>
    </w:rPr>
  </w:style>
  <w:style w:type="paragraph" w:styleId="Heading6">
    <w:name w:val="heading 6"/>
    <w:basedOn w:val="Normal"/>
    <w:next w:val="Normal"/>
    <w:link w:val="Heading6Char"/>
    <w:uiPriority w:val="99"/>
    <w:qFormat/>
    <w:rsid w:val="006725D5"/>
    <w:pPr>
      <w:keepNext/>
      <w:outlineLvl w:val="5"/>
    </w:pPr>
    <w:rPr>
      <w:b/>
      <w:bCs/>
      <w:caps/>
      <w:sz w:val="32"/>
      <w:szCs w:val="32"/>
    </w:rPr>
  </w:style>
  <w:style w:type="paragraph" w:styleId="Heading7">
    <w:name w:val="heading 7"/>
    <w:basedOn w:val="Normal"/>
    <w:next w:val="Normal"/>
    <w:link w:val="Heading7Char"/>
    <w:uiPriority w:val="99"/>
    <w:qFormat/>
    <w:rsid w:val="006725D5"/>
    <w:pPr>
      <w:keepNext/>
      <w:jc w:val="center"/>
      <w:outlineLvl w:val="6"/>
    </w:pPr>
    <w:rPr>
      <w:b/>
      <w:bCs/>
      <w:sz w:val="52"/>
      <w:szCs w:val="52"/>
    </w:rPr>
  </w:style>
  <w:style w:type="paragraph" w:styleId="Heading8">
    <w:name w:val="heading 8"/>
    <w:basedOn w:val="Normal"/>
    <w:next w:val="Normal"/>
    <w:link w:val="Heading8Char"/>
    <w:uiPriority w:val="99"/>
    <w:qFormat/>
    <w:rsid w:val="006725D5"/>
    <w:pPr>
      <w:keepNext/>
      <w:jc w:val="center"/>
      <w:outlineLvl w:val="7"/>
    </w:pPr>
    <w:rPr>
      <w:rFonts w:ascii="Geneva" w:hAnsi="Geneva" w:cs="Geneva"/>
      <w:color w:val="000000"/>
      <w:sz w:val="14"/>
      <w:szCs w:val="14"/>
      <w:u w:val="single"/>
    </w:rPr>
  </w:style>
  <w:style w:type="paragraph" w:styleId="Heading9">
    <w:name w:val="heading 9"/>
    <w:basedOn w:val="Normal"/>
    <w:next w:val="Normal"/>
    <w:link w:val="Heading9Char"/>
    <w:uiPriority w:val="99"/>
    <w:qFormat/>
    <w:rsid w:val="006725D5"/>
    <w:pPr>
      <w:keepNext/>
      <w:jc w:val="center"/>
      <w:outlineLvl w:val="8"/>
    </w:pPr>
    <w:rPr>
      <w:sz w:val="32"/>
      <w:szCs w:val="3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58B0"/>
    <w:rPr>
      <w:rFonts w:asciiTheme="majorHAnsi" w:eastAsiaTheme="majorEastAsia" w:hAnsiTheme="majorHAnsi" w:cstheme="majorBidi"/>
      <w:b/>
      <w:bCs/>
      <w:kern w:val="32"/>
      <w:sz w:val="32"/>
      <w:szCs w:val="32"/>
      <w:lang w:eastAsia="en-US"/>
    </w:rPr>
  </w:style>
  <w:style w:type="character" w:customStyle="1" w:styleId="Heading2Char">
    <w:name w:val="Heading 2 Char"/>
    <w:basedOn w:val="DefaultParagraphFont"/>
    <w:link w:val="Heading2"/>
    <w:uiPriority w:val="99"/>
    <w:rsid w:val="001C64FB"/>
    <w:rPr>
      <w:rFonts w:eastAsia="SimSun"/>
      <w:b/>
      <w:bCs/>
      <w:sz w:val="18"/>
      <w:szCs w:val="18"/>
      <w:lang w:eastAsia="en-US"/>
    </w:rPr>
  </w:style>
  <w:style w:type="character" w:customStyle="1" w:styleId="Heading3Char">
    <w:name w:val="Heading 3 Char"/>
    <w:basedOn w:val="DefaultParagraphFont"/>
    <w:link w:val="Heading3"/>
    <w:uiPriority w:val="9"/>
    <w:semiHidden/>
    <w:rsid w:val="00C958B0"/>
    <w:rPr>
      <w:rFonts w:asciiTheme="majorHAnsi" w:eastAsiaTheme="majorEastAsia" w:hAnsiTheme="majorHAnsi" w:cstheme="majorBidi"/>
      <w:b/>
      <w:bCs/>
      <w:sz w:val="26"/>
      <w:szCs w:val="26"/>
      <w:lang w:eastAsia="en-US"/>
    </w:rPr>
  </w:style>
  <w:style w:type="character" w:customStyle="1" w:styleId="Heading4Char">
    <w:name w:val="Heading 4 Char"/>
    <w:basedOn w:val="DefaultParagraphFont"/>
    <w:link w:val="Heading4"/>
    <w:uiPriority w:val="99"/>
    <w:semiHidden/>
    <w:rsid w:val="00EB7521"/>
    <w:rPr>
      <w:rFonts w:eastAsia="SimSun"/>
      <w:b/>
      <w:bCs/>
      <w:lang w:val="sk-SK" w:eastAsia="en-US"/>
    </w:rPr>
  </w:style>
  <w:style w:type="character" w:customStyle="1" w:styleId="Heading5Char">
    <w:name w:val="Heading 5 Char"/>
    <w:basedOn w:val="DefaultParagraphFont"/>
    <w:link w:val="Heading5"/>
    <w:uiPriority w:val="9"/>
    <w:semiHidden/>
    <w:rsid w:val="00C958B0"/>
    <w:rPr>
      <w:rFonts w:asciiTheme="minorHAnsi" w:eastAsiaTheme="minorEastAsia" w:hAnsiTheme="minorHAnsi" w:cstheme="minorBidi"/>
      <w:b/>
      <w:bCs/>
      <w:i/>
      <w:iCs/>
      <w:sz w:val="26"/>
      <w:szCs w:val="26"/>
      <w:lang w:eastAsia="en-US"/>
    </w:rPr>
  </w:style>
  <w:style w:type="character" w:customStyle="1" w:styleId="Heading6Char">
    <w:name w:val="Heading 6 Char"/>
    <w:basedOn w:val="DefaultParagraphFont"/>
    <w:link w:val="Heading6"/>
    <w:uiPriority w:val="9"/>
    <w:semiHidden/>
    <w:rsid w:val="00C958B0"/>
    <w:rPr>
      <w:rFonts w:asciiTheme="minorHAnsi" w:eastAsiaTheme="minorEastAsia" w:hAnsiTheme="minorHAnsi" w:cstheme="minorBidi"/>
      <w:b/>
      <w:bCs/>
      <w:lang w:eastAsia="en-US"/>
    </w:rPr>
  </w:style>
  <w:style w:type="character" w:customStyle="1" w:styleId="Heading7Char">
    <w:name w:val="Heading 7 Char"/>
    <w:basedOn w:val="DefaultParagraphFont"/>
    <w:link w:val="Heading7"/>
    <w:uiPriority w:val="9"/>
    <w:semiHidden/>
    <w:rsid w:val="00C958B0"/>
    <w:rPr>
      <w:rFonts w:asciiTheme="minorHAnsi" w:eastAsiaTheme="minorEastAsia" w:hAnsiTheme="minorHAnsi" w:cstheme="minorBidi"/>
      <w:sz w:val="24"/>
      <w:szCs w:val="24"/>
      <w:lang w:eastAsia="en-US"/>
    </w:rPr>
  </w:style>
  <w:style w:type="character" w:customStyle="1" w:styleId="Heading8Char">
    <w:name w:val="Heading 8 Char"/>
    <w:basedOn w:val="DefaultParagraphFont"/>
    <w:link w:val="Heading8"/>
    <w:uiPriority w:val="9"/>
    <w:semiHidden/>
    <w:rsid w:val="00C958B0"/>
    <w:rPr>
      <w:rFonts w:asciiTheme="minorHAnsi" w:eastAsiaTheme="minorEastAsia" w:hAnsiTheme="minorHAnsi" w:cstheme="minorBidi"/>
      <w:i/>
      <w:iCs/>
      <w:sz w:val="24"/>
      <w:szCs w:val="24"/>
      <w:lang w:eastAsia="en-US"/>
    </w:rPr>
  </w:style>
  <w:style w:type="character" w:customStyle="1" w:styleId="Heading9Char">
    <w:name w:val="Heading 9 Char"/>
    <w:basedOn w:val="DefaultParagraphFont"/>
    <w:link w:val="Heading9"/>
    <w:uiPriority w:val="9"/>
    <w:semiHidden/>
    <w:rsid w:val="00C958B0"/>
    <w:rPr>
      <w:rFonts w:asciiTheme="majorHAnsi" w:eastAsiaTheme="majorEastAsia" w:hAnsiTheme="majorHAnsi" w:cstheme="majorBidi"/>
      <w:lang w:eastAsia="en-US"/>
    </w:rPr>
  </w:style>
  <w:style w:type="paragraph" w:styleId="Header">
    <w:name w:val="header"/>
    <w:basedOn w:val="Normal"/>
    <w:link w:val="HeaderChar"/>
    <w:uiPriority w:val="99"/>
    <w:rsid w:val="006725D5"/>
    <w:pPr>
      <w:tabs>
        <w:tab w:val="center" w:pos="4153"/>
        <w:tab w:val="right" w:pos="8306"/>
      </w:tabs>
    </w:pPr>
  </w:style>
  <w:style w:type="character" w:customStyle="1" w:styleId="HeaderChar">
    <w:name w:val="Header Char"/>
    <w:basedOn w:val="DefaultParagraphFont"/>
    <w:link w:val="Header"/>
    <w:uiPriority w:val="99"/>
    <w:rsid w:val="00122778"/>
    <w:rPr>
      <w:rFonts w:eastAsia="SimSun"/>
      <w:lang w:eastAsia="en-US"/>
    </w:rPr>
  </w:style>
  <w:style w:type="paragraph" w:styleId="Footer">
    <w:name w:val="footer"/>
    <w:basedOn w:val="Normal"/>
    <w:link w:val="FooterChar"/>
    <w:uiPriority w:val="99"/>
    <w:rsid w:val="006725D5"/>
    <w:pPr>
      <w:tabs>
        <w:tab w:val="center" w:pos="4153"/>
        <w:tab w:val="right" w:pos="8306"/>
      </w:tabs>
    </w:pPr>
  </w:style>
  <w:style w:type="character" w:customStyle="1" w:styleId="FooterChar">
    <w:name w:val="Footer Char"/>
    <w:basedOn w:val="DefaultParagraphFont"/>
    <w:link w:val="Footer"/>
    <w:uiPriority w:val="99"/>
    <w:rsid w:val="00FB00E3"/>
    <w:rPr>
      <w:rFonts w:eastAsia="SimSun"/>
      <w:lang w:eastAsia="en-US"/>
    </w:rPr>
  </w:style>
  <w:style w:type="character" w:styleId="PageNumber">
    <w:name w:val="page number"/>
    <w:basedOn w:val="DefaultParagraphFont"/>
    <w:uiPriority w:val="99"/>
    <w:rsid w:val="006725D5"/>
    <w:rPr>
      <w:rFonts w:ascii="Times New Roman" w:hAnsi="Times New Roman" w:cs="Times New Roman"/>
    </w:rPr>
  </w:style>
  <w:style w:type="paragraph" w:styleId="BodyText">
    <w:name w:val="Body Text"/>
    <w:basedOn w:val="Normal"/>
    <w:link w:val="BodyTextChar"/>
    <w:uiPriority w:val="99"/>
    <w:rsid w:val="006725D5"/>
    <w:pPr>
      <w:ind w:left="426"/>
      <w:jc w:val="both"/>
    </w:pPr>
    <w:rPr>
      <w:sz w:val="18"/>
      <w:szCs w:val="18"/>
    </w:rPr>
  </w:style>
  <w:style w:type="character" w:customStyle="1" w:styleId="BodyTextChar">
    <w:name w:val="Body Text Char"/>
    <w:basedOn w:val="DefaultParagraphFont"/>
    <w:link w:val="BodyText"/>
    <w:uiPriority w:val="99"/>
    <w:rsid w:val="00410A25"/>
    <w:rPr>
      <w:rFonts w:eastAsia="SimSun"/>
      <w:sz w:val="18"/>
      <w:szCs w:val="18"/>
      <w:lang w:eastAsia="en-US"/>
    </w:rPr>
  </w:style>
  <w:style w:type="paragraph" w:customStyle="1" w:styleId="Uvod">
    <w:name w:val="Uvod"/>
    <w:basedOn w:val="Normal"/>
    <w:uiPriority w:val="99"/>
    <w:rsid w:val="006725D5"/>
    <w:pPr>
      <w:ind w:left="284" w:hanging="284"/>
      <w:jc w:val="both"/>
    </w:pPr>
    <w:rPr>
      <w:sz w:val="22"/>
      <w:szCs w:val="22"/>
    </w:rPr>
  </w:style>
  <w:style w:type="paragraph" w:customStyle="1" w:styleId="Tabulka">
    <w:name w:val="Tabulka"/>
    <w:basedOn w:val="Normal"/>
    <w:uiPriority w:val="99"/>
    <w:rsid w:val="006725D5"/>
    <w:rPr>
      <w:color w:val="000000"/>
      <w:sz w:val="18"/>
      <w:szCs w:val="18"/>
    </w:rPr>
  </w:style>
  <w:style w:type="paragraph" w:customStyle="1" w:styleId="Pismenka">
    <w:name w:val="Pismenka"/>
    <w:basedOn w:val="BodyText"/>
    <w:uiPriority w:val="99"/>
    <w:rsid w:val="006725D5"/>
    <w:pPr>
      <w:tabs>
        <w:tab w:val="num" w:pos="426"/>
      </w:tabs>
      <w:ind w:hanging="426"/>
    </w:pPr>
    <w:rPr>
      <w:b/>
      <w:bCs/>
    </w:rPr>
  </w:style>
  <w:style w:type="paragraph" w:styleId="TOC1">
    <w:name w:val="toc 1"/>
    <w:basedOn w:val="Normal"/>
    <w:next w:val="Normal"/>
    <w:autoRedefine/>
    <w:uiPriority w:val="99"/>
    <w:semiHidden/>
    <w:rsid w:val="006725D5"/>
    <w:pPr>
      <w:tabs>
        <w:tab w:val="left" w:pos="426"/>
        <w:tab w:val="right" w:pos="9203"/>
      </w:tabs>
      <w:spacing w:before="360"/>
    </w:pPr>
    <w:rPr>
      <w:b/>
      <w:bCs/>
      <w:caps/>
      <w:noProof/>
    </w:rPr>
  </w:style>
  <w:style w:type="paragraph" w:styleId="TOC2">
    <w:name w:val="toc 2"/>
    <w:basedOn w:val="Normal"/>
    <w:next w:val="Normal"/>
    <w:autoRedefine/>
    <w:uiPriority w:val="99"/>
    <w:semiHidden/>
    <w:rsid w:val="006725D5"/>
    <w:pPr>
      <w:tabs>
        <w:tab w:val="left" w:pos="993"/>
        <w:tab w:val="right" w:pos="9203"/>
      </w:tabs>
      <w:ind w:firstLine="567"/>
    </w:pPr>
    <w:rPr>
      <w:b/>
      <w:bCs/>
      <w:noProof/>
    </w:rPr>
  </w:style>
  <w:style w:type="paragraph" w:styleId="TOC3">
    <w:name w:val="toc 3"/>
    <w:basedOn w:val="Normal"/>
    <w:next w:val="Normal"/>
    <w:autoRedefine/>
    <w:uiPriority w:val="99"/>
    <w:semiHidden/>
    <w:rsid w:val="006725D5"/>
    <w:pPr>
      <w:ind w:left="200"/>
    </w:pPr>
  </w:style>
  <w:style w:type="paragraph" w:styleId="TOC4">
    <w:name w:val="toc 4"/>
    <w:basedOn w:val="Normal"/>
    <w:next w:val="Normal"/>
    <w:autoRedefine/>
    <w:uiPriority w:val="99"/>
    <w:semiHidden/>
    <w:rsid w:val="006725D5"/>
    <w:pPr>
      <w:ind w:left="400"/>
    </w:pPr>
  </w:style>
  <w:style w:type="paragraph" w:styleId="TOC5">
    <w:name w:val="toc 5"/>
    <w:basedOn w:val="Normal"/>
    <w:next w:val="Normal"/>
    <w:autoRedefine/>
    <w:uiPriority w:val="99"/>
    <w:semiHidden/>
    <w:rsid w:val="006725D5"/>
    <w:pPr>
      <w:ind w:left="600"/>
    </w:pPr>
  </w:style>
  <w:style w:type="paragraph" w:styleId="TOC6">
    <w:name w:val="toc 6"/>
    <w:basedOn w:val="Normal"/>
    <w:next w:val="Normal"/>
    <w:autoRedefine/>
    <w:uiPriority w:val="99"/>
    <w:semiHidden/>
    <w:rsid w:val="006725D5"/>
    <w:pPr>
      <w:ind w:left="800"/>
    </w:pPr>
  </w:style>
  <w:style w:type="paragraph" w:styleId="TOC7">
    <w:name w:val="toc 7"/>
    <w:basedOn w:val="Normal"/>
    <w:next w:val="Normal"/>
    <w:autoRedefine/>
    <w:uiPriority w:val="99"/>
    <w:semiHidden/>
    <w:rsid w:val="006725D5"/>
    <w:pPr>
      <w:ind w:left="1000"/>
    </w:pPr>
  </w:style>
  <w:style w:type="paragraph" w:styleId="TOC8">
    <w:name w:val="toc 8"/>
    <w:basedOn w:val="Normal"/>
    <w:next w:val="Normal"/>
    <w:autoRedefine/>
    <w:uiPriority w:val="99"/>
    <w:semiHidden/>
    <w:rsid w:val="006725D5"/>
    <w:pPr>
      <w:ind w:left="1200"/>
    </w:pPr>
  </w:style>
  <w:style w:type="paragraph" w:styleId="TOC9">
    <w:name w:val="toc 9"/>
    <w:basedOn w:val="Normal"/>
    <w:next w:val="Normal"/>
    <w:autoRedefine/>
    <w:uiPriority w:val="99"/>
    <w:semiHidden/>
    <w:rsid w:val="006725D5"/>
    <w:pPr>
      <w:ind w:left="1400"/>
    </w:pPr>
  </w:style>
  <w:style w:type="character" w:styleId="Hyperlink">
    <w:name w:val="Hyperlink"/>
    <w:basedOn w:val="DefaultParagraphFont"/>
    <w:uiPriority w:val="99"/>
    <w:rsid w:val="006725D5"/>
    <w:rPr>
      <w:rFonts w:ascii="Times New Roman" w:hAnsi="Times New Roman" w:cs="Times New Roman"/>
      <w:color w:val="0000FF"/>
      <w:u w:val="single"/>
    </w:rPr>
  </w:style>
  <w:style w:type="character" w:styleId="FollowedHyperlink">
    <w:name w:val="FollowedHyperlink"/>
    <w:basedOn w:val="DefaultParagraphFont"/>
    <w:uiPriority w:val="99"/>
    <w:rsid w:val="006725D5"/>
    <w:rPr>
      <w:rFonts w:ascii="Times New Roman" w:hAnsi="Times New Roman" w:cs="Times New Roman"/>
      <w:color w:val="800080"/>
      <w:u w:val="single"/>
    </w:rPr>
  </w:style>
  <w:style w:type="paragraph" w:styleId="BodyText2">
    <w:name w:val="Body Text 2"/>
    <w:basedOn w:val="Normal"/>
    <w:link w:val="BodyText2Char"/>
    <w:uiPriority w:val="99"/>
    <w:rsid w:val="006725D5"/>
    <w:pPr>
      <w:spacing w:after="120"/>
      <w:ind w:left="283"/>
    </w:pPr>
  </w:style>
  <w:style w:type="character" w:customStyle="1" w:styleId="BodyText2Char">
    <w:name w:val="Body Text 2 Char"/>
    <w:basedOn w:val="DefaultParagraphFont"/>
    <w:link w:val="BodyText2"/>
    <w:uiPriority w:val="99"/>
    <w:semiHidden/>
    <w:rsid w:val="00C958B0"/>
    <w:rPr>
      <w:rFonts w:eastAsia="SimSun"/>
      <w:sz w:val="20"/>
      <w:szCs w:val="20"/>
      <w:lang w:eastAsia="en-US"/>
    </w:rPr>
  </w:style>
  <w:style w:type="paragraph" w:customStyle="1" w:styleId="BalloonText1">
    <w:name w:val="Balloon Text1"/>
    <w:basedOn w:val="Normal"/>
    <w:uiPriority w:val="99"/>
    <w:semiHidden/>
    <w:rsid w:val="006725D5"/>
    <w:rPr>
      <w:rFonts w:ascii="Tahoma" w:hAnsi="Tahoma" w:cs="Tahoma"/>
      <w:sz w:val="16"/>
      <w:szCs w:val="16"/>
    </w:rPr>
  </w:style>
  <w:style w:type="paragraph" w:styleId="PlainText">
    <w:name w:val="Plain Text"/>
    <w:basedOn w:val="Normal"/>
    <w:link w:val="PlainTextChar"/>
    <w:uiPriority w:val="99"/>
    <w:rsid w:val="006725D5"/>
    <w:pPr>
      <w:spacing w:line="260" w:lineRule="atLeast"/>
    </w:pPr>
    <w:rPr>
      <w:rFonts w:ascii="Courier New" w:hAnsi="Courier New" w:cs="Courier New"/>
      <w:lang w:val="en-US"/>
    </w:rPr>
  </w:style>
  <w:style w:type="character" w:customStyle="1" w:styleId="PlainTextChar">
    <w:name w:val="Plain Text Char"/>
    <w:basedOn w:val="DefaultParagraphFont"/>
    <w:link w:val="PlainText"/>
    <w:uiPriority w:val="99"/>
    <w:semiHidden/>
    <w:rsid w:val="00C958B0"/>
    <w:rPr>
      <w:rFonts w:ascii="Courier New" w:eastAsia="SimSun" w:hAnsi="Courier New" w:cs="Courier New"/>
      <w:sz w:val="20"/>
      <w:szCs w:val="20"/>
      <w:lang w:eastAsia="en-US"/>
    </w:rPr>
  </w:style>
  <w:style w:type="paragraph" w:styleId="BalloonText">
    <w:name w:val="Balloon Text"/>
    <w:basedOn w:val="Normal"/>
    <w:link w:val="BalloonTextChar"/>
    <w:uiPriority w:val="99"/>
    <w:semiHidden/>
    <w:rsid w:val="0011140C"/>
    <w:rPr>
      <w:rFonts w:ascii="Tahoma" w:hAnsi="Tahoma" w:cs="Tahoma"/>
      <w:sz w:val="16"/>
      <w:szCs w:val="16"/>
    </w:rPr>
  </w:style>
  <w:style w:type="character" w:customStyle="1" w:styleId="BalloonTextChar">
    <w:name w:val="Balloon Text Char"/>
    <w:basedOn w:val="DefaultParagraphFont"/>
    <w:link w:val="BalloonText"/>
    <w:uiPriority w:val="99"/>
    <w:semiHidden/>
    <w:rsid w:val="00C958B0"/>
    <w:rPr>
      <w:rFonts w:eastAsia="SimSun"/>
      <w:sz w:val="0"/>
      <w:szCs w:val="0"/>
      <w:lang w:eastAsia="en-US"/>
    </w:rPr>
  </w:style>
  <w:style w:type="character" w:styleId="CommentReference">
    <w:name w:val="annotation reference"/>
    <w:basedOn w:val="DefaultParagraphFont"/>
    <w:uiPriority w:val="99"/>
    <w:semiHidden/>
    <w:rsid w:val="00345282"/>
    <w:rPr>
      <w:sz w:val="16"/>
      <w:szCs w:val="16"/>
    </w:rPr>
  </w:style>
  <w:style w:type="paragraph" w:styleId="CommentText">
    <w:name w:val="annotation text"/>
    <w:basedOn w:val="Normal"/>
    <w:link w:val="CommentTextChar"/>
    <w:uiPriority w:val="99"/>
    <w:semiHidden/>
    <w:rsid w:val="00345282"/>
  </w:style>
  <w:style w:type="character" w:customStyle="1" w:styleId="CommentTextChar">
    <w:name w:val="Comment Text Char"/>
    <w:basedOn w:val="DefaultParagraphFont"/>
    <w:link w:val="CommentText"/>
    <w:uiPriority w:val="99"/>
    <w:semiHidden/>
    <w:rsid w:val="00345282"/>
    <w:rPr>
      <w:rFonts w:eastAsia="SimSun"/>
      <w:lang w:eastAsia="en-US"/>
    </w:rPr>
  </w:style>
  <w:style w:type="paragraph" w:styleId="CommentSubject">
    <w:name w:val="annotation subject"/>
    <w:basedOn w:val="CommentText"/>
    <w:next w:val="CommentText"/>
    <w:link w:val="CommentSubjectChar"/>
    <w:uiPriority w:val="99"/>
    <w:semiHidden/>
    <w:rsid w:val="00345282"/>
    <w:rPr>
      <w:b/>
      <w:bCs/>
    </w:rPr>
  </w:style>
  <w:style w:type="character" w:customStyle="1" w:styleId="CommentSubjectChar">
    <w:name w:val="Comment Subject Char"/>
    <w:basedOn w:val="CommentTextChar"/>
    <w:link w:val="CommentSubject"/>
    <w:uiPriority w:val="99"/>
    <w:semiHidden/>
    <w:rsid w:val="00345282"/>
    <w:rPr>
      <w:b/>
      <w:bCs/>
    </w:rPr>
  </w:style>
  <w:style w:type="paragraph" w:styleId="Revision">
    <w:name w:val="Revision"/>
    <w:hidden/>
    <w:uiPriority w:val="99"/>
    <w:semiHidden/>
    <w:rsid w:val="002263F8"/>
    <w:rPr>
      <w:rFonts w:eastAsia="SimSun"/>
      <w:sz w:val="20"/>
      <w:szCs w:val="20"/>
      <w:lang w:eastAsia="en-US"/>
    </w:rPr>
  </w:style>
  <w:style w:type="character" w:customStyle="1" w:styleId="BodyTextChar1">
    <w:name w:val="Body Text Char1"/>
    <w:basedOn w:val="DefaultParagraphFont"/>
    <w:uiPriority w:val="99"/>
    <w:rsid w:val="00CD2E48"/>
    <w:rPr>
      <w:rFonts w:ascii="Times New Roman" w:hAnsi="Times New Roman" w:cs="Times New Roman"/>
      <w:sz w:val="20"/>
      <w:szCs w:val="20"/>
    </w:rPr>
  </w:style>
  <w:style w:type="paragraph" w:styleId="ListParagraph">
    <w:name w:val="List Paragraph"/>
    <w:basedOn w:val="Normal"/>
    <w:uiPriority w:val="99"/>
    <w:qFormat/>
    <w:rsid w:val="00425D38"/>
    <w:pPr>
      <w:ind w:left="720"/>
      <w:contextualSpacing/>
    </w:pPr>
  </w:style>
</w:styles>
</file>

<file path=word/webSettings.xml><?xml version="1.0" encoding="utf-8"?>
<w:webSettings xmlns:r="http://schemas.openxmlformats.org/officeDocument/2006/relationships" xmlns:w="http://schemas.openxmlformats.org/wordprocessingml/2006/main">
  <w:divs>
    <w:div w:id="644896556">
      <w:marLeft w:val="0"/>
      <w:marRight w:val="0"/>
      <w:marTop w:val="0"/>
      <w:marBottom w:val="0"/>
      <w:divBdr>
        <w:top w:val="none" w:sz="0" w:space="0" w:color="auto"/>
        <w:left w:val="none" w:sz="0" w:space="0" w:color="auto"/>
        <w:bottom w:val="none" w:sz="0" w:space="0" w:color="auto"/>
        <w:right w:val="none" w:sz="0" w:space="0" w:color="auto"/>
      </w:divBdr>
    </w:div>
    <w:div w:id="644896557">
      <w:marLeft w:val="0"/>
      <w:marRight w:val="0"/>
      <w:marTop w:val="0"/>
      <w:marBottom w:val="0"/>
      <w:divBdr>
        <w:top w:val="none" w:sz="0" w:space="0" w:color="auto"/>
        <w:left w:val="none" w:sz="0" w:space="0" w:color="auto"/>
        <w:bottom w:val="none" w:sz="0" w:space="0" w:color="auto"/>
        <w:right w:val="none" w:sz="0" w:space="0" w:color="auto"/>
      </w:divBdr>
    </w:div>
    <w:div w:id="644896558">
      <w:marLeft w:val="0"/>
      <w:marRight w:val="0"/>
      <w:marTop w:val="0"/>
      <w:marBottom w:val="0"/>
      <w:divBdr>
        <w:top w:val="none" w:sz="0" w:space="0" w:color="auto"/>
        <w:left w:val="none" w:sz="0" w:space="0" w:color="auto"/>
        <w:bottom w:val="none" w:sz="0" w:space="0" w:color="auto"/>
        <w:right w:val="none" w:sz="0" w:space="0" w:color="auto"/>
      </w:divBdr>
    </w:div>
    <w:div w:id="64489655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oleObject" Target="embeddings/oleObject2.bin"/><Relationship Id="rId26" Type="http://schemas.openxmlformats.org/officeDocument/2006/relationships/oleObject" Target="embeddings/oleObject4.bin"/><Relationship Id="rId39" Type="http://schemas.openxmlformats.org/officeDocument/2006/relationships/image" Target="media/image14.emf"/><Relationship Id="rId21" Type="http://schemas.openxmlformats.org/officeDocument/2006/relationships/header" Target="header4.xml"/><Relationship Id="rId34" Type="http://schemas.openxmlformats.org/officeDocument/2006/relationships/package" Target="embeddings/Microsoft_Excel_Worksheet66.xlsx"/><Relationship Id="rId42" Type="http://schemas.openxmlformats.org/officeDocument/2006/relationships/package" Target="embeddings/Microsoft_Excel_Worksheet1010.xlsx"/><Relationship Id="rId47" Type="http://schemas.openxmlformats.org/officeDocument/2006/relationships/image" Target="media/image18.emf"/><Relationship Id="rId50" Type="http://schemas.openxmlformats.org/officeDocument/2006/relationships/package" Target="embeddings/Microsoft_Excel_Worksheet1414.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323.xlsx"/><Relationship Id="rId76" Type="http://schemas.openxmlformats.org/officeDocument/2006/relationships/package" Target="embeddings/Microsoft_Excel_Worksheet2727.xlsx"/><Relationship Id="rId84" Type="http://schemas.openxmlformats.org/officeDocument/2006/relationships/footer" Target="footer5.xml"/><Relationship Id="rId7" Type="http://schemas.openxmlformats.org/officeDocument/2006/relationships/image" Target="media/image1.emf"/><Relationship Id="rId71" Type="http://schemas.openxmlformats.org/officeDocument/2006/relationships/image" Target="media/image30.emf"/><Relationship Id="rId2" Type="http://schemas.openxmlformats.org/officeDocument/2006/relationships/styles" Target="styles.xml"/><Relationship Id="rId16" Type="http://schemas.openxmlformats.org/officeDocument/2006/relationships/oleObject" Target="embeddings/oleObject1.bin"/><Relationship Id="rId29" Type="http://schemas.openxmlformats.org/officeDocument/2006/relationships/image" Target="media/image9.emf"/><Relationship Id="rId11" Type="http://schemas.openxmlformats.org/officeDocument/2006/relationships/header" Target="header1.xml"/><Relationship Id="rId24" Type="http://schemas.openxmlformats.org/officeDocument/2006/relationships/oleObject" Target="embeddings/oleObject3.bin"/><Relationship Id="rId32" Type="http://schemas.openxmlformats.org/officeDocument/2006/relationships/package" Target="embeddings/Microsoft_Excel_Worksheet55.xlsx"/><Relationship Id="rId37" Type="http://schemas.openxmlformats.org/officeDocument/2006/relationships/image" Target="media/image13.emf"/><Relationship Id="rId40" Type="http://schemas.openxmlformats.org/officeDocument/2006/relationships/package" Target="embeddings/Microsoft_Excel_Worksheet99.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1818.xlsx"/><Relationship Id="rId66" Type="http://schemas.openxmlformats.org/officeDocument/2006/relationships/package" Target="embeddings/Microsoft_Excel_Worksheet2222.xlsx"/><Relationship Id="rId74" Type="http://schemas.openxmlformats.org/officeDocument/2006/relationships/package" Target="embeddings/Microsoft_Excel_Worksheet2626.xlsx"/><Relationship Id="rId79" Type="http://schemas.openxmlformats.org/officeDocument/2006/relationships/image" Target="media/image34.emf"/><Relationship Id="rId5" Type="http://schemas.openxmlformats.org/officeDocument/2006/relationships/footnotes" Target="footnotes.xml"/><Relationship Id="rId61" Type="http://schemas.openxmlformats.org/officeDocument/2006/relationships/image" Target="media/image25.emf"/><Relationship Id="rId82" Type="http://schemas.openxmlformats.org/officeDocument/2006/relationships/oleObject" Target="embeddings/oleObject5.bin"/><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2.xml"/><Relationship Id="rId22" Type="http://schemas.openxmlformats.org/officeDocument/2006/relationships/footer" Target="footer4.xml"/><Relationship Id="rId27" Type="http://schemas.openxmlformats.org/officeDocument/2006/relationships/image" Target="media/image8.emf"/><Relationship Id="rId30" Type="http://schemas.openxmlformats.org/officeDocument/2006/relationships/package" Target="embeddings/Microsoft_Excel_Worksheet44.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313.xlsx"/><Relationship Id="rId56" Type="http://schemas.openxmlformats.org/officeDocument/2006/relationships/package" Target="embeddings/Microsoft_Excel_Worksheet1717.xlsx"/><Relationship Id="rId64" Type="http://schemas.openxmlformats.org/officeDocument/2006/relationships/package" Target="embeddings/Microsoft_Excel_Worksheet2121.xlsx"/><Relationship Id="rId69" Type="http://schemas.openxmlformats.org/officeDocument/2006/relationships/image" Target="media/image29.emf"/><Relationship Id="rId77" Type="http://schemas.openxmlformats.org/officeDocument/2006/relationships/image" Target="media/image33.emf"/><Relationship Id="rId8" Type="http://schemas.openxmlformats.org/officeDocument/2006/relationships/package" Target="embeddings/Microsoft_Excel_Worksheet11.xlsx"/><Relationship Id="rId51" Type="http://schemas.openxmlformats.org/officeDocument/2006/relationships/image" Target="media/image20.emf"/><Relationship Id="rId72" Type="http://schemas.openxmlformats.org/officeDocument/2006/relationships/package" Target="embeddings/Microsoft_Excel_Worksheet2525.xlsx"/><Relationship Id="rId80" Type="http://schemas.openxmlformats.org/officeDocument/2006/relationships/package" Target="embeddings/Microsoft_Excel_Worksheet2929.xlsx"/><Relationship Id="rId85"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5.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88.xlsx"/><Relationship Id="rId46" Type="http://schemas.openxmlformats.org/officeDocument/2006/relationships/package" Target="embeddings/Microsoft_Excel_Worksheet1212.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footer" Target="footer3.xml"/><Relationship Id="rId41" Type="http://schemas.openxmlformats.org/officeDocument/2006/relationships/image" Target="media/image15.emf"/><Relationship Id="rId54" Type="http://schemas.openxmlformats.org/officeDocument/2006/relationships/package" Target="embeddings/Microsoft_Excel_Worksheet1616.xlsx"/><Relationship Id="rId62" Type="http://schemas.openxmlformats.org/officeDocument/2006/relationships/package" Target="embeddings/Microsoft_Excel_Worksheet2020.xlsx"/><Relationship Id="rId70" Type="http://schemas.openxmlformats.org/officeDocument/2006/relationships/package" Target="embeddings/Microsoft_Excel_Worksheet2424.xlsx"/><Relationship Id="rId75" Type="http://schemas.openxmlformats.org/officeDocument/2006/relationships/image" Target="media/image32.emf"/><Relationship Id="rId83"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emf"/><Relationship Id="rId23" Type="http://schemas.openxmlformats.org/officeDocument/2006/relationships/image" Target="media/image6.emf"/><Relationship Id="rId28" Type="http://schemas.openxmlformats.org/officeDocument/2006/relationships/package" Target="embeddings/Microsoft_Excel_Worksheet33.xlsx"/><Relationship Id="rId36" Type="http://schemas.openxmlformats.org/officeDocument/2006/relationships/package" Target="embeddings/Microsoft_Excel_Worksheet77.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package" Target="embeddings/Microsoft_Excel_Worksheet22.xlsx"/><Relationship Id="rId31" Type="http://schemas.openxmlformats.org/officeDocument/2006/relationships/image" Target="media/image10.emf"/><Relationship Id="rId44" Type="http://schemas.openxmlformats.org/officeDocument/2006/relationships/package" Target="embeddings/Microsoft_Excel_Worksheet1111.xlsx"/><Relationship Id="rId52" Type="http://schemas.openxmlformats.org/officeDocument/2006/relationships/package" Target="embeddings/Microsoft_Excel_Worksheet1515.xlsx"/><Relationship Id="rId60" Type="http://schemas.openxmlformats.org/officeDocument/2006/relationships/package" Target="embeddings/Microsoft_Excel_Worksheet1919.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2828.xlsx"/><Relationship Id="rId81" Type="http://schemas.openxmlformats.org/officeDocument/2006/relationships/image" Target="media/image35.emf"/><Relationship Id="rId86"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_rels/header5.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32</Pages>
  <Words>4394</Words>
  <Characters>25048</Characters>
  <Application>Microsoft Office Outlook</Application>
  <DocSecurity>0</DocSecurity>
  <Lines>0</Lines>
  <Paragraphs>0</Paragraphs>
  <ScaleCrop>false</ScaleCrop>
  <Company>KPMG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imachac</dc:creator>
  <cp:keywords/>
  <dc:description/>
  <cp:lastModifiedBy>FES</cp:lastModifiedBy>
  <cp:revision>2</cp:revision>
  <cp:lastPrinted>2015-02-20T12:41:00Z</cp:lastPrinted>
  <dcterms:created xsi:type="dcterms:W3CDTF">2015-03-04T11:26:00Z</dcterms:created>
  <dcterms:modified xsi:type="dcterms:W3CDTF">2015-03-04T11:26:00Z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usiness_Owner">
    <vt:lpwstr>Kpmg Slovensko s.r.o.</vt:lpwstr>
  </property>
  <property fmtid="{D5CDD505-2E9C-101B-9397-08002B2CF9AE}" pid="3" name="Expiry_Date">
    <vt:lpwstr>13/02/2013</vt:lpwstr>
  </property>
  <property fmtid="{D5CDD505-2E9C-101B-9397-08002B2CF9AE}" pid="4" name="Business_Application">
    <vt:lpwstr>Microsoft Word</vt:lpwstr>
  </property>
  <property fmtid="{D5CDD505-2E9C-101B-9397-08002B2CF9AE}" pid="5" name="Digital_Signature">
    <vt:lpwstr>78394fea-7d6e-4337-965b-19562803886b</vt:lpwstr>
  </property>
  <property fmtid="{D5CDD505-2E9C-101B-9397-08002B2CF9AE}" pid="6" name="Industry_Sector">
    <vt:lpwstr>Not Selected</vt:lpwstr>
  </property>
  <property fmtid="{D5CDD505-2E9C-101B-9397-08002B2CF9AE}" pid="7" name="KPMG_Author">
    <vt:lpwstr>Zoldak, Peter</vt:lpwstr>
  </property>
  <property fmtid="{D5CDD505-2E9C-101B-9397-08002B2CF9AE}" pid="8" name="Client_ID">
    <vt:lpwstr>Fagor Ederlan a.s.</vt:lpwstr>
  </property>
  <property fmtid="{D5CDD505-2E9C-101B-9397-08002B2CF9AE}" pid="9" name="Content_ID">
    <vt:lpwstr>FAGOR poznamky2008 v 2.doc</vt:lpwstr>
  </property>
  <property fmtid="{D5CDD505-2E9C-101B-9397-08002B2CF9AE}" pid="10" name="Engagement_ID">
    <vt:lpwstr>Fagor Ederlan a.s./Audit 2008</vt:lpwstr>
  </property>
  <property fmtid="{D5CDD505-2E9C-101B-9397-08002B2CF9AE}" pid="11" name="Service1">
    <vt:lpwstr>Audit</vt:lpwstr>
  </property>
  <property fmtid="{D5CDD505-2E9C-101B-9397-08002B2CF9AE}" pid="12" name="Content_Type">
    <vt:lpwstr>Document</vt:lpwstr>
  </property>
  <property fmtid="{D5CDD505-2E9C-101B-9397-08002B2CF9AE}" pid="13" name="Indefinite_Hold">
    <vt:lpwstr>1</vt:lpwstr>
  </property>
  <property fmtid="{D5CDD505-2E9C-101B-9397-08002B2CF9AE}" pid="14" name="Language">
    <vt:lpwstr>English</vt:lpwstr>
  </property>
  <property fmtid="{D5CDD505-2E9C-101B-9397-08002B2CF9AE}" pid="15" name="_Status">
    <vt:lpwstr>Draft</vt:lpwstr>
  </property>
  <property fmtid="{D5CDD505-2E9C-101B-9397-08002B2CF9AE}" pid="16" name="Last_Modified_By">
    <vt:lpwstr/>
  </property>
</Properties>
</file>