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6AC" w:rsidRDefault="008B66AC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</w:t>
      </w:r>
    </w:p>
    <w:p w:rsidR="008B66AC" w:rsidRDefault="008B66AC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Všeobecné údaje</w:t>
      </w:r>
    </w:p>
    <w:p w:rsidR="008B66AC" w:rsidRDefault="008B66A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B66AC" w:rsidRDefault="008B66A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87"/>
      </w:tblGrid>
      <w:tr w:rsidR="008B66AC">
        <w:trPr>
          <w:trHeight w:val="355"/>
        </w:trPr>
        <w:tc>
          <w:tcPr>
            <w:tcW w:w="8187" w:type="dxa"/>
            <w:vAlign w:val="center"/>
          </w:tcPr>
          <w:p w:rsidR="008B66AC" w:rsidRDefault="008B66AC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AFIMA  s.r.o.,v likvidácii,  Dubová  13, 940 01  Nové Zámky</w:t>
            </w:r>
          </w:p>
        </w:tc>
      </w:tr>
    </w:tbl>
    <w:p w:rsidR="008B66AC" w:rsidRDefault="008B66AC">
      <w:pPr>
        <w:pStyle w:val="ListParagraph"/>
        <w:jc w:val="both"/>
        <w:rPr>
          <w:rFonts w:ascii="Times New Roman" w:hAnsi="Times New Roman" w:cs="Times New Roman"/>
        </w:rPr>
      </w:pPr>
    </w:p>
    <w:p w:rsidR="008B66AC" w:rsidRDefault="008B66A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8B66AC" w:rsidRDefault="008B66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obchodné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meno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a sídlo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konsolidujúcej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  <w:spacing w:val="-1"/>
        </w:rPr>
        <w:t>účtovnej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  <w:spacing w:val="-1"/>
        </w:rPr>
        <w:t>jednotky,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ktorá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spacing w:val="-1"/>
        </w:rPr>
        <w:t>zostavuje</w:t>
      </w:r>
      <w:r>
        <w:rPr>
          <w:rFonts w:ascii="Times New Roman" w:hAnsi="Times New Roman" w:cs="Times New Roman"/>
          <w:spacing w:val="71"/>
        </w:rPr>
        <w:t xml:space="preserve"> </w:t>
      </w:r>
      <w:r>
        <w:rPr>
          <w:rFonts w:ascii="Times New Roman" w:hAnsi="Times New Roman" w:cs="Times New Roman"/>
        </w:rPr>
        <w:t xml:space="preserve">konsolidovanú účtovnú </w:t>
      </w:r>
      <w:r>
        <w:rPr>
          <w:rFonts w:ascii="Times New Roman" w:hAnsi="Times New Roman" w:cs="Times New Roman"/>
          <w:spacing w:val="-1"/>
        </w:rPr>
        <w:t>závierku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za tú skupinu účtovných </w:t>
      </w:r>
      <w:r>
        <w:rPr>
          <w:rFonts w:ascii="Times New Roman" w:hAnsi="Times New Roman" w:cs="Times New Roman"/>
          <w:spacing w:val="-1"/>
        </w:rPr>
        <w:t>jednotiek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konsolidovaného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</w:rPr>
        <w:t>celku,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  <w:spacing w:val="-1"/>
        </w:rPr>
        <w:t>ktorého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súčasťou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je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aj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účtovná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jednotka;</w:t>
      </w:r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</w:rPr>
        <w:t>uvádza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aj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obchodné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meno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</w:rPr>
        <w:t>sídlo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účtovnej</w:t>
      </w:r>
      <w:r>
        <w:rPr>
          <w:rFonts w:ascii="Times New Roman" w:hAnsi="Times New Roman" w:cs="Times New Roman"/>
          <w:spacing w:val="-1"/>
        </w:rPr>
        <w:t xml:space="preserve"> jednotky,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 xml:space="preserve">ktorá </w:t>
      </w:r>
      <w:r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  <w:spacing w:val="-1"/>
        </w:rPr>
        <w:t>bezprostredne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>konsolidujúcou</w:t>
      </w:r>
      <w:r>
        <w:rPr>
          <w:rFonts w:ascii="Times New Roman" w:hAnsi="Times New Roman" w:cs="Times New Roman"/>
        </w:rPr>
        <w:t xml:space="preserve"> účtovnou </w:t>
      </w:r>
      <w:r>
        <w:rPr>
          <w:rFonts w:ascii="Times New Roman" w:hAnsi="Times New Roman" w:cs="Times New Roman"/>
          <w:spacing w:val="-1"/>
        </w:rPr>
        <w:t>jednotkou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12"/>
      </w:tblGrid>
      <w:tr w:rsidR="008B66AC">
        <w:trPr>
          <w:trHeight w:val="368"/>
        </w:trPr>
        <w:tc>
          <w:tcPr>
            <w:tcW w:w="9212" w:type="dxa"/>
            <w:vAlign w:val="center"/>
          </w:tcPr>
          <w:p w:rsidR="008B66AC" w:rsidRDefault="008B66AC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negatívne</w:t>
            </w:r>
          </w:p>
        </w:tc>
      </w:tr>
    </w:tbl>
    <w:p w:rsidR="008B66AC" w:rsidRDefault="008B66AC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8B66AC" w:rsidRDefault="008B66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8B66AC" w:rsidRDefault="008B66A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>
        <w:rPr>
          <w:rFonts w:ascii="Times New Roman" w:hAnsi="Times New Roman" w:cs="Times New Roman"/>
          <w:spacing w:val="-1"/>
          <w:sz w:val="10"/>
          <w:szCs w:val="10"/>
        </w:rPr>
        <w:t>,</w:t>
      </w:r>
      <w:r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8B66AC" w:rsidRDefault="008B66A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12 zákona obchodné meno a sídlo dcérskych účtovných jednotiek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12"/>
      </w:tblGrid>
      <w:tr w:rsidR="008B66AC">
        <w:trPr>
          <w:trHeight w:val="350"/>
        </w:trPr>
        <w:tc>
          <w:tcPr>
            <w:tcW w:w="9212" w:type="dxa"/>
            <w:vAlign w:val="center"/>
          </w:tcPr>
          <w:p w:rsidR="008B66AC" w:rsidRDefault="008B66A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negatívne</w:t>
            </w:r>
          </w:p>
        </w:tc>
      </w:tr>
    </w:tbl>
    <w:p w:rsidR="008B66AC" w:rsidRDefault="008B66AC">
      <w:pPr>
        <w:ind w:left="1080"/>
        <w:jc w:val="both"/>
        <w:rPr>
          <w:rFonts w:ascii="Times New Roman" w:hAnsi="Times New Roman" w:cs="Times New Roman"/>
        </w:rPr>
      </w:pPr>
    </w:p>
    <w:p w:rsidR="008B66AC" w:rsidRDefault="008B66A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zamestnancov:</w:t>
      </w:r>
      <w:r>
        <w:rPr>
          <w:rFonts w:ascii="Times New Roman" w:hAnsi="Times New Roman" w:cs="Times New Roman"/>
        </w:rPr>
        <w:tab/>
        <w:t>1</w:t>
      </w:r>
      <w:r>
        <w:rPr>
          <w:rFonts w:ascii="Times New Roman" w:hAnsi="Times New Roman" w:cs="Times New Roman"/>
          <w:bdr w:val="single" w:sz="4" w:space="0" w:color="auto"/>
        </w:rPr>
        <w:t xml:space="preserve">      </w:t>
      </w:r>
    </w:p>
    <w:p w:rsidR="008B66AC" w:rsidRDefault="008B66AC">
      <w:pPr>
        <w:rPr>
          <w:rFonts w:ascii="Times New Roman" w:hAnsi="Times New Roman" w:cs="Times New Roman"/>
        </w:rPr>
      </w:pPr>
    </w:p>
    <w:p w:rsidR="008B66AC" w:rsidRDefault="008B66AC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</w:t>
      </w:r>
    </w:p>
    <w:p w:rsidR="008B66AC" w:rsidRDefault="008B66AC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prijatých postupoch</w:t>
      </w:r>
    </w:p>
    <w:p w:rsidR="008B66AC" w:rsidRDefault="008B66AC">
      <w:pPr>
        <w:pStyle w:val="ListParagraph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nepretržite pokračovať vo svojej činnosti: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nie, spoločnosť je v likvidácii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8B66AC" w:rsidRDefault="008B66AC">
      <w:pPr>
        <w:pStyle w:val="ListParagraph"/>
        <w:spacing w:after="60"/>
        <w:ind w:left="714"/>
        <w:jc w:val="both"/>
        <w:rPr>
          <w:rFonts w:ascii="Times New Roman" w:hAnsi="Times New Roman" w:cs="Times New Roman"/>
          <w:b/>
          <w:bCs/>
        </w:rPr>
      </w:pPr>
    </w:p>
    <w:p w:rsidR="008B66AC" w:rsidRDefault="008B66A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8B66AC" w:rsidRDefault="008B66A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dlhodobého nehmotného majetku, dlhodobého hmotného a dlhodobého finančného majetku: </w:t>
      </w:r>
      <w:r>
        <w:rPr>
          <w:rFonts w:ascii="Times New Roman" w:hAnsi="Times New Roman" w:cs="Times New Roman"/>
          <w:b/>
          <w:bCs/>
          <w:i/>
          <w:iCs/>
        </w:rPr>
        <w:t>obstarávacou cenou</w:t>
      </w:r>
    </w:p>
    <w:p w:rsidR="008B66AC" w:rsidRDefault="008B66A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zásob obstaraných kúpou, zásob vytvorených vlastnou činnosťou: </w:t>
      </w:r>
      <w:r>
        <w:rPr>
          <w:rFonts w:ascii="Times New Roman" w:hAnsi="Times New Roman" w:cs="Times New Roman"/>
          <w:b/>
          <w:bCs/>
          <w:i/>
          <w:iCs/>
        </w:rPr>
        <w:t>obstarávacou cenou</w:t>
      </w:r>
    </w:p>
    <w:p w:rsidR="008B66AC" w:rsidRDefault="008B66A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pohľadávok: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8B66AC" w:rsidRDefault="008B66A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krátkodobého finančného majetku: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8B66AC" w:rsidRDefault="008B66A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dlhopisov, pôžičiek a úverov: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8B66AC" w:rsidRDefault="008B66A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derivátových operácií: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B66AC" w:rsidRDefault="008B66AC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8B66AC" w:rsidRDefault="008B66A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odpisové metódy pri určení odpisov:</w:t>
      </w:r>
    </w:p>
    <w:p w:rsidR="008B66AC" w:rsidRDefault="008B66AC">
      <w:pPr>
        <w:pStyle w:val="ListParagraph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Odpisový plán účtovných odpisov hmotného majetku sa zostavil interným predpisom tak, že za základ sa vzali metódy používané pri vyčísľovaní daňových odpisov.</w:t>
      </w:r>
    </w:p>
    <w:p w:rsidR="008B66AC" w:rsidRDefault="008B66AC">
      <w:pPr>
        <w:pStyle w:val="ListParagraph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Odpisové sadzby pre účtovné a daňové odpisy podnikateľa sa rovnajú. Ročný účtovný odpis sa odlišoval od daňového odpisu podľa počtu mesiacov od zaradenia majetku do konca roka. Od 1.1.2012 sa uplatňuje aj u daňových odpisov pomerná časť z ročného odpisu.</w:t>
      </w:r>
    </w:p>
    <w:p w:rsidR="008B66AC" w:rsidRDefault="008B66AC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p w:rsidR="008B66AC" w:rsidRDefault="008B66AC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32"/>
        <w:gridCol w:w="1843"/>
        <w:gridCol w:w="1649"/>
        <w:gridCol w:w="1895"/>
      </w:tblGrid>
      <w:tr w:rsidR="008B66AC">
        <w:trPr>
          <w:trHeight w:val="340"/>
        </w:trPr>
        <w:tc>
          <w:tcPr>
            <w:tcW w:w="2932" w:type="dxa"/>
            <w:vAlign w:val="center"/>
          </w:tcPr>
          <w:p w:rsidR="008B66AC" w:rsidRDefault="008B66AC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Druh majetku</w:t>
            </w:r>
          </w:p>
        </w:tc>
        <w:tc>
          <w:tcPr>
            <w:tcW w:w="1843" w:type="dxa"/>
            <w:vAlign w:val="center"/>
          </w:tcPr>
          <w:p w:rsidR="008B66AC" w:rsidRDefault="008B66A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8B66AC" w:rsidRDefault="008B66A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8B66AC" w:rsidRDefault="008B66A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Odpisová metóda</w:t>
            </w:r>
          </w:p>
        </w:tc>
      </w:tr>
      <w:tr w:rsidR="008B66AC">
        <w:trPr>
          <w:trHeight w:val="340"/>
        </w:trPr>
        <w:tc>
          <w:tcPr>
            <w:tcW w:w="2932" w:type="dxa"/>
            <w:vAlign w:val="center"/>
          </w:tcPr>
          <w:p w:rsidR="008B66AC" w:rsidRDefault="008B66AC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8B66AC" w:rsidRDefault="008B66A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bookmarkStart w:id="0" w:name="_GoBack"/>
            <w:bookmarkEnd w:id="0"/>
          </w:p>
        </w:tc>
        <w:tc>
          <w:tcPr>
            <w:tcW w:w="1649" w:type="dxa"/>
            <w:vAlign w:val="center"/>
          </w:tcPr>
          <w:p w:rsidR="008B66AC" w:rsidRDefault="008B66A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8B66AC" w:rsidRDefault="008B66A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66AC">
        <w:trPr>
          <w:trHeight w:val="340"/>
        </w:trPr>
        <w:tc>
          <w:tcPr>
            <w:tcW w:w="2932" w:type="dxa"/>
            <w:vAlign w:val="center"/>
          </w:tcPr>
          <w:p w:rsidR="008B66AC" w:rsidRDefault="008B66AC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8B66AC" w:rsidRDefault="008B66A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9" w:type="dxa"/>
            <w:vAlign w:val="center"/>
          </w:tcPr>
          <w:p w:rsidR="008B66AC" w:rsidRDefault="008B66A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8B66AC" w:rsidRDefault="008B66A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66AC">
        <w:trPr>
          <w:trHeight w:val="340"/>
        </w:trPr>
        <w:tc>
          <w:tcPr>
            <w:tcW w:w="2932" w:type="dxa"/>
            <w:vAlign w:val="center"/>
          </w:tcPr>
          <w:p w:rsidR="008B66AC" w:rsidRDefault="008B66AC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8B66AC" w:rsidRDefault="008B66A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9" w:type="dxa"/>
            <w:vAlign w:val="center"/>
          </w:tcPr>
          <w:p w:rsidR="008B66AC" w:rsidRDefault="008B66A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8B66AC" w:rsidRDefault="008B66A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66AC">
        <w:trPr>
          <w:trHeight w:val="340"/>
        </w:trPr>
        <w:tc>
          <w:tcPr>
            <w:tcW w:w="2932" w:type="dxa"/>
            <w:vAlign w:val="center"/>
          </w:tcPr>
          <w:p w:rsidR="008B66AC" w:rsidRDefault="008B66AC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8B66AC" w:rsidRDefault="008B66A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9" w:type="dxa"/>
            <w:vAlign w:val="center"/>
          </w:tcPr>
          <w:p w:rsidR="008B66AC" w:rsidRDefault="008B66A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8B66AC" w:rsidRDefault="008B66A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8B66AC" w:rsidRDefault="008B66AC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p w:rsidR="008B66AC" w:rsidRDefault="008B66A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 hospodárenia účtovnej jednotky:</w:t>
      </w:r>
    </w:p>
    <w:p w:rsidR="008B66AC" w:rsidRDefault="008B66AC">
      <w:pPr>
        <w:pStyle w:val="ListParagraph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Účtovné metódy a účtovné zásady sú aplikované v zmysle platného zákona o účtovníctve a postupov účtovania pre podnikateľov účtujúcich v podvojnom účtovníctve.</w:t>
      </w:r>
    </w:p>
    <w:p w:rsidR="008B66AC" w:rsidRDefault="008B66AC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p w:rsidR="008B66AC" w:rsidRDefault="008B66A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o dotáciách a ich oceňovanie v účtovníctve:   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B66AC" w:rsidRDefault="008B66AC">
      <w:pPr>
        <w:pStyle w:val="ListParagraph"/>
        <w:jc w:val="both"/>
        <w:rPr>
          <w:rFonts w:ascii="Times New Roman" w:hAnsi="Times New Roman" w:cs="Times New Roman"/>
        </w:rPr>
      </w:pPr>
    </w:p>
    <w:p w:rsidR="008B66AC" w:rsidRDefault="008B66A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o účtovaní významných opráv chýb minulých účtovných období v bežnom účtovnom období s uvedením vplyvu na nerozdelený zisku minulých rokov alebo neuhradenú stratu minulých rokov; súčasne sa môže uviesť aj účtovanie nevýznamných chýb minulých účtovných období s uvedením vplyvu na výsledok hospodárenia bežného účtovného obdobia:  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B66AC" w:rsidRDefault="008B66AC">
      <w:pPr>
        <w:jc w:val="both"/>
        <w:rPr>
          <w:rFonts w:ascii="Times New Roman" w:hAnsi="Times New Roman" w:cs="Times New Roman"/>
        </w:rPr>
      </w:pPr>
    </w:p>
    <w:p w:rsidR="008B66AC" w:rsidRDefault="008B66AC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III</w:t>
      </w:r>
    </w:p>
    <w:p w:rsidR="008B66AC" w:rsidRDefault="008B66A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Informácie, ktoré vysvetľujú a dopĺňajú súvahu a výkaz ziskov a strát</w:t>
      </w:r>
    </w:p>
    <w:p w:rsidR="008B66AC" w:rsidRDefault="008B66A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pohrôm:   </w:t>
      </w:r>
    </w:p>
    <w:p w:rsidR="008B66AC" w:rsidRDefault="008B66AC">
      <w:pPr>
        <w:pStyle w:val="ListParagraph"/>
        <w:ind w:firstLine="69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B66AC" w:rsidRDefault="008B66AC">
      <w:pPr>
        <w:pStyle w:val="ListParagraph"/>
        <w:jc w:val="both"/>
        <w:rPr>
          <w:rFonts w:ascii="Times New Roman" w:hAnsi="Times New Roman" w:cs="Times New Roman"/>
        </w:rPr>
      </w:pPr>
    </w:p>
    <w:p w:rsidR="008B66AC" w:rsidRDefault="008B66A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8B66AC" w:rsidRDefault="008B66A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8B66AC" w:rsidRDefault="008B66A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8B66AC" w:rsidRDefault="008B66AC">
      <w:pPr>
        <w:pStyle w:val="ListParagraph"/>
        <w:ind w:left="1080" w:firstLine="33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B66AC" w:rsidRDefault="008B66AC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8B66AC" w:rsidRDefault="008B66A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8B66AC" w:rsidRDefault="008B66A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8B66AC" w:rsidRDefault="008B66A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informáciách, ktorými sú</w:t>
      </w:r>
    </w:p>
    <w:p w:rsidR="008B66AC" w:rsidRDefault="008B66A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8B66AC" w:rsidRDefault="008B66A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8B66AC" w:rsidRDefault="008B66A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upísanom základnom imaní.</w:t>
      </w:r>
    </w:p>
    <w:p w:rsidR="008B66AC" w:rsidRDefault="008B66AC">
      <w:pPr>
        <w:pStyle w:val="ListParagraph"/>
        <w:ind w:left="1080" w:firstLine="3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B66AC" w:rsidRDefault="008B66AC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8B66AC" w:rsidRDefault="008B66A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8B66AC" w:rsidRDefault="008B66A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výške jednotlivých druhov záruk alebo iných zabezpečení poskytnutých pre členov štatutárneho orgánu, dozorného orgánu a iného orgánu účtovnej jednotky, a to v členení za jednotlivé orgány,</w:t>
      </w:r>
    </w:p>
    <w:p w:rsidR="008B66AC" w:rsidRDefault="008B66A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štatutárneho orgánu, dozorného orgánu a iného orgánu účtovnej jednotky a to</w:t>
      </w:r>
    </w:p>
    <w:p w:rsidR="008B66AC" w:rsidRDefault="008B66A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poskytnutých pôžičiek k poslednému dňu účtovného obdobia v členení za jednotlivé orgány</w:t>
      </w:r>
    </w:p>
    <w:p w:rsidR="008B66AC" w:rsidRDefault="008B66A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jednotlivé orgány</w:t>
      </w:r>
    </w:p>
    <w:p w:rsidR="008B66AC" w:rsidRDefault="008B66A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obdobia v členení za jednotlivé orgány</w:t>
      </w:r>
    </w:p>
    <w:p w:rsidR="008B66AC" w:rsidRDefault="008B66A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hlavných podmienkach, na základe ktorých im boli záruky alebo iné zabezpečenie a pôžičky poskytnuté; pri pôžičkách sa uvádzajú úrokové sadzby,</w:t>
      </w:r>
    </w:p>
    <w:p w:rsidR="008B66AC" w:rsidRDefault="008B66A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vyúčtovať.</w:t>
      </w:r>
    </w:p>
    <w:p w:rsidR="008B66AC" w:rsidRDefault="008B66AC">
      <w:pPr>
        <w:pStyle w:val="ListParagraph"/>
        <w:ind w:left="1080" w:firstLine="33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B66AC" w:rsidRDefault="008B66AC">
      <w:pPr>
        <w:pStyle w:val="ListParagraph"/>
        <w:ind w:left="1080" w:firstLine="336"/>
        <w:jc w:val="both"/>
        <w:rPr>
          <w:rFonts w:ascii="Times New Roman" w:hAnsi="Times New Roman" w:cs="Times New Roman"/>
        </w:rPr>
      </w:pPr>
    </w:p>
    <w:p w:rsidR="008B66AC" w:rsidRDefault="008B66A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8B66AC" w:rsidRDefault="008B66A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B66AC" w:rsidRDefault="008B66A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8B66AC" w:rsidRDefault="008B66A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8B66AC" w:rsidRDefault="008B66A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súvahe, pretože</w:t>
      </w:r>
    </w:p>
    <w:p w:rsidR="008B66AC" w:rsidRDefault="008B66AC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2a. nie je pravdepodobné, že na splnenie tejto povinnosti bude potrebný úbytok ekonomických úžitkov, alebo</w:t>
      </w:r>
    </w:p>
    <w:p w:rsidR="008B66AC" w:rsidRDefault="008B66AC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8B66AC" w:rsidRDefault="008B66AC">
      <w:pPr>
        <w:pStyle w:val="ListParagraph"/>
        <w:ind w:left="18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B66AC" w:rsidRDefault="008B66A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významných finančných povinností a významných podmienených záväzkov:</w:t>
      </w:r>
      <w:r>
        <w:rPr>
          <w:rFonts w:ascii="Times New Roman" w:hAnsi="Times New Roman" w:cs="Times New Roman"/>
          <w:b/>
          <w:bCs/>
          <w:i/>
          <w:iCs/>
        </w:rPr>
        <w:t xml:space="preserve"> negatívne</w:t>
      </w:r>
    </w:p>
    <w:p w:rsidR="008B66AC" w:rsidRDefault="008B66A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finančných povinností a významných podmienených záväzkov voči dcérskej účtovnej jednotke a účtovnej jednotke s podstatným vplyvom: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B66AC" w:rsidRDefault="008B66A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>
        <w:rPr>
          <w:rFonts w:ascii="Times New Roman" w:hAnsi="Times New Roman" w:cs="Times New Roman"/>
          <w:b/>
          <w:bCs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dôchodkových programov pre zamestnancov: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B66AC" w:rsidRDefault="008B66AC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8B66AC" w:rsidRDefault="008B66A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8B66AC" w:rsidRDefault="008B66A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prijatej náhrady: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B66AC" w:rsidRDefault="008B66A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 prideľovaní nákladov a výnosov: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B66AC" w:rsidRDefault="008B66A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druhoch činností účtovnej jednotky: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B66AC" w:rsidRDefault="008B66AC">
      <w:pPr>
        <w:jc w:val="both"/>
        <w:rPr>
          <w:rFonts w:ascii="Times New Roman" w:hAnsi="Times New Roman" w:cs="Times New Roman"/>
        </w:rPr>
      </w:pPr>
    </w:p>
    <w:p w:rsidR="008B66AC" w:rsidRDefault="008B66AC">
      <w:pPr>
        <w:rPr>
          <w:rFonts w:ascii="Times New Roman" w:hAnsi="Times New Roman" w:cs="Times New Roman"/>
        </w:rPr>
      </w:pPr>
      <w:r>
        <w:rPr>
          <w:rStyle w:val="FootnoteReference"/>
        </w:rPr>
        <w:footnoteReference w:id="1"/>
      </w:r>
    </w:p>
    <w:p w:rsidR="008B66AC" w:rsidRDefault="008B66AC">
      <w:pPr>
        <w:rPr>
          <w:rFonts w:ascii="Times New Roman" w:hAnsi="Times New Roman" w:cs="Times New Roman"/>
        </w:rPr>
      </w:pPr>
    </w:p>
    <w:p w:rsidR="008B66AC" w:rsidRDefault="008B66AC">
      <w:pPr>
        <w:rPr>
          <w:rFonts w:ascii="Times New Roman" w:hAnsi="Times New Roman" w:cs="Times New Roman"/>
        </w:rPr>
      </w:pPr>
    </w:p>
    <w:p w:rsidR="008B66AC" w:rsidRDefault="008B66AC">
      <w:pPr>
        <w:rPr>
          <w:rFonts w:ascii="Times New Roman" w:hAnsi="Times New Roman" w:cs="Times New Roman"/>
        </w:rPr>
      </w:pPr>
    </w:p>
    <w:p w:rsidR="008B66AC" w:rsidRDefault="008B66A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zabezpečených záväzkoch podľa § 4 ods. 4 pism. e)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36"/>
        <w:gridCol w:w="2092"/>
      </w:tblGrid>
      <w:tr w:rsidR="008B66AC">
        <w:trPr>
          <w:trHeight w:val="284"/>
        </w:trPr>
        <w:tc>
          <w:tcPr>
            <w:tcW w:w="6836" w:type="dxa"/>
            <w:vAlign w:val="center"/>
          </w:tcPr>
          <w:p w:rsidR="008B66AC" w:rsidRDefault="008B66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8B66AC" w:rsidRDefault="008B66A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Suma zabez. záväzku</w:t>
            </w:r>
          </w:p>
        </w:tc>
      </w:tr>
      <w:tr w:rsidR="008B66AC">
        <w:trPr>
          <w:trHeight w:val="284"/>
        </w:trPr>
        <w:tc>
          <w:tcPr>
            <w:tcW w:w="6836" w:type="dxa"/>
            <w:vAlign w:val="center"/>
          </w:tcPr>
          <w:p w:rsidR="008B66AC" w:rsidRDefault="008B6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8B66AC" w:rsidRDefault="008B66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B66AC">
        <w:trPr>
          <w:trHeight w:val="284"/>
        </w:trPr>
        <w:tc>
          <w:tcPr>
            <w:tcW w:w="6836" w:type="dxa"/>
            <w:vAlign w:val="center"/>
          </w:tcPr>
          <w:p w:rsidR="008B66AC" w:rsidRDefault="008B6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8B66AC" w:rsidRDefault="008B66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B66AC">
        <w:trPr>
          <w:trHeight w:val="284"/>
        </w:trPr>
        <w:tc>
          <w:tcPr>
            <w:tcW w:w="6836" w:type="dxa"/>
            <w:vAlign w:val="center"/>
          </w:tcPr>
          <w:p w:rsidR="008B66AC" w:rsidRDefault="008B6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8B66AC" w:rsidRDefault="008B66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B66AC">
        <w:trPr>
          <w:trHeight w:val="284"/>
        </w:trPr>
        <w:tc>
          <w:tcPr>
            <w:tcW w:w="6836" w:type="dxa"/>
            <w:vAlign w:val="center"/>
          </w:tcPr>
          <w:p w:rsidR="008B66AC" w:rsidRDefault="008B6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8B66AC" w:rsidRDefault="008B66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B66AC">
        <w:trPr>
          <w:trHeight w:val="284"/>
        </w:trPr>
        <w:tc>
          <w:tcPr>
            <w:tcW w:w="6836" w:type="dxa"/>
            <w:vAlign w:val="center"/>
          </w:tcPr>
          <w:p w:rsidR="008B66AC" w:rsidRDefault="008B6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8B66AC" w:rsidRDefault="008B66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B66AC">
        <w:trPr>
          <w:trHeight w:val="284"/>
        </w:trPr>
        <w:tc>
          <w:tcPr>
            <w:tcW w:w="6836" w:type="dxa"/>
            <w:vAlign w:val="center"/>
          </w:tcPr>
          <w:p w:rsidR="008B66AC" w:rsidRDefault="008B66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8B66AC" w:rsidRDefault="008B66A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8B66AC" w:rsidRDefault="008B66AC">
      <w:pPr>
        <w:ind w:left="360"/>
        <w:rPr>
          <w:rFonts w:ascii="Times New Roman" w:hAnsi="Times New Roman" w:cs="Times New Roman"/>
        </w:rPr>
      </w:pPr>
    </w:p>
    <w:p w:rsidR="008B66AC" w:rsidRDefault="008B66A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64"/>
        <w:gridCol w:w="1506"/>
        <w:gridCol w:w="1484"/>
        <w:gridCol w:w="1504"/>
        <w:gridCol w:w="1485"/>
        <w:gridCol w:w="1485"/>
      </w:tblGrid>
      <w:tr w:rsidR="008B66AC">
        <w:tc>
          <w:tcPr>
            <w:tcW w:w="1464" w:type="dxa"/>
          </w:tcPr>
          <w:p w:rsidR="008B66AC" w:rsidRDefault="008B66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menovitá hodnota nadob. vlast. akcií počas účtovného obdobia</w:t>
            </w:r>
          </w:p>
        </w:tc>
        <w:tc>
          <w:tcPr>
            <w:tcW w:w="1506" w:type="dxa"/>
          </w:tcPr>
          <w:p w:rsidR="008B66AC" w:rsidRDefault="008B66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 hodnota nadobudnutí a vlastných akcií počas účtov. obdobia</w:t>
            </w:r>
          </w:p>
        </w:tc>
        <w:tc>
          <w:tcPr>
            <w:tcW w:w="1484" w:type="dxa"/>
          </w:tcPr>
          <w:p w:rsidR="008B66AC" w:rsidRDefault="008B66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upísanom základnom imaní v %</w:t>
            </w:r>
          </w:p>
        </w:tc>
        <w:tc>
          <w:tcPr>
            <w:tcW w:w="1504" w:type="dxa"/>
          </w:tcPr>
          <w:p w:rsidR="008B66AC" w:rsidRDefault="008B66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Menovitá hodnota prevedených vlast. akcií počas účtovného obdobia</w:t>
            </w:r>
          </w:p>
        </w:tc>
        <w:tc>
          <w:tcPr>
            <w:tcW w:w="1485" w:type="dxa"/>
          </w:tcPr>
          <w:p w:rsidR="008B66AC" w:rsidRDefault="008B66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hodnota prevedenia vlast. akcií počas účtovného obdobia</w:t>
            </w:r>
          </w:p>
        </w:tc>
        <w:tc>
          <w:tcPr>
            <w:tcW w:w="1485" w:type="dxa"/>
          </w:tcPr>
          <w:p w:rsidR="008B66AC" w:rsidRDefault="008B66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základnom imaní v %</w:t>
            </w:r>
          </w:p>
        </w:tc>
      </w:tr>
      <w:tr w:rsidR="008B66AC">
        <w:trPr>
          <w:trHeight w:val="340"/>
        </w:trPr>
        <w:tc>
          <w:tcPr>
            <w:tcW w:w="1464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B66AC">
        <w:trPr>
          <w:trHeight w:val="340"/>
        </w:trPr>
        <w:tc>
          <w:tcPr>
            <w:tcW w:w="1464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6AC">
        <w:trPr>
          <w:trHeight w:val="340"/>
        </w:trPr>
        <w:tc>
          <w:tcPr>
            <w:tcW w:w="1464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B66AC" w:rsidRDefault="008B66AC">
      <w:pPr>
        <w:ind w:left="360"/>
        <w:rPr>
          <w:rFonts w:ascii="Times New Roman" w:hAnsi="Times New Roman" w:cs="Times New Roman"/>
        </w:rPr>
      </w:pPr>
    </w:p>
    <w:p w:rsidR="008B66AC" w:rsidRDefault="008B66A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80"/>
        <w:gridCol w:w="2981"/>
        <w:gridCol w:w="2967"/>
      </w:tblGrid>
      <w:tr w:rsidR="008B66AC">
        <w:tc>
          <w:tcPr>
            <w:tcW w:w="2980" w:type="dxa"/>
          </w:tcPr>
          <w:p w:rsidR="008B66AC" w:rsidRDefault="008B66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8B66AC" w:rsidRDefault="008B66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hodnota nadobudnutia vlastných akcií držaných k poslednému dňu účtovného obdobia</w:t>
            </w:r>
          </w:p>
        </w:tc>
        <w:tc>
          <w:tcPr>
            <w:tcW w:w="2967" w:type="dxa"/>
          </w:tcPr>
          <w:p w:rsidR="008B66AC" w:rsidRDefault="008B66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upísanom základnom imaní v %</w:t>
            </w:r>
          </w:p>
        </w:tc>
      </w:tr>
      <w:tr w:rsidR="008B66AC">
        <w:trPr>
          <w:trHeight w:val="340"/>
        </w:trPr>
        <w:tc>
          <w:tcPr>
            <w:tcW w:w="2980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B66AC">
        <w:trPr>
          <w:trHeight w:val="340"/>
        </w:trPr>
        <w:tc>
          <w:tcPr>
            <w:tcW w:w="2980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6AC">
        <w:trPr>
          <w:trHeight w:val="340"/>
        </w:trPr>
        <w:tc>
          <w:tcPr>
            <w:tcW w:w="2980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B66AC" w:rsidRDefault="008B66AC">
      <w:pPr>
        <w:ind w:left="360"/>
        <w:rPr>
          <w:rFonts w:ascii="Times New Roman" w:hAnsi="Times New Roman" w:cs="Times New Roman"/>
        </w:rPr>
      </w:pPr>
    </w:p>
    <w:p w:rsidR="008B66AC" w:rsidRDefault="008B66A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správnych orgánov a dozorných orgánov podľa ô 4 ods. 4 písm. g)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01"/>
        <w:gridCol w:w="850"/>
        <w:gridCol w:w="761"/>
        <w:gridCol w:w="709"/>
        <w:gridCol w:w="761"/>
        <w:gridCol w:w="850"/>
        <w:gridCol w:w="992"/>
      </w:tblGrid>
      <w:tr w:rsidR="008B66AC">
        <w:trPr>
          <w:cantSplit/>
        </w:trPr>
        <w:tc>
          <w:tcPr>
            <w:tcW w:w="4001" w:type="dxa"/>
            <w:vMerge w:val="restart"/>
            <w:vAlign w:val="center"/>
          </w:tcPr>
          <w:p w:rsidR="008B66AC" w:rsidRDefault="008B66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8B66AC">
        <w:trPr>
          <w:cantSplit/>
        </w:trPr>
        <w:tc>
          <w:tcPr>
            <w:tcW w:w="4001" w:type="dxa"/>
            <w:vMerge/>
            <w:vAlign w:val="center"/>
          </w:tcPr>
          <w:p w:rsidR="008B66AC" w:rsidRDefault="008B66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8B66AC">
        <w:trPr>
          <w:cantSplit/>
        </w:trPr>
        <w:tc>
          <w:tcPr>
            <w:tcW w:w="4001" w:type="dxa"/>
            <w:vMerge/>
            <w:vAlign w:val="center"/>
          </w:tcPr>
          <w:p w:rsidR="008B66AC" w:rsidRDefault="008B66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8B66AC">
        <w:trPr>
          <w:trHeight w:val="340"/>
        </w:trPr>
        <w:tc>
          <w:tcPr>
            <w:tcW w:w="4001" w:type="dxa"/>
            <w:vAlign w:val="center"/>
          </w:tcPr>
          <w:p w:rsidR="008B66AC" w:rsidRDefault="008B6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6AC">
        <w:trPr>
          <w:trHeight w:val="340"/>
        </w:trPr>
        <w:tc>
          <w:tcPr>
            <w:tcW w:w="4001" w:type="dxa"/>
            <w:vAlign w:val="center"/>
          </w:tcPr>
          <w:p w:rsidR="008B66AC" w:rsidRDefault="008B6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8B66AC">
        <w:trPr>
          <w:trHeight w:val="340"/>
        </w:trPr>
        <w:tc>
          <w:tcPr>
            <w:tcW w:w="4001" w:type="dxa"/>
            <w:vAlign w:val="center"/>
          </w:tcPr>
          <w:p w:rsidR="008B66AC" w:rsidRDefault="008B6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pôžičiek k poslednému dňu účtovného obdobia</w:t>
            </w:r>
          </w:p>
        </w:tc>
        <w:tc>
          <w:tcPr>
            <w:tcW w:w="850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8B66AC">
        <w:trPr>
          <w:trHeight w:val="340"/>
        </w:trPr>
        <w:tc>
          <w:tcPr>
            <w:tcW w:w="4001" w:type="dxa"/>
            <w:vAlign w:val="center"/>
          </w:tcPr>
          <w:p w:rsidR="008B66AC" w:rsidRDefault="008B6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Poskytnuné preddavky na budúce mzdy</w:t>
            </w:r>
          </w:p>
        </w:tc>
        <w:tc>
          <w:tcPr>
            <w:tcW w:w="850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6AC">
        <w:trPr>
          <w:trHeight w:val="340"/>
        </w:trPr>
        <w:tc>
          <w:tcPr>
            <w:tcW w:w="4001" w:type="dxa"/>
            <w:vAlign w:val="center"/>
          </w:tcPr>
          <w:p w:rsidR="008B66AC" w:rsidRDefault="008B6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druhov záruk</w:t>
            </w:r>
          </w:p>
        </w:tc>
        <w:tc>
          <w:tcPr>
            <w:tcW w:w="850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8B66AC">
        <w:trPr>
          <w:trHeight w:val="340"/>
        </w:trPr>
        <w:tc>
          <w:tcPr>
            <w:tcW w:w="4001" w:type="dxa"/>
            <w:vAlign w:val="center"/>
          </w:tcPr>
          <w:p w:rsidR="008B66AC" w:rsidRDefault="008B66AC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8B66AC">
        <w:trPr>
          <w:trHeight w:val="340"/>
        </w:trPr>
        <w:tc>
          <w:tcPr>
            <w:tcW w:w="4001" w:type="dxa"/>
            <w:vAlign w:val="center"/>
          </w:tcPr>
          <w:p w:rsidR="008B66AC" w:rsidRDefault="008B66AC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8B66AC" w:rsidRDefault="008B6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8B66AC" w:rsidRDefault="008B66AC">
      <w:pPr>
        <w:rPr>
          <w:rFonts w:ascii="Times New Roman" w:hAnsi="Times New Roman" w:cs="Times New Roman"/>
        </w:rPr>
      </w:pPr>
    </w:p>
    <w:sectPr w:rsidR="008B66AC" w:rsidSect="008B66AC">
      <w:headerReference w:type="default" r:id="rId7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6AC" w:rsidRDefault="008B66AC">
      <w:pPr>
        <w:spacing w:after="0" w:line="240" w:lineRule="auto"/>
      </w:pPr>
      <w:r>
        <w:separator/>
      </w:r>
    </w:p>
  </w:endnote>
  <w:endnote w:type="continuationSeparator" w:id="0">
    <w:p w:rsidR="008B66AC" w:rsidRDefault="008B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6AC" w:rsidRDefault="008B66AC">
      <w:pPr>
        <w:spacing w:after="0" w:line="240" w:lineRule="auto"/>
      </w:pPr>
      <w:r>
        <w:separator/>
      </w:r>
    </w:p>
  </w:footnote>
  <w:footnote w:type="continuationSeparator" w:id="0">
    <w:p w:rsidR="008B66AC" w:rsidRDefault="008B66AC">
      <w:pPr>
        <w:spacing w:after="0" w:line="240" w:lineRule="auto"/>
      </w:pPr>
      <w:r>
        <w:continuationSeparator/>
      </w:r>
    </w:p>
  </w:footnote>
  <w:footnote w:id="1">
    <w:p w:rsidR="008B66AC" w:rsidRDefault="008B66AC">
      <w:pPr>
        <w:pStyle w:val="FootnoteText"/>
        <w:jc w:val="both"/>
        <w:rPr>
          <w:sz w:val="16"/>
          <w:szCs w:val="16"/>
        </w:rPr>
      </w:pPr>
      <w:r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8B66AC" w:rsidRDefault="008B66AC">
      <w:pPr>
        <w:pStyle w:val="FootnoteText"/>
        <w:jc w:val="both"/>
      </w:pPr>
      <w:r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6AC" w:rsidRDefault="008B66AC">
    <w:pPr>
      <w:pStyle w:val="Header"/>
      <w:rPr>
        <w:b/>
        <w:bCs/>
        <w:sz w:val="18"/>
        <w:szCs w:val="18"/>
      </w:rPr>
    </w:pPr>
    <w:r>
      <w:rPr>
        <w:b/>
        <w:bCs/>
        <w:sz w:val="18"/>
        <w:szCs w:val="18"/>
      </w:rPr>
      <w:t>Poznámky Úč MÚJ 3 – 01</w:t>
    </w:r>
    <w:r>
      <w:rPr>
        <w:b/>
        <w:bCs/>
        <w:sz w:val="18"/>
        <w:szCs w:val="18"/>
      </w:rPr>
      <w:tab/>
      <w:t>IČO: 45 339 996</w:t>
    </w:r>
    <w:r>
      <w:rPr>
        <w:rStyle w:val="ra"/>
        <w:rFonts w:ascii="Tahoma" w:hAnsi="Tahoma" w:cs="Tahoma"/>
        <w:b/>
        <w:bCs/>
      </w:rPr>
      <w:t xml:space="preserve"> </w:t>
    </w:r>
    <w:r>
      <w:rPr>
        <w:b/>
        <w:bCs/>
        <w:sz w:val="18"/>
        <w:szCs w:val="18"/>
      </w:rPr>
      <w:tab/>
      <w:t xml:space="preserve">DIČ: 2022956155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2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3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4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7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9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60" w:hanging="360"/>
      </w:pPr>
      <w:rPr>
        <w:rFonts w:ascii="Wingdings" w:hAnsi="Wingdings" w:cs="Wingdings" w:hint="default"/>
      </w:rPr>
    </w:lvl>
  </w:abstractNum>
  <w:abstractNum w:abstractNumId="6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7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9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1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2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3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4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5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6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66AC"/>
    <w:rsid w:val="008B6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Tahoma" w:hAnsi="Tahoma" w:cs="Tahoma"/>
      <w:sz w:val="20"/>
      <w:szCs w:val="20"/>
      <w:lang w:val="sk-SK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FootnoteText">
    <w:name w:val="footnote text"/>
    <w:basedOn w:val="Normal"/>
    <w:link w:val="FootnoteTextChar"/>
    <w:uiPriority w:val="99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customStyle="1" w:styleId="ra">
    <w:name w:val="ra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6</Pages>
  <Words>1317</Words>
  <Characters>7507</Characters>
  <Application>Microsoft Office Outlook</Application>
  <DocSecurity>0</DocSecurity>
  <Lines>0</Lines>
  <Paragraphs>0</Paragraphs>
  <ScaleCrop>false</ScaleCrop>
  <Company>Your Company 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Your User Name</dc:creator>
  <cp:keywords/>
  <dc:description/>
  <cp:lastModifiedBy> Virágova</cp:lastModifiedBy>
  <cp:revision>4</cp:revision>
  <dcterms:created xsi:type="dcterms:W3CDTF">2015-03-28T12:33:00Z</dcterms:created>
  <dcterms:modified xsi:type="dcterms:W3CDTF">2015-03-28T12:38:00Z</dcterms:modified>
</cp:coreProperties>
</file>