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B66AC" w:rsidRDefault="008B66AC">
      <w:pPr>
        <w:spacing w:after="0"/>
        <w:jc w:val="center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Čl. I</w:t>
      </w:r>
    </w:p>
    <w:p w:rsidR="008B66AC" w:rsidRDefault="008B66AC">
      <w:pPr>
        <w:spacing w:after="0"/>
        <w:jc w:val="center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Všeobecné údaje</w:t>
      </w:r>
    </w:p>
    <w:p w:rsidR="008B66AC" w:rsidRDefault="008B66AC">
      <w:pPr>
        <w:spacing w:after="0"/>
        <w:jc w:val="center"/>
        <w:rPr>
          <w:rFonts w:ascii="Times New Roman" w:hAnsi="Times New Roman" w:cs="Times New Roman"/>
          <w:b/>
          <w:bCs/>
        </w:rPr>
      </w:pPr>
    </w:p>
    <w:p w:rsidR="008B66AC" w:rsidRDefault="008B66AC">
      <w:pPr>
        <w:pStyle w:val="ListParagraph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Názov právnickej osoby a jej sídlo alebo meno a priezvisko fyzickej osoby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8187"/>
      </w:tblGrid>
      <w:tr w:rsidR="008B66AC">
        <w:trPr>
          <w:trHeight w:val="355"/>
        </w:trPr>
        <w:tc>
          <w:tcPr>
            <w:tcW w:w="8187" w:type="dxa"/>
            <w:vAlign w:val="center"/>
          </w:tcPr>
          <w:p w:rsidR="008B66AC" w:rsidRDefault="008B66AC">
            <w:pPr>
              <w:pStyle w:val="ListParagraph"/>
              <w:spacing w:after="0" w:line="240" w:lineRule="auto"/>
              <w:ind w:left="0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AFIMA  s.r.o.,v likvidácii,  Dubová  13, 940 01  Nové Zámky</w:t>
            </w:r>
          </w:p>
        </w:tc>
      </w:tr>
    </w:tbl>
    <w:p w:rsidR="008B66AC" w:rsidRDefault="008B66AC">
      <w:pPr>
        <w:pStyle w:val="ListParagraph"/>
        <w:jc w:val="both"/>
        <w:rPr>
          <w:rFonts w:ascii="Times New Roman" w:hAnsi="Times New Roman" w:cs="Times New Roman"/>
        </w:rPr>
      </w:pPr>
    </w:p>
    <w:p w:rsidR="008B66AC" w:rsidRDefault="008B66AC">
      <w:pPr>
        <w:pStyle w:val="ListParagraph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Údaje o konsolidovanom celku, a to</w:t>
      </w:r>
    </w:p>
    <w:p w:rsidR="008B66AC" w:rsidRDefault="008B66AC">
      <w:pPr>
        <w:pStyle w:val="ListParagraph"/>
        <w:numPr>
          <w:ilvl w:val="0"/>
          <w:numId w:val="2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obchodné</w:t>
      </w:r>
      <w:r>
        <w:rPr>
          <w:rFonts w:ascii="Times New Roman" w:hAnsi="Times New Roman" w:cs="Times New Roman"/>
          <w:spacing w:val="41"/>
        </w:rPr>
        <w:t xml:space="preserve"> </w:t>
      </w:r>
      <w:r>
        <w:rPr>
          <w:rFonts w:ascii="Times New Roman" w:hAnsi="Times New Roman" w:cs="Times New Roman"/>
          <w:spacing w:val="-1"/>
        </w:rPr>
        <w:t>meno</w:t>
      </w:r>
      <w:r>
        <w:rPr>
          <w:rFonts w:ascii="Times New Roman" w:hAnsi="Times New Roman" w:cs="Times New Roman"/>
          <w:spacing w:val="42"/>
        </w:rPr>
        <w:t xml:space="preserve"> </w:t>
      </w:r>
      <w:r>
        <w:rPr>
          <w:rFonts w:ascii="Times New Roman" w:hAnsi="Times New Roman" w:cs="Times New Roman"/>
        </w:rPr>
        <w:t>a sídlo</w:t>
      </w:r>
      <w:r>
        <w:rPr>
          <w:rFonts w:ascii="Times New Roman" w:hAnsi="Times New Roman" w:cs="Times New Roman"/>
          <w:spacing w:val="41"/>
        </w:rPr>
        <w:t xml:space="preserve"> </w:t>
      </w:r>
      <w:r>
        <w:rPr>
          <w:rFonts w:ascii="Times New Roman" w:hAnsi="Times New Roman" w:cs="Times New Roman"/>
          <w:spacing w:val="-1"/>
        </w:rPr>
        <w:t>konsolidujúcej</w:t>
      </w:r>
      <w:r>
        <w:rPr>
          <w:rFonts w:ascii="Times New Roman" w:hAnsi="Times New Roman" w:cs="Times New Roman"/>
          <w:spacing w:val="42"/>
        </w:rPr>
        <w:t xml:space="preserve"> </w:t>
      </w:r>
      <w:r>
        <w:rPr>
          <w:rFonts w:ascii="Times New Roman" w:hAnsi="Times New Roman" w:cs="Times New Roman"/>
          <w:spacing w:val="-1"/>
        </w:rPr>
        <w:t>účtovnej</w:t>
      </w:r>
      <w:r>
        <w:rPr>
          <w:rFonts w:ascii="Times New Roman" w:hAnsi="Times New Roman" w:cs="Times New Roman"/>
          <w:spacing w:val="42"/>
        </w:rPr>
        <w:t xml:space="preserve"> </w:t>
      </w:r>
      <w:r>
        <w:rPr>
          <w:rFonts w:ascii="Times New Roman" w:hAnsi="Times New Roman" w:cs="Times New Roman"/>
          <w:spacing w:val="-1"/>
        </w:rPr>
        <w:t>jednotky,</w:t>
      </w:r>
      <w:r>
        <w:rPr>
          <w:rFonts w:ascii="Times New Roman" w:hAnsi="Times New Roman" w:cs="Times New Roman"/>
          <w:spacing w:val="42"/>
        </w:rPr>
        <w:t xml:space="preserve"> </w:t>
      </w:r>
      <w:r>
        <w:rPr>
          <w:rFonts w:ascii="Times New Roman" w:hAnsi="Times New Roman" w:cs="Times New Roman"/>
        </w:rPr>
        <w:t>ktorá</w:t>
      </w:r>
      <w:r>
        <w:rPr>
          <w:rFonts w:ascii="Times New Roman" w:hAnsi="Times New Roman" w:cs="Times New Roman"/>
          <w:spacing w:val="40"/>
        </w:rPr>
        <w:t xml:space="preserve"> </w:t>
      </w:r>
      <w:r>
        <w:rPr>
          <w:rFonts w:ascii="Times New Roman" w:hAnsi="Times New Roman" w:cs="Times New Roman"/>
          <w:spacing w:val="-1"/>
        </w:rPr>
        <w:t>zostavuje</w:t>
      </w:r>
      <w:r>
        <w:rPr>
          <w:rFonts w:ascii="Times New Roman" w:hAnsi="Times New Roman" w:cs="Times New Roman"/>
          <w:spacing w:val="71"/>
        </w:rPr>
        <w:t xml:space="preserve"> </w:t>
      </w:r>
      <w:r>
        <w:rPr>
          <w:rFonts w:ascii="Times New Roman" w:hAnsi="Times New Roman" w:cs="Times New Roman"/>
        </w:rPr>
        <w:t xml:space="preserve">konsolidovanú účtovnú </w:t>
      </w:r>
      <w:r>
        <w:rPr>
          <w:rFonts w:ascii="Times New Roman" w:hAnsi="Times New Roman" w:cs="Times New Roman"/>
          <w:spacing w:val="-1"/>
        </w:rPr>
        <w:t>závierku</w:t>
      </w:r>
      <w:r>
        <w:rPr>
          <w:rFonts w:ascii="Times New Roman" w:hAnsi="Times New Roman" w:cs="Times New Roman"/>
          <w:spacing w:val="1"/>
        </w:rPr>
        <w:t xml:space="preserve"> </w:t>
      </w:r>
      <w:r>
        <w:rPr>
          <w:rFonts w:ascii="Times New Roman" w:hAnsi="Times New Roman" w:cs="Times New Roman"/>
        </w:rPr>
        <w:t xml:space="preserve">za tú skupinu účtovných </w:t>
      </w:r>
      <w:r>
        <w:rPr>
          <w:rFonts w:ascii="Times New Roman" w:hAnsi="Times New Roman" w:cs="Times New Roman"/>
          <w:spacing w:val="-1"/>
        </w:rPr>
        <w:t>jednotiek</w:t>
      </w:r>
      <w:r>
        <w:rPr>
          <w:rFonts w:ascii="Times New Roman" w:hAnsi="Times New Roman" w:cs="Times New Roman"/>
          <w:spacing w:val="1"/>
        </w:rPr>
        <w:t xml:space="preserve"> </w:t>
      </w:r>
      <w:r>
        <w:rPr>
          <w:rFonts w:ascii="Times New Roman" w:hAnsi="Times New Roman" w:cs="Times New Roman"/>
          <w:spacing w:val="-1"/>
        </w:rPr>
        <w:t>konsolidovaného</w:t>
      </w:r>
      <w:r>
        <w:rPr>
          <w:rFonts w:ascii="Times New Roman" w:hAnsi="Times New Roman" w:cs="Times New Roman"/>
          <w:spacing w:val="53"/>
        </w:rPr>
        <w:t xml:space="preserve"> </w:t>
      </w:r>
      <w:r>
        <w:rPr>
          <w:rFonts w:ascii="Times New Roman" w:hAnsi="Times New Roman" w:cs="Times New Roman"/>
        </w:rPr>
        <w:t>celku,</w:t>
      </w:r>
      <w:r>
        <w:rPr>
          <w:rFonts w:ascii="Times New Roman" w:hAnsi="Times New Roman" w:cs="Times New Roman"/>
          <w:spacing w:val="11"/>
        </w:rPr>
        <w:t xml:space="preserve"> </w:t>
      </w:r>
      <w:r>
        <w:rPr>
          <w:rFonts w:ascii="Times New Roman" w:hAnsi="Times New Roman" w:cs="Times New Roman"/>
          <w:spacing w:val="-1"/>
        </w:rPr>
        <w:t>ktorého</w:t>
      </w:r>
      <w:r>
        <w:rPr>
          <w:rFonts w:ascii="Times New Roman" w:hAnsi="Times New Roman" w:cs="Times New Roman"/>
          <w:spacing w:val="11"/>
        </w:rPr>
        <w:t xml:space="preserve"> </w:t>
      </w:r>
      <w:r>
        <w:rPr>
          <w:rFonts w:ascii="Times New Roman" w:hAnsi="Times New Roman" w:cs="Times New Roman"/>
        </w:rPr>
        <w:t>súčasťou</w:t>
      </w:r>
      <w:r>
        <w:rPr>
          <w:rFonts w:ascii="Times New Roman" w:hAnsi="Times New Roman" w:cs="Times New Roman"/>
          <w:spacing w:val="11"/>
        </w:rPr>
        <w:t xml:space="preserve"> </w:t>
      </w:r>
      <w:r>
        <w:rPr>
          <w:rFonts w:ascii="Times New Roman" w:hAnsi="Times New Roman" w:cs="Times New Roman"/>
        </w:rPr>
        <w:t>je</w:t>
      </w:r>
      <w:r>
        <w:rPr>
          <w:rFonts w:ascii="Times New Roman" w:hAnsi="Times New Roman" w:cs="Times New Roman"/>
          <w:spacing w:val="12"/>
        </w:rPr>
        <w:t xml:space="preserve"> </w:t>
      </w:r>
      <w:r>
        <w:rPr>
          <w:rFonts w:ascii="Times New Roman" w:hAnsi="Times New Roman" w:cs="Times New Roman"/>
        </w:rPr>
        <w:t>aj</w:t>
      </w:r>
      <w:r>
        <w:rPr>
          <w:rFonts w:ascii="Times New Roman" w:hAnsi="Times New Roman" w:cs="Times New Roman"/>
          <w:spacing w:val="12"/>
        </w:rPr>
        <w:t xml:space="preserve"> </w:t>
      </w:r>
      <w:r>
        <w:rPr>
          <w:rFonts w:ascii="Times New Roman" w:hAnsi="Times New Roman" w:cs="Times New Roman"/>
          <w:spacing w:val="-1"/>
        </w:rPr>
        <w:t>účtovná</w:t>
      </w:r>
      <w:r>
        <w:rPr>
          <w:rFonts w:ascii="Times New Roman" w:hAnsi="Times New Roman" w:cs="Times New Roman"/>
          <w:spacing w:val="12"/>
        </w:rPr>
        <w:t xml:space="preserve"> </w:t>
      </w:r>
      <w:r>
        <w:rPr>
          <w:rFonts w:ascii="Times New Roman" w:hAnsi="Times New Roman" w:cs="Times New Roman"/>
        </w:rPr>
        <w:t>jednotka;</w:t>
      </w:r>
      <w:r>
        <w:rPr>
          <w:rFonts w:ascii="Times New Roman" w:hAnsi="Times New Roman" w:cs="Times New Roman"/>
          <w:spacing w:val="10"/>
        </w:rPr>
        <w:t xml:space="preserve"> </w:t>
      </w:r>
      <w:r>
        <w:rPr>
          <w:rFonts w:ascii="Times New Roman" w:hAnsi="Times New Roman" w:cs="Times New Roman"/>
        </w:rPr>
        <w:t>uvádza</w:t>
      </w:r>
      <w:r>
        <w:rPr>
          <w:rFonts w:ascii="Times New Roman" w:hAnsi="Times New Roman" w:cs="Times New Roman"/>
          <w:spacing w:val="12"/>
        </w:rPr>
        <w:t xml:space="preserve"> </w:t>
      </w:r>
      <w:r>
        <w:rPr>
          <w:rFonts w:ascii="Times New Roman" w:hAnsi="Times New Roman" w:cs="Times New Roman"/>
        </w:rPr>
        <w:t>sa</w:t>
      </w:r>
      <w:r>
        <w:rPr>
          <w:rFonts w:ascii="Times New Roman" w:hAnsi="Times New Roman" w:cs="Times New Roman"/>
          <w:spacing w:val="12"/>
        </w:rPr>
        <w:t xml:space="preserve"> </w:t>
      </w:r>
      <w:r>
        <w:rPr>
          <w:rFonts w:ascii="Times New Roman" w:hAnsi="Times New Roman" w:cs="Times New Roman"/>
          <w:spacing w:val="-1"/>
        </w:rPr>
        <w:t>aj</w:t>
      </w:r>
      <w:r>
        <w:rPr>
          <w:rFonts w:ascii="Times New Roman" w:hAnsi="Times New Roman" w:cs="Times New Roman"/>
          <w:spacing w:val="11"/>
        </w:rPr>
        <w:t xml:space="preserve"> </w:t>
      </w:r>
      <w:r>
        <w:rPr>
          <w:rFonts w:ascii="Times New Roman" w:hAnsi="Times New Roman" w:cs="Times New Roman"/>
        </w:rPr>
        <w:t>obchodné</w:t>
      </w:r>
      <w:r>
        <w:rPr>
          <w:rFonts w:ascii="Times New Roman" w:hAnsi="Times New Roman" w:cs="Times New Roman"/>
          <w:spacing w:val="12"/>
        </w:rPr>
        <w:t xml:space="preserve"> </w:t>
      </w:r>
      <w:r>
        <w:rPr>
          <w:rFonts w:ascii="Times New Roman" w:hAnsi="Times New Roman" w:cs="Times New Roman"/>
          <w:spacing w:val="-1"/>
        </w:rPr>
        <w:t>meno</w:t>
      </w:r>
      <w:r>
        <w:rPr>
          <w:rFonts w:ascii="Times New Roman" w:hAnsi="Times New Roman" w:cs="Times New Roman"/>
          <w:spacing w:val="12"/>
        </w:rPr>
        <w:t xml:space="preserve"> </w:t>
      </w:r>
      <w:r>
        <w:rPr>
          <w:rFonts w:ascii="Times New Roman" w:hAnsi="Times New Roman" w:cs="Times New Roman"/>
        </w:rPr>
        <w:t>a</w:t>
      </w:r>
      <w:r>
        <w:rPr>
          <w:rFonts w:ascii="Times New Roman" w:hAnsi="Times New Roman" w:cs="Times New Roman"/>
          <w:spacing w:val="4"/>
        </w:rPr>
        <w:t xml:space="preserve"> </w:t>
      </w:r>
      <w:r>
        <w:rPr>
          <w:rFonts w:ascii="Times New Roman" w:hAnsi="Times New Roman" w:cs="Times New Roman"/>
        </w:rPr>
        <w:t>sídlo</w:t>
      </w:r>
      <w:r>
        <w:rPr>
          <w:rFonts w:ascii="Times New Roman" w:hAnsi="Times New Roman" w:cs="Times New Roman"/>
          <w:spacing w:val="29"/>
        </w:rPr>
        <w:t xml:space="preserve"> </w:t>
      </w:r>
      <w:r>
        <w:rPr>
          <w:rFonts w:ascii="Times New Roman" w:hAnsi="Times New Roman" w:cs="Times New Roman"/>
        </w:rPr>
        <w:t>účtovnej</w:t>
      </w:r>
      <w:r>
        <w:rPr>
          <w:rFonts w:ascii="Times New Roman" w:hAnsi="Times New Roman" w:cs="Times New Roman"/>
          <w:spacing w:val="-1"/>
        </w:rPr>
        <w:t xml:space="preserve"> jednotky,</w:t>
      </w:r>
      <w:r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  <w:spacing w:val="-1"/>
        </w:rPr>
        <w:t xml:space="preserve">ktorá </w:t>
      </w:r>
      <w:r>
        <w:rPr>
          <w:rFonts w:ascii="Times New Roman" w:hAnsi="Times New Roman" w:cs="Times New Roman"/>
        </w:rPr>
        <w:t xml:space="preserve">je </w:t>
      </w:r>
      <w:r>
        <w:rPr>
          <w:rFonts w:ascii="Times New Roman" w:hAnsi="Times New Roman" w:cs="Times New Roman"/>
          <w:spacing w:val="-1"/>
        </w:rPr>
        <w:t>bezprostredne</w:t>
      </w:r>
      <w:r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  <w:spacing w:val="-1"/>
        </w:rPr>
        <w:t>konsolidujúcou</w:t>
      </w:r>
      <w:r>
        <w:rPr>
          <w:rFonts w:ascii="Times New Roman" w:hAnsi="Times New Roman" w:cs="Times New Roman"/>
        </w:rPr>
        <w:t xml:space="preserve"> účtovnou </w:t>
      </w:r>
      <w:r>
        <w:rPr>
          <w:rFonts w:ascii="Times New Roman" w:hAnsi="Times New Roman" w:cs="Times New Roman"/>
          <w:spacing w:val="-1"/>
        </w:rPr>
        <w:t>jednotkou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9212"/>
      </w:tblGrid>
      <w:tr w:rsidR="008B66AC">
        <w:trPr>
          <w:trHeight w:val="368"/>
        </w:trPr>
        <w:tc>
          <w:tcPr>
            <w:tcW w:w="9212" w:type="dxa"/>
            <w:vAlign w:val="center"/>
          </w:tcPr>
          <w:p w:rsidR="008B66AC" w:rsidRDefault="008B66AC">
            <w:pPr>
              <w:pStyle w:val="ListParagraph"/>
              <w:spacing w:after="0" w:line="240" w:lineRule="auto"/>
              <w:ind w:left="0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 negatívne</w:t>
            </w:r>
          </w:p>
        </w:tc>
      </w:tr>
    </w:tbl>
    <w:p w:rsidR="008B66AC" w:rsidRDefault="008B66AC">
      <w:pPr>
        <w:pStyle w:val="ListParagraph"/>
        <w:ind w:left="1080"/>
        <w:jc w:val="both"/>
        <w:rPr>
          <w:rFonts w:ascii="Times New Roman" w:hAnsi="Times New Roman" w:cs="Times New Roman"/>
        </w:rPr>
      </w:pPr>
    </w:p>
    <w:p w:rsidR="008B66AC" w:rsidRDefault="008B66AC">
      <w:pPr>
        <w:pStyle w:val="ListParagraph"/>
        <w:numPr>
          <w:ilvl w:val="0"/>
          <w:numId w:val="2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:rsidR="008B66AC" w:rsidRDefault="008B66AC">
      <w:pPr>
        <w:pStyle w:val="ListParagraph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pri oslobodení podľa § 22 ods. 8 zákona obchodné meno a sídlo materskej účtovnej jednotky zostavujúcej konsolidovanú účtovnú závierku podľa osobitných predpisov</w:t>
      </w:r>
      <w:r>
        <w:rPr>
          <w:rFonts w:ascii="Times New Roman" w:hAnsi="Times New Roman" w:cs="Times New Roman"/>
          <w:spacing w:val="-1"/>
          <w:sz w:val="10"/>
          <w:szCs w:val="10"/>
        </w:rPr>
        <w:t>,</w:t>
      </w:r>
      <w:r>
        <w:rPr>
          <w:rFonts w:ascii="Times New Roman" w:hAnsi="Times New Roman" w:cs="Times New Roman"/>
          <w:spacing w:val="-1"/>
          <w:position w:val="11"/>
          <w:sz w:val="10"/>
          <w:szCs w:val="10"/>
        </w:rPr>
        <w:t>4)</w:t>
      </w:r>
      <w:r>
        <w:rPr>
          <w:rFonts w:ascii="Times New Roman" w:hAnsi="Times New Roman" w:cs="Times New Roman"/>
          <w:spacing w:val="-1"/>
          <w:sz w:val="16"/>
          <w:szCs w:val="16"/>
        </w:rPr>
        <w:t xml:space="preserve">  </w:t>
      </w:r>
    </w:p>
    <w:p w:rsidR="008B66AC" w:rsidRDefault="008B66AC">
      <w:pPr>
        <w:pStyle w:val="ListParagraph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pri oslobodení podľa § 22 ods. 12 zákona obchodné meno a sídlo dcérskych účtovných jednotiek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9212"/>
      </w:tblGrid>
      <w:tr w:rsidR="008B66AC">
        <w:trPr>
          <w:trHeight w:val="350"/>
        </w:trPr>
        <w:tc>
          <w:tcPr>
            <w:tcW w:w="9212" w:type="dxa"/>
            <w:vAlign w:val="center"/>
          </w:tcPr>
          <w:p w:rsidR="008B66AC" w:rsidRDefault="008B66AC">
            <w:pPr>
              <w:spacing w:after="0" w:line="240" w:lineRule="auto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 negatívne</w:t>
            </w:r>
          </w:p>
        </w:tc>
      </w:tr>
    </w:tbl>
    <w:p w:rsidR="008B66AC" w:rsidRDefault="008B66AC">
      <w:pPr>
        <w:ind w:left="1080"/>
        <w:jc w:val="both"/>
        <w:rPr>
          <w:rFonts w:ascii="Times New Roman" w:hAnsi="Times New Roman" w:cs="Times New Roman"/>
        </w:rPr>
      </w:pPr>
    </w:p>
    <w:p w:rsidR="008B66AC" w:rsidRDefault="008B66AC">
      <w:pPr>
        <w:pStyle w:val="ListParagraph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Priemerný prepočítaný počet zamestnancov:</w:t>
      </w:r>
      <w:r>
        <w:rPr>
          <w:rFonts w:ascii="Times New Roman" w:hAnsi="Times New Roman" w:cs="Times New Roman"/>
        </w:rPr>
        <w:tab/>
        <w:t>1</w:t>
      </w:r>
      <w:r>
        <w:rPr>
          <w:rFonts w:ascii="Times New Roman" w:hAnsi="Times New Roman" w:cs="Times New Roman"/>
          <w:bdr w:val="single" w:sz="4" w:space="0" w:color="auto"/>
        </w:rPr>
        <w:t xml:space="preserve">      </w:t>
      </w:r>
    </w:p>
    <w:p w:rsidR="008B66AC" w:rsidRDefault="008B66AC">
      <w:pPr>
        <w:rPr>
          <w:rFonts w:ascii="Times New Roman" w:hAnsi="Times New Roman" w:cs="Times New Roman"/>
        </w:rPr>
      </w:pPr>
    </w:p>
    <w:p w:rsidR="008B66AC" w:rsidRDefault="008B66AC">
      <w:pPr>
        <w:spacing w:after="0"/>
        <w:jc w:val="center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Čl. II</w:t>
      </w:r>
    </w:p>
    <w:p w:rsidR="008B66AC" w:rsidRDefault="008B66AC">
      <w:pPr>
        <w:spacing w:after="0"/>
        <w:jc w:val="center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Informácie o prijatých postupoch</w:t>
      </w:r>
    </w:p>
    <w:p w:rsidR="008B66AC" w:rsidRDefault="008B66AC">
      <w:pPr>
        <w:pStyle w:val="ListParagraph"/>
        <w:numPr>
          <w:ilvl w:val="0"/>
          <w:numId w:val="4"/>
        </w:numPr>
        <w:spacing w:after="60"/>
        <w:ind w:left="714" w:hanging="357"/>
        <w:jc w:val="both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</w:rPr>
        <w:t>Informácia, či je účtovná závierka zostavená za splnenia predpokladu, že účtovná jednotka bude nepretržite pokračovať vo svojej činnosti: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  <w:b/>
          <w:bCs/>
          <w:i/>
          <w:iCs/>
        </w:rPr>
        <w:t>nie, spoločnosť je v likvidácii</w:t>
      </w:r>
      <w:r>
        <w:rPr>
          <w:rFonts w:ascii="Times New Roman" w:hAnsi="Times New Roman" w:cs="Times New Roman"/>
          <w:b/>
          <w:bCs/>
        </w:rPr>
        <w:t xml:space="preserve"> </w:t>
      </w:r>
    </w:p>
    <w:p w:rsidR="008B66AC" w:rsidRDefault="008B66AC">
      <w:pPr>
        <w:pStyle w:val="ListParagraph"/>
        <w:spacing w:after="60"/>
        <w:ind w:left="714"/>
        <w:jc w:val="both"/>
        <w:rPr>
          <w:rFonts w:ascii="Times New Roman" w:hAnsi="Times New Roman" w:cs="Times New Roman"/>
          <w:b/>
          <w:bCs/>
        </w:rPr>
      </w:pPr>
    </w:p>
    <w:p w:rsidR="008B66AC" w:rsidRDefault="008B66AC">
      <w:pPr>
        <w:pStyle w:val="ListParagraph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Spôsob oceňovania jednotlivých položiek majetku a záväzkov, a to</w:t>
      </w:r>
    </w:p>
    <w:p w:rsidR="008B66AC" w:rsidRDefault="008B66AC">
      <w:pPr>
        <w:pStyle w:val="ListParagraph"/>
        <w:numPr>
          <w:ilvl w:val="0"/>
          <w:numId w:val="5"/>
        </w:numPr>
        <w:jc w:val="both"/>
        <w:rPr>
          <w:rFonts w:ascii="Times New Roman" w:hAnsi="Times New Roman" w:cs="Times New Roman"/>
          <w:i/>
          <w:iCs/>
        </w:rPr>
      </w:pPr>
      <w:r>
        <w:rPr>
          <w:rFonts w:ascii="Times New Roman" w:hAnsi="Times New Roman" w:cs="Times New Roman"/>
        </w:rPr>
        <w:t xml:space="preserve">dlhodobého nehmotného majetku, dlhodobého hmotného a dlhodobého finančného majetku: </w:t>
      </w:r>
      <w:r>
        <w:rPr>
          <w:rFonts w:ascii="Times New Roman" w:hAnsi="Times New Roman" w:cs="Times New Roman"/>
          <w:b/>
          <w:bCs/>
          <w:i/>
          <w:iCs/>
        </w:rPr>
        <w:t>obstarávacou cenou</w:t>
      </w:r>
    </w:p>
    <w:p w:rsidR="008B66AC" w:rsidRDefault="008B66AC">
      <w:pPr>
        <w:pStyle w:val="ListParagraph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zásob obstaraných kúpou, zásob vytvorených vlastnou činnosťou: </w:t>
      </w:r>
      <w:r>
        <w:rPr>
          <w:rFonts w:ascii="Times New Roman" w:hAnsi="Times New Roman" w:cs="Times New Roman"/>
          <w:b/>
          <w:bCs/>
          <w:i/>
          <w:iCs/>
        </w:rPr>
        <w:t>obstarávacou cenou</w:t>
      </w:r>
    </w:p>
    <w:p w:rsidR="008B66AC" w:rsidRDefault="008B66AC">
      <w:pPr>
        <w:pStyle w:val="ListParagraph"/>
        <w:numPr>
          <w:ilvl w:val="0"/>
          <w:numId w:val="5"/>
        </w:numPr>
        <w:jc w:val="both"/>
        <w:rPr>
          <w:rFonts w:ascii="Times New Roman" w:hAnsi="Times New Roman" w:cs="Times New Roman"/>
          <w:i/>
          <w:iCs/>
        </w:rPr>
      </w:pPr>
      <w:r>
        <w:rPr>
          <w:rFonts w:ascii="Times New Roman" w:hAnsi="Times New Roman" w:cs="Times New Roman"/>
        </w:rPr>
        <w:t xml:space="preserve">pohľadávok: </w:t>
      </w:r>
      <w:r>
        <w:rPr>
          <w:rFonts w:ascii="Times New Roman" w:hAnsi="Times New Roman" w:cs="Times New Roman"/>
          <w:b/>
          <w:bCs/>
          <w:i/>
          <w:iCs/>
        </w:rPr>
        <w:t>menovitou hodnotou</w:t>
      </w:r>
    </w:p>
    <w:p w:rsidR="008B66AC" w:rsidRDefault="008B66AC">
      <w:pPr>
        <w:pStyle w:val="ListParagraph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krátkodobého finančného majetku: </w:t>
      </w:r>
      <w:r>
        <w:rPr>
          <w:rFonts w:ascii="Times New Roman" w:hAnsi="Times New Roman" w:cs="Times New Roman"/>
          <w:b/>
          <w:bCs/>
          <w:i/>
          <w:iCs/>
        </w:rPr>
        <w:t>menovitou hodnotou</w:t>
      </w:r>
    </w:p>
    <w:p w:rsidR="008B66AC" w:rsidRDefault="008B66AC">
      <w:pPr>
        <w:pStyle w:val="ListParagraph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záväzkov vrátane rezerv, dlhopisov, pôžičiek a úverov: </w:t>
      </w:r>
      <w:r>
        <w:rPr>
          <w:rFonts w:ascii="Times New Roman" w:hAnsi="Times New Roman" w:cs="Times New Roman"/>
          <w:b/>
          <w:bCs/>
          <w:i/>
          <w:iCs/>
        </w:rPr>
        <w:t>menovitou hodnotou</w:t>
      </w:r>
    </w:p>
    <w:p w:rsidR="008B66AC" w:rsidRDefault="008B66AC">
      <w:pPr>
        <w:pStyle w:val="ListParagraph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derivátových operácií: </w:t>
      </w:r>
      <w:r>
        <w:rPr>
          <w:rFonts w:ascii="Times New Roman" w:hAnsi="Times New Roman" w:cs="Times New Roman"/>
          <w:b/>
          <w:bCs/>
          <w:i/>
          <w:iCs/>
        </w:rPr>
        <w:t>negatívne</w:t>
      </w:r>
    </w:p>
    <w:p w:rsidR="008B66AC" w:rsidRDefault="008B66AC">
      <w:pPr>
        <w:pStyle w:val="ListParagraph"/>
        <w:ind w:left="1080"/>
        <w:jc w:val="both"/>
        <w:rPr>
          <w:rFonts w:ascii="Times New Roman" w:hAnsi="Times New Roman" w:cs="Times New Roman"/>
        </w:rPr>
      </w:pPr>
    </w:p>
    <w:p w:rsidR="008B66AC" w:rsidRDefault="008B66AC">
      <w:pPr>
        <w:pStyle w:val="ListParagraph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Spôsob zostavenia odpisového plánu pre jednotlivé druhy dlhodobého hmotného majetku a dlhodobého nehmotného majetku, pričom sa uvádza doba opisovania, použité sadzby odpisov a odpisové metódy pri určení odpisov:</w:t>
      </w:r>
    </w:p>
    <w:p w:rsidR="008B66AC" w:rsidRDefault="008B66AC">
      <w:pPr>
        <w:pStyle w:val="ListParagraph"/>
        <w:jc w:val="both"/>
        <w:rPr>
          <w:rFonts w:ascii="Times New Roman" w:hAnsi="Times New Roman" w:cs="Times New Roman"/>
          <w:i/>
          <w:iCs/>
        </w:rPr>
      </w:pPr>
      <w:r>
        <w:rPr>
          <w:rFonts w:ascii="Times New Roman" w:hAnsi="Times New Roman" w:cs="Times New Roman"/>
          <w:i/>
          <w:iCs/>
        </w:rPr>
        <w:t>Odpisový plán účtovných odpisov hmotného majetku sa zostavil interným predpisom tak, že za základ sa vzali metódy používané pri vyčísľovaní daňových odpisov.</w:t>
      </w:r>
    </w:p>
    <w:p w:rsidR="008B66AC" w:rsidRDefault="008B66AC">
      <w:pPr>
        <w:pStyle w:val="ListParagraph"/>
        <w:jc w:val="both"/>
        <w:rPr>
          <w:rFonts w:ascii="Times New Roman" w:hAnsi="Times New Roman" w:cs="Times New Roman"/>
          <w:i/>
          <w:iCs/>
        </w:rPr>
      </w:pPr>
      <w:r>
        <w:rPr>
          <w:rFonts w:ascii="Times New Roman" w:hAnsi="Times New Roman" w:cs="Times New Roman"/>
          <w:i/>
          <w:iCs/>
        </w:rPr>
        <w:t>Odpisové sadzby pre účtovné a daňové odpisy podnikateľa sa rovnajú. Ročný účtovný odpis sa odlišoval od daňového odpisu podľa počtu mesiacov od zaradenia majetku do konca roka. Od 1.1.2012 sa uplatňuje aj u daňových odpisov pomerná časť z ročného odpisu.</w:t>
      </w:r>
    </w:p>
    <w:p w:rsidR="008B66AC" w:rsidRDefault="008B66AC">
      <w:pPr>
        <w:pStyle w:val="ListParagraph"/>
        <w:jc w:val="both"/>
        <w:rPr>
          <w:rFonts w:ascii="Times New Roman" w:hAnsi="Times New Roman" w:cs="Times New Roman"/>
          <w:i/>
          <w:iCs/>
        </w:rPr>
      </w:pPr>
    </w:p>
    <w:p w:rsidR="008B66AC" w:rsidRDefault="008B66AC">
      <w:pPr>
        <w:pStyle w:val="ListParagraph"/>
        <w:jc w:val="both"/>
        <w:rPr>
          <w:rFonts w:ascii="Times New Roman" w:hAnsi="Times New Roman" w:cs="Times New Roman"/>
          <w:i/>
          <w:iCs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2932"/>
        <w:gridCol w:w="1843"/>
        <w:gridCol w:w="1649"/>
        <w:gridCol w:w="1895"/>
      </w:tblGrid>
      <w:tr w:rsidR="008B66AC">
        <w:trPr>
          <w:trHeight w:val="340"/>
        </w:trPr>
        <w:tc>
          <w:tcPr>
            <w:tcW w:w="2932" w:type="dxa"/>
            <w:vAlign w:val="center"/>
          </w:tcPr>
          <w:p w:rsidR="008B66AC" w:rsidRDefault="008B66AC">
            <w:pPr>
              <w:pStyle w:val="ListParagraph"/>
              <w:spacing w:after="0" w:line="240" w:lineRule="auto"/>
              <w:ind w:left="0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 xml:space="preserve"> Druh majetku</w:t>
            </w:r>
          </w:p>
        </w:tc>
        <w:tc>
          <w:tcPr>
            <w:tcW w:w="1843" w:type="dxa"/>
            <w:vAlign w:val="center"/>
          </w:tcPr>
          <w:p w:rsidR="008B66AC" w:rsidRDefault="008B66AC">
            <w:pPr>
              <w:pStyle w:val="ListParagraph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Doba odpisovania</w:t>
            </w:r>
          </w:p>
        </w:tc>
        <w:tc>
          <w:tcPr>
            <w:tcW w:w="1649" w:type="dxa"/>
            <w:vAlign w:val="center"/>
          </w:tcPr>
          <w:p w:rsidR="008B66AC" w:rsidRDefault="008B66AC">
            <w:pPr>
              <w:pStyle w:val="ListParagraph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Sadzba odpisov</w:t>
            </w:r>
          </w:p>
        </w:tc>
        <w:tc>
          <w:tcPr>
            <w:tcW w:w="1895" w:type="dxa"/>
            <w:vAlign w:val="center"/>
          </w:tcPr>
          <w:p w:rsidR="008B66AC" w:rsidRDefault="008B66AC">
            <w:pPr>
              <w:pStyle w:val="ListParagraph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Odpisová metóda</w:t>
            </w:r>
          </w:p>
        </w:tc>
      </w:tr>
      <w:tr w:rsidR="008B66AC">
        <w:trPr>
          <w:trHeight w:val="340"/>
        </w:trPr>
        <w:tc>
          <w:tcPr>
            <w:tcW w:w="2932" w:type="dxa"/>
            <w:vAlign w:val="center"/>
          </w:tcPr>
          <w:p w:rsidR="008B66AC" w:rsidRDefault="008B66AC">
            <w:pPr>
              <w:pStyle w:val="ListParagraph"/>
              <w:spacing w:after="0" w:line="240" w:lineRule="auto"/>
              <w:ind w:left="0"/>
              <w:rPr>
                <w:rFonts w:ascii="Times New Roman" w:hAnsi="Times New Roman" w:cs="Times New Roman"/>
                <w:i/>
                <w:iCs/>
              </w:rPr>
            </w:pPr>
          </w:p>
        </w:tc>
        <w:tc>
          <w:tcPr>
            <w:tcW w:w="1843" w:type="dxa"/>
            <w:vAlign w:val="center"/>
          </w:tcPr>
          <w:p w:rsidR="008B66AC" w:rsidRDefault="008B66AC">
            <w:pPr>
              <w:pStyle w:val="ListParagraph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i/>
                <w:iCs/>
              </w:rPr>
            </w:pPr>
            <w:bookmarkStart w:id="0" w:name="_GoBack"/>
            <w:bookmarkEnd w:id="0"/>
          </w:p>
        </w:tc>
        <w:tc>
          <w:tcPr>
            <w:tcW w:w="1649" w:type="dxa"/>
            <w:vAlign w:val="center"/>
          </w:tcPr>
          <w:p w:rsidR="008B66AC" w:rsidRDefault="008B66AC">
            <w:pPr>
              <w:pStyle w:val="ListParagraph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i/>
                <w:iCs/>
              </w:rPr>
            </w:pPr>
          </w:p>
        </w:tc>
        <w:tc>
          <w:tcPr>
            <w:tcW w:w="1895" w:type="dxa"/>
            <w:vAlign w:val="center"/>
          </w:tcPr>
          <w:p w:rsidR="008B66AC" w:rsidRDefault="008B66AC">
            <w:pPr>
              <w:pStyle w:val="ListParagraph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8B66AC">
        <w:trPr>
          <w:trHeight w:val="340"/>
        </w:trPr>
        <w:tc>
          <w:tcPr>
            <w:tcW w:w="2932" w:type="dxa"/>
            <w:vAlign w:val="center"/>
          </w:tcPr>
          <w:p w:rsidR="008B66AC" w:rsidRDefault="008B66AC">
            <w:pPr>
              <w:pStyle w:val="ListParagraph"/>
              <w:spacing w:after="0" w:line="240" w:lineRule="auto"/>
              <w:ind w:left="0"/>
              <w:rPr>
                <w:rFonts w:ascii="Times New Roman" w:hAnsi="Times New Roman" w:cs="Times New Roman"/>
                <w:i/>
                <w:iCs/>
              </w:rPr>
            </w:pPr>
          </w:p>
        </w:tc>
        <w:tc>
          <w:tcPr>
            <w:tcW w:w="1843" w:type="dxa"/>
            <w:vAlign w:val="center"/>
          </w:tcPr>
          <w:p w:rsidR="008B66AC" w:rsidRDefault="008B66AC">
            <w:pPr>
              <w:pStyle w:val="ListParagraph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i/>
                <w:iCs/>
              </w:rPr>
            </w:pPr>
          </w:p>
        </w:tc>
        <w:tc>
          <w:tcPr>
            <w:tcW w:w="1649" w:type="dxa"/>
            <w:vAlign w:val="center"/>
          </w:tcPr>
          <w:p w:rsidR="008B66AC" w:rsidRDefault="008B66AC">
            <w:pPr>
              <w:pStyle w:val="ListParagraph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i/>
                <w:iCs/>
              </w:rPr>
            </w:pPr>
          </w:p>
        </w:tc>
        <w:tc>
          <w:tcPr>
            <w:tcW w:w="1895" w:type="dxa"/>
            <w:vAlign w:val="center"/>
          </w:tcPr>
          <w:p w:rsidR="008B66AC" w:rsidRDefault="008B66AC">
            <w:pPr>
              <w:pStyle w:val="ListParagraph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8B66AC">
        <w:trPr>
          <w:trHeight w:val="340"/>
        </w:trPr>
        <w:tc>
          <w:tcPr>
            <w:tcW w:w="2932" w:type="dxa"/>
            <w:vAlign w:val="center"/>
          </w:tcPr>
          <w:p w:rsidR="008B66AC" w:rsidRDefault="008B66AC">
            <w:pPr>
              <w:pStyle w:val="ListParagraph"/>
              <w:spacing w:after="0" w:line="240" w:lineRule="auto"/>
              <w:ind w:left="0"/>
              <w:rPr>
                <w:rFonts w:ascii="Times New Roman" w:hAnsi="Times New Roman" w:cs="Times New Roman"/>
                <w:i/>
                <w:iCs/>
              </w:rPr>
            </w:pPr>
          </w:p>
        </w:tc>
        <w:tc>
          <w:tcPr>
            <w:tcW w:w="1843" w:type="dxa"/>
            <w:vAlign w:val="center"/>
          </w:tcPr>
          <w:p w:rsidR="008B66AC" w:rsidRDefault="008B66AC">
            <w:pPr>
              <w:pStyle w:val="ListParagraph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i/>
                <w:iCs/>
              </w:rPr>
            </w:pPr>
          </w:p>
        </w:tc>
        <w:tc>
          <w:tcPr>
            <w:tcW w:w="1649" w:type="dxa"/>
            <w:vAlign w:val="center"/>
          </w:tcPr>
          <w:p w:rsidR="008B66AC" w:rsidRDefault="008B66AC">
            <w:pPr>
              <w:pStyle w:val="ListParagraph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i/>
                <w:iCs/>
              </w:rPr>
            </w:pPr>
          </w:p>
        </w:tc>
        <w:tc>
          <w:tcPr>
            <w:tcW w:w="1895" w:type="dxa"/>
            <w:vAlign w:val="center"/>
          </w:tcPr>
          <w:p w:rsidR="008B66AC" w:rsidRDefault="008B66AC">
            <w:pPr>
              <w:pStyle w:val="ListParagraph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8B66AC">
        <w:trPr>
          <w:trHeight w:val="340"/>
        </w:trPr>
        <w:tc>
          <w:tcPr>
            <w:tcW w:w="2932" w:type="dxa"/>
            <w:vAlign w:val="center"/>
          </w:tcPr>
          <w:p w:rsidR="008B66AC" w:rsidRDefault="008B66AC">
            <w:pPr>
              <w:pStyle w:val="ListParagraph"/>
              <w:spacing w:after="0" w:line="240" w:lineRule="auto"/>
              <w:ind w:left="0"/>
              <w:rPr>
                <w:rFonts w:ascii="Times New Roman" w:hAnsi="Times New Roman" w:cs="Times New Roman"/>
                <w:i/>
                <w:iCs/>
              </w:rPr>
            </w:pPr>
          </w:p>
        </w:tc>
        <w:tc>
          <w:tcPr>
            <w:tcW w:w="1843" w:type="dxa"/>
            <w:vAlign w:val="center"/>
          </w:tcPr>
          <w:p w:rsidR="008B66AC" w:rsidRDefault="008B66AC">
            <w:pPr>
              <w:pStyle w:val="ListParagraph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i/>
                <w:iCs/>
              </w:rPr>
            </w:pPr>
          </w:p>
        </w:tc>
        <w:tc>
          <w:tcPr>
            <w:tcW w:w="1649" w:type="dxa"/>
            <w:vAlign w:val="center"/>
          </w:tcPr>
          <w:p w:rsidR="008B66AC" w:rsidRDefault="008B66AC">
            <w:pPr>
              <w:pStyle w:val="ListParagraph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i/>
                <w:iCs/>
              </w:rPr>
            </w:pPr>
          </w:p>
        </w:tc>
        <w:tc>
          <w:tcPr>
            <w:tcW w:w="1895" w:type="dxa"/>
            <w:vAlign w:val="center"/>
          </w:tcPr>
          <w:p w:rsidR="008B66AC" w:rsidRDefault="008B66AC">
            <w:pPr>
              <w:pStyle w:val="ListParagraph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i/>
                <w:iCs/>
              </w:rPr>
            </w:pPr>
          </w:p>
        </w:tc>
      </w:tr>
    </w:tbl>
    <w:p w:rsidR="008B66AC" w:rsidRDefault="008B66AC">
      <w:pPr>
        <w:pStyle w:val="ListParagraph"/>
        <w:jc w:val="both"/>
        <w:rPr>
          <w:rFonts w:ascii="Times New Roman" w:hAnsi="Times New Roman" w:cs="Times New Roman"/>
          <w:i/>
          <w:iCs/>
        </w:rPr>
      </w:pPr>
    </w:p>
    <w:p w:rsidR="008B66AC" w:rsidRDefault="008B66AC">
      <w:pPr>
        <w:pStyle w:val="ListParagraph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Zmeny účtovných zásad a zmeny účtovných metód s uvedením dôvodu týchto zmien a vyčíslením ich vplyvu na finančnú hodnota majetku, záväzkov, základného imania a výsledku hospodárenia účtovnej jednotky:</w:t>
      </w:r>
    </w:p>
    <w:p w:rsidR="008B66AC" w:rsidRDefault="008B66AC">
      <w:pPr>
        <w:pStyle w:val="ListParagraph"/>
        <w:jc w:val="both"/>
        <w:rPr>
          <w:rFonts w:ascii="Times New Roman" w:hAnsi="Times New Roman" w:cs="Times New Roman"/>
          <w:i/>
          <w:iCs/>
        </w:rPr>
      </w:pPr>
      <w:r>
        <w:rPr>
          <w:rFonts w:ascii="Times New Roman" w:hAnsi="Times New Roman" w:cs="Times New Roman"/>
          <w:i/>
          <w:iCs/>
        </w:rPr>
        <w:t>Účtovné metódy a účtovné zásady sú aplikované v zmysle platného zákona o účtovníctve a postupov účtovania pre podnikateľov účtujúcich v podvojnom účtovníctve.</w:t>
      </w:r>
    </w:p>
    <w:p w:rsidR="008B66AC" w:rsidRDefault="008B66AC">
      <w:pPr>
        <w:pStyle w:val="ListParagraph"/>
        <w:jc w:val="both"/>
        <w:rPr>
          <w:rFonts w:ascii="Times New Roman" w:hAnsi="Times New Roman" w:cs="Times New Roman"/>
          <w:i/>
          <w:iCs/>
        </w:rPr>
      </w:pPr>
    </w:p>
    <w:p w:rsidR="008B66AC" w:rsidRDefault="008B66AC">
      <w:pPr>
        <w:pStyle w:val="ListParagraph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Informácie o dotáciách a ich oceňovanie v účtovníctve:    </w:t>
      </w:r>
      <w:r>
        <w:rPr>
          <w:rFonts w:ascii="Times New Roman" w:hAnsi="Times New Roman" w:cs="Times New Roman"/>
          <w:b/>
          <w:bCs/>
          <w:i/>
          <w:iCs/>
        </w:rPr>
        <w:t>negatívne</w:t>
      </w:r>
    </w:p>
    <w:p w:rsidR="008B66AC" w:rsidRDefault="008B66AC">
      <w:pPr>
        <w:pStyle w:val="ListParagraph"/>
        <w:jc w:val="both"/>
        <w:rPr>
          <w:rFonts w:ascii="Times New Roman" w:hAnsi="Times New Roman" w:cs="Times New Roman"/>
        </w:rPr>
      </w:pPr>
    </w:p>
    <w:p w:rsidR="008B66AC" w:rsidRDefault="008B66AC">
      <w:pPr>
        <w:pStyle w:val="ListParagraph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Informácie o účtovaní významných opráv chýb minulých účtovných období v bežnom účtovnom období s uvedením vplyvu na nerozdelený zisku minulých rokov alebo neuhradenú stratu minulých rokov; súčasne sa môže uviesť aj účtovanie nevýznamných chýb minulých účtovných období s uvedením vplyvu na výsledok hospodárenia bežného účtovného obdobia:   </w:t>
      </w:r>
      <w:r>
        <w:rPr>
          <w:rFonts w:ascii="Times New Roman" w:hAnsi="Times New Roman" w:cs="Times New Roman"/>
          <w:b/>
          <w:bCs/>
          <w:i/>
          <w:iCs/>
        </w:rPr>
        <w:t>negatívne</w:t>
      </w:r>
    </w:p>
    <w:p w:rsidR="008B66AC" w:rsidRDefault="008B66AC">
      <w:pPr>
        <w:jc w:val="both"/>
        <w:rPr>
          <w:rFonts w:ascii="Times New Roman" w:hAnsi="Times New Roman" w:cs="Times New Roman"/>
        </w:rPr>
      </w:pPr>
    </w:p>
    <w:p w:rsidR="008B66AC" w:rsidRDefault="008B66AC">
      <w:pPr>
        <w:spacing w:after="0"/>
        <w:jc w:val="center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Čl. III</w:t>
      </w:r>
    </w:p>
    <w:p w:rsidR="008B66AC" w:rsidRDefault="008B66AC">
      <w:pPr>
        <w:jc w:val="center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Informácie, ktoré vysvetľujú a dopĺňajú súvahu a výkaz ziskov a strát</w:t>
      </w:r>
    </w:p>
    <w:p w:rsidR="008B66AC" w:rsidRDefault="008B66AC">
      <w:pPr>
        <w:pStyle w:val="ListParagraph"/>
        <w:numPr>
          <w:ilvl w:val="0"/>
          <w:numId w:val="6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Informácia o sume a dôvodoch vzniku jednotlivých položiek nákladov alebo výnosov, ktoré majú výnimočný rozsah alebo výskyt, napríklad výnosy z predaja podniku alebo časti podniku, náklady z dôvodu predaja podniku alebo časti podniku, škody z dôvodu živelných pohrôm:   </w:t>
      </w:r>
    </w:p>
    <w:p w:rsidR="008B66AC" w:rsidRDefault="008B66AC">
      <w:pPr>
        <w:pStyle w:val="ListParagraph"/>
        <w:ind w:firstLine="696"/>
        <w:jc w:val="both"/>
        <w:rPr>
          <w:rFonts w:ascii="Times New Roman" w:hAnsi="Times New Roman" w:cs="Times New Roman"/>
          <w:b/>
          <w:bCs/>
          <w:i/>
          <w:iCs/>
        </w:rPr>
      </w:pPr>
      <w:r>
        <w:rPr>
          <w:rFonts w:ascii="Times New Roman" w:hAnsi="Times New Roman" w:cs="Times New Roman"/>
          <w:b/>
          <w:bCs/>
          <w:i/>
          <w:iCs/>
        </w:rPr>
        <w:t>negatívne</w:t>
      </w:r>
    </w:p>
    <w:p w:rsidR="008B66AC" w:rsidRDefault="008B66AC">
      <w:pPr>
        <w:pStyle w:val="ListParagraph"/>
        <w:jc w:val="both"/>
        <w:rPr>
          <w:rFonts w:ascii="Times New Roman" w:hAnsi="Times New Roman" w:cs="Times New Roman"/>
        </w:rPr>
      </w:pPr>
    </w:p>
    <w:p w:rsidR="008B66AC" w:rsidRDefault="008B66AC">
      <w:pPr>
        <w:pStyle w:val="ListParagraph"/>
        <w:numPr>
          <w:ilvl w:val="0"/>
          <w:numId w:val="6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o záväzkoch, a to</w:t>
      </w:r>
    </w:p>
    <w:p w:rsidR="008B66AC" w:rsidRDefault="008B66AC">
      <w:pPr>
        <w:pStyle w:val="ListParagraph"/>
        <w:numPr>
          <w:ilvl w:val="0"/>
          <w:numId w:val="7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celkovej sume záväzkov so zostatkovou dobou splatnosti dlhšou ako päť rokov,</w:t>
      </w:r>
    </w:p>
    <w:p w:rsidR="008B66AC" w:rsidRDefault="008B66AC">
      <w:pPr>
        <w:pStyle w:val="ListParagraph"/>
        <w:numPr>
          <w:ilvl w:val="0"/>
          <w:numId w:val="7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celkovej sume zabezpečených záväzkov, opis a spôsoby zabezpečenia záväzkov.</w:t>
      </w:r>
    </w:p>
    <w:p w:rsidR="008B66AC" w:rsidRDefault="008B66AC">
      <w:pPr>
        <w:pStyle w:val="ListParagraph"/>
        <w:ind w:left="1080" w:firstLine="336"/>
        <w:jc w:val="both"/>
        <w:rPr>
          <w:rFonts w:ascii="Times New Roman" w:hAnsi="Times New Roman" w:cs="Times New Roman"/>
          <w:b/>
          <w:bCs/>
          <w:i/>
          <w:iCs/>
        </w:rPr>
      </w:pPr>
      <w:r>
        <w:rPr>
          <w:rFonts w:ascii="Times New Roman" w:hAnsi="Times New Roman" w:cs="Times New Roman"/>
          <w:b/>
          <w:bCs/>
          <w:i/>
          <w:iCs/>
        </w:rPr>
        <w:t>negatívne</w:t>
      </w:r>
    </w:p>
    <w:p w:rsidR="008B66AC" w:rsidRDefault="008B66AC">
      <w:pPr>
        <w:pStyle w:val="ListParagraph"/>
        <w:ind w:left="1080"/>
        <w:jc w:val="both"/>
        <w:rPr>
          <w:rFonts w:ascii="Times New Roman" w:hAnsi="Times New Roman" w:cs="Times New Roman"/>
        </w:rPr>
      </w:pPr>
    </w:p>
    <w:p w:rsidR="008B66AC" w:rsidRDefault="008B66AC">
      <w:pPr>
        <w:pStyle w:val="ListParagraph"/>
        <w:numPr>
          <w:ilvl w:val="0"/>
          <w:numId w:val="6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o vlastných akciách, a to</w:t>
      </w:r>
    </w:p>
    <w:p w:rsidR="008B66AC" w:rsidRDefault="008B66AC">
      <w:pPr>
        <w:pStyle w:val="ListParagraph"/>
        <w:numPr>
          <w:ilvl w:val="0"/>
          <w:numId w:val="8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dôvode nadobudnutia vlastných akcií počas účtovného obdobia</w:t>
      </w:r>
    </w:p>
    <w:p w:rsidR="008B66AC" w:rsidRDefault="008B66AC">
      <w:pPr>
        <w:pStyle w:val="ListParagraph"/>
        <w:numPr>
          <w:ilvl w:val="0"/>
          <w:numId w:val="8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informáciách, ktorými sú</w:t>
      </w:r>
    </w:p>
    <w:p w:rsidR="008B66AC" w:rsidRDefault="008B66AC">
      <w:pPr>
        <w:pStyle w:val="ListParagraph"/>
        <w:numPr>
          <w:ilvl w:val="0"/>
          <w:numId w:val="9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počet a menovitá hodnota nadobudnutých vlastných akcií počas účtovného obdobia a počet a menovitá hodnota prevedených vlastných akcií počas účtovného obdobia, pričom sa uvádza percentuálna hodnota týchto vlastných akcií na upísanom základnom imaní.</w:t>
      </w:r>
    </w:p>
    <w:p w:rsidR="008B66AC" w:rsidRDefault="008B66AC">
      <w:pPr>
        <w:pStyle w:val="ListParagraph"/>
        <w:numPr>
          <w:ilvl w:val="0"/>
          <w:numId w:val="9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počet a hodnota, za ktorú sa vlastné akcie počas účtovné obdobia nadobudli a počet a hodnota, za ktorú sa vlastné akcie počas účtovné obdobia previedli na inú osobu</w:t>
      </w:r>
    </w:p>
    <w:p w:rsidR="008B66AC" w:rsidRDefault="008B66AC">
      <w:pPr>
        <w:pStyle w:val="ListParagraph"/>
        <w:numPr>
          <w:ilvl w:val="0"/>
          <w:numId w:val="8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počte, menovitej hodnote a hodnote, za ktorú sa vlastné akcie nadobudli a ktoré účtovná jednotka má v držbe k poslednému dňu účtovného obdobia; uvádza sa aj ich percentuálny podiel na upísanom základnom imaní.</w:t>
      </w:r>
    </w:p>
    <w:p w:rsidR="008B66AC" w:rsidRDefault="008B66AC">
      <w:pPr>
        <w:pStyle w:val="ListParagraph"/>
        <w:ind w:left="1080" w:firstLine="336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  <w:bCs/>
          <w:i/>
          <w:iCs/>
        </w:rPr>
        <w:t>negatívne</w:t>
      </w:r>
    </w:p>
    <w:p w:rsidR="008B66AC" w:rsidRDefault="008B66AC">
      <w:pPr>
        <w:pStyle w:val="ListParagraph"/>
        <w:ind w:left="1080"/>
        <w:jc w:val="both"/>
        <w:rPr>
          <w:rFonts w:ascii="Times New Roman" w:hAnsi="Times New Roman" w:cs="Times New Roman"/>
        </w:rPr>
      </w:pPr>
    </w:p>
    <w:p w:rsidR="008B66AC" w:rsidRDefault="008B66AC">
      <w:pPr>
        <w:pStyle w:val="ListParagraph"/>
        <w:numPr>
          <w:ilvl w:val="0"/>
          <w:numId w:val="6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o orgánoch účtovnej jednotky, a to</w:t>
      </w:r>
    </w:p>
    <w:p w:rsidR="008B66AC" w:rsidRDefault="008B66AC">
      <w:pPr>
        <w:pStyle w:val="ListParagraph"/>
        <w:numPr>
          <w:ilvl w:val="0"/>
          <w:numId w:val="10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výške jednotlivých druhov záruk alebo iných zabezpečení poskytnutých pre členov štatutárneho orgánu, dozorného orgánu a iného orgánu účtovnej jednotky, a to v členení za jednotlivé orgány,</w:t>
      </w:r>
    </w:p>
    <w:p w:rsidR="008B66AC" w:rsidRDefault="008B66AC">
      <w:pPr>
        <w:pStyle w:val="ListParagraph"/>
        <w:numPr>
          <w:ilvl w:val="0"/>
          <w:numId w:val="10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pôžičkách poskytnutých členom štatutárneho orgánu, dozorného orgánu a iného orgánu účtovnej jednotky a to</w:t>
      </w:r>
    </w:p>
    <w:p w:rsidR="008B66AC" w:rsidRDefault="008B66AC">
      <w:pPr>
        <w:pStyle w:val="ListParagraph"/>
        <w:numPr>
          <w:ilvl w:val="0"/>
          <w:numId w:val="11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celková suma poskytnutých pôžičiek k poslednému dňu účtovného obdobia v členení za jednotlivé orgány</w:t>
      </w:r>
    </w:p>
    <w:p w:rsidR="008B66AC" w:rsidRDefault="008B66AC">
      <w:pPr>
        <w:pStyle w:val="ListParagraph"/>
        <w:numPr>
          <w:ilvl w:val="0"/>
          <w:numId w:val="11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celková suma splatených pôžičiek k poslednému dňu účtovného obdobia v členení za jednotlivé orgány</w:t>
      </w:r>
    </w:p>
    <w:p w:rsidR="008B66AC" w:rsidRDefault="008B66AC">
      <w:pPr>
        <w:pStyle w:val="ListParagraph"/>
        <w:numPr>
          <w:ilvl w:val="0"/>
          <w:numId w:val="11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celková suma odpustených pôžičiek a odpísaných pôžičiek k poslednému dňu účtovného obdobia v členení za jednotlivé orgány</w:t>
      </w:r>
    </w:p>
    <w:p w:rsidR="008B66AC" w:rsidRDefault="008B66AC">
      <w:pPr>
        <w:pStyle w:val="ListParagraph"/>
        <w:numPr>
          <w:ilvl w:val="0"/>
          <w:numId w:val="10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hlavných podmienkach, na základe ktorých im boli záruky alebo iné zabezpečenie a pôžičky poskytnuté; pri pôžičkách sa uvádzajú úrokové sadzby,</w:t>
      </w:r>
    </w:p>
    <w:p w:rsidR="008B66AC" w:rsidRDefault="008B66AC">
      <w:pPr>
        <w:pStyle w:val="ListParagraph"/>
        <w:numPr>
          <w:ilvl w:val="0"/>
          <w:numId w:val="10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celkovej sume použitých finančných prostriedkov alebo iného plnenia na súkromné účely členmi štatutárneho orgánu, dozorného orgánu a iného orgánu účtovnej jednotky, ktoré je potrebné vyúčtovať.</w:t>
      </w:r>
    </w:p>
    <w:p w:rsidR="008B66AC" w:rsidRDefault="008B66AC">
      <w:pPr>
        <w:pStyle w:val="ListParagraph"/>
        <w:ind w:left="1080" w:firstLine="336"/>
        <w:jc w:val="both"/>
        <w:rPr>
          <w:rFonts w:ascii="Times New Roman" w:hAnsi="Times New Roman" w:cs="Times New Roman"/>
          <w:b/>
          <w:bCs/>
          <w:i/>
          <w:iCs/>
        </w:rPr>
      </w:pPr>
      <w:r>
        <w:rPr>
          <w:rFonts w:ascii="Times New Roman" w:hAnsi="Times New Roman" w:cs="Times New Roman"/>
          <w:b/>
          <w:bCs/>
          <w:i/>
          <w:iCs/>
        </w:rPr>
        <w:t>negatívne</w:t>
      </w:r>
    </w:p>
    <w:p w:rsidR="008B66AC" w:rsidRDefault="008B66AC">
      <w:pPr>
        <w:pStyle w:val="ListParagraph"/>
        <w:ind w:left="1080" w:firstLine="336"/>
        <w:jc w:val="both"/>
        <w:rPr>
          <w:rFonts w:ascii="Times New Roman" w:hAnsi="Times New Roman" w:cs="Times New Roman"/>
        </w:rPr>
      </w:pPr>
    </w:p>
    <w:p w:rsidR="008B66AC" w:rsidRDefault="008B66AC">
      <w:pPr>
        <w:pStyle w:val="ListParagraph"/>
        <w:numPr>
          <w:ilvl w:val="0"/>
          <w:numId w:val="6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o povinnostiach účtovnej jednotky, a to</w:t>
      </w:r>
    </w:p>
    <w:p w:rsidR="008B66AC" w:rsidRDefault="008B66AC">
      <w:pPr>
        <w:pStyle w:val="ListParagraph"/>
        <w:numPr>
          <w:ilvl w:val="0"/>
          <w:numId w:val="12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celkovej sume finančných povinností, ktoré sa nevykazujú v súvahe, ale sú významné na posúdenie finančnej situácie účtovnej jednotky, napríklad povinností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zmluvy: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  <w:b/>
          <w:bCs/>
          <w:i/>
          <w:iCs/>
        </w:rPr>
        <w:t>negatívne</w:t>
      </w:r>
    </w:p>
    <w:p w:rsidR="008B66AC" w:rsidRDefault="008B66AC">
      <w:pPr>
        <w:pStyle w:val="ListParagraph"/>
        <w:numPr>
          <w:ilvl w:val="0"/>
          <w:numId w:val="12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celkovej sume významných  podmienených záväzkov, ktorými sa rozumie</w:t>
      </w:r>
    </w:p>
    <w:p w:rsidR="008B66AC" w:rsidRDefault="008B66AC">
      <w:pPr>
        <w:pStyle w:val="ListParagraph"/>
        <w:numPr>
          <w:ilvl w:val="0"/>
          <w:numId w:val="13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8B66AC" w:rsidRDefault="008B66AC">
      <w:pPr>
        <w:pStyle w:val="ListParagraph"/>
        <w:numPr>
          <w:ilvl w:val="0"/>
          <w:numId w:val="13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existuje povinnosť, ktorá vznikla ako dôsledok minulej udalosti, ale ktorá sa nevykazuje v súvahe, pretože</w:t>
      </w:r>
    </w:p>
    <w:p w:rsidR="008B66AC" w:rsidRDefault="008B66AC">
      <w:pPr>
        <w:pStyle w:val="ListParagraph"/>
        <w:numPr>
          <w:ilvl w:val="0"/>
          <w:numId w:val="14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2a. nie je pravdepodobné, že na splnenie tejto povinnosti bude potrebný úbytok ekonomických úžitkov, alebo</w:t>
      </w:r>
    </w:p>
    <w:p w:rsidR="008B66AC" w:rsidRDefault="008B66AC">
      <w:pPr>
        <w:pStyle w:val="ListParagraph"/>
        <w:numPr>
          <w:ilvl w:val="0"/>
          <w:numId w:val="14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2b. výška tejto povinnosti sa nedá spoľahlivo oceniť,</w:t>
      </w:r>
    </w:p>
    <w:p w:rsidR="008B66AC" w:rsidRDefault="008B66AC">
      <w:pPr>
        <w:pStyle w:val="ListParagraph"/>
        <w:ind w:left="180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  <w:bCs/>
          <w:i/>
          <w:iCs/>
        </w:rPr>
        <w:t>negatívne</w:t>
      </w:r>
    </w:p>
    <w:p w:rsidR="008B66AC" w:rsidRDefault="008B66AC">
      <w:pPr>
        <w:pStyle w:val="ListParagraph"/>
        <w:numPr>
          <w:ilvl w:val="0"/>
          <w:numId w:val="12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opise významných finančných povinností a významných podmienených záväzkov:</w:t>
      </w:r>
      <w:r>
        <w:rPr>
          <w:rFonts w:ascii="Times New Roman" w:hAnsi="Times New Roman" w:cs="Times New Roman"/>
          <w:b/>
          <w:bCs/>
          <w:i/>
          <w:iCs/>
        </w:rPr>
        <w:t xml:space="preserve"> negatívne</w:t>
      </w:r>
    </w:p>
    <w:p w:rsidR="008B66AC" w:rsidRDefault="008B66AC">
      <w:pPr>
        <w:pStyle w:val="ListParagraph"/>
        <w:numPr>
          <w:ilvl w:val="0"/>
          <w:numId w:val="12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celkovej sume významných finančných povinností a významných podmienených záväzkov voči dcérskej účtovnej jednotke a účtovnej jednotke s podstatným vplyvom: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  <w:b/>
          <w:bCs/>
          <w:i/>
          <w:iCs/>
        </w:rPr>
        <w:t>negatívne</w:t>
      </w:r>
    </w:p>
    <w:p w:rsidR="008B66AC" w:rsidRDefault="008B66AC">
      <w:pPr>
        <w:pStyle w:val="ListParagraph"/>
        <w:numPr>
          <w:ilvl w:val="0"/>
          <w:numId w:val="12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opise </w:t>
      </w:r>
      <w:r>
        <w:rPr>
          <w:rFonts w:ascii="Times New Roman" w:hAnsi="Times New Roman" w:cs="Times New Roman"/>
          <w:b/>
          <w:bCs/>
        </w:rPr>
        <w:t>významných</w:t>
      </w:r>
      <w:r>
        <w:rPr>
          <w:rFonts w:ascii="Times New Roman" w:hAnsi="Times New Roman" w:cs="Times New Roman"/>
        </w:rPr>
        <w:t xml:space="preserve"> povinností účtovnej jednotky vyplývajúcich z dôchodkových programov pre zamestnancov: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  <w:b/>
          <w:bCs/>
          <w:i/>
          <w:iCs/>
        </w:rPr>
        <w:t>negatívne</w:t>
      </w:r>
    </w:p>
    <w:p w:rsidR="008B66AC" w:rsidRDefault="008B66AC">
      <w:pPr>
        <w:pStyle w:val="ListParagraph"/>
        <w:ind w:left="1080"/>
        <w:jc w:val="both"/>
        <w:rPr>
          <w:rFonts w:ascii="Times New Roman" w:hAnsi="Times New Roman" w:cs="Times New Roman"/>
        </w:rPr>
      </w:pPr>
    </w:p>
    <w:p w:rsidR="008B66AC" w:rsidRDefault="008B66AC">
      <w:pPr>
        <w:pStyle w:val="ListParagraph"/>
        <w:numPr>
          <w:ilvl w:val="0"/>
          <w:numId w:val="6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o udelení výlučného práva alebo osobitného práva, ktoré sa udelilo právo poskytovať služby vo verejnom záujme, pričom sa uvádza náhrada za túto činnosť v akejkoľvek forme, a ak sa zároveň vykonávajú aj iné činnosti, uvádzajú sa aj informácie o</w:t>
      </w:r>
    </w:p>
    <w:p w:rsidR="008B66AC" w:rsidRDefault="008B66AC">
      <w:pPr>
        <w:pStyle w:val="ListParagraph"/>
        <w:numPr>
          <w:ilvl w:val="0"/>
          <w:numId w:val="15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všetkých formách prijatej náhrady: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  <w:b/>
          <w:bCs/>
          <w:i/>
          <w:iCs/>
        </w:rPr>
        <w:t>negatívne</w:t>
      </w:r>
    </w:p>
    <w:p w:rsidR="008B66AC" w:rsidRDefault="008B66AC">
      <w:pPr>
        <w:pStyle w:val="ListParagraph"/>
        <w:numPr>
          <w:ilvl w:val="0"/>
          <w:numId w:val="15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účtovných zásadách použitých pri prideľovaní nákladov a výnosov: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  <w:b/>
          <w:bCs/>
          <w:i/>
          <w:iCs/>
        </w:rPr>
        <w:t>negatívne</w:t>
      </w:r>
    </w:p>
    <w:p w:rsidR="008B66AC" w:rsidRDefault="008B66AC">
      <w:pPr>
        <w:pStyle w:val="ListParagraph"/>
        <w:numPr>
          <w:ilvl w:val="0"/>
          <w:numId w:val="15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všetkých druhoch činností účtovnej jednotky: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  <w:b/>
          <w:bCs/>
          <w:i/>
          <w:iCs/>
        </w:rPr>
        <w:t>negatívne</w:t>
      </w:r>
    </w:p>
    <w:p w:rsidR="008B66AC" w:rsidRDefault="008B66AC">
      <w:pPr>
        <w:jc w:val="both"/>
        <w:rPr>
          <w:rFonts w:ascii="Times New Roman" w:hAnsi="Times New Roman" w:cs="Times New Roman"/>
        </w:rPr>
      </w:pPr>
    </w:p>
    <w:p w:rsidR="008B66AC" w:rsidRDefault="008B66AC">
      <w:pPr>
        <w:rPr>
          <w:rFonts w:ascii="Times New Roman" w:hAnsi="Times New Roman" w:cs="Times New Roman"/>
        </w:rPr>
      </w:pPr>
      <w:r>
        <w:rPr>
          <w:rStyle w:val="FootnoteReference"/>
        </w:rPr>
        <w:footnoteReference w:id="1"/>
      </w:r>
    </w:p>
    <w:p w:rsidR="008B66AC" w:rsidRDefault="008B66AC">
      <w:pPr>
        <w:rPr>
          <w:rFonts w:ascii="Times New Roman" w:hAnsi="Times New Roman" w:cs="Times New Roman"/>
        </w:rPr>
      </w:pPr>
    </w:p>
    <w:p w:rsidR="008B66AC" w:rsidRDefault="008B66AC">
      <w:pPr>
        <w:rPr>
          <w:rFonts w:ascii="Times New Roman" w:hAnsi="Times New Roman" w:cs="Times New Roman"/>
        </w:rPr>
      </w:pPr>
    </w:p>
    <w:p w:rsidR="008B66AC" w:rsidRDefault="008B66AC">
      <w:pPr>
        <w:rPr>
          <w:rFonts w:ascii="Times New Roman" w:hAnsi="Times New Roman" w:cs="Times New Roman"/>
        </w:rPr>
      </w:pPr>
    </w:p>
    <w:p w:rsidR="008B66AC" w:rsidRDefault="008B66AC">
      <w:pPr>
        <w:pStyle w:val="ListParagraph"/>
        <w:numPr>
          <w:ilvl w:val="0"/>
          <w:numId w:val="16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o zabezpečených záväzkoch podľa § 4 ods. 4 pism. e) druhého bodu opatrenia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6836"/>
        <w:gridCol w:w="2092"/>
      </w:tblGrid>
      <w:tr w:rsidR="008B66AC">
        <w:trPr>
          <w:trHeight w:val="284"/>
        </w:trPr>
        <w:tc>
          <w:tcPr>
            <w:tcW w:w="6836" w:type="dxa"/>
            <w:vAlign w:val="center"/>
          </w:tcPr>
          <w:p w:rsidR="008B66AC" w:rsidRDefault="008B66AC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 xml:space="preserve"> Formy zabezpečenia záväzku</w:t>
            </w:r>
          </w:p>
        </w:tc>
        <w:tc>
          <w:tcPr>
            <w:tcW w:w="2092" w:type="dxa"/>
            <w:vAlign w:val="center"/>
          </w:tcPr>
          <w:p w:rsidR="008B66AC" w:rsidRDefault="008B66AC">
            <w:pPr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Suma zabez. záväzku</w:t>
            </w:r>
          </w:p>
        </w:tc>
      </w:tr>
      <w:tr w:rsidR="008B66AC">
        <w:trPr>
          <w:trHeight w:val="284"/>
        </w:trPr>
        <w:tc>
          <w:tcPr>
            <w:tcW w:w="6836" w:type="dxa"/>
            <w:vAlign w:val="center"/>
          </w:tcPr>
          <w:p w:rsidR="008B66AC" w:rsidRDefault="008B66AC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Zabezpečenie záväzku ručením</w:t>
            </w:r>
          </w:p>
        </w:tc>
        <w:tc>
          <w:tcPr>
            <w:tcW w:w="2092" w:type="dxa"/>
            <w:vAlign w:val="center"/>
          </w:tcPr>
          <w:p w:rsidR="008B66AC" w:rsidRDefault="008B66AC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8B66AC">
        <w:trPr>
          <w:trHeight w:val="284"/>
        </w:trPr>
        <w:tc>
          <w:tcPr>
            <w:tcW w:w="6836" w:type="dxa"/>
            <w:vAlign w:val="center"/>
          </w:tcPr>
          <w:p w:rsidR="008B66AC" w:rsidRDefault="008B66AC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Zabezpečenie záväzku zmluvnou pokutou</w:t>
            </w:r>
          </w:p>
        </w:tc>
        <w:tc>
          <w:tcPr>
            <w:tcW w:w="2092" w:type="dxa"/>
            <w:vAlign w:val="center"/>
          </w:tcPr>
          <w:p w:rsidR="008B66AC" w:rsidRDefault="008B66AC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8B66AC">
        <w:trPr>
          <w:trHeight w:val="284"/>
        </w:trPr>
        <w:tc>
          <w:tcPr>
            <w:tcW w:w="6836" w:type="dxa"/>
            <w:vAlign w:val="center"/>
          </w:tcPr>
          <w:p w:rsidR="008B66AC" w:rsidRDefault="008B66AC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Zabezpečovací prevod práva</w:t>
            </w:r>
          </w:p>
        </w:tc>
        <w:tc>
          <w:tcPr>
            <w:tcW w:w="2092" w:type="dxa"/>
            <w:vAlign w:val="center"/>
          </w:tcPr>
          <w:p w:rsidR="008B66AC" w:rsidRDefault="008B66AC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8B66AC">
        <w:trPr>
          <w:trHeight w:val="284"/>
        </w:trPr>
        <w:tc>
          <w:tcPr>
            <w:tcW w:w="6836" w:type="dxa"/>
            <w:vAlign w:val="center"/>
          </w:tcPr>
          <w:p w:rsidR="008B66AC" w:rsidRDefault="008B66AC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Zabezpečovacie postúpenie pohľadávky</w:t>
            </w:r>
          </w:p>
        </w:tc>
        <w:tc>
          <w:tcPr>
            <w:tcW w:w="2092" w:type="dxa"/>
            <w:vAlign w:val="center"/>
          </w:tcPr>
          <w:p w:rsidR="008B66AC" w:rsidRDefault="008B66AC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8B66AC">
        <w:trPr>
          <w:trHeight w:val="284"/>
        </w:trPr>
        <w:tc>
          <w:tcPr>
            <w:tcW w:w="6836" w:type="dxa"/>
            <w:vAlign w:val="center"/>
          </w:tcPr>
          <w:p w:rsidR="008B66AC" w:rsidRDefault="008B66AC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Iná forma zabezpečenie</w:t>
            </w:r>
          </w:p>
        </w:tc>
        <w:tc>
          <w:tcPr>
            <w:tcW w:w="2092" w:type="dxa"/>
            <w:vAlign w:val="center"/>
          </w:tcPr>
          <w:p w:rsidR="008B66AC" w:rsidRDefault="008B66AC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8B66AC">
        <w:trPr>
          <w:trHeight w:val="284"/>
        </w:trPr>
        <w:tc>
          <w:tcPr>
            <w:tcW w:w="6836" w:type="dxa"/>
            <w:vAlign w:val="center"/>
          </w:tcPr>
          <w:p w:rsidR="008B66AC" w:rsidRDefault="008B66AC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 xml:space="preserve"> Celková suma zabezpečených záväzkov</w:t>
            </w:r>
          </w:p>
        </w:tc>
        <w:tc>
          <w:tcPr>
            <w:tcW w:w="2092" w:type="dxa"/>
            <w:vAlign w:val="center"/>
          </w:tcPr>
          <w:p w:rsidR="008B66AC" w:rsidRDefault="008B66AC">
            <w:pPr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0</w:t>
            </w:r>
          </w:p>
        </w:tc>
      </w:tr>
    </w:tbl>
    <w:p w:rsidR="008B66AC" w:rsidRDefault="008B66AC">
      <w:pPr>
        <w:ind w:left="360"/>
        <w:rPr>
          <w:rFonts w:ascii="Times New Roman" w:hAnsi="Times New Roman" w:cs="Times New Roman"/>
        </w:rPr>
      </w:pPr>
    </w:p>
    <w:p w:rsidR="008B66AC" w:rsidRDefault="008B66AC">
      <w:pPr>
        <w:pStyle w:val="ListParagraph"/>
        <w:numPr>
          <w:ilvl w:val="0"/>
          <w:numId w:val="16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o vlastných akciách podľa § 4 ods. 4 písm. f) druhého bodu opatrenia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1464"/>
        <w:gridCol w:w="1506"/>
        <w:gridCol w:w="1484"/>
        <w:gridCol w:w="1504"/>
        <w:gridCol w:w="1485"/>
        <w:gridCol w:w="1485"/>
      </w:tblGrid>
      <w:tr w:rsidR="008B66AC">
        <w:tc>
          <w:tcPr>
            <w:tcW w:w="1464" w:type="dxa"/>
          </w:tcPr>
          <w:p w:rsidR="008B66AC" w:rsidRDefault="008B66AC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Počet a menovitá hodnota nadob. vlast. akcií počas účtovného obdobia</w:t>
            </w:r>
          </w:p>
        </w:tc>
        <w:tc>
          <w:tcPr>
            <w:tcW w:w="1506" w:type="dxa"/>
          </w:tcPr>
          <w:p w:rsidR="008B66AC" w:rsidRDefault="008B66AC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Počet a hodnota nadobudnutí a vlastných akcií počas účtov. obdobia</w:t>
            </w:r>
          </w:p>
        </w:tc>
        <w:tc>
          <w:tcPr>
            <w:tcW w:w="1484" w:type="dxa"/>
          </w:tcPr>
          <w:p w:rsidR="008B66AC" w:rsidRDefault="008B66AC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Podiel na upísanom základnom imaní v %</w:t>
            </w:r>
          </w:p>
        </w:tc>
        <w:tc>
          <w:tcPr>
            <w:tcW w:w="1504" w:type="dxa"/>
          </w:tcPr>
          <w:p w:rsidR="008B66AC" w:rsidRDefault="008B66AC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Menovitá hodnota prevedených vlast. akcií počas účtovného obdobia</w:t>
            </w:r>
          </w:p>
        </w:tc>
        <w:tc>
          <w:tcPr>
            <w:tcW w:w="1485" w:type="dxa"/>
          </w:tcPr>
          <w:p w:rsidR="008B66AC" w:rsidRDefault="008B66AC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Počet a hodnota prevedenia vlast. akcií počas účtovného obdobia</w:t>
            </w:r>
          </w:p>
        </w:tc>
        <w:tc>
          <w:tcPr>
            <w:tcW w:w="1485" w:type="dxa"/>
          </w:tcPr>
          <w:p w:rsidR="008B66AC" w:rsidRDefault="008B66AC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Podiel na základnom imaní v %</w:t>
            </w:r>
          </w:p>
        </w:tc>
      </w:tr>
      <w:tr w:rsidR="008B66AC">
        <w:trPr>
          <w:trHeight w:val="340"/>
        </w:trPr>
        <w:tc>
          <w:tcPr>
            <w:tcW w:w="1464" w:type="dxa"/>
            <w:vAlign w:val="center"/>
          </w:tcPr>
          <w:p w:rsidR="008B66AC" w:rsidRDefault="008B66A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06" w:type="dxa"/>
            <w:vAlign w:val="center"/>
          </w:tcPr>
          <w:p w:rsidR="008B66AC" w:rsidRDefault="008B66A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84" w:type="dxa"/>
            <w:vAlign w:val="center"/>
          </w:tcPr>
          <w:p w:rsidR="008B66AC" w:rsidRDefault="008B66A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04" w:type="dxa"/>
            <w:vAlign w:val="center"/>
          </w:tcPr>
          <w:p w:rsidR="008B66AC" w:rsidRDefault="008B66A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85" w:type="dxa"/>
            <w:vAlign w:val="center"/>
          </w:tcPr>
          <w:p w:rsidR="008B66AC" w:rsidRDefault="008B66A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85" w:type="dxa"/>
            <w:vAlign w:val="center"/>
          </w:tcPr>
          <w:p w:rsidR="008B66AC" w:rsidRDefault="008B66A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8B66AC">
        <w:trPr>
          <w:trHeight w:val="340"/>
        </w:trPr>
        <w:tc>
          <w:tcPr>
            <w:tcW w:w="1464" w:type="dxa"/>
            <w:vAlign w:val="center"/>
          </w:tcPr>
          <w:p w:rsidR="008B66AC" w:rsidRDefault="008B66A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506" w:type="dxa"/>
            <w:vAlign w:val="center"/>
          </w:tcPr>
          <w:p w:rsidR="008B66AC" w:rsidRDefault="008B66A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84" w:type="dxa"/>
            <w:vAlign w:val="center"/>
          </w:tcPr>
          <w:p w:rsidR="008B66AC" w:rsidRDefault="008B66A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504" w:type="dxa"/>
            <w:vAlign w:val="center"/>
          </w:tcPr>
          <w:p w:rsidR="008B66AC" w:rsidRDefault="008B66A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85" w:type="dxa"/>
            <w:vAlign w:val="center"/>
          </w:tcPr>
          <w:p w:rsidR="008B66AC" w:rsidRDefault="008B66A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85" w:type="dxa"/>
            <w:vAlign w:val="center"/>
          </w:tcPr>
          <w:p w:rsidR="008B66AC" w:rsidRDefault="008B66A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8B66AC">
        <w:trPr>
          <w:trHeight w:val="340"/>
        </w:trPr>
        <w:tc>
          <w:tcPr>
            <w:tcW w:w="1464" w:type="dxa"/>
            <w:vAlign w:val="center"/>
          </w:tcPr>
          <w:p w:rsidR="008B66AC" w:rsidRDefault="008B66A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506" w:type="dxa"/>
            <w:vAlign w:val="center"/>
          </w:tcPr>
          <w:p w:rsidR="008B66AC" w:rsidRDefault="008B66A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84" w:type="dxa"/>
            <w:vAlign w:val="center"/>
          </w:tcPr>
          <w:p w:rsidR="008B66AC" w:rsidRDefault="008B66A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504" w:type="dxa"/>
            <w:vAlign w:val="center"/>
          </w:tcPr>
          <w:p w:rsidR="008B66AC" w:rsidRDefault="008B66A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85" w:type="dxa"/>
            <w:vAlign w:val="center"/>
          </w:tcPr>
          <w:p w:rsidR="008B66AC" w:rsidRDefault="008B66A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85" w:type="dxa"/>
            <w:vAlign w:val="center"/>
          </w:tcPr>
          <w:p w:rsidR="008B66AC" w:rsidRDefault="008B66A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</w:tr>
    </w:tbl>
    <w:p w:rsidR="008B66AC" w:rsidRDefault="008B66AC">
      <w:pPr>
        <w:ind w:left="360"/>
        <w:rPr>
          <w:rFonts w:ascii="Times New Roman" w:hAnsi="Times New Roman" w:cs="Times New Roman"/>
        </w:rPr>
      </w:pPr>
    </w:p>
    <w:p w:rsidR="008B66AC" w:rsidRDefault="008B66AC">
      <w:pPr>
        <w:pStyle w:val="ListParagraph"/>
        <w:numPr>
          <w:ilvl w:val="0"/>
          <w:numId w:val="16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o vlastných akciách podľa § 4 ods. 4 písm. f) druhého bodu opatrenia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2980"/>
        <w:gridCol w:w="2981"/>
        <w:gridCol w:w="2967"/>
      </w:tblGrid>
      <w:tr w:rsidR="008B66AC">
        <w:tc>
          <w:tcPr>
            <w:tcW w:w="2980" w:type="dxa"/>
          </w:tcPr>
          <w:p w:rsidR="008B66AC" w:rsidRDefault="008B66AC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Počet a menovitá hodnota vlastných akcií držaných k poslednému dňu účtovného obdobia</w:t>
            </w:r>
          </w:p>
        </w:tc>
        <w:tc>
          <w:tcPr>
            <w:tcW w:w="2981" w:type="dxa"/>
          </w:tcPr>
          <w:p w:rsidR="008B66AC" w:rsidRDefault="008B66AC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Počet a hodnota nadobudnutia vlastných akcií držaných k poslednému dňu účtovného obdobia</w:t>
            </w:r>
          </w:p>
        </w:tc>
        <w:tc>
          <w:tcPr>
            <w:tcW w:w="2967" w:type="dxa"/>
          </w:tcPr>
          <w:p w:rsidR="008B66AC" w:rsidRDefault="008B66AC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Podiel na upísanom základnom imaní v %</w:t>
            </w:r>
          </w:p>
        </w:tc>
      </w:tr>
      <w:tr w:rsidR="008B66AC">
        <w:trPr>
          <w:trHeight w:val="340"/>
        </w:trPr>
        <w:tc>
          <w:tcPr>
            <w:tcW w:w="2980" w:type="dxa"/>
            <w:vAlign w:val="center"/>
          </w:tcPr>
          <w:p w:rsidR="008B66AC" w:rsidRDefault="008B66A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981" w:type="dxa"/>
            <w:vAlign w:val="center"/>
          </w:tcPr>
          <w:p w:rsidR="008B66AC" w:rsidRDefault="008B66A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967" w:type="dxa"/>
            <w:vAlign w:val="center"/>
          </w:tcPr>
          <w:p w:rsidR="008B66AC" w:rsidRDefault="008B66A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8B66AC">
        <w:trPr>
          <w:trHeight w:val="340"/>
        </w:trPr>
        <w:tc>
          <w:tcPr>
            <w:tcW w:w="2980" w:type="dxa"/>
            <w:vAlign w:val="center"/>
          </w:tcPr>
          <w:p w:rsidR="008B66AC" w:rsidRDefault="008B66A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981" w:type="dxa"/>
            <w:vAlign w:val="center"/>
          </w:tcPr>
          <w:p w:rsidR="008B66AC" w:rsidRDefault="008B66A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967" w:type="dxa"/>
            <w:vAlign w:val="center"/>
          </w:tcPr>
          <w:p w:rsidR="008B66AC" w:rsidRDefault="008B66A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8B66AC">
        <w:trPr>
          <w:trHeight w:val="340"/>
        </w:trPr>
        <w:tc>
          <w:tcPr>
            <w:tcW w:w="2980" w:type="dxa"/>
            <w:vAlign w:val="center"/>
          </w:tcPr>
          <w:p w:rsidR="008B66AC" w:rsidRDefault="008B66A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981" w:type="dxa"/>
            <w:vAlign w:val="center"/>
          </w:tcPr>
          <w:p w:rsidR="008B66AC" w:rsidRDefault="008B66A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967" w:type="dxa"/>
            <w:vAlign w:val="center"/>
          </w:tcPr>
          <w:p w:rsidR="008B66AC" w:rsidRDefault="008B66A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</w:tr>
    </w:tbl>
    <w:p w:rsidR="008B66AC" w:rsidRDefault="008B66AC">
      <w:pPr>
        <w:ind w:left="360"/>
        <w:rPr>
          <w:rFonts w:ascii="Times New Roman" w:hAnsi="Times New Roman" w:cs="Times New Roman"/>
        </w:rPr>
      </w:pPr>
    </w:p>
    <w:p w:rsidR="008B66AC" w:rsidRDefault="008B66AC">
      <w:pPr>
        <w:pStyle w:val="ListParagraph"/>
        <w:numPr>
          <w:ilvl w:val="0"/>
          <w:numId w:val="16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o poskytnutých pôžičkách, zárukách a iných plnení pre členov štatutárnych orgánov, správnych orgánov a dozorných orgánov podľa ô 4 ods. 4 písm. g) druhého bodu opatrenia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4001"/>
        <w:gridCol w:w="850"/>
        <w:gridCol w:w="761"/>
        <w:gridCol w:w="709"/>
        <w:gridCol w:w="761"/>
        <w:gridCol w:w="850"/>
        <w:gridCol w:w="992"/>
      </w:tblGrid>
      <w:tr w:rsidR="008B66AC">
        <w:trPr>
          <w:cantSplit/>
        </w:trPr>
        <w:tc>
          <w:tcPr>
            <w:tcW w:w="4001" w:type="dxa"/>
            <w:vMerge w:val="restart"/>
            <w:vAlign w:val="center"/>
          </w:tcPr>
          <w:p w:rsidR="008B66AC" w:rsidRDefault="008B66AC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4819" w:type="dxa"/>
            <w:gridSpan w:val="6"/>
            <w:vAlign w:val="center"/>
          </w:tcPr>
          <w:p w:rsidR="008B66AC" w:rsidRDefault="008B66A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Orgány účtovnej jednotky</w:t>
            </w:r>
          </w:p>
        </w:tc>
      </w:tr>
      <w:tr w:rsidR="008B66AC">
        <w:trPr>
          <w:cantSplit/>
        </w:trPr>
        <w:tc>
          <w:tcPr>
            <w:tcW w:w="4001" w:type="dxa"/>
            <w:vMerge/>
            <w:vAlign w:val="center"/>
          </w:tcPr>
          <w:p w:rsidR="008B66AC" w:rsidRDefault="008B66AC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59" w:type="dxa"/>
            <w:gridSpan w:val="2"/>
            <w:vAlign w:val="center"/>
          </w:tcPr>
          <w:p w:rsidR="008B66AC" w:rsidRDefault="008B66A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Štatutárny</w:t>
            </w:r>
          </w:p>
        </w:tc>
        <w:tc>
          <w:tcPr>
            <w:tcW w:w="1418" w:type="dxa"/>
            <w:gridSpan w:val="2"/>
            <w:vAlign w:val="center"/>
          </w:tcPr>
          <w:p w:rsidR="008B66AC" w:rsidRDefault="008B66A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Správny</w:t>
            </w:r>
          </w:p>
        </w:tc>
        <w:tc>
          <w:tcPr>
            <w:tcW w:w="1842" w:type="dxa"/>
            <w:gridSpan w:val="2"/>
            <w:vAlign w:val="center"/>
          </w:tcPr>
          <w:p w:rsidR="008B66AC" w:rsidRDefault="008B66A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Dozorný</w:t>
            </w:r>
          </w:p>
        </w:tc>
      </w:tr>
      <w:tr w:rsidR="008B66AC">
        <w:trPr>
          <w:cantSplit/>
        </w:trPr>
        <w:tc>
          <w:tcPr>
            <w:tcW w:w="4001" w:type="dxa"/>
            <w:vMerge/>
            <w:vAlign w:val="center"/>
          </w:tcPr>
          <w:p w:rsidR="008B66AC" w:rsidRDefault="008B66AC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vAlign w:val="center"/>
          </w:tcPr>
          <w:p w:rsidR="008B66AC" w:rsidRDefault="008B66A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suma</w:t>
            </w:r>
          </w:p>
        </w:tc>
        <w:tc>
          <w:tcPr>
            <w:tcW w:w="709" w:type="dxa"/>
            <w:vAlign w:val="center"/>
          </w:tcPr>
          <w:p w:rsidR="008B66AC" w:rsidRDefault="008B66A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úrok. sadzba</w:t>
            </w:r>
          </w:p>
        </w:tc>
        <w:tc>
          <w:tcPr>
            <w:tcW w:w="709" w:type="dxa"/>
            <w:vAlign w:val="center"/>
          </w:tcPr>
          <w:p w:rsidR="008B66AC" w:rsidRDefault="008B66A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suma</w:t>
            </w:r>
          </w:p>
        </w:tc>
        <w:tc>
          <w:tcPr>
            <w:tcW w:w="709" w:type="dxa"/>
            <w:vAlign w:val="center"/>
          </w:tcPr>
          <w:p w:rsidR="008B66AC" w:rsidRDefault="008B66A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úrok. sadzba</w:t>
            </w:r>
          </w:p>
        </w:tc>
        <w:tc>
          <w:tcPr>
            <w:tcW w:w="850" w:type="dxa"/>
            <w:vAlign w:val="center"/>
          </w:tcPr>
          <w:p w:rsidR="008B66AC" w:rsidRDefault="008B66A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suma</w:t>
            </w:r>
          </w:p>
        </w:tc>
        <w:tc>
          <w:tcPr>
            <w:tcW w:w="992" w:type="dxa"/>
            <w:vAlign w:val="center"/>
          </w:tcPr>
          <w:p w:rsidR="008B66AC" w:rsidRDefault="008B66A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úrok. sadzba</w:t>
            </w:r>
          </w:p>
        </w:tc>
      </w:tr>
      <w:tr w:rsidR="008B66AC">
        <w:trPr>
          <w:trHeight w:val="340"/>
        </w:trPr>
        <w:tc>
          <w:tcPr>
            <w:tcW w:w="4001" w:type="dxa"/>
            <w:vAlign w:val="center"/>
          </w:tcPr>
          <w:p w:rsidR="008B66AC" w:rsidRDefault="008B66AC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Celková suma poskytnutých pôžičiek</w:t>
            </w:r>
          </w:p>
        </w:tc>
        <w:tc>
          <w:tcPr>
            <w:tcW w:w="850" w:type="dxa"/>
            <w:vAlign w:val="center"/>
          </w:tcPr>
          <w:p w:rsidR="008B66AC" w:rsidRDefault="008B66A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  <w:vAlign w:val="center"/>
          </w:tcPr>
          <w:p w:rsidR="008B66AC" w:rsidRDefault="008B66A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vAlign w:val="center"/>
          </w:tcPr>
          <w:p w:rsidR="008B66AC" w:rsidRDefault="008B66A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  <w:vAlign w:val="center"/>
          </w:tcPr>
          <w:p w:rsidR="008B66AC" w:rsidRDefault="008B66A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vAlign w:val="center"/>
          </w:tcPr>
          <w:p w:rsidR="008B66AC" w:rsidRDefault="008B66A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vAlign w:val="center"/>
          </w:tcPr>
          <w:p w:rsidR="008B66AC" w:rsidRDefault="008B66A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8B66AC">
        <w:trPr>
          <w:trHeight w:val="340"/>
        </w:trPr>
        <w:tc>
          <w:tcPr>
            <w:tcW w:w="4001" w:type="dxa"/>
            <w:vAlign w:val="center"/>
          </w:tcPr>
          <w:p w:rsidR="008B66AC" w:rsidRDefault="008B66AC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Celková suma splatených pôžičiek</w:t>
            </w:r>
          </w:p>
        </w:tc>
        <w:tc>
          <w:tcPr>
            <w:tcW w:w="850" w:type="dxa"/>
            <w:vAlign w:val="center"/>
          </w:tcPr>
          <w:p w:rsidR="008B66AC" w:rsidRDefault="008B66A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  <w:vAlign w:val="center"/>
          </w:tcPr>
          <w:p w:rsidR="008B66AC" w:rsidRDefault="008B66A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709" w:type="dxa"/>
            <w:vAlign w:val="center"/>
          </w:tcPr>
          <w:p w:rsidR="008B66AC" w:rsidRDefault="008B66A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  <w:vAlign w:val="center"/>
          </w:tcPr>
          <w:p w:rsidR="008B66AC" w:rsidRDefault="008B66A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850" w:type="dxa"/>
            <w:vAlign w:val="center"/>
          </w:tcPr>
          <w:p w:rsidR="008B66AC" w:rsidRDefault="008B66A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vAlign w:val="center"/>
          </w:tcPr>
          <w:p w:rsidR="008B66AC" w:rsidRDefault="008B66A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</w:tr>
      <w:tr w:rsidR="008B66AC">
        <w:trPr>
          <w:trHeight w:val="340"/>
        </w:trPr>
        <w:tc>
          <w:tcPr>
            <w:tcW w:w="4001" w:type="dxa"/>
            <w:vAlign w:val="center"/>
          </w:tcPr>
          <w:p w:rsidR="008B66AC" w:rsidRDefault="008B66AC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Celková suma odpustených a odpísaných pôžičiek k poslednému dňu účtovného obdobia</w:t>
            </w:r>
          </w:p>
        </w:tc>
        <w:tc>
          <w:tcPr>
            <w:tcW w:w="850" w:type="dxa"/>
            <w:vAlign w:val="center"/>
          </w:tcPr>
          <w:p w:rsidR="008B66AC" w:rsidRDefault="008B66A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  <w:vAlign w:val="center"/>
          </w:tcPr>
          <w:p w:rsidR="008B66AC" w:rsidRDefault="008B66A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709" w:type="dxa"/>
            <w:vAlign w:val="center"/>
          </w:tcPr>
          <w:p w:rsidR="008B66AC" w:rsidRDefault="008B66A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  <w:vAlign w:val="center"/>
          </w:tcPr>
          <w:p w:rsidR="008B66AC" w:rsidRDefault="008B66A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850" w:type="dxa"/>
            <w:vAlign w:val="center"/>
          </w:tcPr>
          <w:p w:rsidR="008B66AC" w:rsidRDefault="008B66A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vAlign w:val="center"/>
          </w:tcPr>
          <w:p w:rsidR="008B66AC" w:rsidRDefault="008B66A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</w:tr>
      <w:tr w:rsidR="008B66AC">
        <w:trPr>
          <w:trHeight w:val="340"/>
        </w:trPr>
        <w:tc>
          <w:tcPr>
            <w:tcW w:w="4001" w:type="dxa"/>
            <w:vAlign w:val="center"/>
          </w:tcPr>
          <w:p w:rsidR="008B66AC" w:rsidRDefault="008B66AC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Poskytnuné preddavky na budúce mzdy</w:t>
            </w:r>
          </w:p>
        </w:tc>
        <w:tc>
          <w:tcPr>
            <w:tcW w:w="850" w:type="dxa"/>
            <w:vAlign w:val="center"/>
          </w:tcPr>
          <w:p w:rsidR="008B66AC" w:rsidRDefault="008B66A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  <w:vAlign w:val="center"/>
          </w:tcPr>
          <w:p w:rsidR="008B66AC" w:rsidRDefault="008B66A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vAlign w:val="center"/>
          </w:tcPr>
          <w:p w:rsidR="008B66AC" w:rsidRDefault="008B66A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  <w:vAlign w:val="center"/>
          </w:tcPr>
          <w:p w:rsidR="008B66AC" w:rsidRDefault="008B66A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vAlign w:val="center"/>
          </w:tcPr>
          <w:p w:rsidR="008B66AC" w:rsidRDefault="008B66A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vAlign w:val="center"/>
          </w:tcPr>
          <w:p w:rsidR="008B66AC" w:rsidRDefault="008B66A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8B66AC">
        <w:trPr>
          <w:trHeight w:val="340"/>
        </w:trPr>
        <w:tc>
          <w:tcPr>
            <w:tcW w:w="4001" w:type="dxa"/>
            <w:vAlign w:val="center"/>
          </w:tcPr>
          <w:p w:rsidR="008B66AC" w:rsidRDefault="008B66AC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Celková suma záruk podľa jednotlivých druhov záruk</w:t>
            </w:r>
          </w:p>
        </w:tc>
        <w:tc>
          <w:tcPr>
            <w:tcW w:w="850" w:type="dxa"/>
            <w:vAlign w:val="center"/>
          </w:tcPr>
          <w:p w:rsidR="008B66AC" w:rsidRDefault="008B66A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  <w:vAlign w:val="center"/>
          </w:tcPr>
          <w:p w:rsidR="008B66AC" w:rsidRDefault="008B66A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709" w:type="dxa"/>
            <w:vAlign w:val="center"/>
          </w:tcPr>
          <w:p w:rsidR="008B66AC" w:rsidRDefault="008B66A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  <w:vAlign w:val="center"/>
          </w:tcPr>
          <w:p w:rsidR="008B66AC" w:rsidRDefault="008B66A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850" w:type="dxa"/>
            <w:vAlign w:val="center"/>
          </w:tcPr>
          <w:p w:rsidR="008B66AC" w:rsidRDefault="008B66A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vAlign w:val="center"/>
          </w:tcPr>
          <w:p w:rsidR="008B66AC" w:rsidRDefault="008B66A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</w:tr>
      <w:tr w:rsidR="008B66AC">
        <w:trPr>
          <w:trHeight w:val="340"/>
        </w:trPr>
        <w:tc>
          <w:tcPr>
            <w:tcW w:w="4001" w:type="dxa"/>
            <w:vAlign w:val="center"/>
          </w:tcPr>
          <w:p w:rsidR="008B66AC" w:rsidRDefault="008B66AC">
            <w:pPr>
              <w:pStyle w:val="ListParagraph"/>
              <w:numPr>
                <w:ilvl w:val="0"/>
                <w:numId w:val="18"/>
              </w:num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záruky, garancie</w:t>
            </w:r>
          </w:p>
        </w:tc>
        <w:tc>
          <w:tcPr>
            <w:tcW w:w="850" w:type="dxa"/>
            <w:vAlign w:val="center"/>
          </w:tcPr>
          <w:p w:rsidR="008B66AC" w:rsidRDefault="008B66A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  <w:vAlign w:val="center"/>
          </w:tcPr>
          <w:p w:rsidR="008B66AC" w:rsidRDefault="008B66A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709" w:type="dxa"/>
            <w:vAlign w:val="center"/>
          </w:tcPr>
          <w:p w:rsidR="008B66AC" w:rsidRDefault="008B66A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  <w:vAlign w:val="center"/>
          </w:tcPr>
          <w:p w:rsidR="008B66AC" w:rsidRDefault="008B66A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850" w:type="dxa"/>
            <w:vAlign w:val="center"/>
          </w:tcPr>
          <w:p w:rsidR="008B66AC" w:rsidRDefault="008B66A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vAlign w:val="center"/>
          </w:tcPr>
          <w:p w:rsidR="008B66AC" w:rsidRDefault="008B66A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</w:tr>
      <w:tr w:rsidR="008B66AC">
        <w:trPr>
          <w:trHeight w:val="340"/>
        </w:trPr>
        <w:tc>
          <w:tcPr>
            <w:tcW w:w="4001" w:type="dxa"/>
            <w:vAlign w:val="center"/>
          </w:tcPr>
          <w:p w:rsidR="008B66AC" w:rsidRDefault="008B66AC">
            <w:pPr>
              <w:pStyle w:val="ListParagraph"/>
              <w:numPr>
                <w:ilvl w:val="0"/>
                <w:numId w:val="18"/>
              </w:num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ručenie</w:t>
            </w:r>
          </w:p>
        </w:tc>
        <w:tc>
          <w:tcPr>
            <w:tcW w:w="850" w:type="dxa"/>
            <w:vAlign w:val="center"/>
          </w:tcPr>
          <w:p w:rsidR="008B66AC" w:rsidRDefault="008B66A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  <w:vAlign w:val="center"/>
          </w:tcPr>
          <w:p w:rsidR="008B66AC" w:rsidRDefault="008B66A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709" w:type="dxa"/>
            <w:vAlign w:val="center"/>
          </w:tcPr>
          <w:p w:rsidR="008B66AC" w:rsidRDefault="008B66A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  <w:vAlign w:val="center"/>
          </w:tcPr>
          <w:p w:rsidR="008B66AC" w:rsidRDefault="008B66A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850" w:type="dxa"/>
            <w:vAlign w:val="center"/>
          </w:tcPr>
          <w:p w:rsidR="008B66AC" w:rsidRDefault="008B66A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vAlign w:val="center"/>
          </w:tcPr>
          <w:p w:rsidR="008B66AC" w:rsidRDefault="008B66A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</w:tr>
    </w:tbl>
    <w:p w:rsidR="008B66AC" w:rsidRDefault="008B66AC">
      <w:pPr>
        <w:rPr>
          <w:rFonts w:ascii="Times New Roman" w:hAnsi="Times New Roman" w:cs="Times New Roman"/>
        </w:rPr>
      </w:pPr>
    </w:p>
    <w:sectPr w:rsidR="008B66AC" w:rsidSect="008B66AC">
      <w:headerReference w:type="default" r:id="rId7"/>
      <w:pgSz w:w="11906" w:h="16838"/>
      <w:pgMar w:top="1417" w:right="1417" w:bottom="1417" w:left="1417" w:header="708" w:footer="708" w:gutter="0"/>
      <w:pgNumType w:start="7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B66AC" w:rsidRDefault="008B66AC">
      <w:pPr>
        <w:spacing w:after="0" w:line="240" w:lineRule="auto"/>
      </w:pPr>
      <w:r>
        <w:separator/>
      </w:r>
    </w:p>
  </w:endnote>
  <w:endnote w:type="continuationSeparator" w:id="0">
    <w:p w:rsidR="008B66AC" w:rsidRDefault="008B66A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B66AC" w:rsidRDefault="008B66AC">
      <w:pPr>
        <w:spacing w:after="0" w:line="240" w:lineRule="auto"/>
      </w:pPr>
      <w:r>
        <w:separator/>
      </w:r>
    </w:p>
  </w:footnote>
  <w:footnote w:type="continuationSeparator" w:id="0">
    <w:p w:rsidR="008B66AC" w:rsidRDefault="008B66AC">
      <w:pPr>
        <w:spacing w:after="0" w:line="240" w:lineRule="auto"/>
      </w:pPr>
      <w:r>
        <w:continuationSeparator/>
      </w:r>
    </w:p>
  </w:footnote>
  <w:footnote w:id="1">
    <w:p w:rsidR="008B66AC" w:rsidRDefault="008B66AC">
      <w:pPr>
        <w:pStyle w:val="FootnoteText"/>
        <w:jc w:val="both"/>
        <w:rPr>
          <w:sz w:val="16"/>
          <w:szCs w:val="16"/>
        </w:rPr>
      </w:pPr>
      <w:r>
        <w:rPr>
          <w:sz w:val="16"/>
          <w:szCs w:val="16"/>
        </w:rPr>
        <w:t>4 ) 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</w:t>
      </w:r>
    </w:p>
    <w:p w:rsidR="008B66AC" w:rsidRDefault="008B66AC">
      <w:pPr>
        <w:pStyle w:val="FootnoteText"/>
        <w:jc w:val="both"/>
      </w:pPr>
      <w:r>
        <w:rPr>
          <w:sz w:val="16"/>
          <w:szCs w:val="16"/>
        </w:rPr>
        <w:t>Nariadenie Komisie (ES) č. 1126/2008 z 3. novembra 2008, ktorým sa v súlade s nariadením Európskeho parlamentu a Rady (ES) č. 1606/2002 prijímajú určité medzinárodné účtovné štandardy (Ú. v. EÚ L 320, 29. 11. 2008) v platnom znení.</w:t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B66AC" w:rsidRDefault="008B66AC">
    <w:pPr>
      <w:pStyle w:val="Header"/>
      <w:rPr>
        <w:b/>
        <w:bCs/>
        <w:sz w:val="18"/>
        <w:szCs w:val="18"/>
      </w:rPr>
    </w:pPr>
    <w:r>
      <w:rPr>
        <w:b/>
        <w:bCs/>
        <w:sz w:val="18"/>
        <w:szCs w:val="18"/>
      </w:rPr>
      <w:t>Poznámky Úč MÚJ 3 – 01</w:t>
    </w:r>
    <w:r>
      <w:rPr>
        <w:b/>
        <w:bCs/>
        <w:sz w:val="18"/>
        <w:szCs w:val="18"/>
      </w:rPr>
      <w:tab/>
      <w:t>IČO: 45 339 996</w:t>
    </w:r>
    <w:r>
      <w:rPr>
        <w:rStyle w:val="ra"/>
        <w:rFonts w:ascii="Tahoma" w:hAnsi="Tahoma" w:cs="Tahoma"/>
        <w:b/>
        <w:bCs/>
      </w:rPr>
      <w:t xml:space="preserve"> </w:t>
    </w:r>
    <w:r>
      <w:rPr>
        <w:b/>
        <w:bCs/>
        <w:sz w:val="18"/>
        <w:szCs w:val="18"/>
      </w:rPr>
      <w:tab/>
      <w:t xml:space="preserve">DIČ: 2022956155  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EE603F"/>
    <w:multiLevelType w:val="hybridMultilevel"/>
    <w:tmpl w:val="B6EC2688"/>
    <w:lvl w:ilvl="0" w:tplc="9B56BC34">
      <w:start w:val="1"/>
      <w:numFmt w:val="decimal"/>
      <w:lvlText w:val="(%1)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/>
      </w:rPr>
    </w:lvl>
  </w:abstractNum>
  <w:abstractNum w:abstractNumId="1">
    <w:nsid w:val="079B06F1"/>
    <w:multiLevelType w:val="hybridMultilevel"/>
    <w:tmpl w:val="092C2EBA"/>
    <w:lvl w:ilvl="0" w:tplc="8B3611F4">
      <w:start w:val="1"/>
      <w:numFmt w:val="decimal"/>
      <w:lvlText w:val="%1."/>
      <w:lvlJc w:val="left"/>
      <w:pPr>
        <w:ind w:left="1440" w:hanging="360"/>
      </w:pPr>
      <w:rPr>
        <w:rFonts w:ascii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ind w:left="216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88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360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432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504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76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648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7200" w:hanging="180"/>
      </w:pPr>
      <w:rPr>
        <w:rFonts w:ascii="Times New Roman" w:hAnsi="Times New Roman" w:cs="Times New Roman"/>
      </w:rPr>
    </w:lvl>
  </w:abstractNum>
  <w:abstractNum w:abstractNumId="2">
    <w:nsid w:val="08E90312"/>
    <w:multiLevelType w:val="hybridMultilevel"/>
    <w:tmpl w:val="4B6035FE"/>
    <w:lvl w:ilvl="0" w:tplc="CC4E5BB2">
      <w:start w:val="1"/>
      <w:numFmt w:val="decimal"/>
      <w:lvlText w:val="%1."/>
      <w:lvlJc w:val="left"/>
      <w:pPr>
        <w:ind w:left="1440" w:hanging="360"/>
      </w:pPr>
      <w:rPr>
        <w:rFonts w:ascii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ind w:left="216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88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360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432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504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76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648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7200" w:hanging="180"/>
      </w:pPr>
      <w:rPr>
        <w:rFonts w:ascii="Times New Roman" w:hAnsi="Times New Roman" w:cs="Times New Roman"/>
      </w:rPr>
    </w:lvl>
  </w:abstractNum>
  <w:abstractNum w:abstractNumId="3">
    <w:nsid w:val="0D69391C"/>
    <w:multiLevelType w:val="hybridMultilevel"/>
    <w:tmpl w:val="B9A4697E"/>
    <w:lvl w:ilvl="0" w:tplc="2790493A">
      <w:start w:val="1"/>
      <w:numFmt w:val="lowerLetter"/>
      <w:lvlText w:val="%1)"/>
      <w:lvlJc w:val="left"/>
      <w:pPr>
        <w:ind w:left="1080" w:hanging="360"/>
      </w:pPr>
      <w:rPr>
        <w:rFonts w:ascii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ind w:left="180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52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324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96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68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40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612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840" w:hanging="180"/>
      </w:pPr>
      <w:rPr>
        <w:rFonts w:ascii="Times New Roman" w:hAnsi="Times New Roman" w:cs="Times New Roman"/>
      </w:rPr>
    </w:lvl>
  </w:abstractNum>
  <w:abstractNum w:abstractNumId="4">
    <w:nsid w:val="0E101C8A"/>
    <w:multiLevelType w:val="hybridMultilevel"/>
    <w:tmpl w:val="C0202ECE"/>
    <w:lvl w:ilvl="0" w:tplc="BDF887C2">
      <w:start w:val="1"/>
      <w:numFmt w:val="decimal"/>
      <w:lvlText w:val="(%1)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/>
      </w:rPr>
    </w:lvl>
  </w:abstractNum>
  <w:abstractNum w:abstractNumId="5">
    <w:nsid w:val="11243507"/>
    <w:multiLevelType w:val="hybridMultilevel"/>
    <w:tmpl w:val="E7ECE9DE"/>
    <w:lvl w:ilvl="0" w:tplc="6B249B44">
      <w:start w:val="4"/>
      <w:numFmt w:val="bullet"/>
      <w:lvlText w:val=""/>
      <w:lvlJc w:val="left"/>
      <w:pPr>
        <w:ind w:left="600" w:hanging="360"/>
      </w:pPr>
      <w:rPr>
        <w:rFonts w:ascii="Symbol" w:eastAsia="Times New Roman" w:hAnsi="Symbol" w:hint="default"/>
      </w:rPr>
    </w:lvl>
    <w:lvl w:ilvl="1" w:tplc="041B0003">
      <w:start w:val="1"/>
      <w:numFmt w:val="bullet"/>
      <w:lvlText w:val="o"/>
      <w:lvlJc w:val="left"/>
      <w:pPr>
        <w:ind w:left="132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04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76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48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20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92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64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360" w:hanging="360"/>
      </w:pPr>
      <w:rPr>
        <w:rFonts w:ascii="Wingdings" w:hAnsi="Wingdings" w:cs="Wingdings" w:hint="default"/>
      </w:rPr>
    </w:lvl>
  </w:abstractNum>
  <w:abstractNum w:abstractNumId="6">
    <w:nsid w:val="11BA4BF2"/>
    <w:multiLevelType w:val="hybridMultilevel"/>
    <w:tmpl w:val="6964AD7C"/>
    <w:lvl w:ilvl="0" w:tplc="345C391C">
      <w:start w:val="1"/>
      <w:numFmt w:val="lowerLetter"/>
      <w:lvlText w:val="%1)"/>
      <w:lvlJc w:val="left"/>
      <w:pPr>
        <w:ind w:left="1080" w:hanging="360"/>
      </w:pPr>
      <w:rPr>
        <w:rFonts w:ascii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ind w:left="180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52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324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96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68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40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612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840" w:hanging="180"/>
      </w:pPr>
      <w:rPr>
        <w:rFonts w:ascii="Times New Roman" w:hAnsi="Times New Roman" w:cs="Times New Roman"/>
      </w:rPr>
    </w:lvl>
  </w:abstractNum>
  <w:abstractNum w:abstractNumId="7">
    <w:nsid w:val="1393271D"/>
    <w:multiLevelType w:val="hybridMultilevel"/>
    <w:tmpl w:val="591C204E"/>
    <w:lvl w:ilvl="0" w:tplc="041B000F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/>
      </w:rPr>
    </w:lvl>
  </w:abstractNum>
  <w:abstractNum w:abstractNumId="8">
    <w:nsid w:val="1CDC5279"/>
    <w:multiLevelType w:val="hybridMultilevel"/>
    <w:tmpl w:val="FC38B08A"/>
    <w:lvl w:ilvl="0" w:tplc="609A4704">
      <w:start w:val="1"/>
      <w:numFmt w:val="lowerLetter"/>
      <w:lvlText w:val="%1)"/>
      <w:lvlJc w:val="left"/>
      <w:pPr>
        <w:ind w:left="1080" w:hanging="360"/>
      </w:pPr>
      <w:rPr>
        <w:rFonts w:ascii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ind w:left="180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52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324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96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68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40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612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840" w:hanging="180"/>
      </w:pPr>
      <w:rPr>
        <w:rFonts w:ascii="Times New Roman" w:hAnsi="Times New Roman" w:cs="Times New Roman"/>
      </w:rPr>
    </w:lvl>
  </w:abstractNum>
  <w:abstractNum w:abstractNumId="9">
    <w:nsid w:val="1E5304E1"/>
    <w:multiLevelType w:val="hybridMultilevel"/>
    <w:tmpl w:val="69986A4E"/>
    <w:lvl w:ilvl="0" w:tplc="B9A21838">
      <w:start w:val="1"/>
      <w:numFmt w:val="lowerLetter"/>
      <w:lvlText w:val="%1)"/>
      <w:lvlJc w:val="left"/>
      <w:pPr>
        <w:ind w:left="1080" w:hanging="360"/>
      </w:pPr>
      <w:rPr>
        <w:rFonts w:ascii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ind w:left="180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52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324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96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68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40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612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840" w:hanging="180"/>
      </w:pPr>
      <w:rPr>
        <w:rFonts w:ascii="Times New Roman" w:hAnsi="Times New Roman" w:cs="Times New Roman"/>
      </w:rPr>
    </w:lvl>
  </w:abstractNum>
  <w:abstractNum w:abstractNumId="10">
    <w:nsid w:val="2FB85A30"/>
    <w:multiLevelType w:val="hybridMultilevel"/>
    <w:tmpl w:val="BCD0E796"/>
    <w:lvl w:ilvl="0" w:tplc="281C31EE">
      <w:start w:val="1"/>
      <w:numFmt w:val="lowerLetter"/>
      <w:lvlText w:val="%1)"/>
      <w:lvlJc w:val="left"/>
      <w:pPr>
        <w:ind w:left="1080" w:hanging="360"/>
      </w:pPr>
      <w:rPr>
        <w:rFonts w:ascii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ind w:left="180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52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324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96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68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40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612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840" w:hanging="180"/>
      </w:pPr>
      <w:rPr>
        <w:rFonts w:ascii="Times New Roman" w:hAnsi="Times New Roman" w:cs="Times New Roman"/>
      </w:rPr>
    </w:lvl>
  </w:abstractNum>
  <w:abstractNum w:abstractNumId="11">
    <w:nsid w:val="36FA651C"/>
    <w:multiLevelType w:val="hybridMultilevel"/>
    <w:tmpl w:val="51189372"/>
    <w:lvl w:ilvl="0" w:tplc="951A944A">
      <w:start w:val="1"/>
      <w:numFmt w:val="decimal"/>
      <w:lvlText w:val="%1."/>
      <w:lvlJc w:val="left"/>
      <w:pPr>
        <w:ind w:left="1440" w:hanging="360"/>
      </w:pPr>
      <w:rPr>
        <w:rFonts w:ascii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ind w:left="216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88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360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432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504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76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648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7200" w:hanging="180"/>
      </w:pPr>
      <w:rPr>
        <w:rFonts w:ascii="Times New Roman" w:hAnsi="Times New Roman" w:cs="Times New Roman"/>
      </w:rPr>
    </w:lvl>
  </w:abstractNum>
  <w:abstractNum w:abstractNumId="12">
    <w:nsid w:val="3FA26D9C"/>
    <w:multiLevelType w:val="hybridMultilevel"/>
    <w:tmpl w:val="36AE04AE"/>
    <w:lvl w:ilvl="0" w:tplc="6BB45B62">
      <w:start w:val="1"/>
      <w:numFmt w:val="decimal"/>
      <w:lvlText w:val="%1."/>
      <w:lvlJc w:val="left"/>
      <w:pPr>
        <w:ind w:left="1440" w:hanging="360"/>
      </w:pPr>
      <w:rPr>
        <w:rFonts w:ascii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ind w:left="216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88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360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432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504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76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648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7200" w:hanging="180"/>
      </w:pPr>
      <w:rPr>
        <w:rFonts w:ascii="Times New Roman" w:hAnsi="Times New Roman" w:cs="Times New Roman"/>
      </w:rPr>
    </w:lvl>
  </w:abstractNum>
  <w:abstractNum w:abstractNumId="13">
    <w:nsid w:val="46206AB9"/>
    <w:multiLevelType w:val="hybridMultilevel"/>
    <w:tmpl w:val="37D41DAE"/>
    <w:lvl w:ilvl="0" w:tplc="BF166118">
      <w:start w:val="1"/>
      <w:numFmt w:val="lowerLetter"/>
      <w:lvlText w:val="%1)"/>
      <w:lvlJc w:val="left"/>
      <w:pPr>
        <w:ind w:left="1080" w:hanging="360"/>
      </w:pPr>
      <w:rPr>
        <w:rFonts w:ascii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ind w:left="180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52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324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96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68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40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612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840" w:hanging="180"/>
      </w:pPr>
      <w:rPr>
        <w:rFonts w:ascii="Times New Roman" w:hAnsi="Times New Roman" w:cs="Times New Roman"/>
      </w:rPr>
    </w:lvl>
  </w:abstractNum>
  <w:abstractNum w:abstractNumId="14">
    <w:nsid w:val="5A1E0758"/>
    <w:multiLevelType w:val="hybridMultilevel"/>
    <w:tmpl w:val="2F203F84"/>
    <w:lvl w:ilvl="0" w:tplc="83747C98">
      <w:start w:val="1"/>
      <w:numFmt w:val="lowerLetter"/>
      <w:lvlText w:val="%1)"/>
      <w:lvlJc w:val="left"/>
      <w:pPr>
        <w:ind w:left="1080" w:hanging="360"/>
      </w:pPr>
      <w:rPr>
        <w:rFonts w:ascii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ind w:left="180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52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324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96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68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40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612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840" w:hanging="180"/>
      </w:pPr>
      <w:rPr>
        <w:rFonts w:ascii="Times New Roman" w:hAnsi="Times New Roman" w:cs="Times New Roman"/>
      </w:rPr>
    </w:lvl>
  </w:abstractNum>
  <w:abstractNum w:abstractNumId="15">
    <w:nsid w:val="676C6859"/>
    <w:multiLevelType w:val="hybridMultilevel"/>
    <w:tmpl w:val="DFEE2BD6"/>
    <w:lvl w:ilvl="0" w:tplc="E4BED668">
      <w:start w:val="1"/>
      <w:numFmt w:val="bullet"/>
      <w:lvlText w:val="-"/>
      <w:lvlJc w:val="left"/>
      <w:pPr>
        <w:ind w:left="180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324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396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540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612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7560" w:hanging="360"/>
      </w:pPr>
      <w:rPr>
        <w:rFonts w:ascii="Wingdings" w:hAnsi="Wingdings" w:cs="Wingdings" w:hint="default"/>
      </w:rPr>
    </w:lvl>
  </w:abstractNum>
  <w:abstractNum w:abstractNumId="16">
    <w:nsid w:val="7F595B41"/>
    <w:multiLevelType w:val="hybridMultilevel"/>
    <w:tmpl w:val="A1F0098C"/>
    <w:lvl w:ilvl="0" w:tplc="F5A41F1A">
      <w:start w:val="1"/>
      <w:numFmt w:val="decimal"/>
      <w:lvlText w:val="(%1)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/>
      </w:rPr>
    </w:lvl>
  </w:abstractNum>
  <w:abstractNum w:abstractNumId="17">
    <w:nsid w:val="7FAE091B"/>
    <w:multiLevelType w:val="hybridMultilevel"/>
    <w:tmpl w:val="57FA911A"/>
    <w:lvl w:ilvl="0" w:tplc="732491CA">
      <w:start w:val="4"/>
      <w:numFmt w:val="bullet"/>
      <w:lvlText w:val=""/>
      <w:lvlJc w:val="left"/>
      <w:pPr>
        <w:ind w:left="720" w:hanging="360"/>
      </w:pPr>
      <w:rPr>
        <w:rFonts w:ascii="Symbol" w:eastAsia="Times New Roman" w:hAnsi="Symbol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num w:numId="1">
    <w:abstractNumId w:val="4"/>
  </w:num>
  <w:num w:numId="2">
    <w:abstractNumId w:val="9"/>
  </w:num>
  <w:num w:numId="3">
    <w:abstractNumId w:val="1"/>
  </w:num>
  <w:num w:numId="4">
    <w:abstractNumId w:val="0"/>
  </w:num>
  <w:num w:numId="5">
    <w:abstractNumId w:val="14"/>
  </w:num>
  <w:num w:numId="6">
    <w:abstractNumId w:val="16"/>
  </w:num>
  <w:num w:numId="7">
    <w:abstractNumId w:val="8"/>
  </w:num>
  <w:num w:numId="8">
    <w:abstractNumId w:val="6"/>
  </w:num>
  <w:num w:numId="9">
    <w:abstractNumId w:val="2"/>
  </w:num>
  <w:num w:numId="10">
    <w:abstractNumId w:val="13"/>
  </w:num>
  <w:num w:numId="11">
    <w:abstractNumId w:val="11"/>
  </w:num>
  <w:num w:numId="12">
    <w:abstractNumId w:val="3"/>
  </w:num>
  <w:num w:numId="13">
    <w:abstractNumId w:val="12"/>
  </w:num>
  <w:num w:numId="14">
    <w:abstractNumId w:val="15"/>
  </w:num>
  <w:num w:numId="15">
    <w:abstractNumId w:val="10"/>
  </w:num>
  <w:num w:numId="16">
    <w:abstractNumId w:val="7"/>
  </w:num>
  <w:num w:numId="17">
    <w:abstractNumId w:val="5"/>
  </w:num>
  <w:num w:numId="18">
    <w:abstractNumId w:val="1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autoHyphenation/>
  <w:hyphenationZone w:val="425"/>
  <w:doNotHyphenateCaps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doNotBreakWrappedTables/>
    <w:doNotSnapToGridInCell/>
    <w:selectFldWithFirstOrLastChar/>
    <w:doNotWrapTextWithPunct/>
    <w:doNotUseEastAsianBreakRules/>
    <w:useWord2002TableStyleRules/>
    <w:growAutofit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8B66AC"/>
    <w:rsid w:val="008B66A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nhideWhenUsed="0"/>
    <w:lsdException w:name="header" w:unhideWhenUsed="0"/>
    <w:lsdException w:name="footer" w:unhideWhenUsed="0"/>
    <w:lsdException w:name="caption" w:uiPriority="35" w:qFormat="1"/>
    <w:lsdException w:name="footnote reference" w:unhideWhenUsed="0"/>
    <w:lsdException w:name="Title" w:semiHidden="0" w:uiPriority="10" w:unhideWhenUsed="0" w:qFormat="1"/>
    <w:lsdException w:name="Default Paragraph Fon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spacing w:after="200" w:line="276" w:lineRule="auto"/>
    </w:pPr>
    <w:rPr>
      <w:rFonts w:ascii="Tahoma" w:hAnsi="Tahoma" w:cs="Tahoma"/>
      <w:sz w:val="20"/>
      <w:szCs w:val="20"/>
      <w:lang w:val="sk-SK"/>
    </w:rPr>
  </w:style>
  <w:style w:type="character" w:default="1" w:styleId="DefaultParagraphFont">
    <w:name w:val="Default Paragraph Font"/>
    <w:uiPriority w:val="99"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Pr>
      <w:rFonts w:ascii="Times New Roman" w:hAnsi="Times New Roman" w:cs="Times New Roman"/>
    </w:rPr>
  </w:style>
  <w:style w:type="paragraph" w:styleId="Footer">
    <w:name w:val="footer"/>
    <w:basedOn w:val="Normal"/>
    <w:link w:val="FooterChar"/>
    <w:uiPriority w:val="9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Pr>
      <w:rFonts w:ascii="Times New Roman" w:hAnsi="Times New Roman" w:cs="Times New Roman"/>
    </w:rPr>
  </w:style>
  <w:style w:type="paragraph" w:styleId="ListParagraph">
    <w:name w:val="List Paragraph"/>
    <w:basedOn w:val="Normal"/>
    <w:uiPriority w:val="99"/>
    <w:qFormat/>
    <w:pPr>
      <w:ind w:left="720"/>
    </w:pPr>
  </w:style>
  <w:style w:type="paragraph" w:styleId="FootnoteText">
    <w:name w:val="footnote text"/>
    <w:basedOn w:val="Normal"/>
    <w:link w:val="FootnoteTextChar"/>
    <w:uiPriority w:val="99"/>
    <w:pPr>
      <w:spacing w:after="0" w:line="240" w:lineRule="auto"/>
    </w:pPr>
  </w:style>
  <w:style w:type="character" w:customStyle="1" w:styleId="FootnoteTextChar">
    <w:name w:val="Footnote Text Char"/>
    <w:basedOn w:val="DefaultParagraphFont"/>
    <w:link w:val="FootnoteText"/>
    <w:uiPriority w:val="99"/>
    <w:rPr>
      <w:rFonts w:ascii="Times New Roman" w:hAnsi="Times New Roman" w:cs="Times New Roman"/>
    </w:rPr>
  </w:style>
  <w:style w:type="character" w:styleId="FootnoteReference">
    <w:name w:val="footnote reference"/>
    <w:basedOn w:val="DefaultParagraphFont"/>
    <w:uiPriority w:val="99"/>
    <w:rPr>
      <w:rFonts w:ascii="Times New Roman" w:hAnsi="Times New Roman" w:cs="Times New Roman"/>
      <w:vertAlign w:val="superscript"/>
    </w:rPr>
  </w:style>
  <w:style w:type="character" w:customStyle="1" w:styleId="ra">
    <w:name w:val="ra"/>
    <w:basedOn w:val="DefaultParagraphFont"/>
    <w:uiPriority w:val="99"/>
    <w:rPr>
      <w:rFonts w:ascii="Times New Roman" w:hAnsi="Times New Roman"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4</TotalTime>
  <Pages>6</Pages>
  <Words>1317</Words>
  <Characters>7507</Characters>
  <Application>Microsoft Office Outlook</Application>
  <DocSecurity>0</DocSecurity>
  <Lines>0</Lines>
  <Paragraphs>0</Paragraphs>
  <ScaleCrop>false</ScaleCrop>
  <Company>Your Company Name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Čl</dc:title>
  <dc:subject/>
  <dc:creator>Your User Name</dc:creator>
  <cp:keywords/>
  <dc:description/>
  <cp:lastModifiedBy> Virágova</cp:lastModifiedBy>
  <cp:revision>4</cp:revision>
  <dcterms:created xsi:type="dcterms:W3CDTF">2015-03-28T12:33:00Z</dcterms:created>
  <dcterms:modified xsi:type="dcterms:W3CDTF">2015-03-28T12:38:00Z</dcterms:modified>
</cp:coreProperties>
</file>