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4B1" w:rsidRPr="00EB4E02" w:rsidRDefault="009D44B1" w:rsidP="00EB4E02">
      <w:pPr>
        <w:pStyle w:val="Default"/>
        <w:jc w:val="center"/>
        <w:rPr>
          <w:color w:val="auto"/>
        </w:rPr>
      </w:pPr>
      <w:r w:rsidRPr="00EB4E02">
        <w:rPr>
          <w:b/>
          <w:bCs/>
          <w:color w:val="auto"/>
        </w:rPr>
        <w:t>Čl. I</w:t>
      </w:r>
    </w:p>
    <w:p w:rsidR="009D44B1" w:rsidRPr="00EB4E02" w:rsidRDefault="009D44B1" w:rsidP="00EB4E02">
      <w:pPr>
        <w:pStyle w:val="Default"/>
        <w:jc w:val="center"/>
        <w:rPr>
          <w:color w:val="auto"/>
        </w:rPr>
      </w:pPr>
      <w:r w:rsidRPr="00EB4E02">
        <w:rPr>
          <w:b/>
          <w:bCs/>
          <w:color w:val="auto"/>
        </w:rPr>
        <w:t>Všeobecné údaje</w:t>
      </w:r>
    </w:p>
    <w:p w:rsidR="009D44B1" w:rsidRPr="00EB4E02" w:rsidRDefault="009D44B1" w:rsidP="00EB4E02">
      <w:pPr>
        <w:pStyle w:val="Default"/>
        <w:rPr>
          <w:color w:val="auto"/>
        </w:rPr>
      </w:pPr>
    </w:p>
    <w:p w:rsidR="009D44B1" w:rsidRPr="00EB4E02" w:rsidRDefault="009D44B1" w:rsidP="00EB4E02">
      <w:pPr>
        <w:pStyle w:val="Default"/>
        <w:rPr>
          <w:color w:val="auto"/>
        </w:rPr>
      </w:pPr>
      <w:r w:rsidRPr="00EB4E02">
        <w:rPr>
          <w:color w:val="auto"/>
        </w:rPr>
        <w:t>(1) Názov právnickej osoby a jej sídlo</w:t>
      </w:r>
      <w:r w:rsidRPr="00EB4E02">
        <w:rPr>
          <w:color w:val="FF0000"/>
        </w:rPr>
        <w:t xml:space="preserve"> </w:t>
      </w:r>
      <w:r w:rsidRPr="00EB4E02">
        <w:rPr>
          <w:color w:val="auto"/>
        </w:rPr>
        <w:t xml:space="preserve">alebo meno a priezvisko fyzickej osoby. </w:t>
      </w:r>
    </w:p>
    <w:p w:rsidR="009D44B1" w:rsidRDefault="009D44B1" w:rsidP="00EB4E02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COMPEI, s.r.o.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Ružová 8,  900 31 Stupava</w:t>
      </w:r>
    </w:p>
    <w:p w:rsidR="009D44B1" w:rsidRPr="00EB4E02" w:rsidRDefault="009D44B1" w:rsidP="00EB4E02">
      <w:pPr>
        <w:pStyle w:val="Default"/>
        <w:rPr>
          <w:color w:val="auto"/>
        </w:rPr>
      </w:pPr>
    </w:p>
    <w:p w:rsidR="009D44B1" w:rsidRPr="00EB4E02" w:rsidRDefault="009D44B1" w:rsidP="00EB4E02">
      <w:pPr>
        <w:pStyle w:val="Default"/>
        <w:spacing w:after="27"/>
        <w:rPr>
          <w:color w:val="auto"/>
        </w:rPr>
      </w:pPr>
      <w:r w:rsidRPr="00EB4E02">
        <w:rPr>
          <w:color w:val="auto"/>
        </w:rPr>
        <w:t xml:space="preserve">(2) Údaje o konsolidovanom celku, a to </w:t>
      </w:r>
    </w:p>
    <w:p w:rsidR="009D44B1" w:rsidRPr="00EB4E02" w:rsidRDefault="009D44B1" w:rsidP="00EB4E02">
      <w:pPr>
        <w:pStyle w:val="Default"/>
        <w:numPr>
          <w:ilvl w:val="0"/>
          <w:numId w:val="1"/>
        </w:numPr>
        <w:spacing w:after="27"/>
        <w:rPr>
          <w:color w:val="auto"/>
        </w:rPr>
      </w:pPr>
      <w:r w:rsidRPr="00EB4E02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D44B1" w:rsidRPr="00EB4E02" w:rsidRDefault="009D44B1" w:rsidP="00EB4E02">
      <w:pPr>
        <w:pStyle w:val="Default"/>
        <w:numPr>
          <w:ilvl w:val="0"/>
          <w:numId w:val="1"/>
        </w:numPr>
        <w:spacing w:after="27"/>
        <w:rPr>
          <w:color w:val="auto"/>
        </w:rPr>
      </w:pPr>
      <w:r w:rsidRPr="00EB4E02">
        <w:rPr>
          <w:color w:val="auto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D44B1" w:rsidRPr="00EB4E02" w:rsidRDefault="009D44B1" w:rsidP="00EB4E02">
      <w:pPr>
        <w:pStyle w:val="Default"/>
        <w:spacing w:after="27"/>
        <w:ind w:left="708"/>
        <w:rPr>
          <w:color w:val="auto"/>
        </w:rPr>
      </w:pPr>
      <w:r w:rsidRPr="00EB4E02">
        <w:rPr>
          <w:color w:val="auto"/>
        </w:rPr>
        <w:t>1. pri oslobodení podľa § 22 ods. 8 zákona obchodné meno a sídlo materskej účtovnej jednotky zostavujúcej konsolidovanú účtovnú závier</w:t>
      </w:r>
      <w:r>
        <w:rPr>
          <w:color w:val="auto"/>
        </w:rPr>
        <w:t>ku podľa osobitných predpisov,</w:t>
      </w:r>
      <w:r w:rsidRPr="00EB4E02">
        <w:rPr>
          <w:color w:val="auto"/>
        </w:rPr>
        <w:t xml:space="preserve"> </w:t>
      </w:r>
    </w:p>
    <w:p w:rsidR="009D44B1" w:rsidRPr="00EB4E02" w:rsidRDefault="009D44B1" w:rsidP="00EB4E02">
      <w:pPr>
        <w:pStyle w:val="Default"/>
        <w:spacing w:after="27"/>
        <w:ind w:left="708"/>
        <w:rPr>
          <w:color w:val="auto"/>
        </w:rPr>
      </w:pPr>
      <w:r w:rsidRPr="00EB4E02">
        <w:rPr>
          <w:color w:val="auto"/>
        </w:rPr>
        <w:t xml:space="preserve">2. pri oslobodení podľa § 22 ods. 12 zákona obchodné meno a sídlo dcérskych účtovných jednotiek. 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nie je súčasťou konsolidovaného celku.</w:t>
      </w:r>
    </w:p>
    <w:p w:rsidR="009D44B1" w:rsidRPr="00EB4E02" w:rsidRDefault="009D44B1" w:rsidP="00EB4E02">
      <w:pPr>
        <w:pStyle w:val="Default"/>
        <w:rPr>
          <w:color w:val="auto"/>
        </w:rPr>
      </w:pP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EB4E02">
        <w:rPr>
          <w:color w:val="auto"/>
        </w:rPr>
        <w:t xml:space="preserve">(3) </w:t>
      </w:r>
      <w:r>
        <w:rPr>
          <w:color w:val="auto"/>
        </w:rPr>
        <w:t xml:space="preserve">Účtovná jednotka v roku 2014 </w:t>
      </w:r>
      <w:r w:rsidRPr="008D179A">
        <w:rPr>
          <w:b/>
          <w:bCs/>
          <w:color w:val="auto"/>
        </w:rPr>
        <w:t>nemala</w:t>
      </w:r>
      <w:r>
        <w:rPr>
          <w:color w:val="auto"/>
        </w:rPr>
        <w:t xml:space="preserve"> zamestnancov.</w:t>
      </w:r>
      <w:r w:rsidRPr="00F32EC8">
        <w:rPr>
          <w:b/>
          <w:bCs/>
          <w:color w:val="auto"/>
        </w:rPr>
        <w:t xml:space="preserve"> </w:t>
      </w:r>
    </w:p>
    <w:p w:rsidR="009D44B1" w:rsidRPr="00EB4E02" w:rsidRDefault="009D44B1" w:rsidP="00EB4E02">
      <w:pPr>
        <w:pStyle w:val="Default"/>
        <w:rPr>
          <w:color w:val="auto"/>
        </w:rPr>
      </w:pPr>
    </w:p>
    <w:p w:rsidR="009D44B1" w:rsidRPr="00EB4E02" w:rsidRDefault="009D44B1" w:rsidP="00EB4E02">
      <w:pPr>
        <w:pStyle w:val="Default"/>
        <w:jc w:val="center"/>
      </w:pPr>
      <w:r w:rsidRPr="00EB4E02">
        <w:rPr>
          <w:b/>
          <w:bCs/>
        </w:rPr>
        <w:t>Čl. II</w:t>
      </w:r>
    </w:p>
    <w:p w:rsidR="009D44B1" w:rsidRPr="00EB4E02" w:rsidRDefault="009D44B1" w:rsidP="00EB4E02">
      <w:pPr>
        <w:pStyle w:val="Default"/>
        <w:jc w:val="center"/>
      </w:pPr>
      <w:r w:rsidRPr="00EB4E02">
        <w:rPr>
          <w:b/>
          <w:bCs/>
        </w:rPr>
        <w:t>Informácie o prijatých postupoch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</w:pPr>
      <w:r w:rsidRPr="00EB4E02">
        <w:t xml:space="preserve">(1) Informácia, či je účtovná závierka zostavená za splnenia predpokladu, že účtovná jednotka bude nepretržite pokračovať vo svojej činnosti. 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závierka je zostavená za predpokladu nepretržitého pokračovania v činnosti.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  <w:spacing w:after="27"/>
      </w:pPr>
      <w:r w:rsidRPr="00EB4E02">
        <w:t xml:space="preserve">(2) Spôsob oceňovania jednotlivých položiek majetku a záväzkov, a to </w:t>
      </w:r>
    </w:p>
    <w:p w:rsidR="009D44B1" w:rsidRPr="00A143CF" w:rsidRDefault="009D44B1" w:rsidP="00A143CF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EB4E02">
        <w:t xml:space="preserve">dlhodobého nehmotného majetku, dlhodobého hmotného majetku </w:t>
      </w:r>
      <w:r w:rsidRPr="00EB4E02">
        <w:rPr>
          <w:color w:val="auto"/>
        </w:rPr>
        <w:t xml:space="preserve">a dlhodobého finančného majetku, </w:t>
      </w:r>
    </w:p>
    <w:p w:rsidR="009D44B1" w:rsidRPr="00F32EC8" w:rsidRDefault="009D44B1" w:rsidP="00EB4E02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 xml:space="preserve">Dlhodobý nehmotný a hmotný majetok (s výnimkou majetku vytvoreného vlastnou činnosťou alebo nadobudnutého iným spôsobom) sa oceňuje obstarávacou cenou (cena, za ktorú sa obstaral, a náklady súvisiace s jeho obstaraním). </w:t>
      </w:r>
    </w:p>
    <w:p w:rsidR="009D44B1" w:rsidRPr="00F32EC8" w:rsidRDefault="009D44B1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>Účtovná jednotka v účtovnom období neúčtovala o dlhodobom nehmotnom a hmotnom majetku vytvorenom vlastnou činnosťou alebo obstaranom iným spôsobom, ani o dlhodobom finančnom majetku.</w:t>
      </w:r>
    </w:p>
    <w:p w:rsidR="009D44B1" w:rsidRPr="00A143CF" w:rsidRDefault="009D44B1" w:rsidP="00EB4E02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EB4E02">
        <w:rPr>
          <w:color w:val="auto"/>
        </w:rPr>
        <w:t xml:space="preserve">zásob obstaraných kúpou, zásob vytvorených vlastnou činnosťou,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 o zásobách obstaraných kúpou ani zásobách vytvorených vlastnou činnosťou. </w:t>
      </w:r>
    </w:p>
    <w:p w:rsidR="009D44B1" w:rsidRPr="00A143CF" w:rsidRDefault="009D44B1" w:rsidP="00EB4E02">
      <w:pPr>
        <w:pStyle w:val="Default"/>
        <w:numPr>
          <w:ilvl w:val="0"/>
          <w:numId w:val="3"/>
        </w:numPr>
        <w:spacing w:after="27"/>
      </w:pPr>
      <w:r w:rsidRPr="00EB4E02">
        <w:t xml:space="preserve">pohľadávok, 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Pohľadávky sa pri ich vzniku oceňujú menovitou hodnotou, pohľadávky pri odplatnom nadobudnutí alebo pohľadávky nadobudnuté vkladom do základného imania sa oceňujú obstarávacou cenou. V prípade, že existuje opodstatnený predpoklad zníženia hodnoty pohľadávky (predpoklad, že dlžník pohľadávku úplne alebo čiastočne nezaplatí, alebo ide o spornú pohľadávku), ku dňu, ku ktorému sa zostavuje účtovná závierka, sa upraví jej ocenenie prostredníctvom opravnej položky. Pohľadávky v cudzej mene sa prepočítavajú na menu euro referenčným výmenným kurzom určeným a vyhláseným Európskou centrálnou bankou v deň predchádzajúci dňu uskutočnenia účtovného prípadu. Ku dňu, ku ktorému sa zostavuje účtovná závierka, sa musia prepočítať referenčným výmenným kurzom určeným a vyhláseným Európskou centrálnou bankou k tomuto dňu.</w:t>
      </w:r>
    </w:p>
    <w:p w:rsidR="009D44B1" w:rsidRPr="00EB4E02" w:rsidRDefault="009D44B1" w:rsidP="00EB4E02">
      <w:pPr>
        <w:pStyle w:val="Default"/>
        <w:numPr>
          <w:ilvl w:val="0"/>
          <w:numId w:val="3"/>
        </w:numPr>
        <w:spacing w:after="27"/>
      </w:pPr>
      <w:r w:rsidRPr="00EB4E02">
        <w:t xml:space="preserve">krátkodobého finančného majetku, </w:t>
      </w:r>
    </w:p>
    <w:p w:rsidR="009D44B1" w:rsidRPr="00F32EC8" w:rsidRDefault="009D44B1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 xml:space="preserve">Peňažné prostriedky a ceniny sa oceňujú menovitou hodnotou. </w:t>
      </w:r>
    </w:p>
    <w:p w:rsidR="009D44B1" w:rsidRPr="00A143CF" w:rsidRDefault="009D44B1" w:rsidP="00EB4E02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A143CF">
        <w:rPr>
          <w:color w:val="auto"/>
        </w:rPr>
        <w:t xml:space="preserve">záväzkov vrátane rezerv, dlhopisov, pôžičiek a úverov,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Záväzky sa pri ich vzniku oceňujú menovitou hodnotou, záväzky pri ich prevzatí sa oceňujú obstarávacou cenou. Záväzky v cudzej mene sa prepočítavajú na menu euro referenčným výmenným kurzom určeným a vyhláseným Európskou centrálnou bankou v deň predchádzajúci dňu uskutočnenia účtovného prípadu. Ku dňu, ku ktorému sa zostavuje účtovná závierka, sa musia prepočítať referenčným výmenným kurzom určeným a vyhláseným Európskou centrálnou bankou k tomuto dňu.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Rezervy, ak nie je známa ich presná výška, sa oceňujú odhadom v sume dostatočnej na splnenie existujúcej povinnosti pri zohľadnení rizík a neistôt.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o dlhopisoch.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Pôžičky a úvery pri ich vzniku sa oceňujú menovitou hodnotou.</w:t>
      </w:r>
    </w:p>
    <w:p w:rsidR="009D44B1" w:rsidRPr="00A143CF" w:rsidRDefault="009D44B1" w:rsidP="00A143CF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A143CF">
        <w:rPr>
          <w:color w:val="auto"/>
        </w:rPr>
        <w:t xml:space="preserve">derivátových operácií. </w:t>
      </w:r>
    </w:p>
    <w:p w:rsidR="009D44B1" w:rsidRPr="00F32EC8" w:rsidRDefault="009D44B1" w:rsidP="00A143CF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derivátové operácie.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</w:pPr>
      <w:r w:rsidRPr="00EB4E02">
        <w:rPr>
          <w:color w:val="auto"/>
        </w:rPr>
        <w:t xml:space="preserve">(3) </w:t>
      </w:r>
      <w:r w:rsidRPr="00EB4E02"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Výška odpisov dlhodobého majetku závisí od obstarávacej ceny a odpisovej sadzby. Majetok sa odpisuje len do výšky jeho ocenenia v účtovníctve. Účtovné odpisy zohľadňujú skutočnú mieru použiteľnosti majetku a jeho predpokladanú dobu životnosti. Odpisovať sa začína v mesiaci, v ktorom bol uvedený do používania. </w:t>
      </w:r>
    </w:p>
    <w:p w:rsidR="009D44B1" w:rsidRPr="00F32EC8" w:rsidRDefault="009D44B1" w:rsidP="00EB4E02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>Predpokladaná doba používania, metóda odpisovania a odpisové sadzby sú uvedené v nasledujúcej tabuľke:</w:t>
      </w:r>
    </w:p>
    <w:p w:rsidR="009D44B1" w:rsidRPr="00F32EC8" w:rsidRDefault="009D44B1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828"/>
        <w:gridCol w:w="1559"/>
        <w:gridCol w:w="1842"/>
        <w:gridCol w:w="1730"/>
      </w:tblGrid>
      <w:tr w:rsidR="009D44B1" w:rsidRPr="00F07DFD">
        <w:trPr>
          <w:trHeight w:val="5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D44B1" w:rsidRPr="00F32EC8" w:rsidRDefault="009D44B1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br w:type="page"/>
            </w: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br w:type="page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</w:t>
            </w:r>
          </w:p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doba používania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metóda</w:t>
            </w:r>
          </w:p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odpisovania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</w:t>
            </w:r>
          </w:p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sadzba v %</w:t>
            </w:r>
          </w:p>
        </w:tc>
      </w:tr>
      <w:tr w:rsidR="009D44B1" w:rsidRPr="00F07DFD">
        <w:trPr>
          <w:trHeight w:val="20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4B1" w:rsidRPr="00F32EC8" w:rsidRDefault="009D44B1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Samostatné hnuteľné veci a súbory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4 roky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25</w:t>
            </w:r>
          </w:p>
        </w:tc>
      </w:tr>
      <w:tr w:rsidR="009D44B1" w:rsidRPr="00F07DFD">
        <w:trPr>
          <w:trHeight w:val="20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4B1" w:rsidRPr="00F32EC8" w:rsidRDefault="009D44B1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5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4B1" w:rsidRPr="00F32EC8" w:rsidRDefault="009D44B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25</w:t>
            </w:r>
          </w:p>
        </w:tc>
      </w:tr>
    </w:tbl>
    <w:p w:rsidR="009D44B1" w:rsidRPr="00F32EC8" w:rsidRDefault="009D44B1" w:rsidP="00EB4E02">
      <w:pPr>
        <w:pStyle w:val="Default"/>
        <w:rPr>
          <w:b/>
          <w:bCs/>
          <w:color w:val="auto"/>
        </w:rPr>
      </w:pP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Výška daňových odpisov sa určí v súlade so zákonom č. 595/2003 Z. z. o dani z príjmov v znení neskorších predpisov.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</w:pPr>
      <w:r w:rsidRPr="00EB4E02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Počas účtovného obdobia nedošlo k zmenám účtovných zásad a účtovných metód.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</w:pPr>
      <w:r w:rsidRPr="00EB4E02">
        <w:t xml:space="preserve">(5) Informácie o dotáciách a ich oceňovanie v účtovníctve. 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 o dotáciách. </w:t>
      </w:r>
    </w:p>
    <w:p w:rsidR="009D44B1" w:rsidRDefault="009D44B1" w:rsidP="00EB4E02">
      <w:pPr>
        <w:pStyle w:val="Default"/>
      </w:pPr>
    </w:p>
    <w:p w:rsidR="009D44B1" w:rsidRPr="00EB4E02" w:rsidRDefault="009D44B1" w:rsidP="00EB4E02">
      <w:pPr>
        <w:pStyle w:val="Default"/>
      </w:pPr>
      <w:r w:rsidRPr="00EB4E02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opravy chýb minulých účtovných období.</w:t>
      </w:r>
    </w:p>
    <w:p w:rsidR="009D44B1" w:rsidRPr="00EB4E02" w:rsidRDefault="009D44B1" w:rsidP="00EB4E02">
      <w:pPr>
        <w:pStyle w:val="Default"/>
        <w:rPr>
          <w:b/>
          <w:bCs/>
        </w:rPr>
      </w:pPr>
    </w:p>
    <w:p w:rsidR="009D44B1" w:rsidRPr="00EB4E02" w:rsidRDefault="009D44B1" w:rsidP="00EB4E02">
      <w:pPr>
        <w:pStyle w:val="Default"/>
        <w:jc w:val="center"/>
      </w:pPr>
      <w:r w:rsidRPr="00EB4E02">
        <w:rPr>
          <w:b/>
          <w:bCs/>
        </w:rPr>
        <w:t>Čl. III</w:t>
      </w:r>
    </w:p>
    <w:p w:rsidR="009D44B1" w:rsidRPr="00EB4E02" w:rsidRDefault="009D44B1" w:rsidP="00EB4E02">
      <w:pPr>
        <w:pStyle w:val="Default"/>
        <w:jc w:val="center"/>
      </w:pPr>
      <w:r w:rsidRPr="00EB4E02">
        <w:rPr>
          <w:b/>
          <w:bCs/>
        </w:rPr>
        <w:t>Informácie, ktoré vysvetľujú a dopĺňajú súvahu a výkaz ziskov a strát</w:t>
      </w:r>
    </w:p>
    <w:p w:rsidR="009D44B1" w:rsidRPr="00EB4E02" w:rsidRDefault="009D44B1" w:rsidP="00EB4E02">
      <w:pPr>
        <w:pStyle w:val="Default"/>
        <w:jc w:val="center"/>
      </w:pPr>
    </w:p>
    <w:p w:rsidR="009D44B1" w:rsidRPr="00EB4E02" w:rsidRDefault="009D44B1" w:rsidP="00EB4E02">
      <w:pPr>
        <w:pStyle w:val="Default"/>
      </w:pPr>
      <w:r w:rsidRPr="00EB4E02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 výnimočné náklady alebo výnosy. 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  <w:spacing w:after="27"/>
      </w:pPr>
      <w:r w:rsidRPr="00EB4E02">
        <w:t xml:space="preserve">(2) Informácie o záväzkoch, a to </w:t>
      </w:r>
    </w:p>
    <w:p w:rsidR="009D44B1" w:rsidRPr="00EB4E02" w:rsidRDefault="009D44B1" w:rsidP="00EB4E02">
      <w:pPr>
        <w:pStyle w:val="Default"/>
        <w:numPr>
          <w:ilvl w:val="0"/>
          <w:numId w:val="5"/>
        </w:numPr>
        <w:spacing w:after="27"/>
      </w:pPr>
      <w:r w:rsidRPr="00EB4E02">
        <w:t xml:space="preserve">celkovej sume záväzkov so zostatkovou dobou splatnosti dlhšou ako päť rokov, </w:t>
      </w:r>
    </w:p>
    <w:p w:rsidR="009D44B1" w:rsidRPr="00EB4E02" w:rsidRDefault="009D44B1" w:rsidP="00EB4E02">
      <w:pPr>
        <w:pStyle w:val="Default"/>
        <w:numPr>
          <w:ilvl w:val="0"/>
          <w:numId w:val="5"/>
        </w:numPr>
        <w:spacing w:after="27"/>
      </w:pPr>
      <w:r w:rsidRPr="00EB4E02">
        <w:t xml:space="preserve">celkovej sume zabezpečených záväzkov, opis a spôsoby zabezpečenia záväzkov.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ku koncu účtovného obdobia neeviduje vyššie uvedené záväzky. 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  <w:spacing w:after="28"/>
      </w:pPr>
      <w:r w:rsidRPr="00EB4E02">
        <w:t xml:space="preserve">(3) Informácie o vlastných akciách, a to </w:t>
      </w:r>
    </w:p>
    <w:p w:rsidR="009D44B1" w:rsidRPr="00EB4E02" w:rsidRDefault="009D44B1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dôvode nadobudnutia vlastných akcií počas účtovného obdobia, </w:t>
      </w:r>
    </w:p>
    <w:p w:rsidR="009D44B1" w:rsidRPr="00EB4E02" w:rsidRDefault="009D44B1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informáciách, ktorými sú </w:t>
      </w:r>
    </w:p>
    <w:p w:rsidR="009D44B1" w:rsidRPr="00EB4E02" w:rsidRDefault="009D44B1" w:rsidP="00EB4E02">
      <w:pPr>
        <w:pStyle w:val="Default"/>
        <w:spacing w:after="28"/>
        <w:ind w:left="720"/>
      </w:pPr>
      <w:r w:rsidRPr="00EB4E02"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D44B1" w:rsidRPr="00EB4E02" w:rsidRDefault="009D44B1" w:rsidP="00EB4E02">
      <w:pPr>
        <w:pStyle w:val="Default"/>
        <w:spacing w:after="28"/>
        <w:ind w:left="720"/>
      </w:pPr>
      <w:r w:rsidRPr="00EB4E02">
        <w:t xml:space="preserve">2. počet a hodnota, za ktorú sa vlastné akcie počas účtovného obdobia nadobudli a počet a hodnota, za ktorú sa vlastné akcie počas účtovného obdobia previedli na inú osobu, </w:t>
      </w:r>
    </w:p>
    <w:p w:rsidR="009D44B1" w:rsidRPr="00EB4E02" w:rsidRDefault="009D44B1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D44B1" w:rsidRPr="00F32EC8" w:rsidRDefault="009D44B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nenadobudla vlastné obchodné podiely. 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  <w:spacing w:after="27"/>
      </w:pPr>
      <w:r w:rsidRPr="00EB4E02">
        <w:t xml:space="preserve">(4) Informácie o orgánoch účtovnej jednotky, a to </w:t>
      </w:r>
    </w:p>
    <w:p w:rsidR="009D44B1" w:rsidRPr="00EB4E02" w:rsidRDefault="009D44B1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9D44B1" w:rsidRPr="00EB4E02" w:rsidRDefault="009D44B1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pôžičkách poskytnutých členom štatutárneho orgánu, dozorného orgánu a iného orgánu účtovnej jednotky a to </w:t>
      </w:r>
    </w:p>
    <w:p w:rsidR="009D44B1" w:rsidRPr="00EB4E02" w:rsidRDefault="009D44B1" w:rsidP="00EB4E02">
      <w:pPr>
        <w:pStyle w:val="Default"/>
        <w:spacing w:after="27"/>
        <w:ind w:left="708"/>
      </w:pPr>
      <w:r w:rsidRPr="00EB4E02">
        <w:t xml:space="preserve">1. celková suma poskytnutých pôžičiek k poslednému dňu účtovného obdobia v členení za jednotlivé orgány, </w:t>
      </w:r>
    </w:p>
    <w:p w:rsidR="009D44B1" w:rsidRPr="00EB4E02" w:rsidRDefault="009D44B1" w:rsidP="00EB4E02">
      <w:pPr>
        <w:pStyle w:val="Default"/>
        <w:ind w:left="708"/>
      </w:pPr>
      <w:r w:rsidRPr="00EB4E02">
        <w:t xml:space="preserve">2. celková suma splatených pôžičiek k poslednému dňu účtovného obdobia v členení za jednotlivé orgány, </w:t>
      </w:r>
    </w:p>
    <w:p w:rsidR="009D44B1" w:rsidRPr="00EB4E02" w:rsidRDefault="009D44B1" w:rsidP="00EB4E02">
      <w:pPr>
        <w:pStyle w:val="Default"/>
        <w:ind w:left="708"/>
      </w:pPr>
      <w:r w:rsidRPr="00EB4E02">
        <w:t xml:space="preserve">3. celková suma odpustených pôžičiek a odpísaných pôžičiek k poslednému dňu účtovného obdobia v členení za jednotlivé orgány, </w:t>
      </w:r>
    </w:p>
    <w:p w:rsidR="009D44B1" w:rsidRPr="00EB4E02" w:rsidRDefault="009D44B1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hlavných podmienkach, na základe ktorých im boli záruky alebo iné zabezpečenie a pôžičky poskytnuté; pri pôžičkách sa uvádzajú úrokové sadzby, </w:t>
      </w:r>
    </w:p>
    <w:p w:rsidR="009D44B1" w:rsidRPr="00EB4E02" w:rsidRDefault="009D44B1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nemá pre vyššie uvedené informácie obsahovú náplň.</w:t>
      </w:r>
    </w:p>
    <w:p w:rsidR="009D44B1" w:rsidRPr="00EB4E02" w:rsidRDefault="009D44B1" w:rsidP="00EB4E02">
      <w:pPr>
        <w:pStyle w:val="Default"/>
      </w:pPr>
    </w:p>
    <w:p w:rsidR="009D44B1" w:rsidRPr="00EB4E02" w:rsidRDefault="009D44B1" w:rsidP="00EB4E02">
      <w:pPr>
        <w:pStyle w:val="Default"/>
        <w:spacing w:after="27"/>
      </w:pPr>
      <w:r w:rsidRPr="00EB4E02">
        <w:t xml:space="preserve">(5) Informácie o povinnostiach účtovnej jednotky, a to </w:t>
      </w:r>
    </w:p>
    <w:p w:rsidR="009D44B1" w:rsidRPr="00EB4E02" w:rsidRDefault="009D44B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D44B1" w:rsidRPr="00EB4E02" w:rsidRDefault="009D44B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významných podmienených záväzkov, ktorými sa rozumie </w:t>
      </w:r>
    </w:p>
    <w:p w:rsidR="009D44B1" w:rsidRPr="00EB4E02" w:rsidRDefault="009D44B1" w:rsidP="00EB4E02">
      <w:pPr>
        <w:pStyle w:val="Default"/>
        <w:spacing w:after="27"/>
        <w:ind w:left="708"/>
      </w:pPr>
      <w:r w:rsidRPr="00EB4E02"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D44B1" w:rsidRPr="00EB4E02" w:rsidRDefault="009D44B1" w:rsidP="00EB4E02">
      <w:pPr>
        <w:pStyle w:val="Default"/>
        <w:spacing w:after="27"/>
        <w:ind w:left="708"/>
      </w:pPr>
      <w:r w:rsidRPr="00EB4E02">
        <w:t xml:space="preserve">2. existujúca povinnosť, ktorá vznikla ako dôsledok minulej udalosti, ale ktorá sa nevykazuje v súvahe, pretože </w:t>
      </w:r>
    </w:p>
    <w:p w:rsidR="009D44B1" w:rsidRPr="00EB4E02" w:rsidRDefault="009D44B1" w:rsidP="00EB4E02">
      <w:pPr>
        <w:pStyle w:val="Default"/>
        <w:spacing w:after="27"/>
        <w:ind w:left="1416"/>
      </w:pPr>
      <w:r w:rsidRPr="00EB4E02">
        <w:t xml:space="preserve">2a. nie je pravdepodobné, že na splnenie tejto povinnosti bude potrebný úbytok ekonomických úžitkov, alebo </w:t>
      </w:r>
    </w:p>
    <w:p w:rsidR="009D44B1" w:rsidRPr="00EB4E02" w:rsidRDefault="009D44B1" w:rsidP="00EB4E02">
      <w:pPr>
        <w:pStyle w:val="Default"/>
        <w:spacing w:after="27"/>
        <w:ind w:left="1416"/>
      </w:pPr>
      <w:r w:rsidRPr="00EB4E02">
        <w:t xml:space="preserve">2b. výška tejto povinnosti sa nedá spoľahlivo oceniť, </w:t>
      </w:r>
    </w:p>
    <w:p w:rsidR="009D44B1" w:rsidRPr="00EB4E02" w:rsidRDefault="009D44B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opise významných finančných povinností a významných podmienených záväzkov, </w:t>
      </w:r>
    </w:p>
    <w:p w:rsidR="009D44B1" w:rsidRPr="00EB4E02" w:rsidRDefault="009D44B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významných finančných povinností a významných podmienených záväzkoch voči dcérskej účtovnej jednotke a účtovnej jednotke s podstatným vplyvom, </w:t>
      </w:r>
    </w:p>
    <w:p w:rsidR="009D44B1" w:rsidRPr="00EB4E02" w:rsidRDefault="009D44B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opise významných povinností účtovnej jednotky vyplývajúcich z dôchodkových programov pre zamestnancov.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bookmarkStart w:id="0" w:name="_GoBack"/>
      <w:bookmarkEnd w:id="0"/>
      <w:r>
        <w:rPr>
          <w:b/>
          <w:bCs/>
          <w:color w:val="auto"/>
        </w:rPr>
        <w:t>Účtovnej jednotke v zmysle vyššie uvedeného nevznikli žiadne povinnosti.</w:t>
      </w:r>
    </w:p>
    <w:p w:rsidR="009D44B1" w:rsidRPr="00F31C13" w:rsidRDefault="009D44B1" w:rsidP="00EB4E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D44B1" w:rsidRPr="00EB4E02" w:rsidRDefault="009D44B1" w:rsidP="00EB4E02">
      <w:p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31C13">
        <w:rPr>
          <w:rFonts w:ascii="Times New Roman" w:hAnsi="Times New Roman" w:cs="Times New Roman"/>
          <w:color w:val="000000"/>
          <w:sz w:val="24"/>
          <w:szCs w:val="24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D44B1" w:rsidRPr="00EB4E02" w:rsidRDefault="009D44B1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>všetkých formách prijatej náhrady,</w:t>
      </w:r>
    </w:p>
    <w:p w:rsidR="009D44B1" w:rsidRPr="00EB4E02" w:rsidRDefault="009D44B1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 xml:space="preserve">účtovných zásadách použitých pri prideľovaní nákladov a výnosov, </w:t>
      </w:r>
    </w:p>
    <w:p w:rsidR="009D44B1" w:rsidRPr="00EB4E02" w:rsidRDefault="009D44B1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 xml:space="preserve">všetkých druhoch činností účtovnej jednotky. </w:t>
      </w:r>
    </w:p>
    <w:p w:rsidR="009D44B1" w:rsidRPr="00F32EC8" w:rsidRDefault="009D44B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nemá pre vyššie uvedené informácie obsahovú náplň.</w:t>
      </w:r>
    </w:p>
    <w:p w:rsidR="009D44B1" w:rsidRPr="00EB4E02" w:rsidRDefault="009D44B1" w:rsidP="00EB4E0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9D44B1" w:rsidRPr="00EB4E02" w:rsidSect="00BD6CC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44B1" w:rsidRDefault="009D44B1" w:rsidP="003F2103">
      <w:pPr>
        <w:spacing w:after="0" w:line="240" w:lineRule="auto"/>
      </w:pPr>
      <w:r>
        <w:separator/>
      </w:r>
    </w:p>
  </w:endnote>
  <w:endnote w:type="continuationSeparator" w:id="0">
    <w:p w:rsidR="009D44B1" w:rsidRDefault="009D44B1" w:rsidP="003F2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44B1" w:rsidRDefault="009D44B1" w:rsidP="003F2103">
      <w:pPr>
        <w:spacing w:after="0" w:line="240" w:lineRule="auto"/>
      </w:pPr>
      <w:r>
        <w:separator/>
      </w:r>
    </w:p>
  </w:footnote>
  <w:footnote w:type="continuationSeparator" w:id="0">
    <w:p w:rsidR="009D44B1" w:rsidRDefault="009D44B1" w:rsidP="003F21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/>
    </w:tblPr>
    <w:tblGrid>
      <w:gridCol w:w="2830"/>
      <w:gridCol w:w="567"/>
      <w:gridCol w:w="284"/>
      <w:gridCol w:w="283"/>
      <w:gridCol w:w="284"/>
      <w:gridCol w:w="283"/>
      <w:gridCol w:w="284"/>
      <w:gridCol w:w="283"/>
      <w:gridCol w:w="284"/>
      <w:gridCol w:w="283"/>
      <w:gridCol w:w="567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78"/>
    </w:tblGrid>
    <w:tr w:rsidR="009D44B1" w:rsidRPr="00F23CF4" w:rsidTr="0041057A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  <w:r w:rsidRPr="00F23CF4">
            <w:t>Poznámky Úč MÚJ 3 - 01</w:t>
          </w: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  <w:r w:rsidRPr="00F23CF4">
            <w:t>IČO</w: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4</w:t>
          </w:r>
        </w:p>
      </w:tc>
      <w:tc>
        <w:tcPr>
          <w:tcW w:w="283" w:type="dxa"/>
        </w:tcPr>
        <w:p w:rsidR="009D44B1" w:rsidRPr="00F23CF4" w:rsidRDefault="009D44B1" w:rsidP="0041057A">
          <w:pPr>
            <w:pStyle w:val="Header"/>
          </w:pPr>
          <w:r>
            <w:t>6</w:t>
          </w: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4</w:t>
          </w:r>
        </w:p>
      </w:tc>
      <w:tc>
        <w:tcPr>
          <w:tcW w:w="283" w:type="dxa"/>
        </w:tcPr>
        <w:p w:rsidR="009D44B1" w:rsidRPr="00F23CF4" w:rsidRDefault="009D44B1" w:rsidP="0041057A">
          <w:pPr>
            <w:pStyle w:val="Header"/>
          </w:pPr>
          <w:r>
            <w:t>8</w:t>
          </w: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5</w:t>
          </w:r>
        </w:p>
      </w:tc>
      <w:tc>
        <w:tcPr>
          <w:tcW w:w="283" w:type="dxa"/>
        </w:tcPr>
        <w:p w:rsidR="009D44B1" w:rsidRPr="00F23CF4" w:rsidRDefault="009D44B1" w:rsidP="0041057A">
          <w:pPr>
            <w:pStyle w:val="Header"/>
          </w:pPr>
          <w:r>
            <w:t>7</w:t>
          </w: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0</w:t>
          </w:r>
        </w:p>
      </w:tc>
      <w:tc>
        <w:tcPr>
          <w:tcW w:w="278" w:type="dxa"/>
        </w:tcPr>
        <w:p w:rsidR="009D44B1" w:rsidRPr="00F23CF4" w:rsidRDefault="009D44B1" w:rsidP="0041057A">
          <w:pPr>
            <w:pStyle w:val="Header"/>
          </w:pPr>
          <w:r>
            <w:t>8</w:t>
          </w:r>
        </w:p>
      </w:tc>
    </w:tr>
    <w:tr w:rsidR="009D44B1" w:rsidRPr="00F23CF4" w:rsidTr="0041057A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78" w:type="dxa"/>
          <w:tcBorders>
            <w:left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</w:tr>
    <w:tr w:rsidR="009D44B1" w:rsidRPr="00F23CF4" w:rsidTr="0041057A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9D44B1" w:rsidRPr="00F23CF4" w:rsidRDefault="009D44B1" w:rsidP="0041057A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</w:tcBorders>
        </w:tcPr>
        <w:p w:rsidR="009D44B1" w:rsidRPr="00F23CF4" w:rsidRDefault="009D44B1" w:rsidP="0041057A">
          <w:pPr>
            <w:pStyle w:val="Header"/>
          </w:pPr>
          <w:r w:rsidRPr="00F23CF4">
            <w:t>DIČ</w:t>
          </w: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2</w:t>
          </w:r>
        </w:p>
      </w:tc>
      <w:tc>
        <w:tcPr>
          <w:tcW w:w="283" w:type="dxa"/>
        </w:tcPr>
        <w:p w:rsidR="009D44B1" w:rsidRPr="00F23CF4" w:rsidRDefault="009D44B1" w:rsidP="0041057A">
          <w:pPr>
            <w:pStyle w:val="Header"/>
          </w:pPr>
          <w:r>
            <w:t>8</w:t>
          </w: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2</w:t>
          </w:r>
        </w:p>
      </w:tc>
      <w:tc>
        <w:tcPr>
          <w:tcW w:w="283" w:type="dxa"/>
        </w:tcPr>
        <w:p w:rsidR="009D44B1" w:rsidRPr="00F23CF4" w:rsidRDefault="009D44B1" w:rsidP="0041057A">
          <w:pPr>
            <w:pStyle w:val="Header"/>
          </w:pPr>
          <w:r>
            <w:t>0</w:t>
          </w: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0</w:t>
          </w:r>
        </w:p>
      </w:tc>
      <w:tc>
        <w:tcPr>
          <w:tcW w:w="283" w:type="dxa"/>
        </w:tcPr>
        <w:p w:rsidR="009D44B1" w:rsidRPr="00F23CF4" w:rsidRDefault="009D44B1" w:rsidP="0041057A">
          <w:pPr>
            <w:pStyle w:val="Header"/>
          </w:pPr>
          <w:r>
            <w:t>0</w:t>
          </w: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5</w:t>
          </w:r>
        </w:p>
      </w:tc>
      <w:tc>
        <w:tcPr>
          <w:tcW w:w="283" w:type="dxa"/>
        </w:tcPr>
        <w:p w:rsidR="009D44B1" w:rsidRPr="00F23CF4" w:rsidRDefault="009D44B1" w:rsidP="0041057A">
          <w:pPr>
            <w:pStyle w:val="Header"/>
          </w:pPr>
          <w:r>
            <w:t>4</w:t>
          </w:r>
        </w:p>
      </w:tc>
      <w:tc>
        <w:tcPr>
          <w:tcW w:w="284" w:type="dxa"/>
        </w:tcPr>
        <w:p w:rsidR="009D44B1" w:rsidRPr="00F23CF4" w:rsidRDefault="009D44B1" w:rsidP="0041057A">
          <w:pPr>
            <w:pStyle w:val="Header"/>
          </w:pPr>
          <w:r>
            <w:t>5</w:t>
          </w:r>
        </w:p>
      </w:tc>
      <w:tc>
        <w:tcPr>
          <w:tcW w:w="278" w:type="dxa"/>
        </w:tcPr>
        <w:p w:rsidR="009D44B1" w:rsidRPr="00F23CF4" w:rsidRDefault="009D44B1" w:rsidP="0041057A">
          <w:pPr>
            <w:pStyle w:val="Header"/>
          </w:pPr>
          <w:r>
            <w:t>2</w:t>
          </w:r>
        </w:p>
      </w:tc>
    </w:tr>
  </w:tbl>
  <w:p w:rsidR="009D44B1" w:rsidRDefault="009D44B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B5CCF"/>
    <w:multiLevelType w:val="hybridMultilevel"/>
    <w:tmpl w:val="F79E26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AC28FE"/>
    <w:multiLevelType w:val="hybridMultilevel"/>
    <w:tmpl w:val="E55A53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E2B8E"/>
    <w:multiLevelType w:val="hybridMultilevel"/>
    <w:tmpl w:val="EBC8F7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607E4"/>
    <w:multiLevelType w:val="hybridMultilevel"/>
    <w:tmpl w:val="ED1CF14E"/>
    <w:lvl w:ilvl="0" w:tplc="041B0017">
      <w:start w:val="1"/>
      <w:numFmt w:val="lowerLetter"/>
      <w:pStyle w:val="Pismenka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DA21DA"/>
    <w:multiLevelType w:val="hybridMultilevel"/>
    <w:tmpl w:val="BB6CAB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8815DC9"/>
    <w:multiLevelType w:val="hybridMultilevel"/>
    <w:tmpl w:val="270C7A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8B7D74"/>
    <w:multiLevelType w:val="hybridMultilevel"/>
    <w:tmpl w:val="1C80AC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D718B8"/>
    <w:multiLevelType w:val="hybridMultilevel"/>
    <w:tmpl w:val="FF505A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8696B"/>
    <w:multiLevelType w:val="hybridMultilevel"/>
    <w:tmpl w:val="0B74C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1B3209"/>
    <w:multiLevelType w:val="hybridMultilevel"/>
    <w:tmpl w:val="9E8878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5A4D86"/>
    <w:multiLevelType w:val="hybridMultilevel"/>
    <w:tmpl w:val="9D8812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955794"/>
    <w:multiLevelType w:val="hybridMultilevel"/>
    <w:tmpl w:val="2E18D76E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EA2406E"/>
    <w:multiLevelType w:val="hybridMultilevel"/>
    <w:tmpl w:val="06CAF5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811BFB"/>
    <w:multiLevelType w:val="hybridMultilevel"/>
    <w:tmpl w:val="AEE625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6874AA"/>
    <w:multiLevelType w:val="hybridMultilevel"/>
    <w:tmpl w:val="FBBC0B9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1C01F7"/>
    <w:multiLevelType w:val="hybridMultilevel"/>
    <w:tmpl w:val="32229C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EAE51EC"/>
    <w:multiLevelType w:val="hybridMultilevel"/>
    <w:tmpl w:val="3DBCA1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475E11"/>
    <w:multiLevelType w:val="hybridMultilevel"/>
    <w:tmpl w:val="F6C2348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9001AB"/>
    <w:multiLevelType w:val="hybridMultilevel"/>
    <w:tmpl w:val="1C36BF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19"/>
  </w:num>
  <w:num w:numId="5">
    <w:abstractNumId w:val="8"/>
  </w:num>
  <w:num w:numId="6">
    <w:abstractNumId w:val="2"/>
  </w:num>
  <w:num w:numId="7">
    <w:abstractNumId w:val="0"/>
  </w:num>
  <w:num w:numId="8">
    <w:abstractNumId w:val="10"/>
  </w:num>
  <w:num w:numId="9">
    <w:abstractNumId w:val="12"/>
  </w:num>
  <w:num w:numId="10">
    <w:abstractNumId w:val="16"/>
  </w:num>
  <w:num w:numId="11">
    <w:abstractNumId w:val="14"/>
  </w:num>
  <w:num w:numId="12">
    <w:abstractNumId w:val="15"/>
  </w:num>
  <w:num w:numId="13">
    <w:abstractNumId w:val="6"/>
  </w:num>
  <w:num w:numId="14">
    <w:abstractNumId w:val="11"/>
  </w:num>
  <w:num w:numId="15">
    <w:abstractNumId w:val="13"/>
  </w:num>
  <w:num w:numId="16">
    <w:abstractNumId w:val="5"/>
  </w:num>
  <w:num w:numId="17">
    <w:abstractNumId w:val="9"/>
  </w:num>
  <w:num w:numId="18">
    <w:abstractNumId w:val="4"/>
  </w:num>
  <w:num w:numId="19">
    <w:abstractNumId w:val="17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2103"/>
    <w:rsid w:val="00117EF2"/>
    <w:rsid w:val="00195C0E"/>
    <w:rsid w:val="00275AA9"/>
    <w:rsid w:val="00282A49"/>
    <w:rsid w:val="002A00A1"/>
    <w:rsid w:val="002E6ECF"/>
    <w:rsid w:val="003512B7"/>
    <w:rsid w:val="003616DB"/>
    <w:rsid w:val="00361BC8"/>
    <w:rsid w:val="00377AFA"/>
    <w:rsid w:val="00396593"/>
    <w:rsid w:val="003F2103"/>
    <w:rsid w:val="0041057A"/>
    <w:rsid w:val="0041322E"/>
    <w:rsid w:val="004244E2"/>
    <w:rsid w:val="004275E8"/>
    <w:rsid w:val="004803A3"/>
    <w:rsid w:val="00492156"/>
    <w:rsid w:val="004B22B0"/>
    <w:rsid w:val="005429C5"/>
    <w:rsid w:val="00641E8B"/>
    <w:rsid w:val="006E1A97"/>
    <w:rsid w:val="00703B8F"/>
    <w:rsid w:val="0080153D"/>
    <w:rsid w:val="00825BA2"/>
    <w:rsid w:val="008B03B3"/>
    <w:rsid w:val="008C3427"/>
    <w:rsid w:val="008D179A"/>
    <w:rsid w:val="009D44B1"/>
    <w:rsid w:val="00A00EFE"/>
    <w:rsid w:val="00A03FC8"/>
    <w:rsid w:val="00A12215"/>
    <w:rsid w:val="00A143CF"/>
    <w:rsid w:val="00B05C32"/>
    <w:rsid w:val="00B13CDF"/>
    <w:rsid w:val="00B66E0C"/>
    <w:rsid w:val="00B705B7"/>
    <w:rsid w:val="00BD6CCD"/>
    <w:rsid w:val="00C20DD2"/>
    <w:rsid w:val="00C22550"/>
    <w:rsid w:val="00C8702D"/>
    <w:rsid w:val="00D35421"/>
    <w:rsid w:val="00D66C74"/>
    <w:rsid w:val="00D92A98"/>
    <w:rsid w:val="00DD3B50"/>
    <w:rsid w:val="00E67991"/>
    <w:rsid w:val="00EB4E02"/>
    <w:rsid w:val="00F074C9"/>
    <w:rsid w:val="00F07DFD"/>
    <w:rsid w:val="00F23CF4"/>
    <w:rsid w:val="00F31C13"/>
    <w:rsid w:val="00F32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6CCD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F2103"/>
  </w:style>
  <w:style w:type="paragraph" w:styleId="Footer">
    <w:name w:val="footer"/>
    <w:basedOn w:val="Normal"/>
    <w:link w:val="FooterChar"/>
    <w:uiPriority w:val="99"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3F2103"/>
  </w:style>
  <w:style w:type="table" w:styleId="TableGrid">
    <w:name w:val="Table Grid"/>
    <w:basedOn w:val="TableNormal"/>
    <w:uiPriority w:val="99"/>
    <w:rsid w:val="003F2103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3F2103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rsid w:val="008C3427"/>
    <w:pPr>
      <w:autoSpaceDE w:val="0"/>
      <w:autoSpaceDN w:val="0"/>
      <w:spacing w:after="0" w:line="240" w:lineRule="auto"/>
      <w:ind w:left="426"/>
      <w:jc w:val="both"/>
    </w:pPr>
    <w:rPr>
      <w:rFonts w:eastAsia="Times New Roman"/>
      <w:sz w:val="18"/>
      <w:szCs w:val="18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C3427"/>
    <w:rPr>
      <w:rFonts w:ascii="Calibri" w:hAnsi="Calibri" w:cs="Calibri"/>
      <w:sz w:val="18"/>
      <w:szCs w:val="18"/>
      <w:lang w:eastAsia="sk-SK"/>
    </w:rPr>
  </w:style>
  <w:style w:type="paragraph" w:customStyle="1" w:styleId="Pismenka">
    <w:name w:val="Pismenka"/>
    <w:basedOn w:val="BodyText"/>
    <w:uiPriority w:val="99"/>
    <w:rsid w:val="008C3427"/>
    <w:pPr>
      <w:numPr>
        <w:numId w:val="3"/>
      </w:numPr>
      <w:tabs>
        <w:tab w:val="num" w:pos="426"/>
      </w:tabs>
      <w:ind w:hanging="426"/>
    </w:pPr>
    <w:rPr>
      <w:b/>
      <w:bCs/>
    </w:rPr>
  </w:style>
  <w:style w:type="paragraph" w:styleId="ListParagraph">
    <w:name w:val="List Paragraph"/>
    <w:basedOn w:val="Normal"/>
    <w:uiPriority w:val="99"/>
    <w:qFormat/>
    <w:rsid w:val="006E1A97"/>
    <w:pPr>
      <w:ind w:left="720"/>
    </w:pPr>
  </w:style>
  <w:style w:type="paragraph" w:customStyle="1" w:styleId="Tabulka">
    <w:name w:val="Tabulka"/>
    <w:basedOn w:val="Normal"/>
    <w:uiPriority w:val="99"/>
    <w:rsid w:val="002A00A1"/>
    <w:pPr>
      <w:autoSpaceDE w:val="0"/>
      <w:autoSpaceDN w:val="0"/>
      <w:spacing w:after="0" w:line="240" w:lineRule="auto"/>
    </w:pPr>
    <w:rPr>
      <w:rFonts w:eastAsia="Times New Roman"/>
      <w:color w:val="000000"/>
      <w:sz w:val="18"/>
      <w:szCs w:val="18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rsid w:val="00195C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95C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4</Pages>
  <Words>1528</Words>
  <Characters>8712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PC1</dc:creator>
  <cp:keywords/>
  <dc:description/>
  <cp:lastModifiedBy>Gampe</cp:lastModifiedBy>
  <cp:revision>3</cp:revision>
  <cp:lastPrinted>2015-02-20T09:43:00Z</cp:lastPrinted>
  <dcterms:created xsi:type="dcterms:W3CDTF">2015-03-25T14:21:00Z</dcterms:created>
  <dcterms:modified xsi:type="dcterms:W3CDTF">2015-03-25T14:24:00Z</dcterms:modified>
</cp:coreProperties>
</file>