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Default ContentType="application/vnd.openxmlformats-officedocument.oleObject" Extension="bin"/>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Default ContentType="image/x-wmf" Extension="wmf"/>
  <Override ContentType="image/x-emf" PartName="/word/media/image10.emf"/>
  <Override ContentType="image/x-emf" PartName="/word/media/image11.emf"/>
  <Override ContentType="image/x-emf" PartName="/word/media/image12.emf"/>
  <Override ContentType="image/x-emf" PartName="/word/media/image13.emf"/>
  <Override ContentType="image/x-emf" PartName="/word/media/image14.emf"/>
  <Override ContentType="image/x-emf" PartName="/word/media/image15.emf"/>
  <Override ContentType="image/x-emf" PartName="/word/media/image16.emf"/>
  <Override ContentType="image/x-emf" PartName="/word/media/image17.emf"/>
  <Override ContentType="image/x-emf" PartName="/word/media/image18.emf"/>
  <Override ContentType="image/x-emf" PartName="/word/media/image19.emf"/>
  <Override ContentType="image/x-emf" PartName="/word/media/image2.emf"/>
  <Override ContentType="image/x-emf" PartName="/word/media/image20.emf"/>
  <Override ContentType="image/x-emf" PartName="/word/media/image21.emf"/>
  <Override ContentType="image/x-emf" PartName="/word/media/image22.emf"/>
  <Override ContentType="image/x-emf" PartName="/word/media/image23.emf"/>
  <Override ContentType="image/x-emf" PartName="/word/media/image24.emf"/>
  <Override ContentType="image/x-emf" PartName="/word/media/image25.emf"/>
  <Override ContentType="image/x-emf" PartName="/word/media/image26.emf"/>
  <Override ContentType="image/x-emf" PartName="/word/media/image27.emf"/>
  <Override ContentType="image/x-emf" PartName="/word/media/image28.emf"/>
  <Override ContentType="image/x-emf" PartName="/word/media/image29.emf"/>
  <Override ContentType="image/x-emf" PartName="/word/media/image3.emf"/>
  <Override ContentType="image/x-emf" PartName="/word/media/image30.emf"/>
  <Override ContentType="image/x-emf" PartName="/word/media/image31.emf"/>
  <Override ContentType="image/x-emf" PartName="/word/media/image32.emf"/>
  <Override ContentType="image/x-emf" PartName="/word/media/image33.emf"/>
  <Override ContentType="image/x-emf" PartName="/word/media/image34.emf"/>
  <Override ContentType="image/x-emf" PartName="/word/media/image35.emf"/>
  <Override ContentType="image/x-emf" PartName="/word/media/image36.emf"/>
  <Override ContentType="image/x-emf" PartName="/word/media/image37.emf"/>
  <Override ContentType="image/x-emf" PartName="/word/media/image38.emf"/>
  <Override ContentType="image/x-emf" PartName="/word/media/image39.emf"/>
  <Override ContentType="image/x-emf" PartName="/word/media/image4.emf"/>
  <Override ContentType="image/x-emf" PartName="/word/media/image40.emf"/>
  <Override ContentType="image/x-emf" PartName="/word/media/image41.emf"/>
  <Override ContentType="image/x-emf" PartName="/word/media/image42.emf"/>
  <Override ContentType="image/x-emf" PartName="/word/media/image5.emf"/>
  <Override ContentType="image/x-emf" PartName="/word/media/image6.emf"/>
  <Override ContentType="image/x-emf" PartName="/word/media/image7.emf"/>
  <Override ContentType="image/x-emf" PartName="/word/media/image8.emf"/>
  <Override ContentType="image/x-emf" PartName="/word/media/image9.emf"/>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12"/>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28"/>
          <w:szCs w:val="28"/>
        </w:rPr>
      </w:pPr>
    </w:p>
    <w:p>
      <w:pPr>
        <w:jc w:val="center"/>
        <w:rPr>
          <w:b/>
          <w:sz w:val="28"/>
          <w:szCs w:val="28"/>
        </w:rPr>
      </w:pPr>
      <w:r>
        <w:rPr>
          <w:rFonts w:hint="default"/>
          <w:b/>
          <w:sz w:val="28"/>
          <w:szCs w:val="28"/>
          <w:lang/>
        </w:rPr>
        <w:t>Ú</w:t>
      </w:r>
      <w:r>
        <w:rPr>
          <w:b/>
          <w:sz w:val="28"/>
          <w:szCs w:val="28"/>
        </w:rPr>
        <w:t>čtovná závierka</w:t>
      </w:r>
    </w:p>
    <w:p>
      <w:pPr>
        <w:jc w:val="center"/>
        <w:rPr>
          <w:b/>
          <w:sz w:val="28"/>
          <w:szCs w:val="28"/>
        </w:rPr>
      </w:pPr>
      <w:r>
        <w:rPr>
          <w:b/>
          <w:sz w:val="28"/>
          <w:szCs w:val="28"/>
        </w:rPr>
        <w:t>zostavená podľa slovenských právnych predpisov</w:t>
      </w:r>
    </w:p>
    <w:p>
      <w:pPr>
        <w:jc w:val="center"/>
        <w:rPr>
          <w:b/>
          <w:sz w:val="28"/>
          <w:szCs w:val="28"/>
        </w:rPr>
      </w:pPr>
      <w:r>
        <w:rPr>
          <w:b/>
          <w:sz w:val="28"/>
          <w:szCs w:val="28"/>
        </w:rPr>
        <w:t>k 31. decembru 2014</w:t>
      </w:r>
    </w:p>
    <w:p>
      <w:pPr>
        <w:jc w:val="center"/>
        <w:rPr>
          <w:b/>
          <w:sz w:val="28"/>
          <w:szCs w:val="28"/>
        </w:rPr>
      </w:pPr>
    </w:p>
    <w:p>
      <w:pPr>
        <w:jc w:val="center"/>
        <w:rPr>
          <w:b/>
          <w:sz w:val="28"/>
          <w:szCs w:val="28"/>
        </w:rPr>
      </w:pPr>
    </w:p>
    <w:p>
      <w:pPr>
        <w:jc w:val="center"/>
        <w:rPr>
          <w:sz w:val="28"/>
          <w:szCs w:val="28"/>
        </w:rPr>
      </w:pPr>
    </w:p>
    <w:p>
      <w:pPr>
        <w:spacing w:after="200" w:line="276" w:lineRule="auto"/>
        <w:rPr>
          <w:sz w:val="18"/>
          <w:szCs w:val="18"/>
        </w:rPr>
        <w:sectPr>
          <w:headerReference r:id="rId6" w:type="first"/>
          <w:footerReference r:id="rId9" w:type="first"/>
          <w:headerReference r:id="rId4" w:type="default"/>
          <w:footerReference r:id="rId7" w:type="default"/>
          <w:headerReference r:id="rId5" w:type="even"/>
          <w:footerReference r:id="rId8" w:type="even"/>
          <w:pgSz w:w="11907" w:h="16840"/>
          <w:pgMar w:top="1979" w:right="1021" w:bottom="1134" w:left="1673" w:header="675" w:footer="408" w:gutter="0"/>
          <w:cols w:space="708" w:num="1"/>
          <w:titlePg/>
        </w:sectPr>
      </w:pPr>
    </w:p>
    <w:p>
      <w:pPr>
        <w:spacing w:after="200" w:line="276" w:lineRule="auto"/>
        <w:rPr>
          <w:b/>
          <w:caps/>
          <w:sz w:val="18"/>
          <w:szCs w:val="18"/>
        </w:rPr>
      </w:pPr>
      <w:r>
        <w:rPr>
          <w:sz w:val="18"/>
          <w:szCs w:val="18"/>
        </w:rPr>
        <w:br w:type="page"/>
      </w:r>
    </w:p>
    <w:p>
      <w:pPr>
        <w:rPr>
          <w:sz w:val="18"/>
          <w:szCs w:val="18"/>
        </w:rPr>
      </w:pPr>
      <w:r>
        <w:rPr>
          <w:sz w:val="18"/>
          <w:szCs w:val="18"/>
        </w:rPr>
        <w:t xml:space="preserve">é </w:t>
      </w:r>
      <w:r>
        <w:rPr>
          <w:b/>
        </w:rPr>
        <w:t>n</w:t>
      </w:r>
    </w:p>
    <w:p>
      <w:pPr>
        <w:pStyle w:val="2"/>
        <w:tabs>
          <w:tab w:val="left" w:pos="360"/>
          <w:tab w:val="clear" w:pos="450"/>
        </w:tabs>
        <w:spacing w:after="60"/>
        <w:ind w:left="360"/>
        <w:rPr>
          <w:szCs w:val="18"/>
        </w:rPr>
      </w:pPr>
      <w:bookmarkStart w:id="0" w:name="_Toc530739894"/>
      <w:r>
        <w:rPr>
          <w:szCs w:val="18"/>
        </w:rPr>
        <w:t>Informácie o účtovnej jednotke</w:t>
      </w:r>
      <w:bookmarkEnd w:id="0"/>
    </w:p>
    <w:p>
      <w:pPr>
        <w:pStyle w:val="7"/>
        <w:rPr>
          <w:szCs w:val="18"/>
        </w:rPr>
      </w:pPr>
    </w:p>
    <w:p>
      <w:pPr>
        <w:pStyle w:val="3"/>
        <w:rPr>
          <w:szCs w:val="18"/>
        </w:rPr>
      </w:pPr>
      <w:r>
        <w:rPr>
          <w:szCs w:val="18"/>
        </w:rPr>
        <w:t>Založenie spoločnosti</w:t>
      </w:r>
    </w:p>
    <w:p>
      <w:pPr>
        <w:pStyle w:val="7"/>
        <w:rPr>
          <w:szCs w:val="18"/>
        </w:rPr>
      </w:pPr>
      <w:r>
        <w:rPr>
          <w:szCs w:val="18"/>
        </w:rPr>
        <w:t xml:space="preserve">Spoločnosť </w:t>
      </w:r>
      <w:r>
        <w:rPr>
          <w:rFonts w:hint="default"/>
          <w:szCs w:val="18"/>
          <w:lang/>
        </w:rPr>
        <w:t xml:space="preserve">green-express </w:t>
      </w:r>
      <w:r>
        <w:rPr>
          <w:szCs w:val="18"/>
        </w:rPr>
        <w:t>s</w:t>
      </w:r>
      <w:r>
        <w:rPr>
          <w:rFonts w:hint="default"/>
          <w:szCs w:val="18"/>
          <w:lang/>
        </w:rPr>
        <w:t>.</w:t>
      </w:r>
      <w:r>
        <w:rPr>
          <w:szCs w:val="18"/>
        </w:rPr>
        <w:t xml:space="preserve"> r. o. (ďalej len Spoločnosť), bola založená </w:t>
      </w:r>
      <w:r>
        <w:rPr>
          <w:rFonts w:hint="default"/>
          <w:szCs w:val="18"/>
          <w:lang/>
        </w:rPr>
        <w:t>zápisom do Obchodného</w:t>
      </w:r>
      <w:r>
        <w:rPr>
          <w:szCs w:val="18"/>
        </w:rPr>
        <w:t xml:space="preserve"> registra </w:t>
      </w:r>
      <w:r>
        <w:rPr>
          <w:rFonts w:hint="default"/>
          <w:szCs w:val="18"/>
          <w:lang/>
        </w:rPr>
        <w:t>Okresného súdu Bratislava I, VI.č. 78021/B, oddiel: s.r.o.</w:t>
      </w:r>
      <w:r>
        <w:rPr>
          <w:szCs w:val="18"/>
        </w:rPr>
        <w:t xml:space="preserve"> </w:t>
      </w:r>
      <w:r>
        <w:rPr>
          <w:rFonts w:hint="default"/>
          <w:szCs w:val="18"/>
          <w:lang/>
        </w:rPr>
        <w:t>dňa 22.12.2011.</w:t>
      </w:r>
    </w:p>
    <w:p>
      <w:pPr>
        <w:rPr>
          <w:sz w:val="18"/>
          <w:szCs w:val="18"/>
        </w:rPr>
      </w:pPr>
    </w:p>
    <w:p>
      <w:pPr>
        <w:pStyle w:val="3"/>
        <w:rPr>
          <w:szCs w:val="18"/>
        </w:rPr>
      </w:pPr>
      <w:bookmarkStart w:id="1" w:name="_Toc530739896"/>
      <w:r>
        <w:rPr>
          <w:szCs w:val="18"/>
        </w:rPr>
        <w:t xml:space="preserve">Hlavnými činnosťami </w:t>
      </w:r>
      <w:r>
        <w:rPr>
          <w:rFonts w:hint="default"/>
          <w:szCs w:val="18"/>
          <w:lang/>
        </w:rPr>
        <w:t>s</w:t>
      </w:r>
      <w:r>
        <w:rPr>
          <w:szCs w:val="18"/>
        </w:rPr>
        <w:t>poločnosti sú:</w:t>
      </w:r>
      <w:bookmarkEnd w:id="1"/>
    </w:p>
    <w:p>
      <w:pPr>
        <w:pStyle w:val="7"/>
        <w:tabs>
          <w:tab w:val="left" w:pos="7905"/>
        </w:tabs>
        <w:rPr>
          <w:szCs w:val="18"/>
        </w:rPr>
      </w:pPr>
      <w:r>
        <w:rPr>
          <w:szCs w:val="18"/>
        </w:rPr>
        <w:t xml:space="preserve">– </w:t>
      </w:r>
      <w:r>
        <w:rPr>
          <w:rFonts w:hint="default"/>
          <w:szCs w:val="18"/>
          <w:lang/>
        </w:rPr>
        <w:t>kuriérske služby</w:t>
      </w:r>
      <w:r>
        <w:rPr>
          <w:szCs w:val="18"/>
        </w:rPr>
        <w:tab/>
      </w:r>
    </w:p>
    <w:p>
      <w:pPr>
        <w:pStyle w:val="7"/>
        <w:rPr>
          <w:szCs w:val="18"/>
        </w:rPr>
      </w:pPr>
      <w:r>
        <w:rPr>
          <w:szCs w:val="18"/>
        </w:rPr>
        <w:t xml:space="preserve">– </w:t>
      </w:r>
      <w:r>
        <w:rPr>
          <w:rFonts w:hint="default"/>
          <w:szCs w:val="18"/>
          <w:lang/>
        </w:rPr>
        <w:t>sprostredkovateľská činnosť v oblasti cestnej dopravy</w:t>
      </w:r>
    </w:p>
    <w:p>
      <w:pPr>
        <w:pStyle w:val="7"/>
        <w:rPr>
          <w:rFonts w:hint="default"/>
          <w:szCs w:val="18"/>
          <w:lang/>
        </w:rPr>
      </w:pPr>
      <w:r>
        <w:rPr>
          <w:szCs w:val="18"/>
        </w:rPr>
        <w:t>– s</w:t>
      </w:r>
      <w:r>
        <w:rPr>
          <w:rFonts w:hint="default"/>
          <w:szCs w:val="18"/>
          <w:lang/>
        </w:rPr>
        <w:t>prostredkovateľská činnosť v oblasti predaja leteckých prepravných služieb</w:t>
      </w:r>
    </w:p>
    <w:p>
      <w:pPr>
        <w:pStyle w:val="7"/>
        <w:rPr>
          <w:rFonts w:hint="default"/>
          <w:szCs w:val="18"/>
          <w:lang/>
        </w:rPr>
      </w:pPr>
      <w:r>
        <w:rPr>
          <w:rFonts w:hint="default"/>
          <w:szCs w:val="18"/>
          <w:lang/>
        </w:rPr>
        <w:t>-  poskytovanie prepravných služieb nemotorovými vozidlami</w:t>
      </w:r>
    </w:p>
    <w:p>
      <w:pPr>
        <w:pStyle w:val="7"/>
        <w:rPr>
          <w:szCs w:val="18"/>
        </w:rPr>
      </w:pPr>
    </w:p>
    <w:p>
      <w:pPr>
        <w:pStyle w:val="3"/>
        <w:rPr>
          <w:szCs w:val="18"/>
        </w:rPr>
      </w:pPr>
      <w:r>
        <w:rPr>
          <w:szCs w:val="18"/>
        </w:rPr>
        <w:t xml:space="preserve">Počet zamestnancov </w:t>
      </w:r>
    </w:p>
    <w:p>
      <w:pPr>
        <w:pStyle w:val="7"/>
        <w:rPr>
          <w:szCs w:val="18"/>
        </w:rPr>
      </w:pPr>
      <w:r>
        <w:rPr>
          <w:szCs w:val="18"/>
        </w:rPr>
        <w:t>Údaje o počte zamestnancov za bežné účtovné obdobie a bezprostredne predchádzajúce účtovné obdobie sú uvedené v nasledujúcom prehľade:</w:t>
      </w:r>
    </w:p>
    <w:p>
      <w:pPr>
        <w:pStyle w:val="7"/>
        <w:rPr>
          <w:i/>
          <w:szCs w:val="18"/>
          <w:u w:val="single"/>
        </w:rPr>
      </w:pPr>
    </w:p>
    <w:p>
      <w:pPr>
        <w:pStyle w:val="7"/>
        <w:rPr>
          <w:szCs w:val="18"/>
        </w:rPr>
      </w:pPr>
    </w:p>
    <w:p>
      <w:pPr>
        <w:pStyle w:val="7"/>
        <w:rPr>
          <w:rFonts w:hint="default"/>
          <w:szCs w:val="18"/>
          <w:lang/>
        </w:rPr>
      </w:pPr>
      <w:bookmarkStart w:id="2" w:name="_MON_1405921752"/>
      <w:bookmarkEnd w:id="2"/>
      <w:r>
        <w:rPr>
          <w:rFonts w:hint="default"/>
          <w:szCs w:val="18"/>
          <w:lang/>
        </w:rPr>
        <w:t xml:space="preserve">                                                                                                   2014                        2013</w:t>
      </w:r>
    </w:p>
    <w:p>
      <w:pPr>
        <w:pStyle w:val="7"/>
        <w:rPr>
          <w:rFonts w:hint="default"/>
          <w:szCs w:val="18"/>
          <w:lang/>
        </w:rPr>
      </w:pPr>
      <w:r>
        <w:rPr>
          <w:rFonts w:hint="default"/>
          <w:szCs w:val="18"/>
          <w:lang/>
        </w:rPr>
        <w:t>Priemerný prepočítaný počet zamestnancov:                                 3                              3</w:t>
      </w:r>
    </w:p>
    <w:p>
      <w:pPr>
        <w:pStyle w:val="7"/>
        <w:rPr>
          <w:rFonts w:hint="default"/>
          <w:szCs w:val="18"/>
          <w:lang/>
        </w:rPr>
      </w:pPr>
      <w:r>
        <w:rPr>
          <w:rFonts w:hint="default"/>
          <w:szCs w:val="18"/>
          <w:lang/>
        </w:rPr>
        <w:t>Počet zamestnancov ku dňu, ku ktorému sa zostavuje</w:t>
      </w:r>
    </w:p>
    <w:p>
      <w:pPr>
        <w:pStyle w:val="7"/>
        <w:rPr>
          <w:rFonts w:hint="default"/>
          <w:szCs w:val="18"/>
          <w:lang/>
        </w:rPr>
      </w:pPr>
      <w:r>
        <w:rPr>
          <w:rFonts w:hint="default"/>
          <w:szCs w:val="18"/>
          <w:lang/>
        </w:rPr>
        <w:t>účtovná závierka:                                                                           3                               3</w:t>
      </w:r>
    </w:p>
    <w:p>
      <w:pPr>
        <w:pStyle w:val="7"/>
        <w:rPr>
          <w:rFonts w:hint="default"/>
          <w:szCs w:val="18"/>
          <w:lang/>
        </w:rPr>
      </w:pPr>
      <w:r>
        <w:rPr>
          <w:rFonts w:hint="default"/>
          <w:szCs w:val="18"/>
          <w:lang/>
        </w:rPr>
        <w:t>Z toho:</w:t>
      </w:r>
    </w:p>
    <w:p>
      <w:pPr>
        <w:pStyle w:val="7"/>
        <w:rPr>
          <w:rFonts w:hint="default"/>
          <w:szCs w:val="18"/>
          <w:lang/>
        </w:rPr>
      </w:pPr>
      <w:r>
        <w:rPr>
          <w:rFonts w:hint="default"/>
          <w:szCs w:val="18"/>
          <w:lang/>
        </w:rPr>
        <w:t xml:space="preserve">Počet vedúcich zamestnancov:                                                       1                              1              </w:t>
      </w:r>
    </w:p>
    <w:p>
      <w:pPr>
        <w:pStyle w:val="7"/>
        <w:rPr>
          <w:szCs w:val="18"/>
        </w:rPr>
      </w:pPr>
    </w:p>
    <w:p>
      <w:pPr>
        <w:pStyle w:val="3"/>
        <w:rPr>
          <w:szCs w:val="18"/>
        </w:rPr>
      </w:pPr>
      <w:r>
        <w:rPr>
          <w:szCs w:val="18"/>
        </w:rPr>
        <w:t>Údaje o neobmedzenom ručení</w:t>
      </w:r>
    </w:p>
    <w:p>
      <w:pPr>
        <w:ind w:left="450"/>
        <w:jc w:val="both"/>
        <w:rPr>
          <w:sz w:val="18"/>
          <w:szCs w:val="18"/>
        </w:rPr>
      </w:pPr>
      <w:r>
        <w:rPr>
          <w:sz w:val="18"/>
          <w:szCs w:val="18"/>
        </w:rPr>
        <w:t>Spoločnosť nie je neobmedzene ručiacim spoločníkom v iných spoločnostiach podľa § 56 ods. 5 Obchodného zákonníka.</w:t>
      </w:r>
    </w:p>
    <w:p>
      <w:pPr>
        <w:pStyle w:val="7"/>
        <w:rPr>
          <w:szCs w:val="18"/>
        </w:rPr>
      </w:pPr>
    </w:p>
    <w:p>
      <w:pPr>
        <w:pStyle w:val="3"/>
        <w:rPr>
          <w:szCs w:val="18"/>
        </w:rPr>
      </w:pPr>
      <w:r>
        <w:rPr>
          <w:szCs w:val="18"/>
        </w:rPr>
        <w:t>Právny dôvod na zostavenie účtovnej závierky</w:t>
      </w:r>
    </w:p>
    <w:p>
      <w:pPr>
        <w:pStyle w:val="7"/>
        <w:ind w:hanging="426"/>
        <w:rPr>
          <w:szCs w:val="18"/>
        </w:rPr>
      </w:pPr>
      <w:r>
        <w:rPr>
          <w:szCs w:val="18"/>
        </w:rPr>
        <w:tab/>
      </w:r>
      <w:r>
        <w:rPr>
          <w:szCs w:val="18"/>
        </w:rPr>
        <w:t>Účtovná závierka Spoločnosti k 31. decembru 2014 je zostavená ako riadna účtovná závierka podľa § 17 ods. 6 zákona NR SR č. 431/2002 Z. z. o účtovníctve za účtovné obdobie od 1. januára 2014 do 31. decembra 2014.</w:t>
      </w:r>
    </w:p>
    <w:p>
      <w:pPr>
        <w:pStyle w:val="7"/>
        <w:ind w:hanging="426"/>
        <w:rPr>
          <w:szCs w:val="18"/>
        </w:rPr>
      </w:pPr>
    </w:p>
    <w:p>
      <w:pPr>
        <w:pStyle w:val="3"/>
        <w:rPr>
          <w:szCs w:val="18"/>
        </w:rPr>
      </w:pPr>
      <w:r>
        <w:rPr>
          <w:szCs w:val="18"/>
        </w:rPr>
        <w:t>Dátum schválenia účtovnej závierky za predchádzajúce účtovné obdobie</w:t>
      </w:r>
    </w:p>
    <w:p>
      <w:pPr>
        <w:pStyle w:val="7"/>
        <w:ind w:hanging="426"/>
        <w:rPr>
          <w:szCs w:val="18"/>
        </w:rPr>
      </w:pPr>
      <w:r>
        <w:rPr>
          <w:szCs w:val="18"/>
        </w:rPr>
        <w:tab/>
      </w:r>
      <w:r>
        <w:rPr>
          <w:szCs w:val="18"/>
        </w:rPr>
        <w:t>Účtovná závierka Spoločnosti k 31. decembru 2013, za predchádzajúce účtovné obdobie, bola schválená valným zhromaždením Spoločnosti 20. mája 2014.</w:t>
      </w:r>
    </w:p>
    <w:p>
      <w:pPr>
        <w:pStyle w:val="7"/>
        <w:ind w:hanging="426"/>
        <w:rPr>
          <w:szCs w:val="18"/>
        </w:rPr>
      </w:pPr>
    </w:p>
    <w:p>
      <w:pPr>
        <w:pStyle w:val="3"/>
        <w:rPr>
          <w:szCs w:val="18"/>
        </w:rPr>
      </w:pPr>
      <w:r>
        <w:rPr>
          <w:szCs w:val="18"/>
        </w:rPr>
        <w:t>Zverejnenie účtovnej závierky za predchádzajúce účtovné obdobie</w:t>
      </w:r>
    </w:p>
    <w:p>
      <w:pPr>
        <w:pStyle w:val="7"/>
        <w:rPr>
          <w:szCs w:val="18"/>
        </w:rPr>
      </w:pPr>
      <w:r>
        <w:rPr>
          <w:szCs w:val="18"/>
        </w:rPr>
        <w:t>Účtovná závierka Spoločnosti k 31. decembru 2013  bola uložená do registra účtovných závierok 31. marca 2014 a 30. júna 2014.</w:t>
      </w:r>
    </w:p>
    <w:p>
      <w:pPr>
        <w:pStyle w:val="7"/>
        <w:rPr>
          <w:szCs w:val="18"/>
        </w:rPr>
      </w:pPr>
      <w:bookmarkStart w:id="3" w:name="OLE_LINK13"/>
      <w:bookmarkStart w:id="4" w:name="OLE_LINK14"/>
    </w:p>
    <w:bookmarkEnd w:id="3"/>
    <w:bookmarkEnd w:id="4"/>
    <w:p>
      <w:pPr>
        <w:pStyle w:val="7"/>
        <w:jc w:val="left"/>
        <w:rPr>
          <w:szCs w:val="18"/>
        </w:rPr>
      </w:pPr>
    </w:p>
    <w:p>
      <w:pPr>
        <w:pStyle w:val="7"/>
        <w:jc w:val="left"/>
        <w:rPr>
          <w:szCs w:val="18"/>
        </w:rPr>
      </w:pPr>
    </w:p>
    <w:p>
      <w:pPr>
        <w:pStyle w:val="2"/>
        <w:tabs>
          <w:tab w:val="left" w:pos="360"/>
          <w:tab w:val="clear" w:pos="450"/>
        </w:tabs>
        <w:ind w:left="360"/>
        <w:rPr>
          <w:szCs w:val="18"/>
        </w:rPr>
      </w:pPr>
      <w:bookmarkStart w:id="5" w:name="_Toc530739897"/>
      <w:r>
        <w:rPr>
          <w:szCs w:val="18"/>
        </w:rPr>
        <w:t>Informácie o orgánoch účtovnej jednotky</w:t>
      </w:r>
      <w:bookmarkEnd w:id="5"/>
    </w:p>
    <w:p>
      <w:pPr>
        <w:rPr>
          <w:sz w:val="18"/>
          <w:szCs w:val="18"/>
        </w:rPr>
      </w:pPr>
    </w:p>
    <w:p>
      <w:pPr>
        <w:pStyle w:val="7"/>
        <w:rPr>
          <w:szCs w:val="18"/>
        </w:rPr>
      </w:pPr>
      <w:r>
        <w:rPr>
          <w:szCs w:val="18"/>
        </w:rPr>
        <w:t>Konate</w:t>
      </w:r>
      <w:r>
        <w:rPr>
          <w:szCs w:val="18"/>
          <w:lang/>
        </w:rPr>
        <w:t>ľ</w:t>
      </w:r>
      <w:r>
        <w:rPr>
          <w:szCs w:val="18"/>
        </w:rPr>
        <w:tab/>
      </w:r>
      <w:r>
        <w:rPr>
          <w:szCs w:val="18"/>
        </w:rPr>
        <w:tab/>
      </w:r>
      <w:r>
        <w:rPr>
          <w:rFonts w:hint="default"/>
          <w:szCs w:val="18"/>
          <w:lang/>
        </w:rPr>
        <w:t>Filip Slabý</w:t>
      </w:r>
    </w:p>
    <w:p>
      <w:pPr>
        <w:pStyle w:val="7"/>
        <w:rPr>
          <w:szCs w:val="18"/>
        </w:rPr>
      </w:pPr>
      <w:r>
        <w:rPr>
          <w:szCs w:val="18"/>
        </w:rPr>
        <w:tab/>
      </w:r>
      <w:r>
        <w:rPr>
          <w:szCs w:val="18"/>
        </w:rPr>
        <w:tab/>
      </w:r>
      <w:r>
        <w:rPr>
          <w:szCs w:val="18"/>
        </w:rPr>
        <w:tab/>
      </w:r>
    </w:p>
    <w:p>
      <w:pPr>
        <w:pStyle w:val="7"/>
        <w:rPr>
          <w:szCs w:val="18"/>
        </w:rPr>
      </w:pPr>
      <w:bookmarkStart w:id="6" w:name="_MON_1410865165"/>
      <w:bookmarkEnd w:id="6"/>
    </w:p>
    <w:p>
      <w:pPr>
        <w:ind w:left="426"/>
        <w:rPr>
          <w:sz w:val="18"/>
          <w:szCs w:val="18"/>
        </w:rPr>
      </w:pPr>
      <w:bookmarkStart w:id="7" w:name="_MON_1405921861"/>
      <w:bookmarkEnd w:id="7"/>
    </w:p>
    <w:p>
      <w:pPr>
        <w:ind w:left="426"/>
        <w:jc w:val="both"/>
        <w:rPr>
          <w:sz w:val="18"/>
          <w:szCs w:val="18"/>
        </w:rPr>
      </w:pPr>
    </w:p>
    <w:p>
      <w:pPr>
        <w:pStyle w:val="2"/>
        <w:numPr>
          <w:ilvl w:val="0"/>
          <w:numId w:val="0"/>
        </w:numPr>
        <w:tabs>
          <w:tab w:val="left" w:pos="426"/>
        </w:tabs>
        <w:spacing w:after="60"/>
        <w:rPr>
          <w:szCs w:val="18"/>
        </w:rPr>
      </w:pPr>
      <w:bookmarkStart w:id="8" w:name="_Toc530739899"/>
      <w:r>
        <w:rPr>
          <w:rFonts w:hint="default"/>
          <w:caps w:val="0"/>
          <w:szCs w:val="18"/>
          <w:lang/>
        </w:rPr>
        <w:t>C</w:t>
      </w:r>
      <w:r>
        <w:rPr>
          <w:b w:val="0"/>
          <w:caps w:val="0"/>
          <w:szCs w:val="18"/>
        </w:rPr>
        <w:t>.</w:t>
      </w:r>
      <w:r>
        <w:rPr>
          <w:caps w:val="0"/>
          <w:szCs w:val="18"/>
        </w:rPr>
        <w:tab/>
      </w:r>
      <w:r>
        <w:rPr>
          <w:szCs w:val="18"/>
        </w:rPr>
        <w:t xml:space="preserve">Informácie o účtovných zásadách a účtovných metódach  </w:t>
      </w:r>
      <w:bookmarkEnd w:id="8"/>
    </w:p>
    <w:p>
      <w:pPr>
        <w:pStyle w:val="7"/>
        <w:rPr>
          <w:szCs w:val="18"/>
        </w:rPr>
      </w:pPr>
    </w:p>
    <w:p>
      <w:pPr>
        <w:pStyle w:val="23"/>
        <w:tabs>
          <w:tab w:val="clear" w:pos="426"/>
        </w:tabs>
        <w:ind w:left="426"/>
        <w:rPr>
          <w:szCs w:val="18"/>
        </w:rPr>
      </w:pPr>
      <w:r>
        <w:rPr>
          <w:szCs w:val="18"/>
        </w:rPr>
        <w:t>Východiská pre zostavenie účtovnej závierky</w:t>
      </w:r>
    </w:p>
    <w:p>
      <w:pPr>
        <w:pStyle w:val="7"/>
        <w:ind w:left="450"/>
        <w:rPr>
          <w:szCs w:val="18"/>
        </w:rPr>
      </w:pPr>
      <w:r>
        <w:rPr>
          <w:szCs w:val="18"/>
        </w:rPr>
        <w:t>Účtovná závierka bola zostavená za predpokladu, že Spoločnosť bude nepretržite pokračovať vo svojej činnosti (going concern).</w:t>
      </w:r>
    </w:p>
    <w:p>
      <w:pPr>
        <w:pStyle w:val="7"/>
        <w:ind w:left="450"/>
        <w:rPr>
          <w:szCs w:val="18"/>
        </w:rPr>
      </w:pPr>
    </w:p>
    <w:p>
      <w:pPr>
        <w:pStyle w:val="7"/>
        <w:ind w:left="450"/>
        <w:rPr>
          <w:szCs w:val="18"/>
        </w:rPr>
      </w:pPr>
      <w:r>
        <w:rPr>
          <w:szCs w:val="18"/>
        </w:rPr>
        <w:t>Účtovné metódy a všeobecné účtovné zásady boli účtovnou jednotkou konzistentne aplikované.</w:t>
      </w:r>
    </w:p>
    <w:p>
      <w:pPr>
        <w:pStyle w:val="7"/>
        <w:ind w:left="450"/>
        <w:rPr>
          <w:szCs w:val="18"/>
        </w:rPr>
      </w:pPr>
    </w:p>
    <w:p>
      <w:pPr>
        <w:pStyle w:val="7"/>
        <w:ind w:left="450"/>
        <w:rPr>
          <w:szCs w:val="18"/>
        </w:rPr>
      </w:pPr>
      <w:r>
        <w:rPr>
          <w:szCs w:val="18"/>
        </w:rPr>
        <w:t xml:space="preserve">V účtovnom období 2014 Spoločnosť nevykonala žiadne opravy významných chýb minulých účtovných období. </w:t>
      </w:r>
    </w:p>
    <w:p>
      <w:pPr>
        <w:pStyle w:val="7"/>
        <w:ind w:left="450"/>
        <w:rPr>
          <w:szCs w:val="18"/>
        </w:rPr>
      </w:pPr>
    </w:p>
    <w:p>
      <w:pPr>
        <w:pStyle w:val="23"/>
        <w:tabs>
          <w:tab w:val="clear" w:pos="426"/>
        </w:tabs>
        <w:ind w:left="426"/>
        <w:rPr>
          <w:szCs w:val="18"/>
        </w:rPr>
      </w:pPr>
      <w:r>
        <w:rPr>
          <w:szCs w:val="18"/>
        </w:rPr>
        <w:t>Dlhodobý nehmotný majetok a dlhodobý hmotný majetok</w:t>
      </w:r>
    </w:p>
    <w:p>
      <w:pPr>
        <w:pStyle w:val="7"/>
        <w:rPr>
          <w:szCs w:val="18"/>
        </w:rPr>
      </w:pPr>
      <w:r>
        <w:rPr>
          <w:szCs w:val="18"/>
        </w:rPr>
        <w:t xml:space="preserve">Dlhodobý majetok nakupovaný sa oceňuje obstarávacou cenou, ktorá zahŕňa cenu obstarania a náklady súvisiace s obstaraním (clo, prepravu, montáž, poistné a pod.). </w:t>
      </w:r>
    </w:p>
    <w:p>
      <w:pPr>
        <w:pStyle w:val="7"/>
        <w:rPr>
          <w:szCs w:val="18"/>
        </w:rPr>
      </w:pPr>
    </w:p>
    <w:p>
      <w:pPr>
        <w:pStyle w:val="7"/>
        <w:rPr>
          <w:szCs w:val="18"/>
        </w:rPr>
      </w:pPr>
      <w:r>
        <w:rPr>
          <w:szCs w:val="18"/>
        </w:rPr>
        <w:t>Súčasťou obstarávacej ceny dlhodobého hmotného majetku nie sú úroky z cudzích zdrojov ani realizované kurzové rozdiely, ktoré vznikli do momentu uvedenia dlhodobého majetku do používania.</w:t>
      </w:r>
    </w:p>
    <w:p>
      <w:pPr>
        <w:pStyle w:val="7"/>
        <w:rPr>
          <w:szCs w:val="18"/>
        </w:rPr>
      </w:pPr>
    </w:p>
    <w:p>
      <w:pPr>
        <w:pStyle w:val="7"/>
        <w:rPr>
          <w:szCs w:val="18"/>
        </w:rPr>
      </w:pPr>
      <w:r>
        <w:rPr>
          <w:szCs w:val="18"/>
        </w:rPr>
        <w:t>Súčasťou obstarávacej ceny dlhodobého nehmotného majetku nie sú úroky z cudzích zdrojov, ktoré vznikli do momentu zaradenia dlhodobého nehmotného majetku do používania.</w:t>
      </w:r>
    </w:p>
    <w:p>
      <w:pPr>
        <w:pStyle w:val="7"/>
        <w:rPr>
          <w:szCs w:val="18"/>
        </w:rPr>
      </w:pPr>
    </w:p>
    <w:p>
      <w:pPr>
        <w:pStyle w:val="7"/>
        <w:rPr>
          <w:szCs w:val="18"/>
        </w:rPr>
      </w:pPr>
      <w:r>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pPr>
        <w:pStyle w:val="7"/>
        <w:rPr>
          <w:szCs w:val="18"/>
        </w:rPr>
      </w:pPr>
    </w:p>
    <w:p>
      <w:pPr>
        <w:pStyle w:val="7"/>
        <w:rPr>
          <w:szCs w:val="18"/>
        </w:rPr>
      </w:pPr>
      <w:r>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pStyle w:val="7"/>
        <w:rPr>
          <w:szCs w:val="18"/>
        </w:rPr>
      </w:pPr>
    </w:p>
    <w:p>
      <w:pPr>
        <w:pStyle w:val="7"/>
        <w:rPr>
          <w:szCs w:val="18"/>
        </w:rPr>
      </w:pPr>
      <w:r>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pPr>
        <w:pStyle w:val="7"/>
        <w:rPr>
          <w:szCs w:val="18"/>
        </w:rPr>
      </w:pPr>
      <w:r>
        <w:rPr>
          <w:szCs w:val="18"/>
        </w:rPr>
        <w:t xml:space="preserve"> </w:t>
      </w:r>
    </w:p>
    <w:p>
      <w:pPr>
        <w:pStyle w:val="7"/>
        <w:rPr>
          <w:szCs w:val="18"/>
        </w:rPr>
      </w:pPr>
      <w:r>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pPr>
        <w:pStyle w:val="7"/>
        <w:rPr>
          <w:szCs w:val="18"/>
        </w:rPr>
      </w:pPr>
    </w:p>
    <w:tbl>
      <w:tblPr>
        <w:tblW w:w="8757" w:type="dxa"/>
        <w:tblInd w:w="4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
      <w:tblGrid>
        <w:gridCol w:w="2873"/>
        <w:gridCol w:w="412"/>
        <w:gridCol w:w="1539"/>
        <w:gridCol w:w="222"/>
        <w:gridCol w:w="1807"/>
        <w:gridCol w:w="222"/>
        <w:gridCol w:w="16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285" w:type="dxa"/>
            <w:gridSpan w:val="2"/>
            <w:vAlign w:val="top"/>
          </w:tcPr>
          <w:p>
            <w:pPr>
              <w:pStyle w:val="22"/>
              <w:rPr>
                <w:szCs w:val="18"/>
              </w:rPr>
            </w:pPr>
          </w:p>
        </w:tc>
        <w:tc>
          <w:tcPr>
            <w:tcW w:w="1539" w:type="dxa"/>
            <w:vAlign w:val="top"/>
          </w:tcPr>
          <w:p>
            <w:pPr>
              <w:pStyle w:val="22"/>
              <w:jc w:val="center"/>
              <w:rPr>
                <w:szCs w:val="18"/>
              </w:rPr>
            </w:pPr>
            <w:r>
              <w:rPr>
                <w:szCs w:val="18"/>
              </w:rPr>
              <w:t>Predpokladaná</w:t>
            </w:r>
          </w:p>
        </w:tc>
        <w:tc>
          <w:tcPr>
            <w:tcW w:w="222" w:type="dxa"/>
            <w:vAlign w:val="top"/>
          </w:tcPr>
          <w:p>
            <w:pPr>
              <w:pStyle w:val="22"/>
              <w:jc w:val="center"/>
              <w:rPr>
                <w:szCs w:val="18"/>
              </w:rPr>
            </w:pPr>
          </w:p>
        </w:tc>
        <w:tc>
          <w:tcPr>
            <w:tcW w:w="1807" w:type="dxa"/>
            <w:vAlign w:val="top"/>
          </w:tcPr>
          <w:p>
            <w:pPr>
              <w:pStyle w:val="22"/>
              <w:jc w:val="center"/>
              <w:rPr>
                <w:szCs w:val="18"/>
              </w:rPr>
            </w:pPr>
            <w:r>
              <w:rPr>
                <w:szCs w:val="18"/>
              </w:rPr>
              <w:t>Metóda</w:t>
            </w:r>
          </w:p>
        </w:tc>
        <w:tc>
          <w:tcPr>
            <w:tcW w:w="222" w:type="dxa"/>
            <w:vAlign w:val="top"/>
          </w:tcPr>
          <w:p>
            <w:pPr>
              <w:pStyle w:val="22"/>
              <w:jc w:val="center"/>
              <w:rPr>
                <w:szCs w:val="18"/>
              </w:rPr>
            </w:pPr>
          </w:p>
        </w:tc>
        <w:tc>
          <w:tcPr>
            <w:tcW w:w="1682" w:type="dxa"/>
            <w:vAlign w:val="top"/>
          </w:tcPr>
          <w:p>
            <w:pPr>
              <w:pStyle w:val="22"/>
              <w:jc w:val="center"/>
              <w:rPr>
                <w:szCs w:val="18"/>
              </w:rPr>
            </w:pPr>
            <w:r>
              <w:rPr>
                <w:szCs w:val="18"/>
              </w:rPr>
              <w:t>Ročná odpisová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2873" w:type="dxa"/>
            <w:tcBorders>
              <w:bottom w:val="single" w:color="auto" w:sz="4" w:space="0"/>
            </w:tcBorders>
            <w:vAlign w:val="top"/>
          </w:tcPr>
          <w:p>
            <w:pPr>
              <w:pStyle w:val="22"/>
              <w:rPr>
                <w:szCs w:val="18"/>
              </w:rPr>
            </w:pPr>
          </w:p>
        </w:tc>
        <w:tc>
          <w:tcPr>
            <w:tcW w:w="412" w:type="dxa"/>
            <w:tcBorders>
              <w:bottom w:val="single" w:color="auto" w:sz="4" w:space="0"/>
            </w:tcBorders>
            <w:vAlign w:val="top"/>
          </w:tcPr>
          <w:p>
            <w:pPr>
              <w:pStyle w:val="22"/>
              <w:rPr>
                <w:szCs w:val="18"/>
              </w:rPr>
            </w:pPr>
          </w:p>
        </w:tc>
        <w:tc>
          <w:tcPr>
            <w:tcW w:w="1539" w:type="dxa"/>
            <w:tcBorders>
              <w:bottom w:val="single" w:color="auto" w:sz="4" w:space="0"/>
            </w:tcBorders>
            <w:vAlign w:val="top"/>
          </w:tcPr>
          <w:p>
            <w:pPr>
              <w:pStyle w:val="22"/>
              <w:jc w:val="center"/>
              <w:rPr>
                <w:szCs w:val="18"/>
              </w:rPr>
            </w:pPr>
            <w:r>
              <w:rPr>
                <w:szCs w:val="18"/>
              </w:rPr>
              <w:t>doba používania</w:t>
            </w:r>
            <w:r>
              <w:rPr>
                <w:szCs w:val="18"/>
              </w:rPr>
              <w:br/>
            </w:r>
            <w:r>
              <w:rPr>
                <w:szCs w:val="18"/>
              </w:rPr>
              <w:t>v rokoch</w:t>
            </w:r>
          </w:p>
        </w:tc>
        <w:tc>
          <w:tcPr>
            <w:tcW w:w="222" w:type="dxa"/>
            <w:tcBorders>
              <w:bottom w:val="single" w:color="auto" w:sz="4" w:space="0"/>
            </w:tcBorders>
            <w:vAlign w:val="top"/>
          </w:tcPr>
          <w:p>
            <w:pPr>
              <w:pStyle w:val="22"/>
              <w:jc w:val="center"/>
              <w:rPr>
                <w:szCs w:val="18"/>
              </w:rPr>
            </w:pPr>
          </w:p>
        </w:tc>
        <w:tc>
          <w:tcPr>
            <w:tcW w:w="1807" w:type="dxa"/>
            <w:tcBorders>
              <w:bottom w:val="single" w:color="auto" w:sz="4" w:space="0"/>
            </w:tcBorders>
            <w:vAlign w:val="top"/>
          </w:tcPr>
          <w:p>
            <w:pPr>
              <w:pStyle w:val="22"/>
              <w:jc w:val="center"/>
              <w:rPr>
                <w:szCs w:val="18"/>
              </w:rPr>
            </w:pPr>
            <w:r>
              <w:rPr>
                <w:szCs w:val="18"/>
              </w:rPr>
              <w:t>odpisovania</w:t>
            </w:r>
          </w:p>
        </w:tc>
        <w:tc>
          <w:tcPr>
            <w:tcW w:w="222" w:type="dxa"/>
            <w:tcBorders>
              <w:bottom w:val="single" w:color="auto" w:sz="4" w:space="0"/>
            </w:tcBorders>
            <w:vAlign w:val="top"/>
          </w:tcPr>
          <w:p>
            <w:pPr>
              <w:pStyle w:val="22"/>
              <w:jc w:val="center"/>
              <w:rPr>
                <w:szCs w:val="18"/>
              </w:rPr>
            </w:pPr>
          </w:p>
        </w:tc>
        <w:tc>
          <w:tcPr>
            <w:tcW w:w="1682" w:type="dxa"/>
            <w:tcBorders>
              <w:bottom w:val="single" w:color="auto" w:sz="4" w:space="0"/>
            </w:tcBorders>
            <w:vAlign w:val="top"/>
          </w:tcPr>
          <w:p>
            <w:pPr>
              <w:pStyle w:val="22"/>
              <w:jc w:val="center"/>
              <w:rPr>
                <w:szCs w:val="18"/>
              </w:rPr>
            </w:pPr>
            <w:r>
              <w:rPr>
                <w:szCs w:val="18"/>
              </w:rPr>
              <w:t>sadzba v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285" w:type="dxa"/>
            <w:gridSpan w:val="2"/>
            <w:vAlign w:val="top"/>
          </w:tcPr>
          <w:p>
            <w:pPr>
              <w:pStyle w:val="22"/>
              <w:rPr>
                <w:szCs w:val="18"/>
              </w:rPr>
            </w:pPr>
            <w:r>
              <w:rPr>
                <w:szCs w:val="18"/>
              </w:rPr>
              <w:t>Aktivované náklady na vývoj</w:t>
            </w:r>
          </w:p>
        </w:tc>
        <w:tc>
          <w:tcPr>
            <w:tcW w:w="1539" w:type="dxa"/>
            <w:vAlign w:val="top"/>
          </w:tcPr>
          <w:p>
            <w:pPr>
              <w:pStyle w:val="22"/>
              <w:jc w:val="center"/>
              <w:rPr>
                <w:szCs w:val="18"/>
              </w:rPr>
            </w:pPr>
            <w:r>
              <w:rPr>
                <w:szCs w:val="18"/>
              </w:rPr>
              <w:t>5</w:t>
            </w:r>
          </w:p>
        </w:tc>
        <w:tc>
          <w:tcPr>
            <w:tcW w:w="222" w:type="dxa"/>
            <w:vAlign w:val="top"/>
          </w:tcPr>
          <w:p>
            <w:pPr>
              <w:pStyle w:val="22"/>
              <w:jc w:val="center"/>
              <w:rPr>
                <w:szCs w:val="18"/>
              </w:rPr>
            </w:pPr>
          </w:p>
        </w:tc>
        <w:tc>
          <w:tcPr>
            <w:tcW w:w="1807" w:type="dxa"/>
            <w:vAlign w:val="top"/>
          </w:tcPr>
          <w:p>
            <w:pPr>
              <w:pStyle w:val="22"/>
              <w:jc w:val="center"/>
              <w:rPr>
                <w:szCs w:val="18"/>
              </w:rPr>
            </w:pPr>
            <w:r>
              <w:rPr>
                <w:szCs w:val="18"/>
              </w:rPr>
              <w:t>lineárna</w:t>
            </w:r>
          </w:p>
        </w:tc>
        <w:tc>
          <w:tcPr>
            <w:tcW w:w="222" w:type="dxa"/>
            <w:vAlign w:val="top"/>
          </w:tcPr>
          <w:p>
            <w:pPr>
              <w:pStyle w:val="22"/>
              <w:jc w:val="center"/>
              <w:rPr>
                <w:szCs w:val="18"/>
              </w:rPr>
            </w:pPr>
          </w:p>
        </w:tc>
        <w:tc>
          <w:tcPr>
            <w:tcW w:w="1682" w:type="dxa"/>
            <w:vAlign w:val="top"/>
          </w:tcPr>
          <w:p>
            <w:pPr>
              <w:pStyle w:val="22"/>
              <w:jc w:val="center"/>
              <w:rPr>
                <w:szCs w:val="18"/>
              </w:rPr>
            </w:pPr>
            <w:r>
              <w:rPr>
                <w:szCs w:val="18"/>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285" w:type="dxa"/>
            <w:gridSpan w:val="2"/>
            <w:vAlign w:val="top"/>
          </w:tcPr>
          <w:p>
            <w:pPr>
              <w:pStyle w:val="22"/>
              <w:rPr>
                <w:szCs w:val="18"/>
              </w:rPr>
            </w:pPr>
            <w:r>
              <w:rPr>
                <w:szCs w:val="18"/>
              </w:rPr>
              <w:t>Softvér</w:t>
            </w:r>
          </w:p>
        </w:tc>
        <w:tc>
          <w:tcPr>
            <w:tcW w:w="1539" w:type="dxa"/>
            <w:vAlign w:val="top"/>
          </w:tcPr>
          <w:p>
            <w:pPr>
              <w:pStyle w:val="22"/>
              <w:jc w:val="center"/>
              <w:rPr>
                <w:szCs w:val="18"/>
              </w:rPr>
            </w:pPr>
            <w:r>
              <w:rPr>
                <w:szCs w:val="18"/>
              </w:rPr>
              <w:t>4</w:t>
            </w:r>
          </w:p>
        </w:tc>
        <w:tc>
          <w:tcPr>
            <w:tcW w:w="222" w:type="dxa"/>
            <w:vAlign w:val="top"/>
          </w:tcPr>
          <w:p>
            <w:pPr>
              <w:pStyle w:val="22"/>
              <w:jc w:val="center"/>
              <w:rPr>
                <w:szCs w:val="18"/>
              </w:rPr>
            </w:pPr>
          </w:p>
        </w:tc>
        <w:tc>
          <w:tcPr>
            <w:tcW w:w="1807" w:type="dxa"/>
            <w:vAlign w:val="top"/>
          </w:tcPr>
          <w:p>
            <w:pPr>
              <w:pStyle w:val="22"/>
              <w:jc w:val="center"/>
              <w:rPr>
                <w:szCs w:val="18"/>
              </w:rPr>
            </w:pPr>
            <w:r>
              <w:rPr>
                <w:szCs w:val="18"/>
              </w:rPr>
              <w:t>lineárna</w:t>
            </w:r>
          </w:p>
        </w:tc>
        <w:tc>
          <w:tcPr>
            <w:tcW w:w="222" w:type="dxa"/>
            <w:vAlign w:val="top"/>
          </w:tcPr>
          <w:p>
            <w:pPr>
              <w:pStyle w:val="22"/>
              <w:jc w:val="center"/>
              <w:rPr>
                <w:szCs w:val="18"/>
              </w:rPr>
            </w:pPr>
          </w:p>
        </w:tc>
        <w:tc>
          <w:tcPr>
            <w:tcW w:w="1682" w:type="dxa"/>
            <w:vAlign w:val="top"/>
          </w:tcPr>
          <w:p>
            <w:pPr>
              <w:pStyle w:val="22"/>
              <w:jc w:val="center"/>
              <w:rPr>
                <w:szCs w:val="18"/>
              </w:rPr>
            </w:pPr>
            <w:r>
              <w:rPr>
                <w:szCs w:val="18"/>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45" w:hRule="atLeast"/>
        </w:trPr>
        <w:tc>
          <w:tcPr>
            <w:tcW w:w="3285" w:type="dxa"/>
            <w:gridSpan w:val="2"/>
            <w:vAlign w:val="top"/>
          </w:tcPr>
          <w:p>
            <w:pPr>
              <w:pStyle w:val="22"/>
              <w:ind w:hanging="84"/>
              <w:rPr>
                <w:szCs w:val="18"/>
              </w:rPr>
            </w:pPr>
            <w:r>
              <w:rPr>
                <w:szCs w:val="18"/>
              </w:rPr>
              <w:t>Oceniteľné práva (licencia)</w:t>
            </w:r>
          </w:p>
        </w:tc>
        <w:tc>
          <w:tcPr>
            <w:tcW w:w="1539" w:type="dxa"/>
            <w:vAlign w:val="top"/>
          </w:tcPr>
          <w:p>
            <w:pPr>
              <w:pStyle w:val="22"/>
              <w:jc w:val="center"/>
              <w:rPr>
                <w:szCs w:val="18"/>
              </w:rPr>
            </w:pPr>
            <w:r>
              <w:rPr>
                <w:szCs w:val="18"/>
              </w:rPr>
              <w:t>8</w:t>
            </w:r>
          </w:p>
        </w:tc>
        <w:tc>
          <w:tcPr>
            <w:tcW w:w="222" w:type="dxa"/>
            <w:vAlign w:val="top"/>
          </w:tcPr>
          <w:p>
            <w:pPr>
              <w:pStyle w:val="22"/>
              <w:jc w:val="center"/>
              <w:rPr>
                <w:szCs w:val="18"/>
              </w:rPr>
            </w:pPr>
          </w:p>
        </w:tc>
        <w:tc>
          <w:tcPr>
            <w:tcW w:w="1807" w:type="dxa"/>
            <w:vAlign w:val="top"/>
          </w:tcPr>
          <w:p>
            <w:pPr>
              <w:pStyle w:val="22"/>
              <w:jc w:val="center"/>
              <w:rPr>
                <w:szCs w:val="18"/>
              </w:rPr>
            </w:pPr>
            <w:r>
              <w:rPr>
                <w:szCs w:val="18"/>
              </w:rPr>
              <w:t>lineárna</w:t>
            </w:r>
          </w:p>
        </w:tc>
        <w:tc>
          <w:tcPr>
            <w:tcW w:w="222" w:type="dxa"/>
            <w:vAlign w:val="top"/>
          </w:tcPr>
          <w:p>
            <w:pPr>
              <w:pStyle w:val="22"/>
              <w:jc w:val="center"/>
              <w:rPr>
                <w:szCs w:val="18"/>
              </w:rPr>
            </w:pPr>
          </w:p>
        </w:tc>
        <w:tc>
          <w:tcPr>
            <w:tcW w:w="1682" w:type="dxa"/>
            <w:vAlign w:val="top"/>
          </w:tcPr>
          <w:p>
            <w:pPr>
              <w:pStyle w:val="22"/>
              <w:jc w:val="center"/>
              <w:rPr>
                <w:szCs w:val="18"/>
              </w:rPr>
            </w:pPr>
            <w:r>
              <w:rPr>
                <w:szCs w:val="18"/>
              </w:rPr>
              <w:t>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Ex>
        <w:trPr>
          <w:trHeight w:val="245" w:hRule="atLeast"/>
        </w:trPr>
        <w:tc>
          <w:tcPr>
            <w:tcW w:w="3285" w:type="dxa"/>
            <w:gridSpan w:val="2"/>
            <w:vAlign w:val="top"/>
          </w:tcPr>
          <w:p>
            <w:pPr>
              <w:pStyle w:val="22"/>
              <w:ind w:hanging="84"/>
              <w:rPr>
                <w:szCs w:val="18"/>
              </w:rPr>
            </w:pPr>
            <w:r>
              <w:rPr>
                <w:szCs w:val="18"/>
              </w:rPr>
              <w:t>Drobný dlhodobý nehmotný majetok</w:t>
            </w:r>
          </w:p>
        </w:tc>
        <w:tc>
          <w:tcPr>
            <w:tcW w:w="1539" w:type="dxa"/>
            <w:vAlign w:val="top"/>
          </w:tcPr>
          <w:p>
            <w:pPr>
              <w:pStyle w:val="22"/>
              <w:jc w:val="center"/>
              <w:rPr>
                <w:szCs w:val="18"/>
              </w:rPr>
            </w:pPr>
            <w:r>
              <w:rPr>
                <w:szCs w:val="18"/>
              </w:rPr>
              <w:t>rôzna</w:t>
            </w:r>
          </w:p>
        </w:tc>
        <w:tc>
          <w:tcPr>
            <w:tcW w:w="222" w:type="dxa"/>
            <w:vAlign w:val="top"/>
          </w:tcPr>
          <w:p>
            <w:pPr>
              <w:pStyle w:val="22"/>
              <w:jc w:val="center"/>
              <w:rPr>
                <w:szCs w:val="18"/>
              </w:rPr>
            </w:pPr>
          </w:p>
        </w:tc>
        <w:tc>
          <w:tcPr>
            <w:tcW w:w="1807" w:type="dxa"/>
            <w:vAlign w:val="top"/>
          </w:tcPr>
          <w:p>
            <w:pPr>
              <w:pStyle w:val="22"/>
              <w:jc w:val="center"/>
              <w:rPr>
                <w:szCs w:val="18"/>
              </w:rPr>
            </w:pPr>
            <w:r>
              <w:rPr>
                <w:szCs w:val="18"/>
              </w:rPr>
              <w:t>jednorazový odpis</w:t>
            </w:r>
          </w:p>
        </w:tc>
        <w:tc>
          <w:tcPr>
            <w:tcW w:w="222" w:type="dxa"/>
            <w:vAlign w:val="top"/>
          </w:tcPr>
          <w:p>
            <w:pPr>
              <w:pStyle w:val="22"/>
              <w:jc w:val="center"/>
              <w:rPr>
                <w:szCs w:val="18"/>
              </w:rPr>
            </w:pPr>
          </w:p>
        </w:tc>
        <w:tc>
          <w:tcPr>
            <w:tcW w:w="1682" w:type="dxa"/>
            <w:vAlign w:val="top"/>
          </w:tcPr>
          <w:p>
            <w:pPr>
              <w:pStyle w:val="22"/>
              <w:jc w:val="center"/>
              <w:rPr>
                <w:szCs w:val="18"/>
              </w:rPr>
            </w:pPr>
            <w:r>
              <w:rPr>
                <w:szCs w:val="18"/>
              </w:rPr>
              <w:t>100</w:t>
            </w:r>
          </w:p>
        </w:tc>
      </w:tr>
    </w:tbl>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r>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pPr>
        <w:pStyle w:val="7"/>
        <w:rPr>
          <w:szCs w:val="18"/>
        </w:rPr>
      </w:pPr>
    </w:p>
    <w:p>
      <w:pPr>
        <w:pStyle w:val="7"/>
        <w:rPr>
          <w:szCs w:val="18"/>
        </w:rPr>
      </w:pPr>
    </w:p>
    <w:tbl>
      <w:tblPr>
        <w:tblW w:w="8788" w:type="dxa"/>
        <w:tblInd w:w="4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
      <w:tblGrid>
        <w:gridCol w:w="2976"/>
        <w:gridCol w:w="142"/>
        <w:gridCol w:w="1985"/>
        <w:gridCol w:w="141"/>
        <w:gridCol w:w="1701"/>
        <w:gridCol w:w="142"/>
        <w:gridCol w:w="17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118" w:type="dxa"/>
            <w:gridSpan w:val="2"/>
            <w:vAlign w:val="top"/>
          </w:tcPr>
          <w:p>
            <w:pPr>
              <w:pStyle w:val="22"/>
              <w:rPr>
                <w:szCs w:val="18"/>
              </w:rPr>
            </w:pPr>
          </w:p>
        </w:tc>
        <w:tc>
          <w:tcPr>
            <w:tcW w:w="1985" w:type="dxa"/>
            <w:vAlign w:val="top"/>
          </w:tcPr>
          <w:p>
            <w:pPr>
              <w:pStyle w:val="22"/>
              <w:jc w:val="center"/>
              <w:rPr>
                <w:szCs w:val="18"/>
              </w:rPr>
            </w:pPr>
            <w:r>
              <w:rPr>
                <w:szCs w:val="18"/>
              </w:rPr>
              <w:t>Predpokladaná</w:t>
            </w:r>
          </w:p>
        </w:tc>
        <w:tc>
          <w:tcPr>
            <w:tcW w:w="141" w:type="dxa"/>
            <w:vAlign w:val="top"/>
          </w:tcPr>
          <w:p>
            <w:pPr>
              <w:pStyle w:val="22"/>
              <w:jc w:val="center"/>
              <w:rPr>
                <w:szCs w:val="18"/>
              </w:rPr>
            </w:pPr>
          </w:p>
        </w:tc>
        <w:tc>
          <w:tcPr>
            <w:tcW w:w="1701" w:type="dxa"/>
            <w:vAlign w:val="top"/>
          </w:tcPr>
          <w:p>
            <w:pPr>
              <w:pStyle w:val="22"/>
              <w:jc w:val="center"/>
              <w:rPr>
                <w:szCs w:val="18"/>
              </w:rPr>
            </w:pPr>
            <w:r>
              <w:rPr>
                <w:szCs w:val="18"/>
              </w:rPr>
              <w:t>Metóda</w:t>
            </w:r>
          </w:p>
        </w:tc>
        <w:tc>
          <w:tcPr>
            <w:tcW w:w="142" w:type="dxa"/>
            <w:vAlign w:val="top"/>
          </w:tcPr>
          <w:p>
            <w:pPr>
              <w:pStyle w:val="22"/>
              <w:jc w:val="center"/>
              <w:rPr>
                <w:szCs w:val="18"/>
              </w:rPr>
            </w:pPr>
          </w:p>
        </w:tc>
        <w:tc>
          <w:tcPr>
            <w:tcW w:w="1701" w:type="dxa"/>
            <w:vAlign w:val="top"/>
          </w:tcPr>
          <w:p>
            <w:pPr>
              <w:pStyle w:val="22"/>
              <w:jc w:val="center"/>
              <w:rPr>
                <w:szCs w:val="18"/>
              </w:rPr>
            </w:pPr>
            <w:r>
              <w:rPr>
                <w:szCs w:val="18"/>
              </w:rPr>
              <w:t>Ročná odpisová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2976" w:type="dxa"/>
            <w:tcBorders>
              <w:bottom w:val="single" w:color="auto" w:sz="4" w:space="0"/>
            </w:tcBorders>
            <w:vAlign w:val="top"/>
          </w:tcPr>
          <w:p>
            <w:pPr>
              <w:pStyle w:val="22"/>
              <w:rPr>
                <w:szCs w:val="18"/>
              </w:rPr>
            </w:pPr>
          </w:p>
        </w:tc>
        <w:tc>
          <w:tcPr>
            <w:tcW w:w="142" w:type="dxa"/>
            <w:tcBorders>
              <w:bottom w:val="single" w:color="auto" w:sz="4" w:space="0"/>
            </w:tcBorders>
            <w:vAlign w:val="top"/>
          </w:tcPr>
          <w:p>
            <w:pPr>
              <w:pStyle w:val="22"/>
              <w:rPr>
                <w:szCs w:val="18"/>
              </w:rPr>
            </w:pPr>
          </w:p>
        </w:tc>
        <w:tc>
          <w:tcPr>
            <w:tcW w:w="1985" w:type="dxa"/>
            <w:tcBorders>
              <w:bottom w:val="single" w:color="auto" w:sz="4" w:space="0"/>
            </w:tcBorders>
            <w:vAlign w:val="top"/>
          </w:tcPr>
          <w:p>
            <w:pPr>
              <w:pStyle w:val="22"/>
              <w:jc w:val="center"/>
              <w:rPr>
                <w:szCs w:val="18"/>
              </w:rPr>
            </w:pPr>
            <w:r>
              <w:rPr>
                <w:szCs w:val="18"/>
              </w:rPr>
              <w:t>doba používania v rokoch</w:t>
            </w:r>
          </w:p>
        </w:tc>
        <w:tc>
          <w:tcPr>
            <w:tcW w:w="141" w:type="dxa"/>
            <w:tcBorders>
              <w:bottom w:val="single" w:color="auto" w:sz="4" w:space="0"/>
            </w:tcBorders>
            <w:vAlign w:val="top"/>
          </w:tcPr>
          <w:p>
            <w:pPr>
              <w:pStyle w:val="22"/>
              <w:jc w:val="center"/>
              <w:rPr>
                <w:szCs w:val="18"/>
              </w:rPr>
            </w:pPr>
          </w:p>
        </w:tc>
        <w:tc>
          <w:tcPr>
            <w:tcW w:w="1701" w:type="dxa"/>
            <w:tcBorders>
              <w:bottom w:val="single" w:color="auto" w:sz="4" w:space="0"/>
            </w:tcBorders>
            <w:vAlign w:val="top"/>
          </w:tcPr>
          <w:p>
            <w:pPr>
              <w:pStyle w:val="22"/>
              <w:jc w:val="center"/>
              <w:rPr>
                <w:szCs w:val="18"/>
              </w:rPr>
            </w:pPr>
            <w:r>
              <w:rPr>
                <w:szCs w:val="18"/>
              </w:rPr>
              <w:t>odpisovania</w:t>
            </w:r>
          </w:p>
        </w:tc>
        <w:tc>
          <w:tcPr>
            <w:tcW w:w="142" w:type="dxa"/>
            <w:tcBorders>
              <w:bottom w:val="single" w:color="auto" w:sz="4" w:space="0"/>
            </w:tcBorders>
            <w:vAlign w:val="top"/>
          </w:tcPr>
          <w:p>
            <w:pPr>
              <w:pStyle w:val="22"/>
              <w:jc w:val="center"/>
              <w:rPr>
                <w:szCs w:val="18"/>
              </w:rPr>
            </w:pPr>
          </w:p>
        </w:tc>
        <w:tc>
          <w:tcPr>
            <w:tcW w:w="1701" w:type="dxa"/>
            <w:tcBorders>
              <w:bottom w:val="single" w:color="auto" w:sz="4" w:space="0"/>
            </w:tcBorders>
            <w:vAlign w:val="top"/>
          </w:tcPr>
          <w:p>
            <w:pPr>
              <w:pStyle w:val="22"/>
              <w:jc w:val="center"/>
              <w:rPr>
                <w:szCs w:val="18"/>
              </w:rPr>
            </w:pPr>
            <w:r>
              <w:rPr>
                <w:szCs w:val="18"/>
              </w:rPr>
              <w:t>sadzba v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118" w:type="dxa"/>
            <w:gridSpan w:val="2"/>
            <w:tcBorders>
              <w:top w:val="single" w:color="auto" w:sz="4" w:space="0"/>
            </w:tcBorders>
            <w:vAlign w:val="top"/>
          </w:tcPr>
          <w:p>
            <w:pPr>
              <w:pStyle w:val="22"/>
              <w:rPr>
                <w:szCs w:val="18"/>
              </w:rPr>
            </w:pPr>
            <w:r>
              <w:rPr>
                <w:szCs w:val="18"/>
              </w:rPr>
              <w:t>Stavby</w:t>
            </w:r>
          </w:p>
        </w:tc>
        <w:tc>
          <w:tcPr>
            <w:tcW w:w="1985" w:type="dxa"/>
            <w:tcBorders>
              <w:top w:val="single" w:color="auto" w:sz="4" w:space="0"/>
            </w:tcBorders>
            <w:vAlign w:val="top"/>
          </w:tcPr>
          <w:p>
            <w:pPr>
              <w:pStyle w:val="22"/>
              <w:jc w:val="center"/>
              <w:rPr>
                <w:szCs w:val="18"/>
              </w:rPr>
            </w:pPr>
            <w:r>
              <w:rPr>
                <w:szCs w:val="18"/>
              </w:rPr>
              <w:t>40</w:t>
            </w:r>
          </w:p>
        </w:tc>
        <w:tc>
          <w:tcPr>
            <w:tcW w:w="141" w:type="dxa"/>
            <w:tcBorders>
              <w:top w:val="single" w:color="auto" w:sz="4" w:space="0"/>
            </w:tcBorders>
            <w:vAlign w:val="top"/>
          </w:tcPr>
          <w:p>
            <w:pPr>
              <w:pStyle w:val="22"/>
              <w:jc w:val="center"/>
              <w:rPr>
                <w:szCs w:val="18"/>
              </w:rPr>
            </w:pPr>
          </w:p>
        </w:tc>
        <w:tc>
          <w:tcPr>
            <w:tcW w:w="1701" w:type="dxa"/>
            <w:tcBorders>
              <w:top w:val="single" w:color="auto" w:sz="4" w:space="0"/>
            </w:tcBorders>
            <w:vAlign w:val="top"/>
          </w:tcPr>
          <w:p>
            <w:pPr>
              <w:pStyle w:val="22"/>
              <w:jc w:val="center"/>
              <w:rPr>
                <w:szCs w:val="18"/>
              </w:rPr>
            </w:pPr>
            <w:r>
              <w:rPr>
                <w:szCs w:val="18"/>
              </w:rPr>
              <w:t>lineárna</w:t>
            </w:r>
          </w:p>
        </w:tc>
        <w:tc>
          <w:tcPr>
            <w:tcW w:w="142" w:type="dxa"/>
            <w:tcBorders>
              <w:top w:val="single" w:color="auto" w:sz="4" w:space="0"/>
            </w:tcBorders>
            <w:vAlign w:val="top"/>
          </w:tcPr>
          <w:p>
            <w:pPr>
              <w:pStyle w:val="22"/>
              <w:jc w:val="center"/>
              <w:rPr>
                <w:szCs w:val="18"/>
              </w:rPr>
            </w:pPr>
          </w:p>
        </w:tc>
        <w:tc>
          <w:tcPr>
            <w:tcW w:w="1701" w:type="dxa"/>
            <w:tcBorders>
              <w:top w:val="single" w:color="auto" w:sz="4" w:space="0"/>
            </w:tcBorders>
            <w:vAlign w:val="top"/>
          </w:tcPr>
          <w:p>
            <w:pPr>
              <w:pStyle w:val="22"/>
              <w:jc w:val="center"/>
              <w:rPr>
                <w:szCs w:val="18"/>
              </w:rPr>
            </w:pPr>
            <w:r>
              <w:rPr>
                <w:szCs w:val="18"/>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118" w:type="dxa"/>
            <w:gridSpan w:val="2"/>
            <w:vAlign w:val="top"/>
          </w:tcPr>
          <w:p>
            <w:pPr>
              <w:pStyle w:val="22"/>
              <w:rPr>
                <w:szCs w:val="18"/>
              </w:rPr>
            </w:pPr>
            <w:r>
              <w:rPr>
                <w:szCs w:val="18"/>
              </w:rPr>
              <w:t>Stroje, prístroje a zariadenia</w:t>
            </w:r>
          </w:p>
        </w:tc>
        <w:tc>
          <w:tcPr>
            <w:tcW w:w="1985" w:type="dxa"/>
            <w:vAlign w:val="top"/>
          </w:tcPr>
          <w:p>
            <w:pPr>
              <w:pStyle w:val="22"/>
              <w:jc w:val="center"/>
              <w:rPr>
                <w:szCs w:val="18"/>
              </w:rPr>
            </w:pPr>
            <w:r>
              <w:rPr>
                <w:szCs w:val="18"/>
              </w:rPr>
              <w:t>8 až 12</w:t>
            </w:r>
          </w:p>
        </w:tc>
        <w:tc>
          <w:tcPr>
            <w:tcW w:w="141" w:type="dxa"/>
            <w:vAlign w:val="top"/>
          </w:tcPr>
          <w:p>
            <w:pPr>
              <w:pStyle w:val="22"/>
              <w:jc w:val="center"/>
              <w:rPr>
                <w:szCs w:val="18"/>
              </w:rPr>
            </w:pPr>
          </w:p>
        </w:tc>
        <w:tc>
          <w:tcPr>
            <w:tcW w:w="1701" w:type="dxa"/>
            <w:vAlign w:val="top"/>
          </w:tcPr>
          <w:p>
            <w:pPr>
              <w:pStyle w:val="22"/>
              <w:jc w:val="center"/>
              <w:rPr>
                <w:szCs w:val="18"/>
              </w:rPr>
            </w:pPr>
            <w:r>
              <w:rPr>
                <w:szCs w:val="18"/>
              </w:rPr>
              <w:t>lineárna</w:t>
            </w:r>
          </w:p>
        </w:tc>
        <w:tc>
          <w:tcPr>
            <w:tcW w:w="142" w:type="dxa"/>
            <w:vAlign w:val="top"/>
          </w:tcPr>
          <w:p>
            <w:pPr>
              <w:pStyle w:val="22"/>
              <w:jc w:val="center"/>
              <w:rPr>
                <w:szCs w:val="18"/>
              </w:rPr>
            </w:pPr>
          </w:p>
        </w:tc>
        <w:tc>
          <w:tcPr>
            <w:tcW w:w="1701" w:type="dxa"/>
            <w:vAlign w:val="top"/>
          </w:tcPr>
          <w:p>
            <w:pPr>
              <w:pStyle w:val="22"/>
              <w:jc w:val="center"/>
              <w:rPr>
                <w:szCs w:val="18"/>
              </w:rPr>
            </w:pPr>
            <w:r>
              <w:rPr>
                <w:szCs w:val="18"/>
              </w:rPr>
              <w:t>8,3 až 12,5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118" w:type="dxa"/>
            <w:gridSpan w:val="2"/>
            <w:vAlign w:val="top"/>
          </w:tcPr>
          <w:p>
            <w:pPr>
              <w:pStyle w:val="22"/>
              <w:rPr>
                <w:szCs w:val="18"/>
              </w:rPr>
            </w:pPr>
            <w:r>
              <w:rPr>
                <w:szCs w:val="18"/>
              </w:rPr>
              <w:t>Dopravné prostriedky</w:t>
            </w:r>
          </w:p>
        </w:tc>
        <w:tc>
          <w:tcPr>
            <w:tcW w:w="1985" w:type="dxa"/>
            <w:vAlign w:val="top"/>
          </w:tcPr>
          <w:p>
            <w:pPr>
              <w:pStyle w:val="22"/>
              <w:jc w:val="center"/>
              <w:rPr>
                <w:szCs w:val="18"/>
              </w:rPr>
            </w:pPr>
            <w:r>
              <w:rPr>
                <w:szCs w:val="18"/>
              </w:rPr>
              <w:t>4 až 6</w:t>
            </w:r>
          </w:p>
        </w:tc>
        <w:tc>
          <w:tcPr>
            <w:tcW w:w="141" w:type="dxa"/>
            <w:vAlign w:val="top"/>
          </w:tcPr>
          <w:p>
            <w:pPr>
              <w:pStyle w:val="22"/>
              <w:jc w:val="center"/>
              <w:rPr>
                <w:szCs w:val="18"/>
              </w:rPr>
            </w:pPr>
          </w:p>
        </w:tc>
        <w:tc>
          <w:tcPr>
            <w:tcW w:w="1701" w:type="dxa"/>
            <w:vAlign w:val="top"/>
          </w:tcPr>
          <w:p>
            <w:pPr>
              <w:pStyle w:val="22"/>
              <w:jc w:val="center"/>
              <w:rPr>
                <w:szCs w:val="18"/>
              </w:rPr>
            </w:pPr>
            <w:r>
              <w:rPr>
                <w:szCs w:val="18"/>
              </w:rPr>
              <w:t>degresívna</w:t>
            </w:r>
          </w:p>
        </w:tc>
        <w:tc>
          <w:tcPr>
            <w:tcW w:w="142" w:type="dxa"/>
            <w:vAlign w:val="top"/>
          </w:tcPr>
          <w:p>
            <w:pPr>
              <w:pStyle w:val="22"/>
              <w:jc w:val="center"/>
              <w:rPr>
                <w:szCs w:val="18"/>
              </w:rPr>
            </w:pPr>
          </w:p>
        </w:tc>
        <w:tc>
          <w:tcPr>
            <w:tcW w:w="1701" w:type="dxa"/>
            <w:vAlign w:val="top"/>
          </w:tcPr>
          <w:p>
            <w:pPr>
              <w:pStyle w:val="22"/>
              <w:jc w:val="center"/>
              <w:rPr>
                <w:szCs w:val="18"/>
              </w:rPr>
            </w:pPr>
            <w:r>
              <w:rPr>
                <w:szCs w:val="18"/>
              </w:rPr>
              <w:t>16 až 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30" w:type="dxa"/>
            <w:right w:w="30" w:type="dxa"/>
          </w:tblCellMar>
        </w:tblPrEx>
        <w:trPr>
          <w:trHeight w:val="250" w:hRule="atLeast"/>
        </w:trPr>
        <w:tc>
          <w:tcPr>
            <w:tcW w:w="3118" w:type="dxa"/>
            <w:gridSpan w:val="2"/>
            <w:vAlign w:val="top"/>
          </w:tcPr>
          <w:p>
            <w:pPr>
              <w:pStyle w:val="22"/>
              <w:rPr>
                <w:szCs w:val="18"/>
              </w:rPr>
            </w:pPr>
            <w:r>
              <w:rPr>
                <w:szCs w:val="18"/>
              </w:rPr>
              <w:t>Drobný dlhodobý hmotný majetok</w:t>
            </w:r>
          </w:p>
        </w:tc>
        <w:tc>
          <w:tcPr>
            <w:tcW w:w="1985" w:type="dxa"/>
            <w:vAlign w:val="top"/>
          </w:tcPr>
          <w:p>
            <w:pPr>
              <w:pStyle w:val="22"/>
              <w:jc w:val="center"/>
              <w:rPr>
                <w:szCs w:val="18"/>
              </w:rPr>
            </w:pPr>
            <w:r>
              <w:rPr>
                <w:szCs w:val="18"/>
              </w:rPr>
              <w:t>rôzna</w:t>
            </w:r>
          </w:p>
        </w:tc>
        <w:tc>
          <w:tcPr>
            <w:tcW w:w="141" w:type="dxa"/>
            <w:vAlign w:val="top"/>
          </w:tcPr>
          <w:p>
            <w:pPr>
              <w:pStyle w:val="22"/>
              <w:jc w:val="center"/>
              <w:rPr>
                <w:szCs w:val="18"/>
              </w:rPr>
            </w:pPr>
          </w:p>
        </w:tc>
        <w:tc>
          <w:tcPr>
            <w:tcW w:w="1701" w:type="dxa"/>
            <w:vAlign w:val="top"/>
          </w:tcPr>
          <w:p>
            <w:pPr>
              <w:pStyle w:val="22"/>
              <w:jc w:val="center"/>
              <w:rPr>
                <w:szCs w:val="18"/>
              </w:rPr>
            </w:pPr>
            <w:r>
              <w:rPr>
                <w:szCs w:val="18"/>
              </w:rPr>
              <w:t>jednorazový odpis</w:t>
            </w:r>
          </w:p>
        </w:tc>
        <w:tc>
          <w:tcPr>
            <w:tcW w:w="142" w:type="dxa"/>
            <w:vAlign w:val="top"/>
          </w:tcPr>
          <w:p>
            <w:pPr>
              <w:pStyle w:val="22"/>
              <w:jc w:val="center"/>
              <w:rPr>
                <w:szCs w:val="18"/>
              </w:rPr>
            </w:pPr>
          </w:p>
        </w:tc>
        <w:tc>
          <w:tcPr>
            <w:tcW w:w="1701" w:type="dxa"/>
            <w:vAlign w:val="top"/>
          </w:tcPr>
          <w:p>
            <w:pPr>
              <w:pStyle w:val="22"/>
              <w:jc w:val="center"/>
              <w:rPr>
                <w:szCs w:val="18"/>
              </w:rPr>
            </w:pPr>
            <w:r>
              <w:rPr>
                <w:szCs w:val="18"/>
              </w:rPr>
              <w:t>100</w:t>
            </w:r>
          </w:p>
        </w:tc>
      </w:tr>
    </w:tbl>
    <w:p>
      <w:pPr>
        <w:pStyle w:val="23"/>
        <w:numPr>
          <w:ilvl w:val="0"/>
          <w:numId w:val="0"/>
        </w:numPr>
        <w:rPr>
          <w:szCs w:val="18"/>
        </w:rPr>
      </w:pPr>
    </w:p>
    <w:p>
      <w:pPr>
        <w:pStyle w:val="23"/>
        <w:tabs>
          <w:tab w:val="clear" w:pos="426"/>
        </w:tabs>
        <w:ind w:left="426"/>
        <w:rPr>
          <w:szCs w:val="18"/>
        </w:rPr>
      </w:pPr>
      <w:r>
        <w:rPr>
          <w:szCs w:val="18"/>
        </w:rPr>
        <w:t>Cenné papiere a podiely</w:t>
      </w:r>
    </w:p>
    <w:p>
      <w:pPr>
        <w:pStyle w:val="7"/>
        <w:rPr>
          <w:szCs w:val="18"/>
        </w:rPr>
      </w:pPr>
      <w:r>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pPr>
        <w:pStyle w:val="7"/>
        <w:rPr>
          <w:szCs w:val="18"/>
        </w:rPr>
      </w:pPr>
    </w:p>
    <w:p>
      <w:pPr>
        <w:pStyle w:val="7"/>
        <w:rPr>
          <w:szCs w:val="18"/>
        </w:rPr>
      </w:pPr>
      <w:r>
        <w:rPr>
          <w:szCs w:val="18"/>
        </w:rPr>
        <w:t xml:space="preserve">Cenné papiere na obchodovanie sa pri ich obstaraní oceňujú reálnou hodnotou. </w:t>
      </w:r>
    </w:p>
    <w:p>
      <w:pPr>
        <w:pStyle w:val="7"/>
        <w:rPr>
          <w:szCs w:val="18"/>
        </w:rPr>
      </w:pPr>
    </w:p>
    <w:p>
      <w:pPr>
        <w:pStyle w:val="23"/>
        <w:tabs>
          <w:tab w:val="clear" w:pos="426"/>
        </w:tabs>
        <w:ind w:left="426"/>
        <w:rPr>
          <w:szCs w:val="18"/>
        </w:rPr>
      </w:pPr>
      <w:r>
        <w:rPr>
          <w:szCs w:val="18"/>
        </w:rPr>
        <w:t xml:space="preserve">Zásoby </w:t>
      </w:r>
    </w:p>
    <w:p>
      <w:pPr>
        <w:pStyle w:val="7"/>
        <w:rPr>
          <w:szCs w:val="18"/>
        </w:rPr>
      </w:pPr>
      <w:r>
        <w:rPr>
          <w:szCs w:val="18"/>
        </w:rPr>
        <w:t>Zásoby sa oceňujú nižšou z nasledujúcich hodnôt: obstarávacou cenou (nakupované zásoby) alebo vlastnými nákladmi (zásoby vytvorené vlastnou činnosťou) alebo čistou realizačnou hodnotou.</w:t>
      </w:r>
    </w:p>
    <w:p>
      <w:pPr>
        <w:pStyle w:val="7"/>
        <w:rPr>
          <w:szCs w:val="18"/>
        </w:rPr>
      </w:pPr>
    </w:p>
    <w:p>
      <w:pPr>
        <w:pStyle w:val="7"/>
        <w:rPr>
          <w:szCs w:val="18"/>
        </w:rPr>
      </w:pPr>
      <w:r>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pPr>
        <w:pStyle w:val="7"/>
        <w:rPr>
          <w:szCs w:val="18"/>
        </w:rPr>
      </w:pPr>
    </w:p>
    <w:p>
      <w:pPr>
        <w:pStyle w:val="7"/>
        <w:rPr>
          <w:szCs w:val="18"/>
        </w:rPr>
      </w:pPr>
      <w:r>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pPr>
        <w:pStyle w:val="7"/>
        <w:rPr>
          <w:szCs w:val="18"/>
        </w:rPr>
      </w:pPr>
    </w:p>
    <w:p>
      <w:pPr>
        <w:pStyle w:val="7"/>
        <w:rPr>
          <w:szCs w:val="18"/>
        </w:rPr>
      </w:pPr>
      <w:r>
        <w:rPr>
          <w:szCs w:val="18"/>
        </w:rPr>
        <w:t xml:space="preserve">Čistá realizačná hodnota je predpokladaná predajná cena znížená o predpokladané náklady na ich dokončenie a o predpokladané náklady súvisiace s ich predajom.  </w:t>
      </w:r>
    </w:p>
    <w:p>
      <w:pPr>
        <w:pStyle w:val="7"/>
        <w:rPr>
          <w:szCs w:val="18"/>
        </w:rPr>
      </w:pPr>
    </w:p>
    <w:p>
      <w:pPr>
        <w:pStyle w:val="7"/>
        <w:rPr>
          <w:szCs w:val="18"/>
        </w:rPr>
      </w:pPr>
      <w:r>
        <w:rPr>
          <w:szCs w:val="18"/>
        </w:rPr>
        <w:t>Zníženie hodnoty zásob sa zohľadňuje vytvorením opravnej položky.</w:t>
      </w:r>
    </w:p>
    <w:p>
      <w:pPr>
        <w:pStyle w:val="7"/>
        <w:rPr>
          <w:szCs w:val="18"/>
        </w:rPr>
      </w:pPr>
    </w:p>
    <w:p>
      <w:pPr>
        <w:pStyle w:val="23"/>
        <w:tabs>
          <w:tab w:val="clear" w:pos="426"/>
        </w:tabs>
        <w:ind w:left="426"/>
        <w:rPr>
          <w:szCs w:val="18"/>
        </w:rPr>
      </w:pPr>
      <w:r>
        <w:rPr>
          <w:szCs w:val="18"/>
        </w:rPr>
        <w:t>Zákazková výroba</w:t>
      </w:r>
    </w:p>
    <w:p>
      <w:pPr>
        <w:pStyle w:val="7"/>
        <w:rPr>
          <w:szCs w:val="18"/>
        </w:rPr>
      </w:pPr>
      <w:r>
        <w:rPr>
          <w:szCs w:val="18"/>
        </w:rPr>
        <w:t>Zákazková výroba sa vykazuje použitím metódy stupňa dokončenia zákazky (angl. percentage-of-completion-method).</w:t>
      </w:r>
    </w:p>
    <w:p>
      <w:pPr>
        <w:pStyle w:val="23"/>
        <w:numPr>
          <w:ilvl w:val="0"/>
          <w:numId w:val="0"/>
        </w:numPr>
        <w:rPr>
          <w:b w:val="0"/>
          <w:szCs w:val="18"/>
        </w:rPr>
      </w:pPr>
    </w:p>
    <w:p>
      <w:pPr>
        <w:pStyle w:val="23"/>
        <w:tabs>
          <w:tab w:val="clear" w:pos="426"/>
        </w:tabs>
        <w:ind w:left="426"/>
        <w:rPr>
          <w:szCs w:val="18"/>
        </w:rPr>
      </w:pPr>
      <w:r>
        <w:rPr>
          <w:szCs w:val="18"/>
        </w:rPr>
        <w:t>Zákazková výstavba nehnuteľnosti</w:t>
      </w:r>
    </w:p>
    <w:p>
      <w:pPr>
        <w:pStyle w:val="7"/>
        <w:rPr>
          <w:szCs w:val="18"/>
        </w:rPr>
      </w:pPr>
    </w:p>
    <w:p>
      <w:pPr>
        <w:pStyle w:val="7"/>
        <w:rPr>
          <w:b/>
          <w:i/>
          <w:szCs w:val="18"/>
        </w:rPr>
      </w:pPr>
      <w:r>
        <w:rPr>
          <w:b/>
          <w:i/>
          <w:szCs w:val="18"/>
        </w:rPr>
        <w:t>Zákazková výstavba nehnuteľnosti – priebežný transfer</w:t>
      </w:r>
    </w:p>
    <w:p>
      <w:pPr>
        <w:pStyle w:val="7"/>
        <w:rPr>
          <w:szCs w:val="18"/>
        </w:rPr>
      </w:pPr>
      <w:r>
        <w:rPr>
          <w:szCs w:val="18"/>
        </w:rPr>
        <w:t xml:space="preserve">Zákazková výstavba nehnuteľnosti určenej na predaj sa vykazuje podľa metódy stupňa dokončenia. </w:t>
      </w:r>
    </w:p>
    <w:p>
      <w:pPr>
        <w:pStyle w:val="7"/>
        <w:rPr>
          <w:szCs w:val="18"/>
        </w:rPr>
      </w:pPr>
    </w:p>
    <w:p>
      <w:pPr>
        <w:pStyle w:val="7"/>
        <w:rPr>
          <w:b/>
          <w:i/>
          <w:szCs w:val="18"/>
        </w:rPr>
      </w:pPr>
      <w:r>
        <w:rPr>
          <w:b/>
          <w:i/>
          <w:szCs w:val="18"/>
        </w:rPr>
        <w:t>Zákazková výstavba nehnuteľnosti – ostatná (nie priebežný transfer)</w:t>
      </w:r>
    </w:p>
    <w:p>
      <w:pPr>
        <w:pStyle w:val="7"/>
        <w:rPr>
          <w:szCs w:val="18"/>
        </w:rPr>
      </w:pPr>
      <w:r>
        <w:rPr>
          <w:szCs w:val="18"/>
        </w:rPr>
        <w:t>Zákazková výstavba nehnuteľnosti určenej na predaj – ostatná (nie priebežný transfer) sa vykazuje metódou tzv. nulového zisku, t. j. zisk sa vykáže až pri predaji nehnuteľnosti.</w:t>
      </w:r>
    </w:p>
    <w:p>
      <w:pPr>
        <w:pStyle w:val="23"/>
        <w:numPr>
          <w:ilvl w:val="0"/>
          <w:numId w:val="0"/>
        </w:numPr>
        <w:rPr>
          <w:b w:val="0"/>
          <w:szCs w:val="18"/>
        </w:rPr>
      </w:pPr>
    </w:p>
    <w:p>
      <w:pPr>
        <w:pStyle w:val="23"/>
        <w:tabs>
          <w:tab w:val="clear" w:pos="426"/>
        </w:tabs>
        <w:ind w:left="426"/>
        <w:rPr>
          <w:szCs w:val="18"/>
        </w:rPr>
      </w:pPr>
      <w:r>
        <w:rPr>
          <w:szCs w:val="18"/>
        </w:rPr>
        <w:t>Pohľadávky</w:t>
      </w:r>
    </w:p>
    <w:p>
      <w:pPr>
        <w:pStyle w:val="7"/>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pStyle w:val="7"/>
        <w:rPr>
          <w:szCs w:val="18"/>
        </w:rPr>
      </w:pPr>
    </w:p>
    <w:p>
      <w:pPr>
        <w:pStyle w:val="23"/>
        <w:tabs>
          <w:tab w:val="clear" w:pos="426"/>
        </w:tabs>
        <w:ind w:left="426"/>
        <w:rPr>
          <w:szCs w:val="18"/>
        </w:rPr>
      </w:pPr>
      <w:r>
        <w:rPr>
          <w:szCs w:val="18"/>
        </w:rPr>
        <w:t>Peňažné prostriedky a ceniny</w:t>
      </w:r>
    </w:p>
    <w:p>
      <w:pPr>
        <w:pStyle w:val="7"/>
        <w:rPr>
          <w:szCs w:val="18"/>
        </w:rPr>
      </w:pPr>
      <w:r>
        <w:rPr>
          <w:szCs w:val="18"/>
        </w:rPr>
        <w:t>Peňažné prostriedky a ceniny sa oceňujú ich menovitou hodnotou. Zníženie ich hodnoty sa vyjadruje opravnou položkou.</w:t>
      </w:r>
    </w:p>
    <w:p>
      <w:pPr>
        <w:pStyle w:val="7"/>
        <w:rPr>
          <w:szCs w:val="18"/>
        </w:rPr>
      </w:pPr>
    </w:p>
    <w:p>
      <w:pPr>
        <w:pStyle w:val="7"/>
        <w:rPr>
          <w:szCs w:val="18"/>
        </w:rPr>
      </w:pPr>
    </w:p>
    <w:p>
      <w:pPr>
        <w:pStyle w:val="7"/>
        <w:rPr>
          <w:szCs w:val="18"/>
        </w:rPr>
      </w:pPr>
    </w:p>
    <w:p>
      <w:pPr>
        <w:pStyle w:val="7"/>
        <w:rPr>
          <w:szCs w:val="18"/>
        </w:rPr>
      </w:pPr>
    </w:p>
    <w:p>
      <w:pPr>
        <w:pStyle w:val="23"/>
        <w:tabs>
          <w:tab w:val="clear" w:pos="426"/>
        </w:tabs>
        <w:ind w:left="426"/>
        <w:rPr>
          <w:szCs w:val="18"/>
        </w:rPr>
      </w:pPr>
      <w:r>
        <w:rPr>
          <w:szCs w:val="18"/>
        </w:rPr>
        <w:t>Náklady budúcich období a príjmy budúcich období</w:t>
      </w:r>
    </w:p>
    <w:p>
      <w:pPr>
        <w:pStyle w:val="7"/>
        <w:rPr>
          <w:szCs w:val="18"/>
        </w:rPr>
      </w:pPr>
      <w:r>
        <w:rPr>
          <w:szCs w:val="18"/>
        </w:rPr>
        <w:t>Náklady budúcich období a príjmy budúcich období sa vykazujú vo výške, ktorá je potrebná na dodržanie zásady vecnej a časovej súvislosti s účtovným obdobím.</w:t>
      </w:r>
    </w:p>
    <w:p>
      <w:pPr>
        <w:pStyle w:val="7"/>
        <w:rPr>
          <w:szCs w:val="18"/>
        </w:rPr>
      </w:pPr>
    </w:p>
    <w:p>
      <w:pPr>
        <w:pStyle w:val="23"/>
        <w:tabs>
          <w:tab w:val="clear" w:pos="426"/>
        </w:tabs>
        <w:ind w:left="426"/>
        <w:rPr>
          <w:szCs w:val="18"/>
        </w:rPr>
      </w:pPr>
      <w:r>
        <w:rPr>
          <w:szCs w:val="18"/>
        </w:rPr>
        <w:t>Rezervy</w:t>
      </w:r>
    </w:p>
    <w:p>
      <w:pPr>
        <w:pStyle w:val="7"/>
        <w:rPr>
          <w:szCs w:val="18"/>
        </w:rPr>
      </w:pPr>
      <w:r>
        <w:rPr>
          <w:szCs w:val="18"/>
        </w:rPr>
        <w:t>Rezervy sú záväzky s neurčitým časovým vymedzením alebo výškou; tvoria sa na krytie známych rizík alebo strát z podnikania. Oceňujú sa v očakávanej výške záväzku.</w:t>
      </w:r>
    </w:p>
    <w:p>
      <w:pPr>
        <w:pStyle w:val="23"/>
        <w:numPr>
          <w:ilvl w:val="0"/>
          <w:numId w:val="0"/>
        </w:numPr>
        <w:ind w:left="360"/>
        <w:rPr>
          <w:szCs w:val="18"/>
        </w:rPr>
      </w:pPr>
    </w:p>
    <w:p>
      <w:pPr>
        <w:pStyle w:val="23"/>
        <w:tabs>
          <w:tab w:val="clear" w:pos="426"/>
        </w:tabs>
        <w:ind w:left="426"/>
        <w:rPr>
          <w:szCs w:val="18"/>
        </w:rPr>
      </w:pPr>
      <w:r>
        <w:rPr>
          <w:szCs w:val="18"/>
        </w:rPr>
        <w:t>Záväzky</w:t>
      </w:r>
    </w:p>
    <w:p>
      <w:pPr>
        <w:pStyle w:val="7"/>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23"/>
        <w:numPr>
          <w:ilvl w:val="0"/>
          <w:numId w:val="0"/>
        </w:numPr>
        <w:rPr>
          <w:b w:val="0"/>
          <w:szCs w:val="18"/>
        </w:rPr>
      </w:pPr>
    </w:p>
    <w:p>
      <w:pPr>
        <w:pStyle w:val="23"/>
        <w:tabs>
          <w:tab w:val="clear" w:pos="426"/>
        </w:tabs>
        <w:ind w:left="426"/>
        <w:rPr>
          <w:szCs w:val="18"/>
        </w:rPr>
      </w:pPr>
      <w:r>
        <w:rPr>
          <w:szCs w:val="18"/>
        </w:rPr>
        <w:t>Odložené dane</w:t>
      </w:r>
    </w:p>
    <w:p>
      <w:pPr>
        <w:pStyle w:val="7"/>
        <w:rPr>
          <w:szCs w:val="18"/>
        </w:rPr>
      </w:pPr>
      <w:r>
        <w:rPr>
          <w:szCs w:val="18"/>
        </w:rPr>
        <w:t xml:space="preserve">Odložené dane (odložená daňová pohľadávka a odložený daňový záväzok) sa vzťahujú na: </w:t>
      </w:r>
    </w:p>
    <w:p>
      <w:pPr>
        <w:pStyle w:val="7"/>
        <w:numPr>
          <w:ilvl w:val="0"/>
          <w:numId w:val="4"/>
        </w:numPr>
        <w:rPr>
          <w:szCs w:val="18"/>
        </w:rPr>
      </w:pPr>
      <w:r>
        <w:rPr>
          <w:szCs w:val="18"/>
        </w:rPr>
        <w:t>dočasné rozdiely medzi účtovnou hodnotou majetku a účtovnou hodnotou záväzkov vykázanou v súvahe a ich daňovou základňou,</w:t>
      </w:r>
    </w:p>
    <w:p>
      <w:pPr>
        <w:pStyle w:val="7"/>
        <w:numPr>
          <w:ilvl w:val="0"/>
          <w:numId w:val="4"/>
        </w:numPr>
        <w:rPr>
          <w:szCs w:val="18"/>
        </w:rPr>
      </w:pPr>
      <w:r>
        <w:rPr>
          <w:szCs w:val="18"/>
        </w:rPr>
        <w:t>možnosť umorovať daňovú stratu v budúcnosti, ktorou sa rozumie možnosť odpočítať daňovú stratu od základu dane v budúcnosti,</w:t>
      </w:r>
    </w:p>
    <w:p>
      <w:pPr>
        <w:pStyle w:val="7"/>
        <w:numPr>
          <w:ilvl w:val="0"/>
          <w:numId w:val="4"/>
        </w:numPr>
        <w:rPr>
          <w:szCs w:val="18"/>
        </w:rPr>
      </w:pPr>
      <w:r>
        <w:rPr>
          <w:szCs w:val="18"/>
        </w:rPr>
        <w:t>možnosť previesť nevyužité daňové odpočty a iné daňové nároky do budúcich období.</w:t>
      </w:r>
    </w:p>
    <w:p>
      <w:pPr>
        <w:pStyle w:val="7"/>
        <w:rPr>
          <w:szCs w:val="18"/>
        </w:rPr>
      </w:pPr>
    </w:p>
    <w:p>
      <w:pPr>
        <w:pStyle w:val="23"/>
        <w:tabs>
          <w:tab w:val="clear" w:pos="426"/>
        </w:tabs>
        <w:ind w:left="426"/>
        <w:rPr>
          <w:szCs w:val="18"/>
        </w:rPr>
      </w:pPr>
      <w:r>
        <w:rPr>
          <w:szCs w:val="18"/>
        </w:rPr>
        <w:t>Výdavky budúcich období a výnosy budúcich období</w:t>
      </w:r>
    </w:p>
    <w:p>
      <w:pPr>
        <w:pStyle w:val="7"/>
        <w:rPr>
          <w:szCs w:val="18"/>
        </w:rPr>
      </w:pPr>
      <w:r>
        <w:rPr>
          <w:szCs w:val="18"/>
        </w:rPr>
        <w:t>Výdavky budúcich období a výnosy budúcich období sa vykazujú vo výške, ktorá je potrebná na dodržanie zásady vecnej a časovej súvislosti s účtovným obdobím.</w:t>
      </w:r>
    </w:p>
    <w:p>
      <w:pPr>
        <w:pStyle w:val="7"/>
        <w:rPr>
          <w:szCs w:val="18"/>
        </w:rPr>
      </w:pPr>
    </w:p>
    <w:p>
      <w:pPr>
        <w:pStyle w:val="23"/>
        <w:tabs>
          <w:tab w:val="clear" w:pos="426"/>
        </w:tabs>
        <w:ind w:left="426"/>
        <w:rPr>
          <w:szCs w:val="18"/>
        </w:rPr>
      </w:pPr>
      <w:r>
        <w:rPr>
          <w:szCs w:val="18"/>
        </w:rPr>
        <w:t>Emisné kvóty</w:t>
      </w:r>
    </w:p>
    <w:p>
      <w:pPr>
        <w:pStyle w:val="7"/>
        <w:rPr>
          <w:szCs w:val="18"/>
        </w:rPr>
      </w:pPr>
      <w:r>
        <w:rPr>
          <w:szCs w:val="18"/>
        </w:rPr>
        <w:t xml:space="preserve">Bezodplatne pripísaný proporčný podiel emisných kvót v ocenení reprodukčnou obstarávacou cenou sa účtuje v prospech výnosov budúcich období. </w:t>
      </w:r>
    </w:p>
    <w:p>
      <w:pPr>
        <w:pStyle w:val="7"/>
        <w:rPr>
          <w:szCs w:val="18"/>
        </w:rPr>
      </w:pPr>
    </w:p>
    <w:p>
      <w:pPr>
        <w:pStyle w:val="7"/>
        <w:rPr>
          <w:szCs w:val="18"/>
        </w:rPr>
      </w:pPr>
      <w:r>
        <w:rPr>
          <w:szCs w:val="18"/>
        </w:rPr>
        <w:t>Zúčtovanie výnosov budúcich období sa uskutočňuje v časovej a vecnej súvislosti s použitím bezodplatne pripísaných emisných kvót z dôvodu ich predaja alebo tvorby rezervy alebo splnenia povinnosti odovzdania emisných kvót.</w:t>
      </w:r>
    </w:p>
    <w:p>
      <w:pPr>
        <w:pStyle w:val="7"/>
        <w:rPr>
          <w:szCs w:val="18"/>
        </w:rPr>
      </w:pPr>
    </w:p>
    <w:p>
      <w:pPr>
        <w:pStyle w:val="7"/>
        <w:rPr>
          <w:szCs w:val="18"/>
        </w:rPr>
      </w:pPr>
      <w:r>
        <w:rPr>
          <w:szCs w:val="18"/>
        </w:rPr>
        <w:t xml:space="preserve">Nakúpené emisné kvóty sa oceňujú obstarávacou cenou. </w:t>
      </w:r>
    </w:p>
    <w:p>
      <w:pPr>
        <w:pStyle w:val="7"/>
        <w:rPr>
          <w:szCs w:val="18"/>
        </w:rPr>
      </w:pPr>
    </w:p>
    <w:p>
      <w:pPr>
        <w:pStyle w:val="23"/>
        <w:tabs>
          <w:tab w:val="clear" w:pos="426"/>
        </w:tabs>
        <w:ind w:left="426"/>
        <w:rPr>
          <w:szCs w:val="18"/>
        </w:rPr>
      </w:pPr>
      <w:r>
        <w:rPr>
          <w:szCs w:val="18"/>
        </w:rPr>
        <w:t>Dotácie zo štátneho rozpočtu</w:t>
      </w:r>
    </w:p>
    <w:p>
      <w:pPr>
        <w:ind w:left="450"/>
        <w:jc w:val="both"/>
        <w:rPr>
          <w:sz w:val="18"/>
          <w:szCs w:val="18"/>
        </w:rPr>
      </w:pPr>
      <w:r>
        <w:rPr>
          <w:sz w:val="18"/>
          <w:szCs w:val="18"/>
        </w:rPr>
        <w:t xml:space="preserve">O nároku na dotácie zo štátneho rozpočtu sa účtuje, ak je takmer isté, že sa splnia všetky podmienky súvisiace s dotáciou a súčasne, že sa dotácia poskytne. </w:t>
      </w:r>
    </w:p>
    <w:p>
      <w:pPr>
        <w:ind w:left="450"/>
        <w:jc w:val="both"/>
        <w:rPr>
          <w:sz w:val="18"/>
          <w:szCs w:val="18"/>
        </w:rPr>
      </w:pPr>
    </w:p>
    <w:p>
      <w:pPr>
        <w:ind w:left="450"/>
        <w:jc w:val="both"/>
        <w:rPr>
          <w:sz w:val="18"/>
          <w:szCs w:val="18"/>
        </w:rPr>
      </w:pPr>
      <w:r>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pPr>
        <w:ind w:left="450"/>
        <w:jc w:val="both"/>
        <w:rPr>
          <w:sz w:val="18"/>
          <w:szCs w:val="18"/>
        </w:rPr>
      </w:pPr>
    </w:p>
    <w:p>
      <w:pPr>
        <w:ind w:left="450"/>
        <w:jc w:val="both"/>
        <w:rPr>
          <w:sz w:val="18"/>
          <w:szCs w:val="18"/>
        </w:rPr>
      </w:pPr>
      <w:r>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sz w:val="18"/>
          <w:szCs w:val="18"/>
        </w:rPr>
        <w:br/>
      </w:r>
      <w:r>
        <w:rPr>
          <w:sz w:val="18"/>
          <w:szCs w:val="18"/>
        </w:rPr>
        <w:t xml:space="preserve">z tohto dlhodobého majetku. </w:t>
      </w:r>
    </w:p>
    <w:p>
      <w:pPr>
        <w:pStyle w:val="7"/>
        <w:rPr>
          <w:szCs w:val="18"/>
        </w:rPr>
      </w:pPr>
    </w:p>
    <w:p>
      <w:pPr>
        <w:pStyle w:val="23"/>
        <w:tabs>
          <w:tab w:val="clear" w:pos="426"/>
        </w:tabs>
        <w:ind w:left="426"/>
        <w:rPr>
          <w:szCs w:val="18"/>
        </w:rPr>
      </w:pPr>
      <w:r>
        <w:rPr>
          <w:szCs w:val="18"/>
        </w:rPr>
        <w:t>Prenájom (lízing)</w:t>
      </w:r>
    </w:p>
    <w:p>
      <w:pPr>
        <w:pStyle w:val="7"/>
        <w:rPr>
          <w:szCs w:val="18"/>
        </w:rPr>
      </w:pPr>
      <w:r>
        <w:rPr>
          <w:szCs w:val="18"/>
        </w:rPr>
        <w:t>Majetok prenajatý na základe operatívneho prenájmu vykazuje ako svoj majetok jeho vlastník, nie nájomca.</w:t>
      </w:r>
    </w:p>
    <w:p>
      <w:pPr>
        <w:pStyle w:val="7"/>
        <w:rPr>
          <w:szCs w:val="18"/>
        </w:rPr>
      </w:pPr>
    </w:p>
    <w:p>
      <w:pPr>
        <w:pStyle w:val="7"/>
        <w:rPr>
          <w:szCs w:val="18"/>
        </w:rPr>
      </w:pPr>
      <w:r>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7"/>
        <w:rPr>
          <w:szCs w:val="18"/>
        </w:rPr>
      </w:pPr>
    </w:p>
    <w:p>
      <w:pPr>
        <w:pStyle w:val="7"/>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pPr>
        <w:pStyle w:val="7"/>
        <w:rPr>
          <w:szCs w:val="18"/>
        </w:rPr>
      </w:pPr>
    </w:p>
    <w:p>
      <w:pPr>
        <w:pStyle w:val="7"/>
        <w:rPr>
          <w:szCs w:val="18"/>
        </w:rPr>
      </w:pPr>
      <w:r>
        <w:rPr>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pPr>
        <w:pStyle w:val="7"/>
        <w:rPr>
          <w:szCs w:val="18"/>
        </w:rPr>
      </w:pPr>
    </w:p>
    <w:p>
      <w:pPr>
        <w:pStyle w:val="7"/>
        <w:rPr>
          <w:szCs w:val="18"/>
        </w:rPr>
      </w:pPr>
    </w:p>
    <w:p>
      <w:pPr>
        <w:pStyle w:val="23"/>
        <w:tabs>
          <w:tab w:val="clear" w:pos="426"/>
        </w:tabs>
        <w:ind w:left="426"/>
        <w:rPr>
          <w:szCs w:val="18"/>
        </w:rPr>
      </w:pPr>
      <w:r>
        <w:rPr>
          <w:szCs w:val="18"/>
        </w:rPr>
        <w:t>Deriváty</w:t>
      </w:r>
    </w:p>
    <w:p>
      <w:pPr>
        <w:pStyle w:val="7"/>
        <w:rPr>
          <w:szCs w:val="18"/>
        </w:rPr>
      </w:pPr>
      <w:r>
        <w:rPr>
          <w:szCs w:val="18"/>
        </w:rPr>
        <w:t>Deriváty sa oceňujú reálnou hodnotou.</w:t>
      </w:r>
    </w:p>
    <w:p>
      <w:pPr>
        <w:pStyle w:val="7"/>
        <w:rPr>
          <w:szCs w:val="18"/>
        </w:rPr>
      </w:pPr>
    </w:p>
    <w:p>
      <w:pPr>
        <w:pStyle w:val="7"/>
        <w:rPr>
          <w:szCs w:val="18"/>
        </w:rPr>
      </w:pPr>
      <w:r>
        <w:rPr>
          <w:szCs w:val="18"/>
        </w:rPr>
        <w:t>Zmeny reálnych hodnôt zabezpečovacích derivátov sa účtujú bez vplyvu na výsledok hospodárenia, priamo do vlastného imania.</w:t>
      </w:r>
    </w:p>
    <w:p>
      <w:pPr>
        <w:pStyle w:val="7"/>
        <w:ind w:left="0"/>
        <w:rPr>
          <w:szCs w:val="18"/>
        </w:rPr>
      </w:pPr>
    </w:p>
    <w:p>
      <w:pPr>
        <w:pStyle w:val="7"/>
        <w:rPr>
          <w:szCs w:val="18"/>
        </w:rPr>
      </w:pPr>
      <w:r>
        <w:rPr>
          <w:szCs w:val="18"/>
        </w:rPr>
        <w:t>Zmeny reálnych hodnôt derivátov určených na obchodovanie na tuzemskej burze, zahraničnej burze alebo na inom verejnom trhu sa účtujú s vplyvom na výsledok hospodárenia.</w:t>
      </w:r>
    </w:p>
    <w:p>
      <w:pPr>
        <w:pStyle w:val="7"/>
        <w:rPr>
          <w:szCs w:val="18"/>
        </w:rPr>
      </w:pPr>
    </w:p>
    <w:p>
      <w:pPr>
        <w:pStyle w:val="7"/>
        <w:rPr>
          <w:szCs w:val="18"/>
        </w:rPr>
      </w:pPr>
      <w:r>
        <w:rPr>
          <w:szCs w:val="18"/>
        </w:rPr>
        <w:t>Zmeny reálnych hodnôt derivátov určených na obchodovanie na neverejnom trhu sa účtujú bez vplyvu na výsledok hospodárenia, priamo do vlastného imania.</w:t>
      </w:r>
    </w:p>
    <w:p>
      <w:pPr>
        <w:pStyle w:val="7"/>
        <w:rPr>
          <w:szCs w:val="18"/>
        </w:rPr>
      </w:pPr>
    </w:p>
    <w:p>
      <w:pPr>
        <w:pStyle w:val="23"/>
        <w:tabs>
          <w:tab w:val="clear" w:pos="426"/>
        </w:tabs>
        <w:ind w:left="426"/>
        <w:rPr>
          <w:szCs w:val="18"/>
        </w:rPr>
      </w:pPr>
      <w:r>
        <w:rPr>
          <w:szCs w:val="18"/>
        </w:rPr>
        <w:t>Majetok a záväzky zabezpečené derivátmi</w:t>
      </w:r>
    </w:p>
    <w:p>
      <w:pPr>
        <w:pStyle w:val="7"/>
        <w:rPr>
          <w:szCs w:val="18"/>
        </w:rPr>
      </w:pPr>
      <w:r>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pPr>
        <w:pStyle w:val="7"/>
        <w:rPr>
          <w:szCs w:val="18"/>
        </w:rPr>
      </w:pPr>
    </w:p>
    <w:p>
      <w:pPr>
        <w:pStyle w:val="23"/>
        <w:tabs>
          <w:tab w:val="clear" w:pos="426"/>
        </w:tabs>
        <w:ind w:left="426"/>
        <w:rPr>
          <w:szCs w:val="18"/>
        </w:rPr>
      </w:pPr>
      <w:r>
        <w:rPr>
          <w:szCs w:val="18"/>
        </w:rPr>
        <w:t>Cudzia mena</w:t>
      </w:r>
    </w:p>
    <w:p>
      <w:pPr>
        <w:pStyle w:val="7"/>
        <w:rPr>
          <w:szCs w:val="18"/>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7"/>
        <w:rPr>
          <w:szCs w:val="18"/>
        </w:rPr>
      </w:pPr>
    </w:p>
    <w:p>
      <w:pPr>
        <w:pStyle w:val="7"/>
        <w:rPr>
          <w:szCs w:val="18"/>
        </w:rPr>
      </w:pPr>
      <w:r>
        <w:rPr>
          <w:szCs w:val="18"/>
        </w:rPr>
        <w:t>Na ocenenie prírastku cudzej meny nakúpenej za euro sa použije kurz, za ktorý bola táto cudzia mena nakúpená.</w:t>
      </w:r>
    </w:p>
    <w:p>
      <w:pPr>
        <w:pStyle w:val="7"/>
        <w:rPr>
          <w:szCs w:val="18"/>
        </w:rPr>
      </w:pPr>
    </w:p>
    <w:p>
      <w:pPr>
        <w:pStyle w:val="7"/>
        <w:rPr>
          <w:szCs w:val="18"/>
        </w:rPr>
      </w:pPr>
      <w:r>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7"/>
        <w:rPr>
          <w:szCs w:val="18"/>
        </w:rPr>
      </w:pPr>
    </w:p>
    <w:p>
      <w:pPr>
        <w:pStyle w:val="7"/>
        <w:rPr>
          <w:szCs w:val="18"/>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7"/>
        <w:rPr>
          <w:szCs w:val="18"/>
        </w:rPr>
      </w:pPr>
    </w:p>
    <w:p>
      <w:pPr>
        <w:pStyle w:val="7"/>
        <w:rPr>
          <w:szCs w:val="18"/>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7"/>
        <w:rPr>
          <w:szCs w:val="18"/>
        </w:rPr>
      </w:pPr>
    </w:p>
    <w:p>
      <w:pPr>
        <w:pStyle w:val="7"/>
        <w:rPr>
          <w:szCs w:val="18"/>
        </w:rPr>
      </w:pPr>
      <w:r>
        <w:rPr>
          <w:szCs w:val="18"/>
        </w:rPr>
        <w:t>Prijaté a poskytnuté preddavky v cudzej mene na účet zriadený v eurách a z účtu zriadeného v eurách sa prepočítavajú na menu euro kurzom, za ktorý boli tieto hodnoty nakúpené alebo predané.</w:t>
      </w:r>
    </w:p>
    <w:p>
      <w:pPr>
        <w:pStyle w:val="7"/>
        <w:rPr>
          <w:szCs w:val="18"/>
        </w:rPr>
      </w:pPr>
    </w:p>
    <w:p>
      <w:pPr>
        <w:pStyle w:val="23"/>
        <w:tabs>
          <w:tab w:val="clear" w:pos="426"/>
        </w:tabs>
        <w:ind w:left="426"/>
        <w:rPr>
          <w:szCs w:val="18"/>
        </w:rPr>
      </w:pPr>
      <w:r>
        <w:rPr>
          <w:szCs w:val="18"/>
        </w:rPr>
        <w:t>Výnosy</w:t>
      </w:r>
    </w:p>
    <w:p>
      <w:pPr>
        <w:pStyle w:val="7"/>
        <w:rPr>
          <w:szCs w:val="18"/>
        </w:rPr>
      </w:pPr>
      <w:r>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pPr>
        <w:pStyle w:val="2"/>
        <w:tabs>
          <w:tab w:val="left" w:pos="360"/>
          <w:tab w:val="clear" w:pos="450"/>
        </w:tabs>
        <w:spacing w:before="120" w:after="60"/>
        <w:ind w:left="360"/>
        <w:rPr>
          <w:szCs w:val="18"/>
        </w:rPr>
      </w:pPr>
      <w:bookmarkStart w:id="9" w:name="_Toc530739900"/>
      <w:r>
        <w:rPr>
          <w:szCs w:val="18"/>
        </w:rPr>
        <w:br w:type="page"/>
      </w:r>
    </w:p>
    <w:p>
      <w:pPr>
        <w:pStyle w:val="2"/>
        <w:tabs>
          <w:tab w:val="left" w:pos="360"/>
          <w:tab w:val="clear" w:pos="450"/>
        </w:tabs>
        <w:ind w:left="360"/>
        <w:rPr>
          <w:szCs w:val="18"/>
        </w:rPr>
      </w:pPr>
      <w:r>
        <w:rPr>
          <w:szCs w:val="18"/>
        </w:rPr>
        <w:t>informácie o údajoch na strane aktív súvahy</w:t>
      </w:r>
      <w:bookmarkEnd w:id="9"/>
    </w:p>
    <w:p>
      <w:pPr>
        <w:pStyle w:val="12"/>
        <w:numPr>
          <w:numId w:val="0"/>
        </w:numPr>
        <w:jc w:val="both"/>
        <w:rPr>
          <w:sz w:val="18"/>
          <w:szCs w:val="18"/>
        </w:rPr>
      </w:pPr>
    </w:p>
    <w:p>
      <w:pPr>
        <w:pStyle w:val="3"/>
        <w:tabs>
          <w:tab w:val="left" w:pos="426"/>
          <w:tab w:val="clear" w:pos="360"/>
        </w:tabs>
        <w:rPr>
          <w:szCs w:val="18"/>
        </w:rPr>
      </w:pPr>
      <w:bookmarkStart w:id="10" w:name="_Toc530739901"/>
      <w:r>
        <w:rPr>
          <w:szCs w:val="18"/>
        </w:rPr>
        <w:t>Dlhodobý nehmotný majetok a dlhodobý hmotný majetok</w:t>
      </w:r>
      <w:bookmarkEnd w:id="10"/>
    </w:p>
    <w:p>
      <w:pPr>
        <w:pStyle w:val="7"/>
        <w:rPr>
          <w:szCs w:val="18"/>
        </w:rPr>
      </w:pPr>
    </w:p>
    <w:p>
      <w:pPr>
        <w:pStyle w:val="7"/>
        <w:rPr>
          <w:szCs w:val="18"/>
        </w:rPr>
      </w:pPr>
      <w:r>
        <w:rPr>
          <w:szCs w:val="18"/>
        </w:rPr>
        <w:t>Prehľad o pohybe dlhodobého nehmotného majetku a dlhodobého hmotného majetku od 1. januára 2014 do 31. decembra 2014 a za porovnateľné obdobie od 1. januára 2013 do 31. decembra 2013 je uvedený v tabuľkách na stranách 15 až 18.</w:t>
      </w:r>
    </w:p>
    <w:p>
      <w:pPr>
        <w:pStyle w:val="7"/>
        <w:rPr>
          <w:szCs w:val="18"/>
        </w:rPr>
      </w:pPr>
    </w:p>
    <w:p>
      <w:pPr>
        <w:pStyle w:val="7"/>
        <w:rPr>
          <w:szCs w:val="18"/>
        </w:rPr>
      </w:pPr>
    </w:p>
    <w:p>
      <w:pPr>
        <w:pStyle w:val="7"/>
        <w:rPr>
          <w:szCs w:val="18"/>
        </w:rPr>
      </w:pPr>
      <w:bookmarkStart w:id="11" w:name="_MON_1409584709"/>
      <w:bookmarkEnd w:id="11"/>
    </w:p>
    <w:p>
      <w:pPr>
        <w:pStyle w:val="7"/>
        <w:rPr>
          <w:szCs w:val="18"/>
        </w:rPr>
      </w:pPr>
      <w:r>
        <w:rPr>
          <w:szCs w:val="18"/>
        </w:rPr>
        <w:t xml:space="preserve">Dlhodobý hmotný majetok je poistený pre prípad škôd spôsobených krádežou a živelnou pohromou až do výšky </w:t>
      </w:r>
      <w:r>
        <w:rPr>
          <w:szCs w:val="18"/>
        </w:rPr>
        <w:br/>
      </w:r>
      <w:r>
        <w:rPr>
          <w:szCs w:val="18"/>
        </w:rPr>
        <w:t>3 300 tis. EUR (2013: 3 000 tis. EUR).</w:t>
      </w:r>
    </w:p>
    <w:p>
      <w:pPr>
        <w:pStyle w:val="7"/>
        <w:ind w:left="0"/>
        <w:rPr>
          <w:szCs w:val="18"/>
        </w:rPr>
      </w:pPr>
    </w:p>
    <w:p>
      <w:pPr>
        <w:spacing w:after="200" w:line="276" w:lineRule="auto"/>
        <w:ind w:left="426"/>
        <w:rPr>
          <w:sz w:val="18"/>
          <w:szCs w:val="18"/>
        </w:rPr>
      </w:pPr>
      <w:bookmarkStart w:id="12" w:name="_MON_1405925876"/>
      <w:bookmarkEnd w:id="12"/>
    </w:p>
    <w:p>
      <w:pPr>
        <w:spacing w:after="200" w:line="276" w:lineRule="auto"/>
        <w:rPr>
          <w:sz w:val="18"/>
          <w:szCs w:val="18"/>
          <w:highlight w:val="green"/>
        </w:rPr>
      </w:pPr>
      <w:r>
        <w:rPr>
          <w:sz w:val="18"/>
          <w:szCs w:val="18"/>
          <w:highlight w:val="green"/>
        </w:rPr>
        <w:br w:type="page"/>
      </w:r>
    </w:p>
    <w:p>
      <w:pPr>
        <w:pStyle w:val="3"/>
        <w:tabs>
          <w:tab w:val="clear" w:pos="360"/>
        </w:tabs>
        <w:rPr>
          <w:szCs w:val="18"/>
        </w:rPr>
      </w:pPr>
      <w:r>
        <w:rPr>
          <w:szCs w:val="18"/>
        </w:rPr>
        <w:t>Dlhodobý finančný majetok</w:t>
      </w:r>
    </w:p>
    <w:p>
      <w:pPr>
        <w:pStyle w:val="7"/>
        <w:rPr>
          <w:szCs w:val="18"/>
        </w:rPr>
      </w:pPr>
    </w:p>
    <w:p>
      <w:pPr>
        <w:pStyle w:val="7"/>
        <w:rPr>
          <w:szCs w:val="18"/>
        </w:rPr>
      </w:pPr>
      <w:r>
        <w:rPr>
          <w:szCs w:val="18"/>
        </w:rPr>
        <w:t>Prehľad o pohybe dlhodobého finančného majetku od 1. januára 2014 do 31. decembra 2014 a za porovnateľné obdobie od 1. januára 2013 do 31. decembra 2013 je uvedený v tabuľke na stranách 19 a 20.</w:t>
      </w:r>
    </w:p>
    <w:p>
      <w:pPr>
        <w:pStyle w:val="7"/>
        <w:rPr>
          <w:szCs w:val="18"/>
        </w:rPr>
      </w:pPr>
      <w:r>
        <w:rPr>
          <w:szCs w:val="18"/>
        </w:rPr>
        <w:t>).</w:t>
      </w:r>
    </w:p>
    <w:p>
      <w:pPr>
        <w:pStyle w:val="7"/>
        <w:rPr>
          <w:szCs w:val="18"/>
        </w:rPr>
      </w:pPr>
    </w:p>
    <w:p>
      <w:pPr>
        <w:pStyle w:val="7"/>
        <w:rPr>
          <w:szCs w:val="18"/>
        </w:rPr>
      </w:pPr>
      <w:r>
        <w:rPr>
          <w:szCs w:val="18"/>
        </w:rPr>
        <w:t>Výška vlastného imania k 31. decembru 2014 a výsledku hospodárenia za účtovné obdobie 2014 je uvedená v nasledujúcom prehľade:</w:t>
      </w:r>
    </w:p>
    <w:p>
      <w:pPr>
        <w:pStyle w:val="7"/>
        <w:rPr>
          <w:i/>
          <w:szCs w:val="18"/>
          <w:u w:val="single"/>
        </w:rPr>
      </w:pPr>
      <w:r>
        <w:rPr>
          <w:i/>
          <w:szCs w:val="18"/>
          <w:u w:val="single"/>
        </w:rPr>
        <w:t>(</w:t>
      </w:r>
    </w:p>
    <w:p>
      <w:pPr>
        <w:pStyle w:val="7"/>
        <w:rPr>
          <w:i/>
          <w:szCs w:val="18"/>
          <w:u w:val="single"/>
        </w:rPr>
      </w:pPr>
    </w:p>
    <w:p>
      <w:pPr>
        <w:pStyle w:val="7"/>
        <w:ind w:left="0"/>
        <w:rPr>
          <w:szCs w:val="18"/>
        </w:rPr>
      </w:pPr>
    </w:p>
    <w:p>
      <w:pPr>
        <w:pStyle w:val="7"/>
        <w:rPr>
          <w:rFonts w:hint="default"/>
          <w:szCs w:val="18"/>
          <w:lang/>
        </w:rPr>
      </w:pPr>
      <w:bookmarkStart w:id="13" w:name="_MON_1406024012"/>
      <w:bookmarkEnd w:id="13"/>
      <w:r>
        <w:rPr>
          <w:rFonts w:hint="default"/>
          <w:szCs w:val="18"/>
          <w:lang/>
        </w:rPr>
        <w:t xml:space="preserve">                                                             Bežné účtovné obdobie /rok 2014/</w:t>
      </w:r>
    </w:p>
    <w:p>
      <w:pPr>
        <w:pStyle w:val="7"/>
        <w:rPr>
          <w:rFonts w:hint="default"/>
          <w:szCs w:val="18"/>
          <w:lang/>
        </w:rPr>
      </w:pPr>
      <w:r>
        <w:rPr>
          <w:rFonts w:hint="default"/>
          <w:szCs w:val="18"/>
          <w:lang/>
        </w:rPr>
        <w:t xml:space="preserve">                                                   ___________________________________________</w:t>
      </w:r>
    </w:p>
    <w:p>
      <w:pPr>
        <w:pStyle w:val="7"/>
        <w:rPr>
          <w:rFonts w:hint="default"/>
          <w:szCs w:val="18"/>
          <w:lang/>
        </w:rPr>
      </w:pPr>
    </w:p>
    <w:p>
      <w:pPr>
        <w:pStyle w:val="7"/>
        <w:rPr>
          <w:rFonts w:hint="default"/>
          <w:sz w:val="15"/>
          <w:szCs w:val="15"/>
          <w:lang/>
        </w:rPr>
      </w:pPr>
      <w:r>
        <w:rPr>
          <w:rFonts w:hint="default"/>
          <w:sz w:val="15"/>
          <w:szCs w:val="15"/>
          <w:lang/>
        </w:rPr>
        <w:t>Obchodné meno a sídlo                         Podiel           Podiel              Hodnota vlastného       Výsledok                     Učtovná</w:t>
      </w:r>
    </w:p>
    <w:p>
      <w:pPr>
        <w:pStyle w:val="7"/>
        <w:rPr>
          <w:rFonts w:hint="default"/>
          <w:sz w:val="15"/>
          <w:szCs w:val="15"/>
          <w:lang/>
        </w:rPr>
      </w:pPr>
      <w:r>
        <w:rPr>
          <w:rFonts w:hint="default"/>
          <w:sz w:val="15"/>
          <w:szCs w:val="15"/>
          <w:lang/>
        </w:rPr>
        <w:t>Spoločnosti, v ktorej má                        účtovnej       účtovnej          imania účtovnej             hospodárenia              hodnota</w:t>
      </w:r>
    </w:p>
    <w:p>
      <w:pPr>
        <w:pStyle w:val="7"/>
        <w:rPr>
          <w:rFonts w:hint="default"/>
          <w:sz w:val="15"/>
          <w:szCs w:val="15"/>
          <w:lang/>
        </w:rPr>
      </w:pPr>
      <w:r>
        <w:rPr>
          <w:rFonts w:hint="default"/>
          <w:sz w:val="15"/>
          <w:szCs w:val="15"/>
          <w:lang/>
        </w:rPr>
        <w:t>Účtovná jednotka umiestnený               jednotky       jednotky          jednotky, v ktore           účtovnej jednotky,j    finančného</w:t>
      </w:r>
    </w:p>
    <w:p>
      <w:pPr>
        <w:pStyle w:val="7"/>
        <w:rPr>
          <w:rFonts w:hint="default"/>
          <w:sz w:val="15"/>
          <w:szCs w:val="15"/>
          <w:lang/>
        </w:rPr>
      </w:pPr>
      <w:r>
        <w:rPr>
          <w:rFonts w:hint="default"/>
          <w:sz w:val="15"/>
          <w:szCs w:val="15"/>
          <w:lang/>
        </w:rPr>
        <w:t>Dlhodobý finančný majetok                  na                 na hlas.            Má účtovná jednotky    v ktorej má účtovná   majetku</w:t>
      </w:r>
    </w:p>
    <w:p>
      <w:pPr>
        <w:pStyle w:val="7"/>
        <w:rPr>
          <w:rFonts w:hint="default"/>
          <w:sz w:val="15"/>
          <w:szCs w:val="15"/>
          <w:lang/>
        </w:rPr>
      </w:pPr>
      <w:r>
        <w:rPr>
          <w:rFonts w:hint="default"/>
          <w:sz w:val="15"/>
          <w:szCs w:val="15"/>
          <w:lang/>
        </w:rPr>
        <w:t xml:space="preserve">                                                              Základnom   právach            umiestnený                    jednotka</w:t>
      </w:r>
    </w:p>
    <w:p>
      <w:pPr>
        <w:pStyle w:val="7"/>
        <w:rPr>
          <w:rFonts w:hint="default"/>
          <w:sz w:val="15"/>
          <w:szCs w:val="15"/>
          <w:lang/>
        </w:rPr>
      </w:pPr>
      <w:r>
        <w:rPr>
          <w:rFonts w:hint="default"/>
          <w:sz w:val="15"/>
          <w:szCs w:val="15"/>
          <w:lang/>
        </w:rPr>
        <w:t xml:space="preserve">                                                              Imaní v %    v %                   dlhodobý finančný         umiestnený</w:t>
      </w:r>
    </w:p>
    <w:p>
      <w:pPr>
        <w:pStyle w:val="7"/>
        <w:rPr>
          <w:rFonts w:hint="default"/>
          <w:sz w:val="15"/>
          <w:szCs w:val="15"/>
          <w:lang/>
        </w:rPr>
      </w:pPr>
      <w:r>
        <w:rPr>
          <w:rFonts w:hint="default"/>
          <w:sz w:val="15"/>
          <w:szCs w:val="15"/>
          <w:lang/>
        </w:rPr>
        <w:t xml:space="preserve">                                                                                                            Majetok                         dlhodobý finančný</w:t>
      </w:r>
    </w:p>
    <w:p>
      <w:pPr>
        <w:pStyle w:val="7"/>
        <w:rPr>
          <w:rFonts w:hint="default"/>
          <w:sz w:val="15"/>
          <w:szCs w:val="15"/>
          <w:lang/>
        </w:rPr>
      </w:pPr>
      <w:r>
        <w:rPr>
          <w:rFonts w:hint="default"/>
          <w:sz w:val="15"/>
          <w:szCs w:val="15"/>
          <w:lang/>
        </w:rPr>
        <w:t xml:space="preserve">                                                                                                                                                  Majetok</w:t>
      </w:r>
    </w:p>
    <w:p>
      <w:pPr>
        <w:pStyle w:val="7"/>
        <w:rPr>
          <w:rFonts w:hint="default"/>
          <w:sz w:val="15"/>
          <w:szCs w:val="15"/>
          <w:lang/>
        </w:rPr>
      </w:pPr>
      <w:r>
        <w:rPr>
          <w:rFonts w:hint="default"/>
          <w:sz w:val="15"/>
          <w:szCs w:val="15"/>
          <w:lang/>
        </w:rPr>
        <w:t xml:space="preserve">                 A                                          b                     c                          d                                  e                                    f</w:t>
      </w:r>
    </w:p>
    <w:p>
      <w:pPr>
        <w:pStyle w:val="7"/>
        <w:rPr>
          <w:rFonts w:hint="default"/>
          <w:sz w:val="15"/>
          <w:szCs w:val="15"/>
          <w:lang/>
        </w:rPr>
      </w:pPr>
      <w:r>
        <w:rPr>
          <w:rFonts w:hint="default"/>
          <w:sz w:val="15"/>
          <w:szCs w:val="15"/>
          <w:lang/>
        </w:rPr>
        <w:t>________________________________________________________________________________________________________</w:t>
      </w:r>
    </w:p>
    <w:p>
      <w:pPr>
        <w:pStyle w:val="7"/>
        <w:rPr>
          <w:rFonts w:hint="default"/>
          <w:sz w:val="15"/>
          <w:szCs w:val="15"/>
          <w:lang/>
        </w:rPr>
      </w:pPr>
    </w:p>
    <w:p>
      <w:pPr>
        <w:pStyle w:val="7"/>
        <w:rPr>
          <w:rFonts w:hint="default"/>
          <w:sz w:val="15"/>
          <w:szCs w:val="15"/>
          <w:lang/>
        </w:rPr>
      </w:pPr>
      <w:r>
        <w:rPr>
          <w:rFonts w:hint="default"/>
          <w:sz w:val="15"/>
          <w:szCs w:val="15"/>
          <w:lang/>
        </w:rPr>
        <w:t>Dcérske účtovné jednotky</w:t>
      </w:r>
    </w:p>
    <w:p>
      <w:pPr>
        <w:pStyle w:val="7"/>
        <w:rPr>
          <w:rFonts w:hint="default"/>
          <w:sz w:val="15"/>
          <w:szCs w:val="15"/>
          <w:lang/>
        </w:rPr>
      </w:pPr>
    </w:p>
    <w:p>
      <w:pPr>
        <w:pStyle w:val="7"/>
        <w:rPr>
          <w:rFonts w:hint="default"/>
          <w:sz w:val="15"/>
          <w:szCs w:val="15"/>
          <w:lang/>
        </w:rPr>
      </w:pPr>
      <w:r>
        <w:rPr>
          <w:rFonts w:hint="default"/>
          <w:sz w:val="15"/>
          <w:szCs w:val="15"/>
          <w:lang/>
        </w:rPr>
        <w:t>Účtovné jednotky s podstatným vplyvom</w:t>
      </w:r>
    </w:p>
    <w:p>
      <w:pPr>
        <w:pStyle w:val="7"/>
        <w:rPr>
          <w:rFonts w:hint="default"/>
          <w:sz w:val="15"/>
          <w:szCs w:val="15"/>
          <w:lang/>
        </w:rPr>
      </w:pPr>
    </w:p>
    <w:p>
      <w:pPr>
        <w:pStyle w:val="7"/>
        <w:rPr>
          <w:rFonts w:hint="default"/>
          <w:sz w:val="15"/>
          <w:szCs w:val="15"/>
          <w:lang/>
        </w:rPr>
      </w:pPr>
      <w:r>
        <w:rPr>
          <w:rFonts w:hint="default"/>
          <w:sz w:val="15"/>
          <w:szCs w:val="15"/>
          <w:lang/>
        </w:rPr>
        <w:t>Spoločné podniky</w:t>
      </w:r>
    </w:p>
    <w:p>
      <w:pPr>
        <w:pStyle w:val="7"/>
        <w:rPr>
          <w:rFonts w:hint="default"/>
          <w:sz w:val="15"/>
          <w:szCs w:val="15"/>
          <w:lang/>
        </w:rPr>
      </w:pPr>
    </w:p>
    <w:p>
      <w:pPr>
        <w:pStyle w:val="7"/>
        <w:rPr>
          <w:rFonts w:hint="default"/>
          <w:sz w:val="15"/>
          <w:szCs w:val="15"/>
          <w:lang/>
        </w:rPr>
      </w:pPr>
      <w:r>
        <w:rPr>
          <w:rFonts w:hint="default"/>
          <w:sz w:val="15"/>
          <w:szCs w:val="15"/>
          <w:lang/>
        </w:rPr>
        <w:t>Ostatné realizovateľné cenné papiere a podiely</w:t>
      </w:r>
    </w:p>
    <w:p>
      <w:pPr>
        <w:pStyle w:val="7"/>
        <w:rPr>
          <w:rFonts w:hint="default"/>
          <w:sz w:val="15"/>
          <w:szCs w:val="15"/>
          <w:lang/>
        </w:rPr>
      </w:pPr>
      <w:r>
        <w:rPr>
          <w:rFonts w:hint="default"/>
          <w:sz w:val="15"/>
          <w:szCs w:val="15"/>
          <w:lang/>
        </w:rPr>
        <w:t>Obstarávaný dlhodobý finančný majetok na účely vykonania vplyvu v inej účtovnej jednotke</w:t>
      </w:r>
    </w:p>
    <w:p>
      <w:pPr>
        <w:pStyle w:val="7"/>
        <w:rPr>
          <w:rFonts w:hint="default"/>
          <w:sz w:val="15"/>
          <w:szCs w:val="15"/>
          <w:lang/>
        </w:rPr>
      </w:pPr>
    </w:p>
    <w:p>
      <w:pPr>
        <w:pStyle w:val="7"/>
        <w:rPr>
          <w:rFonts w:hint="default"/>
          <w:sz w:val="15"/>
          <w:szCs w:val="15"/>
          <w:lang/>
        </w:rPr>
      </w:pPr>
      <w:r>
        <w:rPr>
          <w:rFonts w:hint="default"/>
          <w:sz w:val="15"/>
          <w:szCs w:val="15"/>
          <w:lang/>
        </w:rPr>
        <w:t>Dlhodobý finančný majetok spolu</w:t>
      </w:r>
    </w:p>
    <w:p>
      <w:pPr>
        <w:pStyle w:val="7"/>
        <w:rPr>
          <w:rFonts w:hint="default"/>
          <w:sz w:val="15"/>
          <w:szCs w:val="15"/>
          <w:lang/>
        </w:rPr>
      </w:pPr>
    </w:p>
    <w:p>
      <w:pPr>
        <w:pStyle w:val="7"/>
        <w:rPr>
          <w:rFonts w:hint="default"/>
          <w:sz w:val="15"/>
          <w:szCs w:val="15"/>
          <w:lang/>
        </w:rPr>
      </w:pPr>
    </w:p>
    <w:p>
      <w:pPr>
        <w:pStyle w:val="7"/>
        <w:rPr>
          <w:rFonts w:hint="default"/>
          <w:sz w:val="15"/>
          <w:szCs w:val="15"/>
          <w:lang/>
        </w:rPr>
      </w:pPr>
    </w:p>
    <w:p>
      <w:pPr>
        <w:pStyle w:val="7"/>
        <w:rPr>
          <w:rFonts w:hint="default"/>
          <w:sz w:val="15"/>
          <w:szCs w:val="15"/>
          <w:lang/>
        </w:rPr>
      </w:pPr>
    </w:p>
    <w:p>
      <w:pPr>
        <w:pStyle w:val="7"/>
        <w:rPr>
          <w:rFonts w:hint="default"/>
          <w:sz w:val="15"/>
          <w:szCs w:val="15"/>
          <w:lang/>
        </w:rPr>
      </w:pPr>
    </w:p>
    <w:p>
      <w:pPr>
        <w:pStyle w:val="7"/>
        <w:rPr>
          <w:rFonts w:hint="default"/>
          <w:sz w:val="15"/>
          <w:szCs w:val="15"/>
          <w:lang/>
        </w:rPr>
      </w:pPr>
    </w:p>
    <w:p>
      <w:pPr>
        <w:pStyle w:val="7"/>
        <w:rPr>
          <w:rFonts w:hint="default"/>
          <w:sz w:val="15"/>
          <w:szCs w:val="15"/>
          <w:lang/>
        </w:rPr>
      </w:pPr>
      <w:r>
        <w:rPr>
          <w:rFonts w:hint="default"/>
          <w:sz w:val="15"/>
          <w:szCs w:val="15"/>
          <w:lang/>
        </w:rPr>
        <w:t xml:space="preserve">                                                                     </w:t>
      </w:r>
      <w:r>
        <w:rPr>
          <w:rFonts w:hint="default"/>
          <w:sz w:val="18"/>
          <w:szCs w:val="18"/>
          <w:lang/>
        </w:rPr>
        <w:t xml:space="preserve"> Bezprostredne predchádzajúce účtovné obdobie /rok 2013/</w:t>
      </w:r>
    </w:p>
    <w:p>
      <w:pPr>
        <w:pStyle w:val="7"/>
        <w:rPr>
          <w:rFonts w:hint="default"/>
          <w:sz w:val="15"/>
          <w:szCs w:val="15"/>
          <w:lang/>
        </w:rPr>
      </w:pPr>
    </w:p>
    <w:p>
      <w:pPr>
        <w:pStyle w:val="7"/>
        <w:pBdr>
          <w:bottom w:val="single" w:color="auto" w:sz="12" w:space="0"/>
        </w:pBdr>
        <w:rPr>
          <w:rFonts w:hint="default"/>
          <w:sz w:val="15"/>
          <w:szCs w:val="15"/>
          <w:lang/>
        </w:rPr>
      </w:pPr>
      <w:r>
        <w:rPr>
          <w:rFonts w:hint="default"/>
          <w:sz w:val="15"/>
          <w:szCs w:val="15"/>
          <w:lang/>
        </w:rPr>
        <w:t>Dlhodobý finančný majetok                                                                                 Hodnota za bežné účtovné obdobie</w:t>
      </w:r>
    </w:p>
    <w:p>
      <w:pPr>
        <w:pStyle w:val="7"/>
        <w:rPr>
          <w:rFonts w:hint="default"/>
          <w:sz w:val="15"/>
          <w:szCs w:val="15"/>
          <w:lang/>
        </w:rPr>
      </w:pPr>
      <w:r>
        <w:rPr>
          <w:rFonts w:hint="default"/>
          <w:sz w:val="15"/>
          <w:szCs w:val="15"/>
          <w:lang/>
        </w:rPr>
        <w:t>Dlhodobý finančný majetok, na ktorý je zriadené záložné právo</w:t>
      </w:r>
    </w:p>
    <w:p>
      <w:pPr>
        <w:pStyle w:val="7"/>
        <w:rPr>
          <w:rFonts w:hint="default"/>
          <w:sz w:val="15"/>
          <w:szCs w:val="15"/>
          <w:lang/>
        </w:rPr>
      </w:pPr>
    </w:p>
    <w:p>
      <w:pPr>
        <w:pStyle w:val="7"/>
        <w:rPr>
          <w:szCs w:val="18"/>
        </w:rPr>
      </w:pPr>
    </w:p>
    <w:p>
      <w:pPr>
        <w:pStyle w:val="7"/>
        <w:rPr>
          <w:rFonts w:hint="default"/>
          <w:sz w:val="15"/>
          <w:szCs w:val="15"/>
          <w:lang/>
        </w:rPr>
      </w:pPr>
      <w:r>
        <w:rPr>
          <w:szCs w:val="18"/>
        </w:rPr>
        <w:t>Výška vlastného imania k 31. decembru 2013 a výsledku hospodárenia za účtovné obdobie 2013 podnikov je uvedená v</w:t>
      </w:r>
      <w:r>
        <w:rPr>
          <w:rFonts w:hint="default"/>
          <w:sz w:val="15"/>
          <w:szCs w:val="15"/>
          <w:lang/>
        </w:rPr>
        <w:t>Obchodné meno a sídlo                         Podiel           Podiel              Hodnota vlastného       Výsledok                     Učtovná</w:t>
      </w:r>
    </w:p>
    <w:p>
      <w:pPr>
        <w:pStyle w:val="7"/>
        <w:rPr>
          <w:rFonts w:hint="default"/>
          <w:sz w:val="15"/>
          <w:szCs w:val="15"/>
          <w:lang/>
        </w:rPr>
      </w:pPr>
      <w:r>
        <w:rPr>
          <w:rFonts w:hint="default"/>
          <w:sz w:val="15"/>
          <w:szCs w:val="15"/>
          <w:lang/>
        </w:rPr>
        <w:t>Spoločnosti, v ktorej má                        účtovnej       účtovnej          imania účtovnej             hospodárenia              hodnota</w:t>
      </w:r>
    </w:p>
    <w:p>
      <w:pPr>
        <w:pStyle w:val="7"/>
        <w:rPr>
          <w:rFonts w:hint="default"/>
          <w:sz w:val="15"/>
          <w:szCs w:val="15"/>
          <w:lang/>
        </w:rPr>
      </w:pPr>
      <w:r>
        <w:rPr>
          <w:rFonts w:hint="default"/>
          <w:sz w:val="15"/>
          <w:szCs w:val="15"/>
          <w:lang/>
        </w:rPr>
        <w:t>Účtovná jednotka umiestnený               jednotky       jednotky          jednotky, v ktore           účtovnej jednotky,j    finančného</w:t>
      </w:r>
    </w:p>
    <w:p>
      <w:pPr>
        <w:pStyle w:val="7"/>
        <w:rPr>
          <w:rFonts w:hint="default"/>
          <w:sz w:val="15"/>
          <w:szCs w:val="15"/>
          <w:lang/>
        </w:rPr>
      </w:pPr>
      <w:r>
        <w:rPr>
          <w:rFonts w:hint="default"/>
          <w:sz w:val="15"/>
          <w:szCs w:val="15"/>
          <w:lang/>
        </w:rPr>
        <w:t>Dlhodobý finančný majetok                  na                 na hlas.            Má účtovná jednotky    v ktorej má účtovná   majetku</w:t>
      </w:r>
    </w:p>
    <w:p>
      <w:pPr>
        <w:pStyle w:val="7"/>
        <w:rPr>
          <w:rFonts w:hint="default"/>
          <w:sz w:val="15"/>
          <w:szCs w:val="15"/>
          <w:lang/>
        </w:rPr>
      </w:pPr>
      <w:r>
        <w:rPr>
          <w:rFonts w:hint="default"/>
          <w:sz w:val="15"/>
          <w:szCs w:val="15"/>
          <w:lang/>
        </w:rPr>
        <w:t xml:space="preserve">                                                              Základnom   právach            umiestnený                    jednotka</w:t>
      </w:r>
    </w:p>
    <w:p>
      <w:pPr>
        <w:pStyle w:val="7"/>
        <w:rPr>
          <w:rFonts w:hint="default"/>
          <w:sz w:val="15"/>
          <w:szCs w:val="15"/>
          <w:lang/>
        </w:rPr>
      </w:pPr>
      <w:r>
        <w:rPr>
          <w:rFonts w:hint="default"/>
          <w:sz w:val="15"/>
          <w:szCs w:val="15"/>
          <w:lang/>
        </w:rPr>
        <w:t xml:space="preserve">                                                              Imaní v %    v %                   dlhodobý finančný         umiestnený</w:t>
      </w:r>
    </w:p>
    <w:p>
      <w:pPr>
        <w:pStyle w:val="7"/>
        <w:rPr>
          <w:rFonts w:hint="default"/>
          <w:sz w:val="15"/>
          <w:szCs w:val="15"/>
          <w:lang/>
        </w:rPr>
      </w:pPr>
      <w:r>
        <w:rPr>
          <w:rFonts w:hint="default"/>
          <w:sz w:val="15"/>
          <w:szCs w:val="15"/>
          <w:lang/>
        </w:rPr>
        <w:t xml:space="preserve">                                                                                                            Majetok                         dlhodobý finančný</w:t>
      </w:r>
    </w:p>
    <w:p>
      <w:pPr>
        <w:pStyle w:val="7"/>
        <w:rPr>
          <w:rFonts w:hint="default"/>
          <w:sz w:val="15"/>
          <w:szCs w:val="15"/>
          <w:lang/>
        </w:rPr>
      </w:pPr>
      <w:r>
        <w:rPr>
          <w:rFonts w:hint="default"/>
          <w:sz w:val="15"/>
          <w:szCs w:val="15"/>
          <w:lang/>
        </w:rPr>
        <w:t xml:space="preserve">                                                                                                                                                  Majetok</w:t>
      </w:r>
    </w:p>
    <w:p>
      <w:pPr>
        <w:pStyle w:val="7"/>
        <w:rPr>
          <w:rFonts w:hint="default"/>
          <w:sz w:val="15"/>
          <w:szCs w:val="15"/>
          <w:lang/>
        </w:rPr>
      </w:pPr>
      <w:r>
        <w:rPr>
          <w:rFonts w:hint="default"/>
          <w:sz w:val="15"/>
          <w:szCs w:val="15"/>
          <w:lang/>
        </w:rPr>
        <w:t xml:space="preserve">                 A                                          b                     c                          d                                  e                                    f</w:t>
      </w:r>
    </w:p>
    <w:p>
      <w:pPr>
        <w:pStyle w:val="7"/>
        <w:rPr>
          <w:rFonts w:hint="default"/>
          <w:sz w:val="15"/>
          <w:szCs w:val="15"/>
          <w:lang/>
        </w:rPr>
      </w:pPr>
      <w:r>
        <w:rPr>
          <w:rFonts w:hint="default"/>
          <w:sz w:val="15"/>
          <w:szCs w:val="15"/>
          <w:lang/>
        </w:rPr>
        <w:t>________________________________________________________________________________________________________</w:t>
      </w:r>
    </w:p>
    <w:p>
      <w:pPr>
        <w:pStyle w:val="7"/>
        <w:rPr>
          <w:rFonts w:hint="default"/>
          <w:sz w:val="15"/>
          <w:szCs w:val="15"/>
          <w:lang/>
        </w:rPr>
      </w:pPr>
    </w:p>
    <w:p>
      <w:pPr>
        <w:pStyle w:val="7"/>
        <w:rPr>
          <w:rFonts w:hint="default"/>
          <w:sz w:val="15"/>
          <w:szCs w:val="15"/>
          <w:lang/>
        </w:rPr>
      </w:pPr>
      <w:r>
        <w:rPr>
          <w:rFonts w:hint="default"/>
          <w:sz w:val="15"/>
          <w:szCs w:val="15"/>
          <w:lang/>
        </w:rPr>
        <w:t>Dcérske účtovné jednotky</w:t>
      </w:r>
    </w:p>
    <w:p>
      <w:pPr>
        <w:pStyle w:val="7"/>
        <w:rPr>
          <w:rFonts w:hint="default"/>
          <w:sz w:val="15"/>
          <w:szCs w:val="15"/>
          <w:lang/>
        </w:rPr>
      </w:pPr>
    </w:p>
    <w:p>
      <w:pPr>
        <w:pStyle w:val="7"/>
        <w:rPr>
          <w:rFonts w:hint="default"/>
          <w:sz w:val="15"/>
          <w:szCs w:val="15"/>
          <w:lang/>
        </w:rPr>
      </w:pPr>
      <w:r>
        <w:rPr>
          <w:rFonts w:hint="default"/>
          <w:sz w:val="15"/>
          <w:szCs w:val="15"/>
          <w:lang/>
        </w:rPr>
        <w:t>Účtovné jednotky s podstatným vplyvom</w:t>
      </w:r>
    </w:p>
    <w:p>
      <w:pPr>
        <w:pStyle w:val="7"/>
        <w:rPr>
          <w:rFonts w:hint="default"/>
          <w:sz w:val="15"/>
          <w:szCs w:val="15"/>
          <w:lang/>
        </w:rPr>
      </w:pPr>
    </w:p>
    <w:p>
      <w:pPr>
        <w:pStyle w:val="7"/>
        <w:rPr>
          <w:rFonts w:hint="default"/>
          <w:sz w:val="15"/>
          <w:szCs w:val="15"/>
          <w:lang/>
        </w:rPr>
      </w:pPr>
      <w:r>
        <w:rPr>
          <w:rFonts w:hint="default"/>
          <w:sz w:val="15"/>
          <w:szCs w:val="15"/>
          <w:lang/>
        </w:rPr>
        <w:t>Spoločné podniky</w:t>
      </w:r>
    </w:p>
    <w:p>
      <w:pPr>
        <w:pStyle w:val="7"/>
        <w:rPr>
          <w:rFonts w:hint="default"/>
          <w:sz w:val="15"/>
          <w:szCs w:val="15"/>
          <w:lang/>
        </w:rPr>
      </w:pPr>
    </w:p>
    <w:p>
      <w:pPr>
        <w:pStyle w:val="7"/>
        <w:rPr>
          <w:rFonts w:hint="default"/>
          <w:sz w:val="15"/>
          <w:szCs w:val="15"/>
          <w:lang/>
        </w:rPr>
      </w:pPr>
      <w:r>
        <w:rPr>
          <w:rFonts w:hint="default"/>
          <w:sz w:val="15"/>
          <w:szCs w:val="15"/>
          <w:lang/>
        </w:rPr>
        <w:t>Ostatné realizovateľné cenné papiere a podiely</w:t>
      </w:r>
    </w:p>
    <w:p>
      <w:pPr>
        <w:pStyle w:val="7"/>
        <w:rPr>
          <w:rFonts w:hint="default"/>
          <w:sz w:val="15"/>
          <w:szCs w:val="15"/>
          <w:lang/>
        </w:rPr>
      </w:pPr>
      <w:r>
        <w:rPr>
          <w:rFonts w:hint="default"/>
          <w:sz w:val="15"/>
          <w:szCs w:val="15"/>
          <w:lang/>
        </w:rPr>
        <w:t>Obstarávaný dlhodobý finančný majetok na účely vykonania vplyvu v inej účtovnej jednotke</w:t>
      </w:r>
    </w:p>
    <w:p>
      <w:pPr>
        <w:pStyle w:val="7"/>
        <w:rPr>
          <w:rFonts w:hint="default"/>
          <w:sz w:val="15"/>
          <w:szCs w:val="15"/>
          <w:lang/>
        </w:rPr>
      </w:pPr>
    </w:p>
    <w:p>
      <w:pPr>
        <w:pStyle w:val="7"/>
        <w:rPr>
          <w:rFonts w:hint="default"/>
          <w:sz w:val="15"/>
          <w:szCs w:val="15"/>
          <w:lang/>
        </w:rPr>
      </w:pPr>
      <w:r>
        <w:rPr>
          <w:rFonts w:hint="default"/>
          <w:sz w:val="15"/>
          <w:szCs w:val="15"/>
          <w:lang/>
        </w:rPr>
        <w:t>Dlhodobý finančný majetok spolu</w:t>
      </w:r>
    </w:p>
    <w:p>
      <w:pPr>
        <w:pStyle w:val="7"/>
        <w:rPr>
          <w:szCs w:val="18"/>
        </w:rPr>
      </w:pPr>
      <w:r>
        <w:rPr>
          <w:szCs w:val="18"/>
        </w:rPr>
        <w:t> nasledujúcom prehľade:</w:t>
      </w:r>
    </w:p>
    <w:p>
      <w:pPr>
        <w:ind w:left="426"/>
        <w:rPr>
          <w:sz w:val="18"/>
          <w:szCs w:val="18"/>
        </w:rPr>
        <w:sectPr>
          <w:headerReference r:id="rId10" w:type="default"/>
          <w:footerReference r:id="rId11" w:type="default"/>
          <w:type w:val="continuous"/>
          <w:pgSz w:w="11907" w:h="16840"/>
          <w:pgMar w:top="1979" w:right="1021" w:bottom="1134" w:left="1673" w:header="675" w:footer="408" w:gutter="0"/>
          <w:cols w:space="708" w:num="1"/>
          <w:docGrid w:linePitch="272" w:charSpace="0"/>
        </w:sectPr>
      </w:pPr>
      <w:r>
        <w:rPr>
          <w:i/>
          <w:szCs w:val="18"/>
          <w:u w:val="single"/>
        </w:rPr>
        <w:t>(</w:t>
      </w:r>
      <w:bookmarkStart w:id="14" w:name="_MON_1405926187"/>
      <w:bookmarkEnd w:id="14"/>
      <w:bookmarkStart w:id="15" w:name="_Toc530739903"/>
    </w:p>
    <w:p>
      <w:pPr>
        <w:spacing w:after="200" w:line="276" w:lineRule="auto"/>
        <w:rPr>
          <w:sz w:val="18"/>
          <w:szCs w:val="18"/>
        </w:rPr>
      </w:pPr>
    </w:p>
    <w:p>
      <w:pPr>
        <w:spacing w:after="200" w:line="276" w:lineRule="auto"/>
        <w:rPr>
          <w:sz w:val="18"/>
          <w:szCs w:val="18"/>
        </w:rPr>
      </w:pPr>
      <w:r>
        <w:rPr>
          <w:sz w:val="18"/>
          <w:szCs w:val="18"/>
        </w:rPr>
        <w:br w:type="page"/>
      </w:r>
    </w:p>
    <w:p>
      <w:pPr>
        <w:spacing w:after="200" w:line="276" w:lineRule="auto"/>
        <w:rPr>
          <w:b/>
          <w:sz w:val="18"/>
          <w:szCs w:val="18"/>
        </w:rPr>
      </w:pPr>
      <w:r>
        <w:rPr>
          <w:sz w:val="18"/>
          <w:szCs w:val="18"/>
        </w:rPr>
        <w:br w:type="page"/>
      </w:r>
    </w:p>
    <w:p>
      <w:pPr>
        <w:spacing w:after="200" w:line="276" w:lineRule="auto"/>
        <w:rPr>
          <w:b/>
          <w:sz w:val="18"/>
          <w:szCs w:val="18"/>
        </w:rPr>
      </w:pPr>
      <w:r>
        <w:rPr>
          <w:sz w:val="18"/>
          <w:szCs w:val="18"/>
        </w:rPr>
        <w:br w:type="page"/>
      </w:r>
    </w:p>
    <w:p>
      <w:pPr>
        <w:spacing w:after="200" w:line="276" w:lineRule="auto"/>
        <w:jc w:val="both"/>
        <w:rPr>
          <w:sz w:val="18"/>
          <w:szCs w:val="18"/>
        </w:rPr>
      </w:pPr>
      <w:r>
        <w:rPr>
          <w:sz w:val="18"/>
          <w:szCs w:val="18"/>
        </w:rPr>
        <w:br w:type="page"/>
      </w:r>
    </w:p>
    <w:p>
      <w:pPr>
        <w:spacing w:after="200" w:line="276" w:lineRule="auto"/>
        <w:jc w:val="both"/>
        <w:rPr>
          <w:sz w:val="18"/>
          <w:szCs w:val="18"/>
        </w:rPr>
      </w:pPr>
      <w:r>
        <w:rPr>
          <w:sz w:val="18"/>
          <w:szCs w:val="18"/>
        </w:rPr>
        <w:br w:type="page"/>
      </w:r>
    </w:p>
    <w:p>
      <w:pPr>
        <w:spacing w:after="200" w:line="276" w:lineRule="auto"/>
        <w:jc w:val="both"/>
        <w:rPr>
          <w:sz w:val="18"/>
          <w:szCs w:val="18"/>
        </w:rPr>
      </w:pPr>
      <w:r>
        <w:rPr>
          <w:sz w:val="18"/>
          <w:szCs w:val="18"/>
        </w:rPr>
        <w:br w:type="page"/>
      </w:r>
    </w:p>
    <w:p>
      <w:pPr>
        <w:spacing w:after="200" w:line="276" w:lineRule="auto"/>
        <w:jc w:val="both"/>
        <w:rPr>
          <w:sz w:val="18"/>
          <w:szCs w:val="18"/>
        </w:rPr>
        <w:sectPr>
          <w:headerReference r:id="rId13" w:type="first"/>
          <w:footerReference r:id="rId14" w:type="first"/>
          <w:headerReference r:id="rId12" w:type="default"/>
          <w:pgSz w:w="11906" w:h="16838"/>
          <w:pgMar w:top="1979" w:right="992" w:bottom="1134" w:left="1673" w:header="675" w:footer="340" w:gutter="0"/>
          <w:cols w:space="708" w:num="1"/>
          <w:docGrid w:linePitch="360" w:charSpace="0"/>
        </w:sectPr>
      </w:pPr>
    </w:p>
    <w:p>
      <w:pPr>
        <w:pStyle w:val="7"/>
        <w:ind w:left="0"/>
        <w:rPr>
          <w:szCs w:val="18"/>
        </w:rPr>
      </w:pPr>
      <w:r>
        <w:rPr>
          <w:szCs w:val="18"/>
        </w:rPr>
        <w:t>Informácie o dlhových cenných papieroch držaných do splatnosti sú uvedené v nasledujúcej tabuľke:</w:t>
      </w:r>
    </w:p>
    <w:p>
      <w:pPr>
        <w:pStyle w:val="7"/>
        <w:ind w:left="0"/>
        <w:rPr>
          <w:szCs w:val="18"/>
        </w:rPr>
      </w:pPr>
      <w:bookmarkStart w:id="16" w:name="_MON_1405926418"/>
      <w:bookmarkEnd w:id="16"/>
      <w:r>
        <w:rPr>
          <w:rFonts w:ascii="Times New Roman" w:hAnsi="Times New Roman" w:eastAsia="Times New Roman" w:cs="Times New Roman"/>
          <w:sz w:val="18"/>
          <w:szCs w:val="18"/>
          <w:lang w:eastAsia="en-US" w:bidi="ar-SA"/>
        </w:rPr>
        <w:object>
          <v:shape id="Picture 10" type="#_x0000_t75" style="height:192.75pt;width:348.75pt;rotation:0f;" o:ole="t" fillcolor="#FFFFFF" filled="f" o:preferrelative="f" stroked="f" coordorigin="0,0" coordsize="21600,21600">
            <v:fill on="f" color2="#FFFFFF" focus="0%"/>
            <v:imagedata gain="65536f" blacklevel="0f" gamma="0" o:title="" r:id="rId17"/>
            <o:lock v:ext="edit" position="f" selection="f" grouping="f" rotation="f" cropping="f" text="f" aspectratio="f"/>
            <w10:wrap type="none"/>
            <w10:anchorlock/>
          </v:shape>
          <o:OLEObject Type="Embed" ProgID="Excel.Sheet.12" ShapeID="Picture 10" DrawAspect="Content" ObjectID="_18" r:id="rId16"/>
        </w:object>
      </w:r>
    </w:p>
    <w:p>
      <w:pPr>
        <w:jc w:val="both"/>
        <w:rPr>
          <w:i/>
          <w:sz w:val="18"/>
          <w:szCs w:val="18"/>
        </w:rPr>
      </w:pPr>
      <w:r>
        <w:rPr>
          <w:i/>
          <w:sz w:val="18"/>
          <w:szCs w:val="18"/>
        </w:rPr>
        <w:t>.</w:t>
      </w:r>
    </w:p>
    <w:p>
      <w:pPr>
        <w:pStyle w:val="7"/>
        <w:rPr>
          <w:szCs w:val="18"/>
        </w:rPr>
      </w:pPr>
    </w:p>
    <w:p>
      <w:pPr>
        <w:pStyle w:val="7"/>
        <w:ind w:left="0"/>
        <w:rPr>
          <w:szCs w:val="18"/>
        </w:rPr>
      </w:pPr>
      <w:r>
        <w:rPr>
          <w:szCs w:val="18"/>
        </w:rPr>
        <w:t>Informácie o poskytnutých dlhodobých pôžičkách sú uvedené v nasledujúcej tabuľke:</w:t>
      </w:r>
    </w:p>
    <w:p>
      <w:pPr>
        <w:pStyle w:val="7"/>
        <w:ind w:left="0"/>
        <w:rPr>
          <w:i/>
          <w:szCs w:val="18"/>
          <w:u w:val="single"/>
        </w:rPr>
      </w:pPr>
      <w:r>
        <w:rPr>
          <w:i/>
          <w:szCs w:val="18"/>
          <w:u w:val="single"/>
        </w:rPr>
        <w:t>)</w:t>
      </w:r>
    </w:p>
    <w:p>
      <w:pPr>
        <w:pStyle w:val="7"/>
        <w:ind w:left="0"/>
        <w:rPr>
          <w:i/>
          <w:szCs w:val="18"/>
          <w:u w:val="single"/>
        </w:rPr>
      </w:pPr>
    </w:p>
    <w:p>
      <w:pPr>
        <w:pStyle w:val="7"/>
        <w:ind w:left="0"/>
        <w:rPr>
          <w:szCs w:val="18"/>
        </w:rPr>
      </w:pPr>
      <w:bookmarkStart w:id="17" w:name="_MON_1405927283"/>
      <w:bookmarkEnd w:id="17"/>
      <w:r>
        <w:rPr>
          <w:rFonts w:ascii="Times New Roman" w:hAnsi="Times New Roman" w:eastAsia="Times New Roman" w:cs="Times New Roman"/>
          <w:sz w:val="18"/>
          <w:szCs w:val="18"/>
          <w:lang w:eastAsia="en-US" w:bidi="ar-SA"/>
        </w:rPr>
        <w:object>
          <v:shape id="Picture 11" type="#_x0000_t75" style="height:219pt;width:462pt;rotation:0f;" o:ole="t" fillcolor="#FFFFFF" filled="f" o:preferrelative="f" stroked="f" coordorigin="0,0" coordsize="21600,21600">
            <v:fill on="f" color2="#FFFFFF" focus="0%"/>
            <v:imagedata gain="65536f" blacklevel="0f" gamma="0" o:title="" r:id="rId19"/>
            <o:lock v:ext="edit" position="f" selection="f" grouping="f" rotation="f" cropping="f" text="f" aspectratio="f"/>
            <w10:wrap type="none"/>
            <w10:anchorlock/>
          </v:shape>
          <o:OLEObject Type="Embed" ProgID="Excel.Sheet.12" ShapeID="Picture 11" DrawAspect="Content" ObjectID="_19" r:id="rId18"/>
        </w:object>
      </w:r>
    </w:p>
    <w:p>
      <w:pPr>
        <w:pStyle w:val="7"/>
        <w:rPr>
          <w:szCs w:val="18"/>
        </w:rPr>
      </w:pPr>
      <w:r>
        <w:rPr>
          <w:szCs w:val="18"/>
        </w:rPr>
        <w:br w:type="page"/>
      </w:r>
      <w:bookmarkEnd w:id="15"/>
    </w:p>
    <w:p>
      <w:pPr>
        <w:pStyle w:val="3"/>
        <w:rPr>
          <w:szCs w:val="18"/>
        </w:rPr>
      </w:pPr>
      <w:r>
        <w:rPr>
          <w:szCs w:val="18"/>
        </w:rPr>
        <w:t>Zásoby</w:t>
      </w:r>
    </w:p>
    <w:p>
      <w:pPr>
        <w:pStyle w:val="7"/>
        <w:rPr>
          <w:szCs w:val="18"/>
        </w:rPr>
      </w:pPr>
    </w:p>
    <w:p>
      <w:pPr>
        <w:pStyle w:val="7"/>
        <w:rPr>
          <w:szCs w:val="18"/>
        </w:rPr>
      </w:pPr>
      <w:r>
        <w:rPr>
          <w:szCs w:val="18"/>
        </w:rPr>
        <w:t>Vývoj opravnej položky v priebehu účtovného obdobia je uvedený v nasledujúcom prehľade:</w:t>
      </w:r>
    </w:p>
    <w:p>
      <w:pPr>
        <w:pStyle w:val="7"/>
        <w:rPr>
          <w:szCs w:val="18"/>
        </w:rPr>
      </w:pPr>
    </w:p>
    <w:p>
      <w:pPr>
        <w:pStyle w:val="7"/>
        <w:rPr>
          <w:szCs w:val="18"/>
        </w:rPr>
      </w:pPr>
    </w:p>
    <w:p>
      <w:pPr>
        <w:pStyle w:val="7"/>
        <w:pBdr>
          <w:bottom w:val="single" w:color="auto" w:sz="12" w:space="0"/>
        </w:pBdr>
        <w:rPr>
          <w:rFonts w:hint="default"/>
          <w:szCs w:val="18"/>
          <w:lang/>
        </w:rPr>
      </w:pPr>
      <w:r>
        <w:rPr>
          <w:rFonts w:hint="default"/>
          <w:szCs w:val="18"/>
          <w:lang/>
        </w:rPr>
        <w:t>Bežné účtovné obdobie /rok 2014/</w:t>
      </w:r>
    </w:p>
    <w:p>
      <w:pPr>
        <w:pStyle w:val="7"/>
        <w:rPr>
          <w:rFonts w:hint="default"/>
          <w:szCs w:val="18"/>
          <w:lang/>
        </w:rPr>
      </w:pPr>
    </w:p>
    <w:p>
      <w:pPr>
        <w:pStyle w:val="7"/>
        <w:rPr>
          <w:rFonts w:hint="default"/>
          <w:szCs w:val="18"/>
          <w:lang/>
        </w:rPr>
      </w:pPr>
      <w:r>
        <w:rPr>
          <w:rFonts w:hint="default"/>
          <w:szCs w:val="18"/>
          <w:lang/>
        </w:rPr>
        <w:t>Zásoby                                   Stav opravnej            Tvorba          Zúčtovanie                Zúčtovanie          Stav opravnej</w:t>
      </w:r>
    </w:p>
    <w:p>
      <w:pPr>
        <w:pStyle w:val="7"/>
        <w:rPr>
          <w:rFonts w:hint="default"/>
          <w:szCs w:val="18"/>
          <w:lang/>
        </w:rPr>
      </w:pPr>
      <w:r>
        <w:rPr>
          <w:rFonts w:hint="default"/>
          <w:szCs w:val="18"/>
          <w:lang/>
        </w:rPr>
        <w:t xml:space="preserve">                                               Položky                     opravnej       opravnej                    opravnej              položky k</w:t>
      </w:r>
    </w:p>
    <w:p>
      <w:pPr>
        <w:pStyle w:val="7"/>
        <w:rPr>
          <w:rFonts w:hint="default"/>
          <w:szCs w:val="18"/>
          <w:lang/>
        </w:rPr>
      </w:pPr>
      <w:r>
        <w:rPr>
          <w:rFonts w:hint="default"/>
          <w:szCs w:val="18"/>
          <w:lang/>
        </w:rPr>
        <w:t xml:space="preserve">                                               1.1.2014                    položky        položky                     položky                31.12.2014</w:t>
      </w:r>
    </w:p>
    <w:p>
      <w:pPr>
        <w:pStyle w:val="7"/>
        <w:rPr>
          <w:rFonts w:hint="default"/>
          <w:szCs w:val="18"/>
          <w:lang/>
        </w:rPr>
      </w:pPr>
      <w:r>
        <w:rPr>
          <w:rFonts w:hint="default"/>
          <w:szCs w:val="18"/>
          <w:lang/>
        </w:rPr>
        <w:t xml:space="preserve">                                                                                                      Z dôvodu zániku       z dôvodu</w:t>
      </w:r>
    </w:p>
    <w:p>
      <w:pPr>
        <w:pStyle w:val="7"/>
        <w:rPr>
          <w:rFonts w:hint="default"/>
          <w:szCs w:val="18"/>
          <w:lang/>
        </w:rPr>
      </w:pPr>
      <w:r>
        <w:rPr>
          <w:rFonts w:hint="default"/>
          <w:szCs w:val="18"/>
          <w:lang/>
        </w:rPr>
        <w:t xml:space="preserve">                                                                                                      Opodstatnenosti        vyradenia</w:t>
      </w:r>
    </w:p>
    <w:p>
      <w:pPr>
        <w:pStyle w:val="7"/>
        <w:rPr>
          <w:rFonts w:hint="default"/>
          <w:szCs w:val="18"/>
          <w:lang/>
        </w:rPr>
      </w:pPr>
      <w:r>
        <w:rPr>
          <w:rFonts w:hint="default"/>
          <w:szCs w:val="18"/>
          <w:lang/>
        </w:rPr>
        <w:t xml:space="preserve">                                                                                                                                       Majetku</w:t>
      </w:r>
    </w:p>
    <w:p>
      <w:pPr>
        <w:pStyle w:val="7"/>
        <w:rPr>
          <w:rFonts w:hint="default"/>
          <w:szCs w:val="18"/>
          <w:lang/>
        </w:rPr>
      </w:pPr>
      <w:r>
        <w:rPr>
          <w:rFonts w:hint="default"/>
          <w:szCs w:val="18"/>
          <w:lang/>
        </w:rPr>
        <w:t xml:space="preserve">                                                                                                                                        Z účtovníctva</w:t>
      </w:r>
    </w:p>
    <w:p>
      <w:pPr>
        <w:pStyle w:val="7"/>
        <w:pBdr>
          <w:bottom w:val="single" w:color="auto" w:sz="12" w:space="0"/>
        </w:pBdr>
        <w:rPr>
          <w:rFonts w:hint="default"/>
          <w:szCs w:val="18"/>
          <w:lang/>
        </w:rPr>
      </w:pPr>
      <w:r>
        <w:rPr>
          <w:rFonts w:hint="default"/>
          <w:szCs w:val="18"/>
          <w:lang/>
        </w:rPr>
        <w:t xml:space="preserve"> a                                                 b                             c                       d                             e                             f</w:t>
      </w:r>
    </w:p>
    <w:p>
      <w:pPr>
        <w:pStyle w:val="7"/>
        <w:rPr>
          <w:rFonts w:hint="default"/>
          <w:szCs w:val="18"/>
          <w:lang/>
        </w:rPr>
      </w:pPr>
    </w:p>
    <w:p>
      <w:pPr>
        <w:pStyle w:val="7"/>
        <w:rPr>
          <w:rFonts w:hint="default"/>
          <w:szCs w:val="18"/>
          <w:lang/>
        </w:rPr>
      </w:pPr>
      <w:r>
        <w:rPr>
          <w:rFonts w:hint="default"/>
          <w:szCs w:val="18"/>
          <w:lang/>
        </w:rPr>
        <w:t>Materiál</w:t>
      </w:r>
    </w:p>
    <w:p>
      <w:pPr>
        <w:pStyle w:val="7"/>
        <w:rPr>
          <w:rFonts w:hint="default"/>
          <w:szCs w:val="18"/>
          <w:lang/>
        </w:rPr>
      </w:pPr>
      <w:r>
        <w:rPr>
          <w:rFonts w:hint="default"/>
          <w:szCs w:val="18"/>
          <w:lang/>
        </w:rPr>
        <w:t>Nedokončená výroba a</w:t>
      </w:r>
    </w:p>
    <w:p>
      <w:pPr>
        <w:pStyle w:val="7"/>
        <w:rPr>
          <w:rFonts w:hint="default"/>
          <w:szCs w:val="18"/>
          <w:lang/>
        </w:rPr>
      </w:pPr>
      <w:r>
        <w:rPr>
          <w:rFonts w:hint="default"/>
          <w:szCs w:val="18"/>
          <w:lang/>
        </w:rPr>
        <w:t>Polotovary vlastnej výroby</w:t>
      </w:r>
    </w:p>
    <w:p>
      <w:pPr>
        <w:pStyle w:val="7"/>
        <w:rPr>
          <w:rFonts w:hint="default"/>
          <w:szCs w:val="18"/>
          <w:lang/>
        </w:rPr>
      </w:pPr>
      <w:r>
        <w:rPr>
          <w:rFonts w:hint="default"/>
          <w:szCs w:val="18"/>
          <w:lang/>
        </w:rPr>
        <w:t>Výrobky</w:t>
      </w:r>
    </w:p>
    <w:p>
      <w:pPr>
        <w:pStyle w:val="7"/>
        <w:rPr>
          <w:rFonts w:hint="default"/>
          <w:szCs w:val="18"/>
          <w:lang/>
        </w:rPr>
      </w:pPr>
      <w:r>
        <w:rPr>
          <w:rFonts w:hint="default"/>
          <w:szCs w:val="18"/>
          <w:lang/>
        </w:rPr>
        <w:t>Zvieratá</w:t>
      </w:r>
    </w:p>
    <w:p>
      <w:pPr>
        <w:pStyle w:val="7"/>
        <w:rPr>
          <w:rFonts w:hint="default"/>
          <w:szCs w:val="18"/>
          <w:lang/>
        </w:rPr>
      </w:pPr>
      <w:r>
        <w:rPr>
          <w:rFonts w:hint="default"/>
          <w:szCs w:val="18"/>
          <w:lang/>
        </w:rPr>
        <w:t>Tovar</w:t>
      </w:r>
    </w:p>
    <w:p>
      <w:pPr>
        <w:pStyle w:val="7"/>
        <w:rPr>
          <w:rFonts w:hint="default"/>
          <w:szCs w:val="18"/>
          <w:lang/>
        </w:rPr>
      </w:pPr>
      <w:r>
        <w:rPr>
          <w:rFonts w:hint="default"/>
          <w:szCs w:val="18"/>
          <w:lang/>
        </w:rPr>
        <w:t>Nehnuteľnosť na predaj</w:t>
      </w:r>
    </w:p>
    <w:p>
      <w:pPr>
        <w:pStyle w:val="7"/>
        <w:rPr>
          <w:rFonts w:hint="default"/>
          <w:szCs w:val="18"/>
          <w:lang/>
        </w:rPr>
      </w:pPr>
      <w:r>
        <w:rPr>
          <w:rFonts w:hint="default"/>
          <w:szCs w:val="18"/>
          <w:lang/>
        </w:rPr>
        <w:t>Poskytnuté preddavky</w:t>
      </w:r>
    </w:p>
    <w:p>
      <w:pPr>
        <w:pStyle w:val="7"/>
        <w:rPr>
          <w:rFonts w:hint="default"/>
          <w:szCs w:val="18"/>
          <w:lang/>
        </w:rPr>
      </w:pPr>
      <w:r>
        <w:rPr>
          <w:rFonts w:hint="default"/>
          <w:szCs w:val="18"/>
          <w:lang/>
        </w:rPr>
        <w:t>Na zásoby</w:t>
      </w:r>
    </w:p>
    <w:p>
      <w:pPr>
        <w:pStyle w:val="7"/>
        <w:rPr>
          <w:rFonts w:hint="default"/>
          <w:szCs w:val="18"/>
          <w:lang/>
        </w:rPr>
      </w:pPr>
      <w:r>
        <w:rPr>
          <w:rFonts w:hint="default"/>
          <w:szCs w:val="18"/>
          <w:lang/>
        </w:rPr>
        <w:t xml:space="preserve">                                             ____________      ___________     _____________      _____________       ____________</w:t>
      </w:r>
    </w:p>
    <w:p>
      <w:pPr>
        <w:pStyle w:val="7"/>
        <w:rPr>
          <w:rFonts w:hint="default"/>
          <w:szCs w:val="18"/>
          <w:lang/>
        </w:rPr>
      </w:pPr>
      <w:r>
        <w:rPr>
          <w:rFonts w:hint="default"/>
          <w:szCs w:val="18"/>
          <w:lang/>
        </w:rPr>
        <w:t>Zásoby spolu</w:t>
      </w:r>
    </w:p>
    <w:p>
      <w:pPr>
        <w:pStyle w:val="7"/>
        <w:rPr>
          <w:rFonts w:hint="default"/>
          <w:szCs w:val="18"/>
          <w:lang/>
        </w:rPr>
      </w:pPr>
      <w:r>
        <w:rPr>
          <w:rFonts w:hint="default"/>
          <w:szCs w:val="18"/>
          <w:lang/>
        </w:rPr>
        <w:t xml:space="preserve">                                             ____________      ___________    ______________     ______________     ____________</w:t>
      </w:r>
    </w:p>
    <w:p>
      <w:pPr>
        <w:pStyle w:val="7"/>
        <w:rPr>
          <w:rFonts w:hint="default"/>
          <w:szCs w:val="18"/>
          <w:lang/>
        </w:rPr>
      </w:pPr>
      <w:r>
        <w:rPr>
          <w:rFonts w:hint="default"/>
          <w:szCs w:val="18"/>
          <w:lang/>
        </w:rPr>
        <w:t xml:space="preserve">                                                              </w:t>
      </w: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pBdr>
          <w:bottom w:val="single" w:color="auto" w:sz="12" w:space="0"/>
        </w:pBdr>
        <w:rPr>
          <w:rFonts w:hint="default"/>
          <w:sz w:val="18"/>
          <w:szCs w:val="18"/>
          <w:lang/>
        </w:rPr>
      </w:pPr>
      <w:bookmarkStart w:id="18" w:name="_MON_1405926912"/>
      <w:bookmarkEnd w:id="18"/>
      <w:r>
        <w:rPr>
          <w:rFonts w:hint="default"/>
          <w:sz w:val="18"/>
          <w:szCs w:val="18"/>
          <w:lang/>
        </w:rPr>
        <w:t>Zásoby                                                                                                                           Hodnota za bežné účtovné obdobie</w:t>
      </w:r>
    </w:p>
    <w:p>
      <w:pPr>
        <w:pStyle w:val="7"/>
        <w:rPr>
          <w:rFonts w:hint="default"/>
          <w:sz w:val="18"/>
          <w:szCs w:val="18"/>
          <w:lang/>
        </w:rPr>
      </w:pPr>
      <w:r>
        <w:rPr>
          <w:rFonts w:hint="default"/>
          <w:sz w:val="18"/>
          <w:szCs w:val="18"/>
          <w:lang/>
        </w:rPr>
        <w:t>Zásoby, na ktoré je zriadené záložné právo                                                                        0,-</w:t>
      </w:r>
    </w:p>
    <w:p>
      <w:pPr>
        <w:pStyle w:val="7"/>
        <w:rPr>
          <w:szCs w:val="18"/>
        </w:rPr>
      </w:pPr>
      <w:r>
        <w:rPr>
          <w:szCs w:val="18"/>
        </w:rPr>
        <w:t>.</w:t>
      </w:r>
    </w:p>
    <w:p>
      <w:pPr>
        <w:pStyle w:val="7"/>
        <w:rPr>
          <w:szCs w:val="18"/>
        </w:rPr>
      </w:pPr>
    </w:p>
    <w:p>
      <w:pPr>
        <w:pStyle w:val="7"/>
        <w:rPr>
          <w:szCs w:val="18"/>
        </w:rPr>
      </w:pPr>
      <w:bookmarkStart w:id="19" w:name="_MON_1411977073"/>
      <w:bookmarkEnd w:id="19"/>
    </w:p>
    <w:p>
      <w:pPr>
        <w:pStyle w:val="7"/>
        <w:rPr>
          <w:i/>
          <w:szCs w:val="18"/>
        </w:rPr>
      </w:pPr>
    </w:p>
    <w:p>
      <w:pPr>
        <w:ind w:left="426"/>
        <w:jc w:val="both"/>
        <w:rPr>
          <w:i/>
          <w:sz w:val="18"/>
          <w:szCs w:val="18"/>
        </w:rPr>
      </w:pPr>
    </w:p>
    <w:p>
      <w:pPr>
        <w:ind w:left="426"/>
        <w:jc w:val="both"/>
        <w:rPr>
          <w:sz w:val="18"/>
          <w:szCs w:val="18"/>
        </w:rPr>
      </w:pPr>
      <w:r>
        <w:rPr>
          <w:sz w:val="18"/>
          <w:szCs w:val="18"/>
        </w:rPr>
        <w:t xml:space="preserve">Hodnota zásob, pri ktorých má účtovná jednotka obmedzené právo s nimi nakladať je </w:t>
      </w:r>
      <w:r>
        <w:rPr>
          <w:rFonts w:hint="default"/>
          <w:sz w:val="18"/>
          <w:szCs w:val="18"/>
          <w:lang/>
        </w:rPr>
        <w:t>0</w:t>
      </w:r>
      <w:r>
        <w:rPr>
          <w:sz w:val="18"/>
          <w:szCs w:val="18"/>
        </w:rPr>
        <w:t xml:space="preserve"> EUR a ide o tieto zásoby:</w:t>
      </w:r>
    </w:p>
    <w:p>
      <w:pPr>
        <w:ind w:left="426"/>
        <w:jc w:val="both"/>
        <w:rPr>
          <w:i/>
          <w:sz w:val="18"/>
          <w:szCs w:val="18"/>
        </w:rPr>
      </w:pPr>
    </w:p>
    <w:p>
      <w:pPr>
        <w:ind w:left="426"/>
        <w:jc w:val="both"/>
        <w:rPr>
          <w:i/>
          <w:sz w:val="18"/>
          <w:szCs w:val="18"/>
        </w:rPr>
      </w:pPr>
    </w:p>
    <w:p>
      <w:pPr>
        <w:pStyle w:val="7"/>
        <w:rPr>
          <w:szCs w:val="18"/>
        </w:rPr>
      </w:pPr>
    </w:p>
    <w:p>
      <w:pPr>
        <w:pStyle w:val="7"/>
        <w:rPr>
          <w:szCs w:val="18"/>
        </w:rPr>
      </w:pPr>
      <w:r>
        <w:rPr>
          <w:szCs w:val="18"/>
        </w:rPr>
        <w:t>Informácie o obstarávaní nehnuteľnosti na predaj sú uvedené v nasledujúcom prehľade:</w:t>
      </w:r>
    </w:p>
    <w:p>
      <w:pPr>
        <w:pStyle w:val="7"/>
        <w:rPr>
          <w:szCs w:val="18"/>
        </w:rPr>
      </w:pPr>
      <w:r>
        <w:rPr>
          <w:i/>
          <w:szCs w:val="18"/>
          <w:u w:val="single"/>
        </w:rPr>
        <w:t>(</w:t>
      </w:r>
      <w:bookmarkStart w:id="20" w:name="_MON_1405929823"/>
      <w:bookmarkEnd w:id="20"/>
      <w:r>
        <w:rPr>
          <w:rFonts w:ascii="Times New Roman" w:hAnsi="Times New Roman" w:eastAsia="Times New Roman" w:cs="Times New Roman"/>
          <w:sz w:val="18"/>
          <w:szCs w:val="18"/>
          <w:lang w:eastAsia="en-US" w:bidi="ar-SA"/>
        </w:rPr>
        <w:object>
          <v:shape id="Picture 14" type="#_x0000_t75" style="height:39pt;width:332.25pt;rotation:0f;" o:ole="t" fillcolor="#FFFFFF" filled="f" o:preferrelative="f" stroked="f" coordorigin="0,0" coordsize="21600,21600">
            <v:fill on="f" color2="#FFFFFF" focus="0%"/>
            <v:imagedata gain="65536f" blacklevel="0f" gamma="0" o:title="" r:id="rId21"/>
            <o:lock v:ext="edit" position="f" selection="f" grouping="f" rotation="f" cropping="f" text="f" aspectratio="f"/>
            <w10:wrap type="none"/>
            <w10:anchorlock/>
          </v:shape>
          <o:OLEObject Type="Embed" ProgID="Excel.Sheet.12" ShapeID="Picture 14" DrawAspect="Content" ObjectID="_22" r:id="rId20"/>
        </w:object>
      </w:r>
    </w:p>
    <w:p>
      <w:pPr>
        <w:pStyle w:val="7"/>
        <w:rPr>
          <w:szCs w:val="18"/>
        </w:rPr>
      </w:pPr>
    </w:p>
    <w:p>
      <w:pPr>
        <w:spacing w:after="200" w:line="276" w:lineRule="auto"/>
        <w:rPr>
          <w:sz w:val="18"/>
          <w:szCs w:val="18"/>
        </w:rPr>
      </w:pPr>
      <w:r>
        <w:rPr>
          <w:sz w:val="18"/>
          <w:szCs w:val="18"/>
        </w:rPr>
        <w:br w:type="page"/>
      </w:r>
    </w:p>
    <w:p>
      <w:pPr>
        <w:pStyle w:val="3"/>
        <w:rPr>
          <w:szCs w:val="18"/>
        </w:rPr>
      </w:pPr>
      <w:r>
        <w:rPr>
          <w:szCs w:val="18"/>
        </w:rPr>
        <w:t xml:space="preserve">Údaje o zákazkovej výrobe </w:t>
      </w:r>
    </w:p>
    <w:p>
      <w:pPr>
        <w:pStyle w:val="7"/>
        <w:rPr>
          <w:szCs w:val="18"/>
        </w:rPr>
      </w:pPr>
    </w:p>
    <w:p>
      <w:pPr>
        <w:pStyle w:val="7"/>
        <w:rPr>
          <w:szCs w:val="18"/>
        </w:rPr>
      </w:pPr>
      <w:r>
        <w:rPr>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pPr>
        <w:pStyle w:val="7"/>
        <w:rPr>
          <w:szCs w:val="18"/>
        </w:rPr>
      </w:pPr>
    </w:p>
    <w:p>
      <w:pPr>
        <w:pStyle w:val="7"/>
        <w:rPr>
          <w:szCs w:val="18"/>
        </w:rPr>
      </w:pPr>
      <w:r>
        <w:rPr>
          <w:szCs w:val="18"/>
        </w:rPr>
        <w:t>Ďalšie informácie o zákazkovej výrobe sú uvedené v nasledujúcich tabuľkách:</w:t>
      </w:r>
    </w:p>
    <w:p>
      <w:pPr>
        <w:pStyle w:val="7"/>
        <w:rPr>
          <w:szCs w:val="18"/>
        </w:rPr>
      </w:pPr>
    </w:p>
    <w:p>
      <w:pPr>
        <w:pStyle w:val="7"/>
        <w:rPr>
          <w:szCs w:val="18"/>
        </w:rPr>
      </w:pPr>
    </w:p>
    <w:p>
      <w:pPr>
        <w:pStyle w:val="7"/>
        <w:rPr>
          <w:rFonts w:hint="default"/>
          <w:szCs w:val="18"/>
          <w:lang/>
        </w:rPr>
      </w:pPr>
      <w:r>
        <w:rPr>
          <w:rFonts w:hint="default"/>
          <w:szCs w:val="18"/>
          <w:lang/>
        </w:rPr>
        <w:t>Názov položky                                      2014                        2013             Sumár od začiatku</w:t>
      </w:r>
    </w:p>
    <w:p>
      <w:pPr>
        <w:pStyle w:val="7"/>
        <w:rPr>
          <w:rFonts w:hint="default"/>
          <w:szCs w:val="18"/>
          <w:lang/>
        </w:rPr>
      </w:pPr>
      <w:r>
        <w:rPr>
          <w:rFonts w:hint="default"/>
          <w:szCs w:val="18"/>
          <w:lang/>
        </w:rPr>
        <w:t xml:space="preserve">                                                                                                                   Zákazkovej výroby</w:t>
      </w:r>
    </w:p>
    <w:p>
      <w:pPr>
        <w:pStyle w:val="7"/>
        <w:rPr>
          <w:rFonts w:hint="default"/>
          <w:szCs w:val="18"/>
          <w:lang/>
        </w:rPr>
      </w:pPr>
      <w:r>
        <w:rPr>
          <w:rFonts w:hint="default"/>
          <w:szCs w:val="18"/>
          <w:lang/>
        </w:rPr>
        <w:t xml:space="preserve">                                                                                                                   Až do konca bežného</w:t>
      </w:r>
    </w:p>
    <w:p>
      <w:pPr>
        <w:pStyle w:val="7"/>
        <w:rPr>
          <w:rFonts w:hint="default"/>
          <w:szCs w:val="18"/>
          <w:lang/>
        </w:rPr>
      </w:pPr>
      <w:r>
        <w:rPr>
          <w:rFonts w:hint="default"/>
          <w:szCs w:val="18"/>
          <w:lang/>
        </w:rPr>
        <w:t xml:space="preserve">                                                                                                                    Účtovného obdobia</w:t>
      </w:r>
    </w:p>
    <w:p>
      <w:pPr>
        <w:pStyle w:val="7"/>
        <w:pBdr>
          <w:bottom w:val="single" w:color="auto" w:sz="12" w:space="0"/>
        </w:pBdr>
        <w:rPr>
          <w:rFonts w:hint="default"/>
          <w:szCs w:val="18"/>
          <w:lang/>
        </w:rPr>
      </w:pPr>
      <w:r>
        <w:rPr>
          <w:rFonts w:hint="default"/>
          <w:szCs w:val="18"/>
          <w:lang/>
        </w:rPr>
        <w:t>a                                                                b                             c                     d</w:t>
      </w:r>
    </w:p>
    <w:p>
      <w:pPr>
        <w:pStyle w:val="7"/>
        <w:rPr>
          <w:rFonts w:hint="default"/>
          <w:szCs w:val="18"/>
          <w:lang/>
        </w:rPr>
      </w:pPr>
      <w:r>
        <w:rPr>
          <w:rFonts w:hint="default"/>
          <w:szCs w:val="18"/>
          <w:lang/>
        </w:rPr>
        <w:t>Výnosy zo zákazkovej výroby</w:t>
      </w:r>
    </w:p>
    <w:p>
      <w:pPr>
        <w:pStyle w:val="7"/>
        <w:rPr>
          <w:rFonts w:hint="default"/>
          <w:szCs w:val="18"/>
          <w:lang/>
        </w:rPr>
      </w:pPr>
    </w:p>
    <w:p>
      <w:pPr>
        <w:pStyle w:val="7"/>
        <w:rPr>
          <w:rFonts w:hint="default"/>
          <w:szCs w:val="18"/>
          <w:lang/>
        </w:rPr>
      </w:pPr>
      <w:r>
        <w:rPr>
          <w:rFonts w:hint="default"/>
          <w:szCs w:val="18"/>
          <w:lang/>
        </w:rPr>
        <w:t>Náklady na zákazkovú výrobu</w:t>
      </w:r>
    </w:p>
    <w:p>
      <w:pPr>
        <w:pStyle w:val="7"/>
        <w:rPr>
          <w:rFonts w:hint="default"/>
          <w:szCs w:val="18"/>
          <w:lang/>
        </w:rPr>
      </w:pPr>
    </w:p>
    <w:p>
      <w:pPr>
        <w:pStyle w:val="7"/>
        <w:rPr>
          <w:rFonts w:hint="default"/>
          <w:szCs w:val="18"/>
          <w:lang/>
        </w:rPr>
      </w:pPr>
      <w:r>
        <w:rPr>
          <w:rFonts w:hint="default"/>
          <w:szCs w:val="18"/>
          <w:lang/>
        </w:rPr>
        <w:t>Hrubý zisk/hrubá strata</w:t>
      </w: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szCs w:val="18"/>
        </w:rPr>
      </w:pPr>
    </w:p>
    <w:p>
      <w:pPr>
        <w:pStyle w:val="7"/>
        <w:rPr>
          <w:rFonts w:hint="default"/>
          <w:szCs w:val="18"/>
          <w:lang/>
        </w:rPr>
      </w:pPr>
      <w:r>
        <w:rPr>
          <w:rFonts w:hint="default"/>
          <w:szCs w:val="18"/>
          <w:lang/>
        </w:rPr>
        <w:t>Hodnota zákazkovej výroby                                                                       2014                            Sumár od začiatku</w:t>
      </w:r>
    </w:p>
    <w:p>
      <w:pPr>
        <w:pStyle w:val="7"/>
        <w:rPr>
          <w:rFonts w:hint="default"/>
          <w:szCs w:val="18"/>
          <w:lang/>
        </w:rPr>
      </w:pPr>
      <w:r>
        <w:rPr>
          <w:rFonts w:hint="default"/>
          <w:szCs w:val="18"/>
          <w:lang/>
        </w:rPr>
        <w:t xml:space="preserve">                                                                                                                                                        Zákazkovej výroby</w:t>
      </w:r>
    </w:p>
    <w:p>
      <w:pPr>
        <w:pStyle w:val="7"/>
        <w:rPr>
          <w:rFonts w:hint="default"/>
          <w:szCs w:val="18"/>
          <w:lang/>
        </w:rPr>
      </w:pPr>
      <w:r>
        <w:rPr>
          <w:rFonts w:hint="default"/>
          <w:szCs w:val="18"/>
          <w:lang/>
        </w:rPr>
        <w:t xml:space="preserve">                                                                                                                                                        Až do konca bežného</w:t>
      </w:r>
    </w:p>
    <w:p>
      <w:pPr>
        <w:pStyle w:val="7"/>
        <w:rPr>
          <w:rFonts w:hint="default"/>
          <w:szCs w:val="18"/>
          <w:lang/>
        </w:rPr>
      </w:pPr>
      <w:r>
        <w:rPr>
          <w:rFonts w:hint="default"/>
          <w:szCs w:val="18"/>
          <w:lang/>
        </w:rPr>
        <w:t xml:space="preserve">                                                                                                                                                        Účtovného obdobia</w:t>
      </w:r>
    </w:p>
    <w:p>
      <w:pPr>
        <w:pStyle w:val="7"/>
        <w:pBdr>
          <w:bottom w:val="single" w:color="auto" w:sz="12" w:space="0"/>
        </w:pBdr>
        <w:rPr>
          <w:rFonts w:hint="default"/>
          <w:szCs w:val="18"/>
          <w:lang/>
        </w:rPr>
      </w:pPr>
      <w:r>
        <w:rPr>
          <w:rFonts w:hint="default"/>
          <w:szCs w:val="18"/>
          <w:lang/>
        </w:rPr>
        <w:t xml:space="preserve">              a                                                                                                     b                                           c</w:t>
      </w:r>
    </w:p>
    <w:p>
      <w:pPr>
        <w:pStyle w:val="7"/>
        <w:rPr>
          <w:rFonts w:hint="default"/>
          <w:szCs w:val="18"/>
          <w:lang/>
        </w:rPr>
      </w:pPr>
    </w:p>
    <w:p>
      <w:pPr>
        <w:pStyle w:val="7"/>
        <w:rPr>
          <w:rFonts w:hint="default"/>
          <w:szCs w:val="18"/>
          <w:lang/>
        </w:rPr>
      </w:pPr>
      <w:r>
        <w:rPr>
          <w:rFonts w:hint="default"/>
          <w:szCs w:val="18"/>
          <w:lang/>
        </w:rPr>
        <w:t>Vyfakturované nároky za vykonanú prácu na zákazkovej výrobe</w:t>
      </w:r>
    </w:p>
    <w:p>
      <w:pPr>
        <w:pStyle w:val="7"/>
        <w:rPr>
          <w:rFonts w:hint="default"/>
          <w:szCs w:val="18"/>
          <w:lang/>
        </w:rPr>
      </w:pPr>
    </w:p>
    <w:p>
      <w:pPr>
        <w:pStyle w:val="7"/>
        <w:rPr>
          <w:rFonts w:hint="default"/>
          <w:szCs w:val="18"/>
          <w:lang/>
        </w:rPr>
      </w:pPr>
      <w:r>
        <w:rPr>
          <w:rFonts w:hint="default"/>
          <w:szCs w:val="18"/>
          <w:lang/>
        </w:rPr>
        <w:t>Úprava nárokov podľa stupňa dokončenia alebo metódou</w:t>
      </w:r>
    </w:p>
    <w:p>
      <w:pPr>
        <w:pStyle w:val="7"/>
        <w:rPr>
          <w:rFonts w:hint="default"/>
          <w:szCs w:val="18"/>
          <w:lang/>
        </w:rPr>
      </w:pPr>
      <w:r>
        <w:rPr>
          <w:rFonts w:hint="default"/>
          <w:szCs w:val="18"/>
          <w:lang/>
        </w:rPr>
        <w:t>Nulového zisku</w:t>
      </w:r>
    </w:p>
    <w:p>
      <w:pPr>
        <w:pStyle w:val="7"/>
        <w:rPr>
          <w:rFonts w:hint="default"/>
          <w:szCs w:val="18"/>
          <w:lang/>
        </w:rPr>
      </w:pPr>
    </w:p>
    <w:p>
      <w:pPr>
        <w:pStyle w:val="7"/>
        <w:rPr>
          <w:rFonts w:hint="default"/>
          <w:szCs w:val="18"/>
          <w:lang/>
        </w:rPr>
      </w:pPr>
      <w:r>
        <w:rPr>
          <w:rFonts w:hint="default"/>
          <w:szCs w:val="18"/>
          <w:lang/>
        </w:rPr>
        <w:t>Suma prijatých preddavkov</w:t>
      </w:r>
    </w:p>
    <w:p>
      <w:pPr>
        <w:pStyle w:val="7"/>
        <w:rPr>
          <w:rFonts w:hint="default"/>
          <w:szCs w:val="18"/>
          <w:lang/>
        </w:rPr>
      </w:pPr>
    </w:p>
    <w:p>
      <w:pPr>
        <w:pStyle w:val="7"/>
        <w:rPr>
          <w:rFonts w:hint="default"/>
          <w:szCs w:val="18"/>
          <w:lang/>
        </w:rPr>
      </w:pPr>
      <w:r>
        <w:rPr>
          <w:rFonts w:hint="default"/>
          <w:szCs w:val="18"/>
          <w:lang/>
        </w:rPr>
        <w:t xml:space="preserve">Suma zadržanej platby   </w:t>
      </w:r>
    </w:p>
    <w:p>
      <w:pPr>
        <w:pStyle w:val="7"/>
        <w:rPr>
          <w:szCs w:val="18"/>
        </w:rPr>
      </w:pPr>
    </w:p>
    <w:p>
      <w:pPr>
        <w:pStyle w:val="7"/>
        <w:rPr>
          <w:szCs w:val="18"/>
        </w:rPr>
      </w:pPr>
    </w:p>
    <w:p>
      <w:pPr>
        <w:pStyle w:val="7"/>
        <w:rPr>
          <w:szCs w:val="18"/>
        </w:rPr>
      </w:pPr>
      <w:bookmarkStart w:id="21" w:name="_MON_1405930191"/>
      <w:bookmarkEnd w:id="21"/>
    </w:p>
    <w:p>
      <w:pPr>
        <w:pStyle w:val="7"/>
        <w:rPr>
          <w:szCs w:val="18"/>
        </w:rPr>
      </w:pPr>
    </w:p>
    <w:p>
      <w:pPr>
        <w:pStyle w:val="7"/>
        <w:rPr>
          <w:i/>
          <w:szCs w:val="18"/>
          <w:u w:val="single"/>
        </w:rPr>
      </w:pPr>
    </w:p>
    <w:p>
      <w:pPr>
        <w:ind w:left="426"/>
        <w:rPr>
          <w:sz w:val="18"/>
          <w:szCs w:val="18"/>
        </w:rPr>
      </w:pPr>
      <w:bookmarkStart w:id="22" w:name="_MON_1405929413"/>
      <w:bookmarkEnd w:id="22"/>
    </w:p>
    <w:p>
      <w:pPr>
        <w:ind w:left="426"/>
        <w:rPr>
          <w:sz w:val="18"/>
          <w:szCs w:val="18"/>
        </w:rPr>
      </w:pPr>
    </w:p>
    <w:p>
      <w:pPr>
        <w:ind w:left="426"/>
        <w:rPr>
          <w:sz w:val="18"/>
          <w:szCs w:val="18"/>
        </w:rPr>
      </w:pPr>
    </w:p>
    <w:p>
      <w:pPr>
        <w:spacing w:after="200" w:line="276" w:lineRule="auto"/>
        <w:rPr>
          <w:sz w:val="18"/>
          <w:szCs w:val="18"/>
        </w:rPr>
      </w:pPr>
      <w:r>
        <w:rPr>
          <w:sz w:val="18"/>
          <w:szCs w:val="18"/>
        </w:rPr>
        <w:br w:type="page"/>
      </w:r>
    </w:p>
    <w:p>
      <w:pPr>
        <w:pStyle w:val="3"/>
        <w:rPr>
          <w:szCs w:val="18"/>
        </w:rPr>
      </w:pPr>
      <w:r>
        <w:rPr>
          <w:szCs w:val="18"/>
        </w:rPr>
        <w:t xml:space="preserve">Údaje o zákazkovej výstavbe nehnuteľnosti na predaj </w:t>
      </w:r>
    </w:p>
    <w:p>
      <w:pPr>
        <w:rPr>
          <w:sz w:val="18"/>
          <w:szCs w:val="18"/>
        </w:rPr>
      </w:pPr>
    </w:p>
    <w:p>
      <w:pPr>
        <w:ind w:left="426"/>
        <w:rPr>
          <w:sz w:val="18"/>
          <w:szCs w:val="18"/>
        </w:rPr>
      </w:pPr>
      <w:r>
        <w:rPr>
          <w:i/>
          <w:sz w:val="18"/>
          <w:szCs w:val="18"/>
        </w:rPr>
        <w:t>V</w:t>
      </w:r>
      <w:bookmarkStart w:id="23" w:name="_MON_1405930214"/>
      <w:bookmarkEnd w:id="23"/>
      <w:r>
        <w:rPr>
          <w:rFonts w:ascii="Times New Roman" w:hAnsi="Times New Roman" w:eastAsia="Times New Roman" w:cs="Times New Roman"/>
          <w:sz w:val="18"/>
          <w:szCs w:val="18"/>
          <w:lang w:eastAsia="en-US" w:bidi="ar-SA"/>
        </w:rPr>
        <w:object>
          <v:shape id="Picture 17" type="#_x0000_t75" style="height:130.5pt;width:329.25pt;rotation:0f;" o:ole="t" fillcolor="#FFFFFF" filled="f" o:preferrelative="f" stroked="f" coordorigin="0,0" coordsize="21600,21600">
            <v:fill on="f" color2="#FFFFFF" focus="0%"/>
            <v:imagedata gain="65536f" blacklevel="0f" gamma="0" o:title="" r:id="rId23"/>
            <o:lock v:ext="edit" position="f" selection="f" grouping="f" rotation="f" cropping="f" text="f" aspectratio="f"/>
            <w10:wrap type="none"/>
            <w10:anchorlock/>
          </v:shape>
          <o:OLEObject Type="Embed" ProgID="Excel.Sheet.12" ShapeID="Picture 17" DrawAspect="Content" ObjectID="_25" r:id="rId22"/>
        </w:object>
      </w:r>
    </w:p>
    <w:p>
      <w:pPr>
        <w:ind w:left="426"/>
        <w:rPr>
          <w:sz w:val="18"/>
          <w:szCs w:val="18"/>
        </w:rPr>
      </w:pPr>
    </w:p>
    <w:p>
      <w:pPr>
        <w:ind w:left="426"/>
        <w:rPr>
          <w:sz w:val="18"/>
          <w:szCs w:val="18"/>
        </w:rPr>
      </w:pPr>
    </w:p>
    <w:p>
      <w:pPr>
        <w:ind w:left="426"/>
        <w:rPr>
          <w:sz w:val="18"/>
          <w:szCs w:val="18"/>
        </w:rPr>
      </w:pPr>
      <w:bookmarkStart w:id="24" w:name="_MON_1405930342"/>
      <w:bookmarkEnd w:id="24"/>
      <w:r>
        <w:rPr>
          <w:rFonts w:ascii="Times New Roman" w:hAnsi="Times New Roman" w:eastAsia="Times New Roman" w:cs="Times New Roman"/>
          <w:sz w:val="18"/>
          <w:szCs w:val="18"/>
          <w:lang w:eastAsia="en-US" w:bidi="ar-SA"/>
        </w:rPr>
        <w:object>
          <v:shape id="Picture 18" type="#_x0000_t75" style="height:180pt;width:438pt;rotation:0f;" o:ole="t" fillcolor="#FFFFFF" filled="f" o:preferrelative="f" stroked="f" coordorigin="0,0" coordsize="21600,21600">
            <v:fill on="f" color2="#FFFFFF" focus="0%"/>
            <v:imagedata gain="65536f" blacklevel="0f" gamma="0" o:title="" r:id="rId25"/>
            <o:lock v:ext="edit" position="f" selection="f" grouping="f" rotation="f" cropping="f" text="f" aspectratio="f"/>
            <w10:wrap type="none"/>
            <w10:anchorlock/>
          </v:shape>
          <o:OLEObject Type="Embed" ProgID="Excel.Sheet.12" ShapeID="Picture 18" DrawAspect="Content" ObjectID="_26" r:id="rId24"/>
        </w:object>
      </w:r>
    </w:p>
    <w:p>
      <w:pPr>
        <w:ind w:left="426"/>
        <w:rPr>
          <w:sz w:val="18"/>
          <w:szCs w:val="18"/>
        </w:rPr>
      </w:pPr>
    </w:p>
    <w:p>
      <w:pPr>
        <w:ind w:left="426"/>
        <w:rPr>
          <w:sz w:val="18"/>
          <w:szCs w:val="18"/>
        </w:rPr>
      </w:pPr>
    </w:p>
    <w:p>
      <w:pPr>
        <w:spacing w:after="200" w:line="276" w:lineRule="auto"/>
        <w:rPr>
          <w:sz w:val="18"/>
          <w:szCs w:val="18"/>
        </w:rPr>
      </w:pPr>
      <w:bookmarkStart w:id="25" w:name="_Toc530739904"/>
      <w:r>
        <w:rPr>
          <w:sz w:val="18"/>
          <w:szCs w:val="18"/>
        </w:rPr>
        <w:br w:type="page"/>
      </w:r>
    </w:p>
    <w:p>
      <w:pPr>
        <w:pStyle w:val="3"/>
        <w:rPr>
          <w:szCs w:val="18"/>
        </w:rPr>
      </w:pPr>
      <w:r>
        <w:rPr>
          <w:szCs w:val="18"/>
        </w:rPr>
        <w:t>Pohľadávky</w:t>
      </w:r>
      <w:bookmarkEnd w:id="25"/>
    </w:p>
    <w:p>
      <w:pPr>
        <w:pStyle w:val="7"/>
        <w:rPr>
          <w:szCs w:val="18"/>
        </w:rPr>
      </w:pPr>
    </w:p>
    <w:p>
      <w:pPr>
        <w:pStyle w:val="7"/>
        <w:rPr>
          <w:szCs w:val="18"/>
        </w:rPr>
      </w:pPr>
      <w:r>
        <w:rPr>
          <w:szCs w:val="18"/>
        </w:rPr>
        <w:t>Vývoj opravnej položky v priebehu účtovného obdobia je zobrazený v nasledujúcom prehľade:</w:t>
      </w:r>
    </w:p>
    <w:p>
      <w:pPr>
        <w:pStyle w:val="7"/>
        <w:rPr>
          <w:szCs w:val="18"/>
          <w:lang/>
        </w:rPr>
      </w:pPr>
      <w:bookmarkStart w:id="26" w:name="_MON_1405930601"/>
      <w:bookmarkEnd w:id="26"/>
      <w:r>
        <w:rPr>
          <w:rFonts w:ascii="Times New Roman" w:hAnsi="Times New Roman" w:eastAsia="Times New Roman" w:cs="Times New Roman"/>
          <w:sz w:val="18"/>
          <w:szCs w:val="18"/>
          <w:lang w:eastAsia="en-US" w:bidi="ar-SA"/>
        </w:rPr>
        <w:object>
          <v:shape id="Picture 19" type="#_x0000_t75" style="height:224.25pt;width:438pt;rotation:0f;" o:ole="t" fillcolor="#FFFFFF" filled="f" o:preferrelative="f" stroked="f" coordorigin="0,0" coordsize="21600,21600">
            <v:fill on="f" color2="#FFFFFF" focus="0%"/>
            <v:imagedata gain="65536f" blacklevel="0f" gamma="0" o:title="" r:id="rId27"/>
            <o:lock v:ext="edit" position="f" selection="f" grouping="f" rotation="f" cropping="f" text="f" aspectratio="f"/>
            <w10:wrap type="none"/>
            <w10:anchorlock/>
          </v:shape>
          <o:OLEObject Type="Embed" ProgID="Excel.Sheet.12" ShapeID="Picture 19" DrawAspect="Content" ObjectID="_27" r:id="rId26"/>
        </w:object>
      </w:r>
    </w:p>
    <w:p>
      <w:pPr>
        <w:spacing w:after="200" w:line="276" w:lineRule="auto"/>
        <w:rPr>
          <w:sz w:val="18"/>
          <w:szCs w:val="18"/>
        </w:rPr>
      </w:pPr>
    </w:p>
    <w:p>
      <w:pPr>
        <w:pStyle w:val="7"/>
        <w:ind w:left="0"/>
        <w:rPr>
          <w:szCs w:val="18"/>
        </w:rPr>
      </w:pPr>
      <w:r>
        <w:rPr>
          <w:szCs w:val="18"/>
        </w:rPr>
        <w:t>Veková štruktúra pohľadávok za bežné účtovné obdobie je uvedená v nasledujúcom prehľade:</w:t>
      </w:r>
    </w:p>
    <w:p>
      <w:pPr>
        <w:pStyle w:val="7"/>
        <w:rPr>
          <w:szCs w:val="18"/>
        </w:rPr>
      </w:pPr>
    </w:p>
    <w:p>
      <w:pPr>
        <w:pStyle w:val="7"/>
        <w:ind w:left="0"/>
        <w:rPr>
          <w:szCs w:val="18"/>
        </w:rPr>
      </w:pPr>
      <w:bookmarkStart w:id="27" w:name="_MON_1405930710"/>
      <w:bookmarkEnd w:id="27"/>
      <w:r>
        <w:rPr>
          <w:rFonts w:ascii="Times New Roman" w:hAnsi="Times New Roman" w:eastAsia="Times New Roman" w:cs="Times New Roman"/>
          <w:sz w:val="18"/>
          <w:szCs w:val="18"/>
          <w:lang w:eastAsia="en-US" w:bidi="ar-SA"/>
        </w:rPr>
        <w:object>
          <v:shape id="Picture 20" type="#_x0000_t75" style="height:330pt;width:329.25pt;rotation:0f;" o:ole="t" fillcolor="#FFFFFF" filled="f" o:preferrelative="f" stroked="f" coordorigin="0,0" coordsize="21600,21600">
            <v:fill on="f" color2="#FFFFFF" focus="0%"/>
            <v:imagedata gain="65536f" blacklevel="0f" gamma="0" o:title="" r:id="rId29"/>
            <o:lock v:ext="edit" position="f" selection="f" grouping="f" rotation="f" cropping="f" text="f" aspectratio="f"/>
            <w10:wrap type="none"/>
            <w10:anchorlock/>
          </v:shape>
          <o:OLEObject Type="Embed" ProgID="Excel.Sheet.12" ShapeID="Picture 20" DrawAspect="Content" ObjectID="_28" r:id="rId28"/>
        </w:object>
      </w:r>
    </w:p>
    <w:p>
      <w:pPr>
        <w:pStyle w:val="7"/>
        <w:rPr>
          <w:szCs w:val="18"/>
        </w:rPr>
      </w:pPr>
    </w:p>
    <w:p>
      <w:pPr>
        <w:spacing w:after="200" w:line="276" w:lineRule="auto"/>
        <w:rPr>
          <w:sz w:val="18"/>
          <w:szCs w:val="18"/>
        </w:rPr>
      </w:pPr>
      <w:r>
        <w:rPr>
          <w:sz w:val="18"/>
          <w:szCs w:val="18"/>
        </w:rPr>
        <w:br w:type="page"/>
      </w:r>
    </w:p>
    <w:p>
      <w:pPr>
        <w:pStyle w:val="7"/>
        <w:ind w:left="0"/>
        <w:rPr>
          <w:szCs w:val="18"/>
        </w:rPr>
      </w:pPr>
      <w:r>
        <w:rPr>
          <w:szCs w:val="18"/>
        </w:rPr>
        <w:t>Veková štruktúra pohľadávok za predchádzajúce účtovné obdobie je uvedená v nasledujúcom prehľade:</w:t>
      </w:r>
    </w:p>
    <w:p>
      <w:pPr>
        <w:pStyle w:val="7"/>
        <w:ind w:left="0"/>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p>
    <w:p>
      <w:pPr>
        <w:pStyle w:val="7"/>
        <w:rPr>
          <w:szCs w:val="18"/>
        </w:rPr>
      </w:pPr>
    </w:p>
    <w:p>
      <w:pPr>
        <w:pStyle w:val="7"/>
        <w:ind w:left="0"/>
        <w:rPr>
          <w:szCs w:val="18"/>
        </w:rPr>
      </w:pPr>
      <w:bookmarkStart w:id="28" w:name="_MON_1405930718"/>
      <w:bookmarkEnd w:id="28"/>
      <w:r>
        <w:rPr>
          <w:rFonts w:ascii="Times New Roman" w:hAnsi="Times New Roman" w:eastAsia="Times New Roman" w:cs="Times New Roman"/>
          <w:sz w:val="18"/>
          <w:szCs w:val="18"/>
          <w:lang w:eastAsia="en-US" w:bidi="ar-SA"/>
        </w:rPr>
        <w:object>
          <v:shape id="Picture 21" type="#_x0000_t75" style="height:248.25pt;width:347.25pt;rotation:0f;" o:ole="t" fillcolor="#FFFFFF" filled="f" o:preferrelative="f" stroked="f" coordorigin="0,0" coordsize="21600,21600">
            <v:fill on="f" color2="#FFFFFF" focus="0%"/>
            <v:imagedata gain="65536f" blacklevel="0f" gamma="0" o:title="" r:id="rId31"/>
            <o:lock v:ext="edit" position="f" selection="f" grouping="f" rotation="f" cropping="f" text="f" aspectratio="f"/>
            <w10:wrap type="none"/>
            <w10:anchorlock/>
          </v:shape>
          <o:OLEObject Type="Embed" ProgID="Excel.Sheet.12" ShapeID="Picture 21" DrawAspect="Content" ObjectID="_29" r:id="rId30"/>
        </w:object>
      </w:r>
    </w:p>
    <w:p>
      <w:pPr>
        <w:pStyle w:val="7"/>
        <w:ind w:left="0"/>
        <w:rPr>
          <w:szCs w:val="18"/>
        </w:rPr>
      </w:pPr>
    </w:p>
    <w:p>
      <w:pPr>
        <w:pStyle w:val="7"/>
        <w:ind w:left="0"/>
        <w:rPr>
          <w:szCs w:val="18"/>
        </w:rPr>
      </w:pPr>
      <w:r>
        <w:rPr>
          <w:szCs w:val="18"/>
        </w:rPr>
        <w:t xml:space="preserve">Súčasťou tabuliek o vekovej štruktúre pohľadávok za bežné a predchádzajúce účtovné obdobie nie je odložená daňová pohľadávka (účet 481),  čistá hodnota zákazky (účet 316) a pohľadávky z derivátových operácií (účty 373, 376).  Informácie o odloženej dani sú uvedené v časti G.4., informácie o čistej hodnote zákazky v časti F.4. a F.5 a informácie o derivátových transakciách v časti G.9. </w:t>
      </w:r>
    </w:p>
    <w:p>
      <w:pPr>
        <w:spacing w:after="200" w:line="276" w:lineRule="auto"/>
        <w:rPr>
          <w:sz w:val="18"/>
          <w:szCs w:val="18"/>
        </w:rPr>
      </w:pPr>
      <w:r>
        <w:rPr>
          <w:sz w:val="18"/>
          <w:szCs w:val="18"/>
        </w:rPr>
        <w:br w:type="page"/>
      </w:r>
    </w:p>
    <w:p>
      <w:pPr>
        <w:pStyle w:val="7"/>
        <w:ind w:left="0"/>
        <w:rPr>
          <w:szCs w:val="18"/>
        </w:rPr>
      </w:pPr>
      <w:r>
        <w:rPr>
          <w:szCs w:val="18"/>
        </w:rPr>
        <w:t>Informácie o pohľadávkach zabezpečených záložným právom alebo inou formou zabezpečenia sú uvedené v nasledujúcom prehľade:</w:t>
      </w:r>
    </w:p>
    <w:p>
      <w:pPr>
        <w:pStyle w:val="7"/>
        <w:ind w:left="0"/>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p>
    <w:p>
      <w:pPr>
        <w:pStyle w:val="7"/>
        <w:ind w:left="0"/>
        <w:rPr>
          <w:szCs w:val="18"/>
        </w:rPr>
      </w:pPr>
      <w:bookmarkStart w:id="29" w:name="_MON_1409036754"/>
      <w:bookmarkEnd w:id="29"/>
      <w:r>
        <w:rPr>
          <w:rFonts w:ascii="Times New Roman" w:hAnsi="Times New Roman" w:eastAsia="Times New Roman" w:cs="Times New Roman"/>
          <w:sz w:val="18"/>
          <w:szCs w:val="18"/>
          <w:lang w:eastAsia="en-US" w:bidi="ar-SA"/>
        </w:rPr>
        <w:object>
          <v:shape id="Picture 22" type="#_x0000_t75" style="height:102pt;width:347.25pt;rotation:0f;" o:ole="t" fillcolor="#FFFFFF" filled="f" o:preferrelative="f" stroked="f" coordorigin="0,0" coordsize="21600,21600">
            <v:fill on="f" color2="#FFFFFF" focus="0%"/>
            <v:imagedata gain="65536f" blacklevel="0f" gamma="0" o:title="" r:id="rId33"/>
            <o:lock v:ext="edit" position="f" selection="f" grouping="f" rotation="f" cropping="f" text="f" aspectratio="f"/>
            <w10:wrap type="none"/>
            <w10:anchorlock/>
          </v:shape>
          <o:OLEObject Type="Embed" ProgID="Excel.Sheet.12" ShapeID="Picture 22" DrawAspect="Content" ObjectID="_102" r:id="rId32"/>
        </w:object>
      </w:r>
    </w:p>
    <w:p>
      <w:pPr>
        <w:pStyle w:val="7"/>
        <w:ind w:left="0"/>
        <w:rPr>
          <w:i/>
          <w:szCs w:val="18"/>
        </w:rPr>
      </w:pPr>
      <w:r>
        <w:rPr>
          <w:i/>
          <w:szCs w:val="18"/>
        </w:rPr>
        <w:t>Ak účtovná jednotka má obsahovú náplň, uvedie aj túto informáciu. V opačnom prípade ju vymažte vrátane tejto informácie.</w:t>
      </w:r>
    </w:p>
    <w:p>
      <w:pPr>
        <w:ind w:left="426"/>
        <w:jc w:val="both"/>
        <w:rPr>
          <w:i/>
          <w:sz w:val="18"/>
          <w:szCs w:val="18"/>
        </w:rPr>
      </w:pPr>
    </w:p>
    <w:p>
      <w:pPr>
        <w:jc w:val="both"/>
        <w:rPr>
          <w:sz w:val="18"/>
          <w:szCs w:val="18"/>
        </w:rPr>
      </w:pPr>
      <w:r>
        <w:rPr>
          <w:sz w:val="18"/>
          <w:szCs w:val="18"/>
        </w:rPr>
        <w:t>Hodnota pohľadávok, pri ktorých má účtovná jednotka obmedzené právo s nimi nakladať je xxx EUR a ide o tieto pohľadávky:</w:t>
      </w:r>
    </w:p>
    <w:p>
      <w:pPr>
        <w:ind w:left="426"/>
        <w:jc w:val="both"/>
        <w:rPr>
          <w:i/>
          <w:sz w:val="18"/>
          <w:szCs w:val="18"/>
        </w:rPr>
      </w:pPr>
    </w:p>
    <w:p>
      <w:pPr>
        <w:jc w:val="both"/>
        <w:rPr>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r>
        <w:rPr>
          <w:sz w:val="18"/>
          <w:szCs w:val="18"/>
        </w:rPr>
        <w:t>.</w:t>
      </w:r>
    </w:p>
    <w:p>
      <w:pPr>
        <w:pStyle w:val="7"/>
        <w:ind w:left="0"/>
        <w:rPr>
          <w:i/>
          <w:szCs w:val="18"/>
        </w:rPr>
      </w:pPr>
    </w:p>
    <w:p>
      <w:pPr>
        <w:pStyle w:val="7"/>
        <w:ind w:left="0"/>
        <w:rPr>
          <w:szCs w:val="18"/>
        </w:rPr>
      </w:pPr>
      <w:r>
        <w:rPr>
          <w:szCs w:val="18"/>
        </w:rPr>
        <w:t xml:space="preserve">Spoločnosť má pohľadávky z finančného prenájmu </w:t>
      </w:r>
      <w:r>
        <w:rPr>
          <w:i/>
          <w:szCs w:val="18"/>
        </w:rPr>
        <w:t>(špecifikovať predmet prenájmu)</w:t>
      </w:r>
      <w:r>
        <w:rPr>
          <w:szCs w:val="18"/>
        </w:rPr>
        <w:t>. Výška budúcich platieb rozdelená na istinu a finančný výnos podľa doby splatnosti je uvedená v nasledujúcom prehľade:</w:t>
      </w:r>
    </w:p>
    <w:p>
      <w:pPr>
        <w:pStyle w:val="7"/>
        <w:ind w:left="0"/>
        <w:rPr>
          <w:i/>
          <w:szCs w:val="18"/>
          <w:u w:val="single"/>
        </w:rPr>
      </w:pPr>
      <w:r>
        <w:rPr>
          <w:i/>
          <w:szCs w:val="18"/>
          <w:u w:val="single"/>
        </w:rPr>
        <w:t>(Obsahová náplň, počet riadkov a stĺpcov v tabuľke sa nesmú meniť. Túto informáciu vymažte.)</w:t>
      </w:r>
    </w:p>
    <w:p>
      <w:pPr>
        <w:pStyle w:val="7"/>
        <w:rPr>
          <w:szCs w:val="18"/>
        </w:rPr>
      </w:pPr>
    </w:p>
    <w:p>
      <w:pPr>
        <w:pStyle w:val="7"/>
        <w:rPr>
          <w:i/>
          <w:szCs w:val="18"/>
          <w:u w:val="single"/>
        </w:rPr>
      </w:pPr>
    </w:p>
    <w:p>
      <w:pPr>
        <w:pStyle w:val="7"/>
        <w:rPr>
          <w:szCs w:val="18"/>
        </w:rPr>
      </w:pPr>
    </w:p>
    <w:p>
      <w:pPr>
        <w:pStyle w:val="3"/>
        <w:numPr>
          <w:ilvl w:val="0"/>
          <w:numId w:val="0"/>
        </w:numPr>
        <w:ind w:left="360" w:hanging="360"/>
        <w:rPr>
          <w:szCs w:val="18"/>
          <w:lang/>
        </w:rPr>
      </w:pPr>
      <w:bookmarkStart w:id="30" w:name="_MON_1406027677"/>
      <w:bookmarkEnd w:id="30"/>
      <w:r>
        <w:rPr>
          <w:rFonts w:ascii="Times New Roman" w:hAnsi="Times New Roman" w:eastAsia="Times New Roman" w:cs="Times New Roman"/>
          <w:b/>
          <w:sz w:val="18"/>
          <w:szCs w:val="18"/>
          <w:lang w:eastAsia="en-US" w:bidi="ar-SA"/>
        </w:rPr>
        <w:object>
          <v:shape id="Picture 23" type="#_x0000_t75" style="height:101.25pt;width:347.25pt;rotation:0f;" o:ole="t" fillcolor="#FFFFFF" filled="f" o:preferrelative="f" stroked="f" coordorigin="0,0" coordsize="21600,21600">
            <v:fill on="f" color2="#FFFFFF" focus="0%"/>
            <v:imagedata gain="65536f" blacklevel="0f" gamma="0" o:title="" r:id="rId35"/>
            <o:lock v:ext="edit" position="f" selection="f" grouping="f" rotation="f" cropping="f" text="f" aspectratio="f"/>
            <w10:wrap type="none"/>
            <w10:anchorlock/>
          </v:shape>
          <o:OLEObject Type="Embed" ProgID="Excel.Sheet.12" ShapeID="Picture 23" DrawAspect="Content" ObjectID="_31" r:id="rId34"/>
        </w:object>
      </w:r>
    </w:p>
    <w:p>
      <w:pPr>
        <w:pStyle w:val="3"/>
        <w:numPr>
          <w:ilvl w:val="0"/>
          <w:numId w:val="0"/>
        </w:numPr>
        <w:ind w:left="360"/>
        <w:rPr>
          <w:b w:val="0"/>
          <w:szCs w:val="18"/>
        </w:rPr>
      </w:pPr>
    </w:p>
    <w:p>
      <w:pPr>
        <w:pStyle w:val="7"/>
        <w:ind w:left="0"/>
        <w:rPr>
          <w:szCs w:val="18"/>
        </w:rPr>
      </w:pPr>
      <w:r>
        <w:rPr>
          <w:szCs w:val="18"/>
        </w:rPr>
        <w:t xml:space="preserve">Pohľadávky z finančného prenájmu sú kryté záložným právom k predmetu prenájmu do výšky xxx EUR. </w:t>
      </w:r>
    </w:p>
    <w:p>
      <w:pPr>
        <w:pStyle w:val="7"/>
        <w:ind w:left="0"/>
        <w:rPr>
          <w:i/>
          <w:szCs w:val="18"/>
          <w:u w:val="single"/>
        </w:rPr>
      </w:pPr>
      <w:bookmarkStart w:id="31" w:name="_Toc530739905"/>
      <w:r>
        <w:rPr>
          <w:i/>
          <w:szCs w:val="18"/>
          <w:u w:val="single"/>
        </w:rPr>
        <w:t>(Spoločnosti prenajímajúce majetok formou finančného prenájmu uvedú údaj o krytí pohľadávok predmetom prenájmu aj v rámci už uvedenej tabuľky o záložných právach).</w:t>
      </w:r>
    </w:p>
    <w:p>
      <w:pPr>
        <w:pStyle w:val="7"/>
        <w:ind w:left="0"/>
        <w:rPr>
          <w:i/>
          <w:szCs w:val="18"/>
          <w:u w:val="single"/>
        </w:rPr>
      </w:pPr>
      <w:r>
        <w:rPr>
          <w:i/>
          <w:szCs w:val="18"/>
          <w:u w:val="single"/>
        </w:rPr>
        <w:br w:type="page"/>
      </w:r>
    </w:p>
    <w:p>
      <w:pPr>
        <w:pStyle w:val="3"/>
        <w:rPr>
          <w:szCs w:val="18"/>
        </w:rPr>
      </w:pPr>
      <w:r>
        <w:rPr>
          <w:szCs w:val="18"/>
        </w:rPr>
        <w:t>Finančné účty</w:t>
      </w:r>
      <w:bookmarkEnd w:id="31"/>
    </w:p>
    <w:p>
      <w:pPr>
        <w:pStyle w:val="7"/>
        <w:rPr>
          <w:szCs w:val="18"/>
        </w:rPr>
      </w:pPr>
    </w:p>
    <w:p>
      <w:pPr>
        <w:pStyle w:val="7"/>
        <w:rPr>
          <w:szCs w:val="18"/>
        </w:rPr>
      </w:pPr>
      <w:r>
        <w:rPr>
          <w:szCs w:val="18"/>
        </w:rPr>
        <w:t xml:space="preserve">Ako finančné účty sú vykázané peniaze v pokladnici, účty v bankách a cenné papiere. Účtami v bankách môže Spoločnosť voľne disponovať, okrem termínovaného vkladu vo výške 332 000 EUR, ktorým bude môcť disponovať až po 15. marci 2015. </w:t>
      </w:r>
    </w:p>
    <w:p>
      <w:pPr>
        <w:pStyle w:val="7"/>
        <w:rPr>
          <w:szCs w:val="18"/>
        </w:rPr>
      </w:pPr>
    </w:p>
    <w:p>
      <w:pPr>
        <w:pStyle w:val="7"/>
        <w:rPr>
          <w:szCs w:val="18"/>
        </w:rPr>
      </w:pPr>
      <w:r>
        <w:rPr>
          <w:szCs w:val="18"/>
        </w:rPr>
        <w:t>Prehľad jednotlivých položiek finančných účtov:</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bookmarkStart w:id="32" w:name="_MON_1405930822"/>
      <w:bookmarkEnd w:id="32"/>
      <w:r>
        <w:rPr>
          <w:rFonts w:ascii="Times New Roman" w:hAnsi="Times New Roman" w:eastAsia="Times New Roman" w:cs="Times New Roman"/>
          <w:sz w:val="18"/>
          <w:szCs w:val="18"/>
          <w:lang w:eastAsia="en-US" w:bidi="ar-SA"/>
        </w:rPr>
        <w:object>
          <v:shape id="Picture 24" type="#_x0000_t75" style="height:76.5pt;width:330pt;rotation:0f;" o:ole="t" fillcolor="#FFFFFF" filled="f" o:preferrelative="f" stroked="f" coordorigin="0,0" coordsize="21600,21600">
            <v:fill on="f" color2="#FFFFFF" focus="0%"/>
            <v:imagedata gain="65536f" blacklevel="0f" gamma="0" o:title="" r:id="rId37"/>
            <o:lock v:ext="edit" position="f" selection="f" grouping="f" rotation="f" cropping="f" text="f" aspectratio="f"/>
            <w10:wrap type="none"/>
            <w10:anchorlock/>
          </v:shape>
          <o:OLEObject Type="Embed" ProgID="Excel.Sheet.12" ShapeID="Picture 24" DrawAspect="Content" ObjectID="_32" r:id="rId36"/>
        </w:object>
      </w:r>
    </w:p>
    <w:p>
      <w:pPr>
        <w:pStyle w:val="3"/>
        <w:numPr>
          <w:ilvl w:val="0"/>
          <w:numId w:val="0"/>
        </w:numPr>
        <w:ind w:left="360"/>
        <w:rPr>
          <w:szCs w:val="18"/>
        </w:rPr>
      </w:pPr>
    </w:p>
    <w:p/>
    <w:p>
      <w:pPr>
        <w:pStyle w:val="3"/>
        <w:rPr>
          <w:szCs w:val="18"/>
        </w:rPr>
      </w:pPr>
      <w:r>
        <w:rPr>
          <w:szCs w:val="18"/>
        </w:rPr>
        <w:t>Krátkodobý finančný majetok</w:t>
      </w:r>
    </w:p>
    <w:p>
      <w:pPr>
        <w:pStyle w:val="7"/>
        <w:rPr>
          <w:szCs w:val="18"/>
        </w:rPr>
      </w:pPr>
    </w:p>
    <w:p>
      <w:pPr>
        <w:pStyle w:val="7"/>
        <w:rPr>
          <w:szCs w:val="18"/>
        </w:rPr>
      </w:pPr>
      <w:r>
        <w:rPr>
          <w:szCs w:val="18"/>
        </w:rPr>
        <w:t xml:space="preserve">Ako krátkodobý finančný majetok sú vykázané akcie v rôznych spoločnostiach a emisné kvóty: </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ind w:left="426"/>
        <w:rPr>
          <w:sz w:val="18"/>
          <w:szCs w:val="18"/>
        </w:rPr>
      </w:pPr>
      <w:bookmarkStart w:id="33" w:name="_MON_1405930842"/>
      <w:bookmarkEnd w:id="33"/>
      <w:r>
        <w:rPr>
          <w:rFonts w:ascii="Times New Roman" w:hAnsi="Times New Roman" w:eastAsia="Times New Roman" w:cs="Times New Roman"/>
          <w:sz w:val="18"/>
          <w:szCs w:val="18"/>
          <w:lang w:eastAsia="en-US" w:bidi="ar-SA"/>
        </w:rPr>
        <w:object>
          <v:shape id="Picture 25" type="#_x0000_t75" style="height:129pt;width:336pt;rotation:0f;" o:ole="t" fillcolor="#FFFFFF" filled="f" o:preferrelative="f" stroked="f" coordorigin="0,0" coordsize="21600,21600">
            <v:fill on="f" color2="#FFFFFF" focus="0%"/>
            <v:imagedata gain="65536f" blacklevel="0f" gamma="0" o:title="" r:id="rId39"/>
            <o:lock v:ext="edit" position="f" selection="f" grouping="f" rotation="f" cropping="f" text="f" aspectratio="f"/>
            <w10:wrap type="none"/>
            <w10:anchorlock/>
          </v:shape>
          <o:OLEObject Type="Embed" ProgID="Excel.Sheet.12" ShapeID="Picture 25" DrawAspect="Content" ObjectID="_33" r:id="rId38"/>
        </w:object>
      </w:r>
      <w:r>
        <w:rPr>
          <w:sz w:val="18"/>
          <w:szCs w:val="18"/>
        </w:rPr>
        <w:br w:type="page"/>
      </w:r>
    </w:p>
    <w:p>
      <w:pPr>
        <w:jc w:val="both"/>
        <w:rPr>
          <w:i/>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p>
    <w:p>
      <w:pPr>
        <w:ind w:left="426"/>
        <w:jc w:val="both"/>
        <w:rPr>
          <w:i/>
          <w:sz w:val="18"/>
          <w:szCs w:val="18"/>
        </w:rPr>
      </w:pPr>
    </w:p>
    <w:p>
      <w:pPr>
        <w:rPr>
          <w:sz w:val="18"/>
          <w:szCs w:val="18"/>
        </w:rPr>
      </w:pPr>
      <w:r>
        <w:rPr>
          <w:sz w:val="18"/>
          <w:szCs w:val="18"/>
        </w:rPr>
        <w:t>Vývoj opravnej položky ku krátkodobému finančnému majetku:</w:t>
      </w:r>
    </w:p>
    <w:p>
      <w:pPr>
        <w:pStyle w:val="7"/>
        <w:ind w:left="0"/>
        <w:rPr>
          <w:i/>
          <w:szCs w:val="18"/>
          <w:u w:val="single"/>
        </w:rPr>
      </w:pPr>
      <w:r>
        <w:rPr>
          <w:i/>
          <w:szCs w:val="18"/>
          <w:u w:val="single"/>
        </w:rPr>
        <w:t>(Obsahová náplň, počet riadkov a stĺpcov v tabuľke sa nesmú meniť. Túto informáciu vymažte.)</w:t>
      </w:r>
    </w:p>
    <w:p>
      <w:pPr>
        <w:pStyle w:val="7"/>
        <w:ind w:left="0"/>
        <w:rPr>
          <w:i/>
          <w:szCs w:val="18"/>
          <w:u w:val="single"/>
        </w:rPr>
      </w:pPr>
    </w:p>
    <w:p>
      <w:pPr>
        <w:pStyle w:val="7"/>
        <w:ind w:left="0"/>
        <w:rPr>
          <w:i/>
          <w:szCs w:val="18"/>
          <w:u w:val="single"/>
        </w:rPr>
      </w:pPr>
    </w:p>
    <w:p>
      <w:pPr>
        <w:pStyle w:val="7"/>
        <w:rPr>
          <w:i/>
          <w:szCs w:val="18"/>
          <w:u w:val="single"/>
        </w:rPr>
      </w:pPr>
    </w:p>
    <w:p>
      <w:pPr>
        <w:rPr>
          <w:sz w:val="18"/>
          <w:szCs w:val="18"/>
        </w:rPr>
      </w:pPr>
      <w:bookmarkStart w:id="34" w:name="_MON_1405945506"/>
      <w:bookmarkEnd w:id="34"/>
      <w:r>
        <w:rPr>
          <w:rFonts w:ascii="Times New Roman" w:hAnsi="Times New Roman" w:eastAsia="Times New Roman" w:cs="Times New Roman"/>
          <w:sz w:val="18"/>
          <w:szCs w:val="18"/>
          <w:lang w:eastAsia="en-US" w:bidi="ar-SA"/>
        </w:rPr>
        <w:object>
          <v:shape id="Picture 26" type="#_x0000_t75" style="height:152.25pt;width:345pt;rotation:0f;" o:ole="t" fillcolor="#FFFFFF" filled="f" o:preferrelative="f" stroked="f" coordorigin="0,0" coordsize="21600,21600">
            <v:fill on="f" color2="#FFFFFF" focus="0%"/>
            <v:imagedata gain="65536f" blacklevel="0f" gamma="0" o:title="" r:id="rId41"/>
            <o:lock v:ext="edit" position="f" selection="f" grouping="f" rotation="f" cropping="f" text="f" aspectratio="f"/>
            <w10:wrap type="none"/>
            <w10:anchorlock/>
          </v:shape>
          <o:OLEObject Type="Embed" ProgID="Excel.Sheet.12" ShapeID="Picture 26" DrawAspect="Content" ObjectID="_34" r:id="rId40"/>
        </w:object>
      </w:r>
    </w:p>
    <w:p>
      <w:pPr>
        <w:ind w:left="284" w:firstLine="426"/>
        <w:rPr>
          <w:sz w:val="18"/>
          <w:szCs w:val="18"/>
        </w:rPr>
      </w:pPr>
    </w:p>
    <w:p>
      <w:pPr>
        <w:ind w:left="284" w:firstLine="426"/>
        <w:rPr>
          <w:sz w:val="18"/>
          <w:szCs w:val="18"/>
        </w:rPr>
      </w:pPr>
    </w:p>
    <w:p>
      <w:pPr>
        <w:jc w:val="both"/>
        <w:rPr>
          <w:i/>
          <w:sz w:val="18"/>
          <w:szCs w:val="18"/>
        </w:rPr>
      </w:pPr>
      <w:bookmarkStart w:id="35" w:name="_Toc530739906"/>
    </w:p>
    <w:p>
      <w:pPr>
        <w:jc w:val="both"/>
        <w:rPr>
          <w:i/>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opačnom prípade ju vymažte vrátane tejto informácie.</w:t>
      </w:r>
    </w:p>
    <w:p>
      <w:pPr>
        <w:ind w:left="426"/>
        <w:rPr>
          <w:sz w:val="18"/>
          <w:szCs w:val="18"/>
        </w:rPr>
      </w:pPr>
    </w:p>
    <w:p>
      <w:pPr>
        <w:rPr>
          <w:sz w:val="18"/>
          <w:szCs w:val="18"/>
        </w:rPr>
      </w:pPr>
      <w:r>
        <w:rPr>
          <w:sz w:val="18"/>
          <w:szCs w:val="18"/>
        </w:rPr>
        <w:t>Informácie o krátkodobom finančnom majetku, na ktoré bolo zriadené záložné právo a pri ktorom má účtovná jednotka obmedzené právo s ním nakladať:</w:t>
      </w:r>
    </w:p>
    <w:p>
      <w:pPr>
        <w:pStyle w:val="7"/>
        <w:ind w:left="0"/>
        <w:rPr>
          <w:i/>
          <w:szCs w:val="18"/>
          <w:u w:val="single"/>
        </w:rPr>
      </w:pPr>
      <w:r>
        <w:rPr>
          <w:i/>
          <w:szCs w:val="18"/>
          <w:u w:val="single"/>
        </w:rPr>
        <w:t>(Obsahová náplň, počet riadkov a stĺpcov v tabuľke sa nesmú meniť. Túto informáciu vymažte.)</w:t>
      </w:r>
    </w:p>
    <w:p>
      <w:pPr>
        <w:ind w:left="426"/>
        <w:rPr>
          <w:sz w:val="18"/>
          <w:szCs w:val="18"/>
        </w:rPr>
      </w:pPr>
    </w:p>
    <w:p>
      <w:pPr>
        <w:ind w:left="426"/>
        <w:rPr>
          <w:sz w:val="18"/>
          <w:szCs w:val="18"/>
        </w:rPr>
      </w:pPr>
    </w:p>
    <w:p>
      <w:pPr>
        <w:ind w:left="426"/>
        <w:rPr>
          <w:sz w:val="18"/>
          <w:szCs w:val="18"/>
        </w:rPr>
      </w:pPr>
    </w:p>
    <w:p>
      <w:pPr>
        <w:spacing w:after="200" w:line="276" w:lineRule="auto"/>
        <w:rPr>
          <w:sz w:val="18"/>
          <w:szCs w:val="18"/>
        </w:rPr>
      </w:pPr>
      <w:bookmarkStart w:id="36" w:name="_MON_1405946221"/>
      <w:bookmarkEnd w:id="36"/>
      <w:r>
        <w:rPr>
          <w:rFonts w:ascii="Times New Roman" w:hAnsi="Times New Roman" w:eastAsia="Times New Roman" w:cs="Times New Roman"/>
          <w:sz w:val="18"/>
          <w:szCs w:val="18"/>
          <w:lang w:eastAsia="en-US" w:bidi="ar-SA"/>
        </w:rPr>
        <w:object>
          <v:shape id="Picture 27" type="#_x0000_t75" style="height:39pt;width:345.75pt;rotation:0f;" o:ole="t" fillcolor="#FFFFFF" filled="f" o:preferrelative="f" stroked="f" coordorigin="0,0" coordsize="21600,21600">
            <v:fill on="f" color2="#FFFFFF" focus="0%"/>
            <v:imagedata gain="65536f" blacklevel="0f" gamma="0" o:title="" r:id="rId43"/>
            <o:lock v:ext="edit" position="f" selection="f" grouping="f" rotation="f" cropping="f" text="f" aspectratio="f"/>
            <w10:wrap type="none"/>
            <w10:anchorlock/>
          </v:shape>
          <o:OLEObject Type="Embed" ProgID="Excel.Sheet.12" ShapeID="Picture 27" DrawAspect="Content" ObjectID="_103" r:id="rId42"/>
        </w:object>
      </w:r>
    </w:p>
    <w:p>
      <w:pPr>
        <w:spacing w:after="200" w:line="276" w:lineRule="auto"/>
        <w:rPr>
          <w:sz w:val="18"/>
          <w:szCs w:val="18"/>
        </w:rPr>
      </w:pPr>
      <w:r>
        <w:rPr>
          <w:sz w:val="18"/>
          <w:szCs w:val="18"/>
        </w:rPr>
        <w:br w:type="page"/>
      </w:r>
    </w:p>
    <w:p>
      <w:pPr>
        <w:pStyle w:val="7"/>
        <w:rPr>
          <w:i/>
          <w:szCs w:val="18"/>
        </w:rPr>
      </w:pPr>
      <w:r>
        <w:rPr>
          <w:i/>
          <w:szCs w:val="18"/>
        </w:rPr>
        <w:t>Ak účtovná jednotka má obsahovú náplň, uvedie aj túto informáciu. V opačnom prípade ju vymažte vrátane tejto informácie.</w:t>
      </w:r>
    </w:p>
    <w:p>
      <w:pPr>
        <w:ind w:left="426"/>
        <w:jc w:val="both"/>
        <w:rPr>
          <w:i/>
          <w:sz w:val="18"/>
          <w:szCs w:val="18"/>
        </w:rPr>
      </w:pPr>
    </w:p>
    <w:p>
      <w:pPr>
        <w:ind w:left="426"/>
        <w:jc w:val="both"/>
        <w:rPr>
          <w:sz w:val="18"/>
          <w:szCs w:val="18"/>
        </w:rPr>
      </w:pPr>
      <w:r>
        <w:rPr>
          <w:sz w:val="18"/>
          <w:szCs w:val="18"/>
        </w:rPr>
        <w:t>Hodnota krátkodobého finančného majetku, pri ktorom má účtovná jednotka obmedzené právo s ním nakladať je xxx EUR a ide o tento krátkodobý finančný majetok:</w:t>
      </w:r>
    </w:p>
    <w:p>
      <w:pPr>
        <w:ind w:left="426"/>
        <w:jc w:val="both"/>
        <w:rPr>
          <w:i/>
          <w:sz w:val="18"/>
          <w:szCs w:val="18"/>
        </w:rPr>
      </w:pPr>
    </w:p>
    <w:p>
      <w:pPr>
        <w:ind w:left="426"/>
        <w:jc w:val="both"/>
        <w:rPr>
          <w:i/>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p>
    <w:p>
      <w:pPr>
        <w:ind w:left="426"/>
        <w:jc w:val="both"/>
        <w:rPr>
          <w:sz w:val="18"/>
          <w:szCs w:val="18"/>
        </w:rPr>
      </w:pPr>
    </w:p>
    <w:p>
      <w:pPr>
        <w:ind w:left="426"/>
        <w:jc w:val="both"/>
        <w:rPr>
          <w:sz w:val="18"/>
          <w:szCs w:val="18"/>
        </w:rPr>
      </w:pPr>
      <w:r>
        <w:rPr>
          <w:sz w:val="18"/>
          <w:szCs w:val="18"/>
        </w:rPr>
        <w:t>Informácie o ocenení krátkodobého finančného majetku ku dňu, ku ktorému sa zostavuje účtovná závierka, reálnou hodnotou:</w:t>
      </w:r>
    </w:p>
    <w:p>
      <w:pPr>
        <w:pStyle w:val="7"/>
        <w:rPr>
          <w:i/>
          <w:szCs w:val="18"/>
          <w:u w:val="single"/>
        </w:rPr>
      </w:pPr>
      <w:r>
        <w:rPr>
          <w:i/>
          <w:szCs w:val="18"/>
          <w:u w:val="single"/>
        </w:rPr>
        <w:t>(Obsahová náplň, počet riadkov a stĺpcov v tabuľke sa nesmú meniť. Túto informáciu vymažte.)</w:t>
      </w:r>
    </w:p>
    <w:p>
      <w:pPr>
        <w:ind w:left="426"/>
        <w:rPr>
          <w:sz w:val="18"/>
          <w:szCs w:val="18"/>
        </w:rPr>
      </w:pPr>
    </w:p>
    <w:p>
      <w:pPr>
        <w:ind w:left="426"/>
        <w:rPr>
          <w:sz w:val="18"/>
          <w:szCs w:val="18"/>
        </w:rPr>
      </w:pPr>
      <w:bookmarkStart w:id="37" w:name="_MON_1405946524"/>
      <w:bookmarkEnd w:id="37"/>
      <w:r>
        <w:rPr>
          <w:rFonts w:ascii="Times New Roman" w:hAnsi="Times New Roman" w:eastAsia="Times New Roman" w:cs="Times New Roman"/>
          <w:sz w:val="18"/>
          <w:szCs w:val="18"/>
          <w:lang w:eastAsia="en-US" w:bidi="ar-SA"/>
        </w:rPr>
        <w:object>
          <v:shape id="Picture 28" type="#_x0000_t75" style="height:133.5pt;width:438pt;rotation:0f;" o:ole="t" fillcolor="#FFFFFF" filled="f" o:preferrelative="f" stroked="f" coordorigin="0,0" coordsize="21600,21600">
            <v:fill on="f" color2="#FFFFFF" focus="0%"/>
            <v:imagedata gain="65536f" blacklevel="0f" gamma="0" o:title="" r:id="rId45"/>
            <o:lock v:ext="edit" position="f" selection="f" grouping="f" rotation="f" cropping="f" text="f" aspectratio="f"/>
            <w10:wrap type="none"/>
            <w10:anchorlock/>
          </v:shape>
          <o:OLEObject Type="Embed" ProgID="Excel.Sheet.12" ShapeID="Picture 28" DrawAspect="Content" ObjectID="_36" r:id="rId44"/>
        </w:object>
      </w:r>
    </w:p>
    <w:p>
      <w:pPr>
        <w:rPr>
          <w:sz w:val="18"/>
          <w:szCs w:val="18"/>
        </w:rPr>
      </w:pPr>
    </w:p>
    <w:p>
      <w:pPr>
        <w:pStyle w:val="3"/>
        <w:rPr>
          <w:szCs w:val="18"/>
        </w:rPr>
      </w:pPr>
      <w:r>
        <w:rPr>
          <w:szCs w:val="18"/>
        </w:rPr>
        <w:t>Vlastné akcie</w:t>
      </w:r>
    </w:p>
    <w:p>
      <w:pPr>
        <w:rPr>
          <w:sz w:val="18"/>
          <w:szCs w:val="18"/>
        </w:rPr>
      </w:pPr>
    </w:p>
    <w:p>
      <w:pPr>
        <w:ind w:left="426"/>
        <w:jc w:val="both"/>
        <w:rPr>
          <w:i/>
          <w:sz w:val="18"/>
          <w:szCs w:val="18"/>
        </w:rPr>
      </w:pPr>
      <w:r>
        <w:rPr>
          <w:i/>
          <w:sz w:val="18"/>
          <w:szCs w:val="18"/>
        </w:rPr>
        <w:t>V našej vzorovej účtovnej závierke nemáme obsahovú náplň pre nasledujúce informácie, uvádzame ich pre prípad, ak účtovná jednotka má pre ne obsahovú náplň. Ak účtovná jednotka má pre ne obsahovú náplň, uvedie požadované informácie. V opačnom prípade ich vymažte vrátane tejto informácie.</w:t>
      </w:r>
    </w:p>
    <w:p>
      <w:pPr>
        <w:ind w:left="426"/>
        <w:jc w:val="both"/>
        <w:rPr>
          <w:i/>
          <w:sz w:val="18"/>
          <w:szCs w:val="18"/>
        </w:rPr>
      </w:pPr>
    </w:p>
    <w:p>
      <w:pPr>
        <w:pStyle w:val="21"/>
        <w:numPr>
          <w:ilvl w:val="0"/>
          <w:numId w:val="5"/>
        </w:numPr>
        <w:tabs>
          <w:tab w:val="left" w:pos="766"/>
          <w:tab w:val="clear" w:pos="340"/>
        </w:tabs>
        <w:ind w:left="766"/>
        <w:jc w:val="both"/>
        <w:rPr>
          <w:sz w:val="18"/>
          <w:szCs w:val="18"/>
        </w:rPr>
      </w:pPr>
      <w:r>
        <w:rPr>
          <w:sz w:val="18"/>
          <w:szCs w:val="18"/>
        </w:rPr>
        <w:t>Dôvod nadobudnutia vlastných akcií počas účtovného obdobia.</w:t>
      </w:r>
    </w:p>
    <w:p>
      <w:pPr>
        <w:pStyle w:val="21"/>
        <w:numPr>
          <w:ilvl w:val="0"/>
          <w:numId w:val="5"/>
        </w:numPr>
        <w:tabs>
          <w:tab w:val="left" w:pos="766"/>
          <w:tab w:val="clear" w:pos="340"/>
        </w:tabs>
        <w:ind w:left="766"/>
        <w:jc w:val="both"/>
        <w:rPr>
          <w:sz w:val="18"/>
          <w:szCs w:val="18"/>
        </w:rPr>
      </w:pPr>
      <w:r>
        <w:rPr>
          <w:sz w:val="18"/>
          <w:szCs w:val="18"/>
        </w:rPr>
        <w:t>Počet a menovitá hodnota nadobudnutých vlastných akcií počas účtovného obdobia.</w:t>
      </w:r>
    </w:p>
    <w:p>
      <w:pPr>
        <w:pStyle w:val="21"/>
        <w:numPr>
          <w:ilvl w:val="0"/>
          <w:numId w:val="5"/>
        </w:numPr>
        <w:tabs>
          <w:tab w:val="left" w:pos="766"/>
          <w:tab w:val="clear" w:pos="340"/>
        </w:tabs>
        <w:ind w:left="766"/>
        <w:jc w:val="both"/>
        <w:rPr>
          <w:sz w:val="18"/>
          <w:szCs w:val="18"/>
        </w:rPr>
      </w:pPr>
      <w:r>
        <w:rPr>
          <w:sz w:val="18"/>
          <w:szCs w:val="18"/>
        </w:rPr>
        <w:t>Počet a menovitá hodnota prevedených vlastných akcií počas účtovného obdobia, pričom sa uvádza percentuálna hodnota týchto vlastných akcií na upísanom základnom imaní.</w:t>
      </w:r>
    </w:p>
    <w:p>
      <w:pPr>
        <w:pStyle w:val="21"/>
        <w:numPr>
          <w:ilvl w:val="0"/>
          <w:numId w:val="5"/>
        </w:numPr>
        <w:tabs>
          <w:tab w:val="left" w:pos="766"/>
          <w:tab w:val="clear" w:pos="340"/>
        </w:tabs>
        <w:ind w:left="766"/>
        <w:jc w:val="both"/>
        <w:rPr>
          <w:sz w:val="18"/>
          <w:szCs w:val="18"/>
        </w:rPr>
      </w:pPr>
      <w:r>
        <w:rPr>
          <w:sz w:val="18"/>
          <w:szCs w:val="18"/>
        </w:rPr>
        <w:t>Počet a hodnota, za ktorú sa vlastné akcie počas účtovného obdobia nadobudli.</w:t>
      </w:r>
    </w:p>
    <w:p>
      <w:pPr>
        <w:pStyle w:val="21"/>
        <w:numPr>
          <w:ilvl w:val="0"/>
          <w:numId w:val="5"/>
        </w:numPr>
        <w:tabs>
          <w:tab w:val="left" w:pos="766"/>
          <w:tab w:val="clear" w:pos="340"/>
        </w:tabs>
        <w:ind w:left="766"/>
        <w:jc w:val="both"/>
        <w:rPr>
          <w:sz w:val="18"/>
          <w:szCs w:val="18"/>
        </w:rPr>
      </w:pPr>
      <w:r>
        <w:rPr>
          <w:sz w:val="18"/>
          <w:szCs w:val="18"/>
        </w:rPr>
        <w:t>Počet a hodnota, za ktorú sa vlastné akcie počas účtovného obdobia previedli na inú osobu.</w:t>
      </w:r>
    </w:p>
    <w:p>
      <w:pPr>
        <w:pStyle w:val="21"/>
        <w:numPr>
          <w:ilvl w:val="0"/>
          <w:numId w:val="5"/>
        </w:numPr>
        <w:tabs>
          <w:tab w:val="left" w:pos="766"/>
          <w:tab w:val="clear" w:pos="340"/>
        </w:tabs>
        <w:ind w:left="766"/>
        <w:jc w:val="both"/>
        <w:rPr>
          <w:sz w:val="18"/>
          <w:szCs w:val="18"/>
        </w:rPr>
      </w:pPr>
      <w:r>
        <w:rPr>
          <w:sz w:val="18"/>
          <w:szCs w:val="18"/>
        </w:rPr>
        <w:t>Počet, menovitá hodnota a hodnota, za ktorú sa vlastné akcie nadobudli a ktoré má účtovná jednotka v držbe k poslednému dňu účtovného obdobia; uvádza sa aj ich percentuálny podiel na upísanom základom imaní.</w:t>
      </w:r>
    </w:p>
    <w:p>
      <w:pPr>
        <w:rPr>
          <w:sz w:val="18"/>
          <w:szCs w:val="18"/>
        </w:rPr>
      </w:pPr>
    </w:p>
    <w:p>
      <w:pPr>
        <w:spacing w:after="200" w:line="276" w:lineRule="auto"/>
        <w:rPr>
          <w:sz w:val="18"/>
          <w:szCs w:val="18"/>
        </w:rPr>
      </w:pPr>
      <w:r>
        <w:rPr>
          <w:sz w:val="18"/>
          <w:szCs w:val="18"/>
        </w:rPr>
        <w:br w:type="page"/>
      </w:r>
    </w:p>
    <w:p>
      <w:pPr>
        <w:pStyle w:val="3"/>
        <w:rPr>
          <w:szCs w:val="18"/>
        </w:rPr>
      </w:pPr>
      <w:r>
        <w:rPr>
          <w:szCs w:val="18"/>
        </w:rPr>
        <w:t>Časové rozlíšenie</w:t>
      </w:r>
      <w:bookmarkEnd w:id="35"/>
    </w:p>
    <w:p>
      <w:pPr>
        <w:pStyle w:val="7"/>
        <w:rPr>
          <w:szCs w:val="18"/>
        </w:rPr>
      </w:pPr>
    </w:p>
    <w:p>
      <w:pPr>
        <w:pStyle w:val="7"/>
        <w:rPr>
          <w:szCs w:val="18"/>
        </w:rPr>
      </w:pPr>
      <w:r>
        <w:rPr>
          <w:szCs w:val="18"/>
        </w:rPr>
        <w:t>Ide o tieto položky:</w:t>
      </w:r>
    </w:p>
    <w:p>
      <w:pPr>
        <w:pStyle w:val="7"/>
        <w:rPr>
          <w:i/>
          <w:szCs w:val="18"/>
          <w:u w:val="single"/>
        </w:rPr>
      </w:pPr>
      <w:r>
        <w:rPr>
          <w:i/>
          <w:szCs w:val="18"/>
          <w:u w:val="single"/>
        </w:rPr>
        <w:t>(Povinný údaj. Forma a spôsob uvedenia informácií nie sú predpísané. Túto informáciu vymažte.)</w:t>
      </w:r>
    </w:p>
    <w:p>
      <w:pPr>
        <w:pStyle w:val="7"/>
        <w:rPr>
          <w:i/>
          <w:szCs w:val="18"/>
          <w:u w:val="single"/>
        </w:rPr>
      </w:pPr>
      <w:r>
        <w:rPr>
          <w:i/>
          <w:szCs w:val="18"/>
          <w:u w:val="single"/>
        </w:rPr>
        <w:t xml:space="preserve"> </w:t>
      </w:r>
    </w:p>
    <w:p>
      <w:pPr>
        <w:pStyle w:val="7"/>
        <w:rPr>
          <w:szCs w:val="18"/>
        </w:rPr>
      </w:pPr>
    </w:p>
    <w:p>
      <w:pPr>
        <w:pStyle w:val="7"/>
        <w:rPr>
          <w:szCs w:val="18"/>
          <w:lang/>
        </w:rPr>
      </w:pPr>
      <w:bookmarkStart w:id="38" w:name="_MON_1405947617"/>
      <w:bookmarkEnd w:id="38"/>
      <w:r>
        <w:rPr>
          <w:rFonts w:ascii="Times New Roman" w:hAnsi="Times New Roman" w:eastAsia="Times New Roman" w:cs="Times New Roman"/>
          <w:sz w:val="18"/>
          <w:szCs w:val="18"/>
          <w:lang w:eastAsia="en-US" w:bidi="ar-SA"/>
        </w:rPr>
        <w:object>
          <v:shape id="Picture 29" type="#_x0000_t75" style="height:171.75pt;width:330pt;rotation:0f;" o:ole="t" fillcolor="#FFFFFF" filled="f" o:preferrelative="f" stroked="f" coordorigin="0,0" coordsize="21600,21600">
            <v:fill on="f" color2="#FFFFFF" focus="0%"/>
            <v:imagedata gain="65536f" blacklevel="0f" gamma="0" o:title="" r:id="rId47"/>
            <o:lock v:ext="edit" position="f" selection="f" grouping="f" rotation="f" cropping="f" text="f" aspectratio="f"/>
            <w10:wrap type="none"/>
            <w10:anchorlock/>
          </v:shape>
          <o:OLEObject Type="Embed" ProgID="Excel.Sheet.12" ShapeID="Picture 29" DrawAspect="Content" ObjectID="_37" r:id="rId46"/>
        </w:object>
      </w:r>
    </w:p>
    <w:p>
      <w:pPr>
        <w:pStyle w:val="7"/>
        <w:rPr>
          <w:szCs w:val="18"/>
          <w:lang/>
        </w:rPr>
      </w:pPr>
    </w:p>
    <w:p>
      <w:pPr>
        <w:spacing w:after="200" w:line="276" w:lineRule="auto"/>
        <w:rPr>
          <w:sz w:val="18"/>
          <w:szCs w:val="18"/>
        </w:rPr>
      </w:pPr>
      <w:r>
        <w:rPr>
          <w:sz w:val="18"/>
          <w:szCs w:val="18"/>
        </w:rPr>
        <w:br w:type="page"/>
      </w:r>
    </w:p>
    <w:p>
      <w:pPr>
        <w:pStyle w:val="2"/>
        <w:tabs>
          <w:tab w:val="clear" w:pos="450"/>
        </w:tabs>
        <w:ind w:left="360"/>
        <w:rPr>
          <w:szCs w:val="18"/>
        </w:rPr>
      </w:pPr>
      <w:r>
        <w:rPr>
          <w:szCs w:val="18"/>
        </w:rPr>
        <w:t>Informácie o údajoch na strane pasív súvahy</w:t>
      </w:r>
    </w:p>
    <w:p>
      <w:pPr>
        <w:pStyle w:val="7"/>
        <w:rPr>
          <w:szCs w:val="18"/>
        </w:rPr>
      </w:pPr>
    </w:p>
    <w:p>
      <w:pPr>
        <w:pStyle w:val="3"/>
        <w:rPr>
          <w:szCs w:val="18"/>
        </w:rPr>
      </w:pPr>
      <w:bookmarkStart w:id="39" w:name="_Toc530739908"/>
      <w:r>
        <w:rPr>
          <w:szCs w:val="18"/>
        </w:rPr>
        <w:t>Vlastné imanie</w:t>
      </w:r>
    </w:p>
    <w:p>
      <w:pPr>
        <w:rPr>
          <w:sz w:val="18"/>
          <w:szCs w:val="18"/>
        </w:rPr>
      </w:pPr>
    </w:p>
    <w:p>
      <w:pPr>
        <w:pStyle w:val="7"/>
        <w:rPr>
          <w:szCs w:val="18"/>
        </w:rPr>
      </w:pPr>
      <w:r>
        <w:rPr>
          <w:szCs w:val="18"/>
        </w:rPr>
        <w:t>Informácie o vlastnom imaní sú uvedené v časti C a P.</w:t>
      </w:r>
    </w:p>
    <w:p>
      <w:pPr>
        <w:pStyle w:val="7"/>
        <w:rPr>
          <w:szCs w:val="18"/>
        </w:rPr>
      </w:pPr>
    </w:p>
    <w:p>
      <w:pPr>
        <w:pStyle w:val="3"/>
        <w:rPr>
          <w:szCs w:val="18"/>
        </w:rPr>
      </w:pPr>
      <w:r>
        <w:rPr>
          <w:szCs w:val="18"/>
        </w:rPr>
        <w:t>Rezervy</w:t>
      </w:r>
    </w:p>
    <w:bookmarkEnd w:id="39"/>
    <w:p>
      <w:pPr>
        <w:pStyle w:val="7"/>
        <w:rPr>
          <w:szCs w:val="18"/>
        </w:rPr>
      </w:pPr>
    </w:p>
    <w:p>
      <w:pPr>
        <w:pStyle w:val="7"/>
        <w:rPr>
          <w:szCs w:val="18"/>
        </w:rPr>
      </w:pPr>
      <w:r>
        <w:rPr>
          <w:szCs w:val="18"/>
        </w:rPr>
        <w:t>Prehľad o rezervách za bežné účtovné obdobie je uvedený v nasledujúcom prehľade:</w:t>
      </w:r>
    </w:p>
    <w:p>
      <w:pPr>
        <w:pStyle w:val="7"/>
        <w:rPr>
          <w:i/>
          <w:szCs w:val="18"/>
          <w:u w:val="single"/>
        </w:rPr>
      </w:pPr>
      <w:r>
        <w:rPr>
          <w:i/>
          <w:szCs w:val="18"/>
          <w:u w:val="single"/>
        </w:rPr>
        <w:t>(Obsahová náplň a počet riadkov v tabuľke sa uvádzajú podľa potrieb účtovnej jednotky. Stĺpce sa nesmú meniť. Túto informáciu vymažte.)</w:t>
      </w:r>
    </w:p>
    <w:p>
      <w:pPr>
        <w:pStyle w:val="7"/>
        <w:jc w:val="left"/>
        <w:rPr>
          <w:szCs w:val="18"/>
        </w:rPr>
      </w:pPr>
    </w:p>
    <w:p>
      <w:pPr>
        <w:ind w:left="426"/>
        <w:rPr>
          <w:sz w:val="18"/>
          <w:szCs w:val="18"/>
        </w:rPr>
      </w:pPr>
      <w:bookmarkStart w:id="40" w:name="_MON_1405948469"/>
      <w:bookmarkEnd w:id="40"/>
      <w:r>
        <w:rPr>
          <w:rFonts w:ascii="Times New Roman" w:hAnsi="Times New Roman" w:eastAsia="Times New Roman" w:cs="Times New Roman"/>
          <w:sz w:val="18"/>
          <w:szCs w:val="18"/>
          <w:lang w:eastAsia="en-US" w:bidi="ar-SA"/>
        </w:rPr>
        <w:object>
          <v:shape id="Picture 30" type="#_x0000_t75" style="height:312pt;width:330pt;rotation:0f;" o:ole="t" fillcolor="#FFFFFF" filled="f" o:preferrelative="f" stroked="f" coordorigin="0,0" coordsize="21600,21600">
            <v:fill on="f" color2="#FFFFFF" focus="0%"/>
            <v:imagedata gain="65536f" blacklevel="0f" gamma="0" o:title="" r:id="rId49"/>
            <o:lock v:ext="edit" position="f" selection="f" grouping="f" rotation="f" cropping="f" text="f" aspectratio="f"/>
            <w10:wrap type="none"/>
            <w10:anchorlock/>
          </v:shape>
          <o:OLEObject Type="Embed" ProgID="Excel.Sheet.12" ShapeID="Picture 30" DrawAspect="Content" ObjectID="_38" r:id="rId48"/>
        </w:object>
      </w:r>
    </w:p>
    <w:p>
      <w:pPr>
        <w:pStyle w:val="7"/>
        <w:jc w:val="left"/>
        <w:rPr>
          <w:szCs w:val="18"/>
        </w:rPr>
      </w:pPr>
      <w:bookmarkStart w:id="41" w:name="OLE_LINK18"/>
      <w:bookmarkStart w:id="42" w:name="OLE_LINK17"/>
      <w:r>
        <w:rPr>
          <w:szCs w:val="18"/>
        </w:rPr>
        <w:t>Rezerva na odchodné do dôchodku bola vytvorená s použitím poistnej matematiky.</w:t>
      </w:r>
    </w:p>
    <w:p>
      <w:pPr>
        <w:pStyle w:val="7"/>
        <w:rPr>
          <w:szCs w:val="18"/>
        </w:rPr>
      </w:pPr>
    </w:p>
    <w:p>
      <w:pPr>
        <w:pStyle w:val="7"/>
        <w:rPr>
          <w:szCs w:val="18"/>
        </w:rPr>
      </w:pPr>
      <w:r>
        <w:rPr>
          <w:szCs w:val="18"/>
        </w:rPr>
        <w:t>Rezerva na odstupné bola vytvorená v súvislosti s plánovaným znížením počtu zamestnancov v roku 2015.</w:t>
      </w:r>
    </w:p>
    <w:p>
      <w:pPr>
        <w:pStyle w:val="7"/>
        <w:rPr>
          <w:szCs w:val="18"/>
        </w:rPr>
      </w:pPr>
    </w:p>
    <w:p>
      <w:pPr>
        <w:pStyle w:val="7"/>
        <w:ind/>
        <w:rPr>
          <w:szCs w:val="18"/>
        </w:rPr>
      </w:pPr>
      <w:r>
        <w:rPr>
          <w:szCs w:val="18"/>
        </w:rPr>
        <w:t>Rezerva na záručné opravy vo výške 20 188 EUR bola vytvorená na predpokladané náklady na záručné opravy výrobkov, ktoré boli predané pred 31. decembrom 2014.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obratu). Rezerva bude použitá v priebehu účtovných období 2016 a 2017.</w:t>
      </w:r>
      <w:r>
        <w:rPr>
          <w:szCs w:val="18"/>
        </w:rPr>
        <w:br w:type="page"/>
      </w:r>
    </w:p>
    <w:p>
      <w:pPr>
        <w:pStyle w:val="7"/>
        <w:ind w:left="0"/>
        <w:rPr>
          <w:szCs w:val="18"/>
        </w:rPr>
      </w:pPr>
      <w:r>
        <w:rPr>
          <w:szCs w:val="18"/>
        </w:rPr>
        <w:t xml:space="preserve">Rezerva na emisie vypustené do ovzdušia vo výške 5 468 EUR bola vytvorená vo výške násobku množstva vypustených emisií do ovzdušia počas účtovného obdobia a hodnoty emisných kvót, ktoré si Spoločnosť určila na odovzdanie podľa zákona o obchodovaní s emisnými kvótami. </w:t>
      </w:r>
    </w:p>
    <w:p>
      <w:pPr>
        <w:pStyle w:val="7"/>
        <w:rPr>
          <w:szCs w:val="18"/>
        </w:rPr>
      </w:pPr>
    </w:p>
    <w:p>
      <w:pPr>
        <w:pStyle w:val="7"/>
        <w:ind w:left="0"/>
        <w:rPr>
          <w:szCs w:val="18"/>
        </w:rPr>
      </w:pPr>
      <w:r>
        <w:rPr>
          <w:szCs w:val="18"/>
        </w:rPr>
        <w:t>Rezerva na pokuty a penále vo výške 7 300 EUR bola vytvorená na očakávané pokuty a penále z nedodržania dodacích podmienok.</w:t>
      </w:r>
    </w:p>
    <w:p>
      <w:pPr>
        <w:pStyle w:val="7"/>
        <w:rPr>
          <w:szCs w:val="18"/>
        </w:rPr>
      </w:pPr>
    </w:p>
    <w:p>
      <w:pPr>
        <w:pStyle w:val="7"/>
        <w:ind w:left="0"/>
        <w:jc w:val="left"/>
        <w:rPr>
          <w:b/>
          <w:szCs w:val="18"/>
        </w:rPr>
      </w:pPr>
      <w:r>
        <w:rPr>
          <w:b/>
          <w:szCs w:val="18"/>
        </w:rPr>
        <w:t>Nevyfakturované dodávky majetku</w:t>
      </w:r>
    </w:p>
    <w:p>
      <w:pPr>
        <w:pStyle w:val="7"/>
        <w:jc w:val="left"/>
        <w:rPr>
          <w:b/>
          <w:szCs w:val="18"/>
        </w:rPr>
      </w:pPr>
    </w:p>
    <w:p>
      <w:pPr>
        <w:pStyle w:val="7"/>
        <w:ind w:left="0"/>
        <w:rPr>
          <w:szCs w:val="18"/>
        </w:rPr>
      </w:pPr>
      <w:r>
        <w:rPr>
          <w:szCs w:val="18"/>
        </w:rPr>
        <w:t xml:space="preserve">Rezervy na nevyfakturované dodávky majetku sa nevykazujú s vplyvom na výsledok hospodárenia. </w:t>
      </w:r>
    </w:p>
    <w:p>
      <w:pPr>
        <w:pStyle w:val="7"/>
        <w:jc w:val="left"/>
        <w:rPr>
          <w:szCs w:val="18"/>
        </w:rPr>
      </w:pPr>
    </w:p>
    <w:p>
      <w:pPr>
        <w:rPr>
          <w:sz w:val="18"/>
          <w:szCs w:val="18"/>
        </w:rPr>
      </w:pPr>
    </w:p>
    <w:p>
      <w:pPr>
        <w:pStyle w:val="7"/>
        <w:ind w:left="0"/>
        <w:rPr>
          <w:szCs w:val="18"/>
        </w:rPr>
      </w:pPr>
      <w:r>
        <w:rPr>
          <w:szCs w:val="18"/>
        </w:rPr>
        <w:t>Prehľad o rezervách za predchádzajúce účtovné obdobie je uvedený v nasledujúcom prehľade:</w:t>
      </w:r>
    </w:p>
    <w:p>
      <w:pPr>
        <w:pStyle w:val="7"/>
        <w:ind w:left="0"/>
        <w:rPr>
          <w:i/>
          <w:szCs w:val="18"/>
          <w:u w:val="single"/>
        </w:rPr>
      </w:pPr>
      <w:r>
        <w:rPr>
          <w:i/>
          <w:szCs w:val="18"/>
          <w:u w:val="single"/>
        </w:rPr>
        <w:t>(Obsahová náplň a počet riadkov v tabuľke sa uvádzajú podľa potrieb účtovnej jednotky. Stĺpce sa nesmú meniť. Túto informáciu vymažte.)</w:t>
      </w:r>
    </w:p>
    <w:p>
      <w:pPr>
        <w:pStyle w:val="7"/>
        <w:jc w:val="left"/>
        <w:rPr>
          <w:szCs w:val="18"/>
        </w:rPr>
      </w:pPr>
    </w:p>
    <w:bookmarkEnd w:id="41"/>
    <w:bookmarkEnd w:id="42"/>
    <w:p>
      <w:pPr>
        <w:pStyle w:val="7"/>
        <w:ind w:left="0"/>
        <w:jc w:val="left"/>
        <w:rPr>
          <w:szCs w:val="18"/>
        </w:rPr>
      </w:pPr>
      <w:bookmarkStart w:id="43" w:name="_MON_1405948491"/>
      <w:bookmarkEnd w:id="43"/>
      <w:r>
        <w:rPr>
          <w:rFonts w:ascii="Times New Roman" w:hAnsi="Times New Roman" w:eastAsia="Times New Roman" w:cs="Times New Roman"/>
          <w:sz w:val="18"/>
          <w:szCs w:val="18"/>
          <w:lang w:eastAsia="en-US" w:bidi="ar-SA"/>
        </w:rPr>
        <w:object>
          <v:shape id="Picture 31" type="#_x0000_t75" style="height:309pt;width:462pt;rotation:0f;" o:ole="t" fillcolor="#FFFFFF" filled="f" o:preferrelative="f" stroked="f" coordorigin="0,0" coordsize="21600,21600">
            <v:fill on="f" color2="#FFFFFF" focus="0%"/>
            <v:imagedata gain="65536f" blacklevel="0f" gamma="0" o:title="" r:id="rId51"/>
            <o:lock v:ext="edit" position="f" selection="f" grouping="f" rotation="f" cropping="f" text="f" aspectratio="f"/>
            <w10:wrap type="none"/>
            <w10:anchorlock/>
          </v:shape>
          <o:OLEObject Type="Embed" ProgID="Excel.Sheet.12" ShapeID="Picture 31" DrawAspect="Content" ObjectID="_104" r:id="rId50"/>
        </w:object>
      </w:r>
    </w:p>
    <w:p>
      <w:pPr>
        <w:pStyle w:val="3"/>
        <w:tabs>
          <w:tab w:val="left" w:pos="426"/>
          <w:tab w:val="clear" w:pos="360"/>
        </w:tabs>
        <w:ind w:left="426" w:hanging="426"/>
        <w:rPr>
          <w:szCs w:val="18"/>
        </w:rPr>
      </w:pPr>
      <w:bookmarkStart w:id="44" w:name="_Toc530739909"/>
      <w:r>
        <w:rPr>
          <w:szCs w:val="18"/>
        </w:rPr>
        <w:br w:type="page"/>
      </w:r>
      <w:r>
        <w:rPr>
          <w:szCs w:val="18"/>
        </w:rPr>
        <w:t>Záväzky</w:t>
      </w:r>
      <w:bookmarkEnd w:id="44"/>
    </w:p>
    <w:p>
      <w:pPr>
        <w:pStyle w:val="7"/>
        <w:rPr>
          <w:szCs w:val="18"/>
        </w:rPr>
      </w:pPr>
    </w:p>
    <w:p>
      <w:pPr>
        <w:pStyle w:val="7"/>
        <w:rPr>
          <w:szCs w:val="18"/>
        </w:rPr>
      </w:pPr>
      <w:r>
        <w:rPr>
          <w:szCs w:val="18"/>
        </w:rPr>
        <w:t>Štruktúra záväzkov (okrem bankových úverov) podľa zostatkovej doby splatnosti je uvedená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ind w:left="426"/>
        <w:rPr>
          <w:sz w:val="18"/>
          <w:szCs w:val="18"/>
        </w:rPr>
      </w:pPr>
      <w:bookmarkStart w:id="45" w:name="_MON_1405948528"/>
      <w:bookmarkEnd w:id="45"/>
      <w:r>
        <w:rPr>
          <w:rFonts w:ascii="Times New Roman" w:hAnsi="Times New Roman" w:eastAsia="Times New Roman" w:cs="Times New Roman"/>
          <w:sz w:val="18"/>
          <w:szCs w:val="18"/>
          <w:lang w:eastAsia="en-US" w:bidi="ar-SA"/>
        </w:rPr>
        <w:object>
          <v:shape id="Picture 32" type="#_x0000_t75" style="height:114.75pt;width:329.25pt;rotation:0f;" o:ole="t" fillcolor="#FFFFFF" filled="f" o:preferrelative="f" stroked="f" coordorigin="0,0" coordsize="21600,21600">
            <v:fill on="f" color2="#FFFFFF" focus="0%"/>
            <v:imagedata gain="65536f" blacklevel="0f" gamma="0" o:title="" r:id="rId53"/>
            <o:lock v:ext="edit" position="f" selection="f" grouping="f" rotation="f" cropping="f" text="f" aspectratio="f"/>
            <w10:wrap type="none"/>
            <w10:anchorlock/>
          </v:shape>
          <o:OLEObject Type="Embed" ProgID="Excel.Sheet.12" ShapeID="Picture 32" DrawAspect="Content" ObjectID="_105" r:id="rId52"/>
        </w:object>
      </w:r>
    </w:p>
    <w:p>
      <w:pPr>
        <w:pStyle w:val="7"/>
        <w:rPr>
          <w:szCs w:val="18"/>
        </w:rPr>
      </w:pPr>
    </w:p>
    <w:p>
      <w:pPr>
        <w:pStyle w:val="7"/>
        <w:rPr>
          <w:szCs w:val="18"/>
        </w:rPr>
      </w:pPr>
      <w:r>
        <w:rPr>
          <w:szCs w:val="18"/>
        </w:rPr>
        <w:t>Súčasťou vekovej štruktúry záväzkov nie je odložený daňový záväzok (účet 481), čistá hodnota zákazky (účet 316) a záväzky z derivátových operácií (účty 373, 377). Informácie o odloženej dani sú uvedené v časti G.4, informácie o čistej hodnote zákazky v časti F.4. a F.5, informácie o derivátových transakciách v časti G.9.</w:t>
      </w:r>
    </w:p>
    <w:p>
      <w:pPr>
        <w:pStyle w:val="7"/>
        <w:rPr>
          <w:szCs w:val="18"/>
        </w:rPr>
      </w:pPr>
    </w:p>
    <w:p>
      <w:pPr>
        <w:pStyle w:val="7"/>
        <w:rPr>
          <w:szCs w:val="18"/>
        </w:rPr>
      </w:pPr>
      <w:r>
        <w:rPr>
          <w:szCs w:val="18"/>
        </w:rPr>
        <w:t>Záväzky vo výške 663 880 EUR sú kryté záložným právom; založená je výrobná linka v zostatkovej cene k 31. decembru 2014 vo výške 995 817 EUR.</w:t>
      </w:r>
    </w:p>
    <w:p>
      <w:pPr>
        <w:pStyle w:val="7"/>
        <w:rPr>
          <w:szCs w:val="18"/>
        </w:rPr>
      </w:pPr>
    </w:p>
    <w:p>
      <w:pPr>
        <w:pStyle w:val="7"/>
        <w:rPr>
          <w:szCs w:val="18"/>
        </w:rPr>
      </w:pPr>
    </w:p>
    <w:p>
      <w:pPr>
        <w:pStyle w:val="7"/>
        <w:rPr>
          <w:szCs w:val="18"/>
        </w:rPr>
      </w:pPr>
      <w:r>
        <w:rPr>
          <w:szCs w:val="18"/>
        </w:rPr>
        <w:t>Spoločnosť má záväzky z finančného prenájmu 3 osobných áut a 1 CNC stroja. Výška budúcich platieb rozdelená na istinu a finančný náklad podľa doby splatnosti je uvedená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i/>
          <w:szCs w:val="18"/>
          <w:u w:val="single"/>
        </w:rPr>
      </w:pPr>
    </w:p>
    <w:p>
      <w:pPr>
        <w:pStyle w:val="7"/>
        <w:rPr>
          <w:i/>
          <w:szCs w:val="18"/>
          <w:u w:val="single"/>
        </w:rPr>
      </w:pPr>
    </w:p>
    <w:p>
      <w:pPr>
        <w:pStyle w:val="7"/>
        <w:rPr>
          <w:szCs w:val="18"/>
        </w:rPr>
      </w:pPr>
    </w:p>
    <w:p>
      <w:pPr>
        <w:pStyle w:val="3"/>
        <w:numPr>
          <w:ilvl w:val="0"/>
          <w:numId w:val="0"/>
        </w:numPr>
        <w:ind w:firstLine="450"/>
        <w:rPr>
          <w:szCs w:val="18"/>
          <w:lang/>
        </w:rPr>
      </w:pPr>
      <w:bookmarkStart w:id="46" w:name="_MON_1405948555"/>
      <w:bookmarkEnd w:id="46"/>
      <w:r>
        <w:rPr>
          <w:rFonts w:ascii="Times New Roman" w:hAnsi="Times New Roman" w:eastAsia="Times New Roman" w:cs="Times New Roman"/>
          <w:b/>
          <w:sz w:val="18"/>
          <w:szCs w:val="18"/>
          <w:lang w:eastAsia="en-US" w:bidi="ar-SA"/>
        </w:rPr>
        <w:object>
          <v:shape id="Picture 33" type="#_x0000_t75" style="height:109.5pt;width:327.75pt;rotation:0f;" o:ole="t" fillcolor="#FFFFFF" filled="f" o:preferrelative="f" stroked="f" coordorigin="0,0" coordsize="21600,21600">
            <v:fill on="f" color2="#FFFFFF" focus="0%"/>
            <v:imagedata gain="65536f" blacklevel="0f" gamma="0" o:title="" r:id="rId55"/>
            <o:lock v:ext="edit" position="f" selection="f" grouping="f" rotation="f" cropping="f" text="f" aspectratio="f"/>
            <w10:wrap type="none"/>
            <w10:anchorlock/>
          </v:shape>
          <o:OLEObject Type="Embed" ProgID="Excel.Sheet.12" ShapeID="Picture 33" DrawAspect="Content" ObjectID="_41" r:id="rId54"/>
        </w:object>
      </w:r>
    </w:p>
    <w:p>
      <w:pPr>
        <w:pStyle w:val="3"/>
        <w:numPr>
          <w:ilvl w:val="0"/>
          <w:numId w:val="0"/>
        </w:numPr>
        <w:ind w:left="360"/>
        <w:rPr>
          <w:b w:val="0"/>
          <w:szCs w:val="18"/>
        </w:rPr>
      </w:pPr>
      <w:bookmarkStart w:id="47" w:name="_Toc530739910"/>
    </w:p>
    <w:p>
      <w:pPr>
        <w:pStyle w:val="3"/>
        <w:numPr>
          <w:ilvl w:val="0"/>
          <w:numId w:val="0"/>
        </w:numPr>
        <w:ind w:left="426"/>
        <w:rPr>
          <w:b w:val="0"/>
          <w:szCs w:val="18"/>
        </w:rPr>
      </w:pPr>
      <w:r>
        <w:rPr>
          <w:b w:val="0"/>
          <w:szCs w:val="18"/>
        </w:rPr>
        <w:t>Záväzky z finančného prenájmu sú kryté záložným právom k predmetom prenájmu do výšky 235 720 EUR.</w:t>
      </w:r>
    </w:p>
    <w:p>
      <w:pPr>
        <w:pStyle w:val="3"/>
        <w:numPr>
          <w:ilvl w:val="0"/>
          <w:numId w:val="0"/>
        </w:numPr>
        <w:ind w:left="426"/>
        <w:rPr>
          <w:szCs w:val="18"/>
        </w:rPr>
      </w:pPr>
      <w:r>
        <w:rPr>
          <w:b w:val="0"/>
          <w:szCs w:val="18"/>
        </w:rPr>
        <w:br w:type="page"/>
      </w:r>
      <w:bookmarkEnd w:id="47"/>
    </w:p>
    <w:p>
      <w:pPr>
        <w:pStyle w:val="3"/>
        <w:rPr>
          <w:szCs w:val="18"/>
        </w:rPr>
      </w:pPr>
      <w:r>
        <w:rPr>
          <w:szCs w:val="18"/>
        </w:rPr>
        <w:t>Odložený daňový záväzok</w:t>
      </w:r>
    </w:p>
    <w:p>
      <w:pPr>
        <w:rPr>
          <w:sz w:val="18"/>
          <w:szCs w:val="18"/>
        </w:rPr>
      </w:pPr>
    </w:p>
    <w:p>
      <w:pPr>
        <w:pStyle w:val="7"/>
        <w:rPr>
          <w:szCs w:val="18"/>
        </w:rPr>
      </w:pPr>
      <w:r>
        <w:rPr>
          <w:szCs w:val="18"/>
        </w:rPr>
        <w:t>Výpočet odloženého daňového záväzku je uvedený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lang/>
        </w:rPr>
      </w:pPr>
      <w:bookmarkStart w:id="48" w:name="_MON_1405948622"/>
      <w:bookmarkEnd w:id="48"/>
      <w:r>
        <w:rPr>
          <w:rFonts w:ascii="Times New Roman" w:hAnsi="Times New Roman" w:eastAsia="Times New Roman" w:cs="Times New Roman"/>
          <w:sz w:val="18"/>
          <w:szCs w:val="18"/>
          <w:lang w:eastAsia="en-US" w:bidi="ar-SA"/>
        </w:rPr>
        <w:object>
          <v:shape id="Picture 34" type="#_x0000_t75" style="height:276.75pt;width:328.5pt;rotation:0f;" o:ole="t" fillcolor="#FFFFFF" filled="f" o:preferrelative="f" stroked="f" coordorigin="0,0" coordsize="21600,21600">
            <v:fill on="f" color2="#FFFFFF" focus="0%"/>
            <v:imagedata gain="65536f" blacklevel="0f" gamma="0" o:title="" r:id="rId57"/>
            <o:lock v:ext="edit" position="f" selection="f" grouping="f" rotation="f" cropping="f" text="f" aspectratio="f"/>
            <w10:wrap type="none"/>
            <w10:anchorlock/>
          </v:shape>
          <o:OLEObject Type="Embed" ProgID="Excel.Sheet.12" ShapeID="Picture 34" DrawAspect="Content" ObjectID="_42" r:id="rId56"/>
        </w:object>
      </w:r>
    </w:p>
    <w:p>
      <w:pPr>
        <w:pStyle w:val="7"/>
        <w:rPr>
          <w:szCs w:val="18"/>
        </w:rPr>
      </w:pPr>
    </w:p>
    <w:p>
      <w:pPr>
        <w:pStyle w:val="7"/>
        <w:rPr>
          <w:szCs w:val="18"/>
        </w:rPr>
      </w:pPr>
      <w:r>
        <w:rPr>
          <w:szCs w:val="18"/>
        </w:rPr>
        <w:t>Suma odloženého daňového záväzku vo výške 3 865 EUR súvisí s precenením zabezpečovacích derivátov a bola zaúčtovaná do vlastného imania na oceňovacie rozdiely z precenenia majetku a záväzkov (pozri časť G.9).</w:t>
      </w:r>
    </w:p>
    <w:p>
      <w:pPr>
        <w:pStyle w:val="7"/>
        <w:rPr>
          <w:szCs w:val="18"/>
        </w:rPr>
      </w:pPr>
    </w:p>
    <w:p>
      <w:pPr>
        <w:pStyle w:val="7"/>
        <w:rPr>
          <w:szCs w:val="18"/>
        </w:rPr>
      </w:pPr>
    </w:p>
    <w:p>
      <w:pPr>
        <w:spacing w:after="200" w:line="276" w:lineRule="auto"/>
        <w:rPr>
          <w:b/>
          <w:sz w:val="18"/>
          <w:szCs w:val="18"/>
        </w:rPr>
      </w:pPr>
      <w:bookmarkStart w:id="49" w:name="_Toc530739911"/>
      <w:r>
        <w:rPr>
          <w:sz w:val="18"/>
          <w:szCs w:val="18"/>
        </w:rPr>
        <w:br w:type="page"/>
      </w:r>
    </w:p>
    <w:p>
      <w:pPr>
        <w:pStyle w:val="3"/>
        <w:rPr>
          <w:szCs w:val="18"/>
        </w:rPr>
      </w:pPr>
      <w:r>
        <w:rPr>
          <w:szCs w:val="18"/>
        </w:rPr>
        <w:t>Sociálny fond</w:t>
      </w:r>
      <w:bookmarkEnd w:id="49"/>
    </w:p>
    <w:p>
      <w:pPr>
        <w:pStyle w:val="7"/>
        <w:rPr>
          <w:szCs w:val="18"/>
        </w:rPr>
      </w:pPr>
    </w:p>
    <w:p>
      <w:pPr>
        <w:pStyle w:val="7"/>
        <w:rPr>
          <w:szCs w:val="18"/>
        </w:rPr>
      </w:pPr>
      <w:r>
        <w:rPr>
          <w:szCs w:val="18"/>
        </w:rPr>
        <w:t>Tvorba a čerpanie sociálneho fondu v priebehu účtovného obdobia sú znázornené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lang/>
        </w:rPr>
      </w:pPr>
      <w:bookmarkStart w:id="50" w:name="_MON_1405948668"/>
      <w:bookmarkEnd w:id="50"/>
      <w:r>
        <w:rPr>
          <w:rFonts w:ascii="Times New Roman" w:hAnsi="Times New Roman" w:eastAsia="Times New Roman" w:cs="Times New Roman"/>
          <w:sz w:val="18"/>
          <w:szCs w:val="18"/>
          <w:lang w:eastAsia="en-US" w:bidi="ar-SA"/>
        </w:rPr>
        <w:object>
          <v:shape id="Picture 35" type="#_x0000_t75" style="height:115.5pt;width:329.25pt;rotation:0f;" o:ole="t" fillcolor="#FFFFFF" filled="f" o:preferrelative="f" stroked="f" coordorigin="0,0" coordsize="21600,21600">
            <v:fill on="f" color2="#FFFFFF" focus="0%"/>
            <v:imagedata gain="65536f" blacklevel="0f" gamma="0" o:title="" r:id="rId59"/>
            <o:lock v:ext="edit" position="f" selection="f" grouping="f" rotation="f" cropping="f" text="f" aspectratio="f"/>
            <w10:wrap type="none"/>
            <w10:anchorlock/>
          </v:shape>
          <o:OLEObject Type="Embed" ProgID="Excel.Sheet.12" ShapeID="Picture 35" DrawAspect="Content" ObjectID="_43" r:id="rId58"/>
        </w:object>
      </w:r>
    </w:p>
    <w:p>
      <w:pPr>
        <w:pStyle w:val="7"/>
        <w:rPr>
          <w:color w:val="000000"/>
          <w:szCs w:val="18"/>
          <w:lang/>
        </w:rPr>
      </w:pPr>
    </w:p>
    <w:p>
      <w:pPr>
        <w:pStyle w:val="7"/>
        <w:rPr>
          <w:szCs w:val="18"/>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pPr>
        <w:pStyle w:val="7"/>
        <w:rPr>
          <w:szCs w:val="18"/>
        </w:rPr>
      </w:pPr>
    </w:p>
    <w:p>
      <w:pPr>
        <w:pStyle w:val="7"/>
        <w:rPr>
          <w:szCs w:val="18"/>
        </w:rPr>
      </w:pPr>
    </w:p>
    <w:p>
      <w:pPr>
        <w:pStyle w:val="3"/>
        <w:rPr>
          <w:szCs w:val="18"/>
        </w:rPr>
      </w:pPr>
      <w:r>
        <w:rPr>
          <w:szCs w:val="18"/>
        </w:rPr>
        <w:t>Vydané dlhopisy</w:t>
      </w:r>
    </w:p>
    <w:p>
      <w:pPr>
        <w:rPr>
          <w:sz w:val="18"/>
          <w:szCs w:val="18"/>
        </w:rPr>
      </w:pPr>
    </w:p>
    <w:p>
      <w:pPr>
        <w:ind w:left="426"/>
        <w:jc w:val="both"/>
        <w:rPr>
          <w:i/>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p>
    <w:p>
      <w:pPr>
        <w:ind w:left="426"/>
        <w:jc w:val="both"/>
        <w:rPr>
          <w:i/>
          <w:sz w:val="18"/>
          <w:szCs w:val="18"/>
        </w:rPr>
      </w:pPr>
    </w:p>
    <w:p>
      <w:pPr>
        <w:pStyle w:val="7"/>
        <w:rPr>
          <w:szCs w:val="18"/>
        </w:rPr>
      </w:pPr>
      <w:r>
        <w:rPr>
          <w:szCs w:val="18"/>
        </w:rPr>
        <w:t>Informácie o vydaných dlhopisoch sú uvedené v nasledujúcom prehľade:</w:t>
      </w:r>
    </w:p>
    <w:p>
      <w:pPr>
        <w:pStyle w:val="7"/>
        <w:rPr>
          <w:i/>
          <w:szCs w:val="18"/>
          <w:u w:val="single"/>
        </w:rPr>
      </w:pPr>
      <w:r>
        <w:rPr>
          <w:i/>
          <w:szCs w:val="18"/>
          <w:u w:val="single"/>
        </w:rPr>
        <w:t>(Obsahová náplň a počet riadkov v tabuľke sa uvádzajú podľa potrieb účtovnej jednotky. Stĺpce sa nesmú meniť. Túto informáciu vymažte.)</w:t>
      </w:r>
    </w:p>
    <w:p>
      <w:pPr>
        <w:pStyle w:val="7"/>
        <w:rPr>
          <w:szCs w:val="18"/>
        </w:rPr>
      </w:pPr>
    </w:p>
    <w:p>
      <w:pPr>
        <w:pStyle w:val="7"/>
        <w:rPr>
          <w:szCs w:val="18"/>
        </w:rPr>
      </w:pPr>
      <w:bookmarkStart w:id="51" w:name="_MON_1405948767"/>
      <w:bookmarkEnd w:id="51"/>
      <w:r>
        <w:rPr>
          <w:rFonts w:ascii="Times New Roman" w:hAnsi="Times New Roman" w:eastAsia="Times New Roman" w:cs="Times New Roman"/>
          <w:sz w:val="18"/>
          <w:szCs w:val="18"/>
          <w:lang w:eastAsia="en-US" w:bidi="ar-SA"/>
        </w:rPr>
        <w:object>
          <v:shape id="Picture 36" type="#_x0000_t75" style="height:105pt;width:328.5pt;rotation:0f;" o:ole="t" fillcolor="#FFFFFF" filled="f" o:preferrelative="f" stroked="f" coordorigin="0,0" coordsize="21600,21600">
            <v:fill on="f" color2="#FFFFFF" focus="0%"/>
            <v:imagedata gain="65536f" blacklevel="0f" gamma="0" o:title="" r:id="rId61"/>
            <o:lock v:ext="edit" position="f" selection="f" grouping="f" rotation="f" cropping="f" text="f" aspectratio="f"/>
            <w10:wrap type="none"/>
            <w10:anchorlock/>
          </v:shape>
          <o:OLEObject Type="Embed" ProgID="Excel.Sheet.12" ShapeID="Picture 36" DrawAspect="Content" ObjectID="_44" r:id="rId60"/>
        </w:object>
      </w:r>
    </w:p>
    <w:p>
      <w:pPr>
        <w:pStyle w:val="7"/>
        <w:rPr>
          <w:szCs w:val="18"/>
        </w:rPr>
      </w:pPr>
    </w:p>
    <w:p>
      <w:pPr>
        <w:spacing w:after="200" w:line="276" w:lineRule="auto"/>
        <w:rPr>
          <w:b/>
          <w:sz w:val="18"/>
          <w:szCs w:val="18"/>
        </w:rPr>
      </w:pPr>
      <w:bookmarkStart w:id="52" w:name="_Toc530739912"/>
      <w:r>
        <w:rPr>
          <w:sz w:val="18"/>
          <w:szCs w:val="18"/>
        </w:rPr>
        <w:br w:type="page"/>
      </w:r>
    </w:p>
    <w:p>
      <w:pPr>
        <w:pStyle w:val="3"/>
        <w:rPr>
          <w:szCs w:val="18"/>
        </w:rPr>
      </w:pPr>
      <w:r>
        <w:rPr>
          <w:szCs w:val="18"/>
        </w:rPr>
        <w:t xml:space="preserve"> Bankové úvery</w:t>
      </w:r>
      <w:bookmarkEnd w:id="52"/>
    </w:p>
    <w:p>
      <w:pPr>
        <w:pStyle w:val="7"/>
        <w:rPr>
          <w:szCs w:val="18"/>
        </w:rPr>
      </w:pPr>
    </w:p>
    <w:p>
      <w:pPr>
        <w:pStyle w:val="7"/>
        <w:rPr>
          <w:szCs w:val="18"/>
        </w:rPr>
      </w:pPr>
      <w:r>
        <w:rPr>
          <w:szCs w:val="18"/>
        </w:rPr>
        <w:t>Štruktúra bankových úverov je uvedená v nasledujúcom prehľade:</w:t>
      </w:r>
    </w:p>
    <w:p>
      <w:pPr>
        <w:pStyle w:val="7"/>
        <w:rPr>
          <w:i/>
          <w:szCs w:val="18"/>
          <w:u w:val="single"/>
        </w:rPr>
      </w:pPr>
      <w:r>
        <w:rPr>
          <w:i/>
          <w:szCs w:val="18"/>
          <w:u w:val="single"/>
        </w:rPr>
        <w:t>(Obsahová náplň a počet riadkov v tabuľke sa uvádzajú podľa potrieb účtovnej jednotky. Stĺpce sa nesmú meniť. Túto informáciu vymažte.)</w:t>
      </w:r>
    </w:p>
    <w:p>
      <w:pPr>
        <w:pStyle w:val="7"/>
        <w:rPr>
          <w:szCs w:val="18"/>
        </w:rPr>
      </w:pPr>
    </w:p>
    <w:p>
      <w:pPr>
        <w:pStyle w:val="7"/>
        <w:rPr>
          <w:szCs w:val="18"/>
        </w:rPr>
      </w:pPr>
      <w:bookmarkStart w:id="53" w:name="_MON_1405949005"/>
      <w:bookmarkEnd w:id="53"/>
      <w:r>
        <w:rPr>
          <w:rFonts w:ascii="Times New Roman" w:hAnsi="Times New Roman" w:eastAsia="Times New Roman" w:cs="Times New Roman"/>
          <w:sz w:val="18"/>
          <w:szCs w:val="18"/>
          <w:lang w:eastAsia="en-US" w:bidi="ar-SA"/>
        </w:rPr>
        <w:object>
          <v:shape id="Picture 37" type="#_x0000_t75" style="height:182.25pt;width:330.75pt;rotation:0f;" o:ole="t" fillcolor="#FFFFFF" filled="f" o:preferrelative="f" stroked="f" coordorigin="0,0" coordsize="21600,21600">
            <v:fill on="f" color2="#FFFFFF" focus="0%"/>
            <v:imagedata gain="65536f" blacklevel="0f" gamma="0" o:title="" r:id="rId63"/>
            <o:lock v:ext="edit" position="f" selection="f" grouping="f" rotation="f" cropping="f" text="f" aspectratio="f"/>
            <w10:wrap type="none"/>
            <w10:anchorlock/>
          </v:shape>
          <o:OLEObject Type="Embed" ProgID="Excel.Sheet.12" ShapeID="Picture 37" DrawAspect="Content" ObjectID="_45" r:id="rId62"/>
        </w:object>
      </w:r>
    </w:p>
    <w:p>
      <w:pPr>
        <w:pStyle w:val="7"/>
        <w:rPr>
          <w:szCs w:val="18"/>
        </w:rPr>
      </w:pPr>
    </w:p>
    <w:p>
      <w:pPr>
        <w:pStyle w:val="7"/>
        <w:rPr>
          <w:szCs w:val="18"/>
        </w:rPr>
      </w:pPr>
      <w:r>
        <w:rPr>
          <w:szCs w:val="18"/>
        </w:rPr>
        <w:t>Pôvodný investičný úver na budovu vo výške 497 908 EUR bol splatený a nahradený úverom vo výške 257 252  EUR.</w:t>
      </w:r>
    </w:p>
    <w:p>
      <w:pPr>
        <w:pStyle w:val="7"/>
        <w:rPr>
          <w:szCs w:val="18"/>
        </w:rPr>
      </w:pPr>
    </w:p>
    <w:p>
      <w:pPr>
        <w:pStyle w:val="7"/>
        <w:rPr>
          <w:szCs w:val="18"/>
        </w:rPr>
      </w:pPr>
      <w:r>
        <w:rPr>
          <w:szCs w:val="18"/>
        </w:rPr>
        <w:t>Revolvingový úver vo výške  899 157 EUR na pohľadávky do lehoty splatnosti je zabezpečený pohľadávkami vo výške 235 278 EUR, zásobami vo výške 332 000 EUR a podielmi v dcérskom podniku ABC Motoren SR, s. r. o., Martin vo výške 298 745 EUR.</w:t>
      </w:r>
    </w:p>
    <w:p>
      <w:pPr>
        <w:pStyle w:val="7"/>
        <w:rPr>
          <w:szCs w:val="18"/>
        </w:rPr>
      </w:pPr>
    </w:p>
    <w:p>
      <w:pPr>
        <w:pStyle w:val="7"/>
        <w:rPr>
          <w:szCs w:val="18"/>
        </w:rPr>
      </w:pPr>
      <w:r>
        <w:rPr>
          <w:szCs w:val="18"/>
        </w:rPr>
        <w:t>Na zabezpečenie investičného úveru vo výške 331 940 EUR na dve výrobné linky bolo v prospech banky zriadené záložné právo na jednu výrobnú linku; zostatková cena tejto linky k 31. decembru 2014 je 829 848 EUR. Vlastnícke právo k druhej výrobnej linke, ktorej zostatková cena k 31. decembru 2014 je 829 848 EUR, nadobudla banka zmluvou o zabezpečovacom prevode práva a  Spoločnosť túto linku na základe zmluvy o výpožičke bezplatne užíva.</w:t>
      </w:r>
    </w:p>
    <w:p>
      <w:pPr>
        <w:pStyle w:val="7"/>
        <w:rPr>
          <w:szCs w:val="18"/>
        </w:rPr>
      </w:pPr>
    </w:p>
    <w:p>
      <w:pPr>
        <w:pStyle w:val="7"/>
        <w:rPr>
          <w:szCs w:val="18"/>
        </w:rPr>
      </w:pPr>
      <w:r>
        <w:rPr>
          <w:szCs w:val="18"/>
        </w:rPr>
        <w:t>Záruku na investičný úver vo výške 257 252 EUR na budovu poskytla materská spoločnosť ABC Produktion GmbH, Berlin.</w:t>
      </w:r>
    </w:p>
    <w:p>
      <w:pPr>
        <w:pStyle w:val="7"/>
        <w:ind w:left="0"/>
        <w:rPr>
          <w:szCs w:val="18"/>
        </w:rPr>
      </w:pPr>
    </w:p>
    <w:p>
      <w:pPr>
        <w:pStyle w:val="7"/>
        <w:ind w:left="0"/>
        <w:rPr>
          <w:szCs w:val="18"/>
        </w:rPr>
      </w:pPr>
    </w:p>
    <w:p>
      <w:pPr>
        <w:spacing w:after="200" w:line="276" w:lineRule="auto"/>
        <w:rPr>
          <w:sz w:val="18"/>
          <w:szCs w:val="18"/>
        </w:rPr>
      </w:pPr>
      <w:bookmarkStart w:id="54" w:name="_Toc530739913"/>
      <w:r>
        <w:rPr>
          <w:sz w:val="18"/>
          <w:szCs w:val="18"/>
        </w:rPr>
        <w:br w:type="page"/>
      </w:r>
    </w:p>
    <w:p>
      <w:pPr>
        <w:jc w:val="both"/>
        <w:rPr>
          <w:i/>
          <w:sz w:val="18"/>
          <w:szCs w:val="18"/>
        </w:rPr>
      </w:pPr>
      <w:r>
        <w:rPr>
          <w:i/>
          <w:sz w:val="18"/>
          <w:szCs w:val="18"/>
        </w:rPr>
        <w:t>V našej vzorovej účtovnej závierke nemáme obsahovú náplň pre nasledujúcu tabuľku, uvádzame ju pre prípad, ak účtovná jednotka má pre ňu obsahovú náplň. Ak účtovná jednotka má pre ňu obsahovú náplň, uvedie v nej požadované informácie. V opačnom prípade ju vymažte vrátane tejto informácie.</w:t>
      </w:r>
    </w:p>
    <w:p>
      <w:pPr>
        <w:pStyle w:val="7"/>
        <w:rPr>
          <w:szCs w:val="18"/>
        </w:rPr>
      </w:pPr>
    </w:p>
    <w:p>
      <w:pPr>
        <w:pStyle w:val="7"/>
        <w:ind w:left="0"/>
        <w:rPr>
          <w:szCs w:val="18"/>
        </w:rPr>
      </w:pPr>
      <w:r>
        <w:rPr>
          <w:szCs w:val="18"/>
        </w:rPr>
        <w:t>Štruktúra pôžičiek je uvedená v nasledujúcom prehľade:</w:t>
      </w:r>
    </w:p>
    <w:p>
      <w:pPr>
        <w:pStyle w:val="7"/>
        <w:ind w:left="0"/>
        <w:rPr>
          <w:i/>
          <w:szCs w:val="18"/>
          <w:u w:val="single"/>
        </w:rPr>
      </w:pPr>
      <w:r>
        <w:rPr>
          <w:i/>
          <w:szCs w:val="18"/>
          <w:u w:val="single"/>
        </w:rPr>
        <w:t>(Obsahová náplň a počet riadkov v tabuľke sa uvádzajú podľa potrieb účtovnej jednotky. Stĺpce sa nesmú meniť. Túto informáciu vymažte.)</w:t>
      </w:r>
    </w:p>
    <w:p>
      <w:pPr>
        <w:pStyle w:val="7"/>
        <w:rPr>
          <w:szCs w:val="18"/>
        </w:rPr>
      </w:pPr>
    </w:p>
    <w:p>
      <w:pPr>
        <w:pStyle w:val="7"/>
        <w:ind w:left="0"/>
        <w:rPr>
          <w:szCs w:val="18"/>
        </w:rPr>
      </w:pPr>
      <w:bookmarkStart w:id="55" w:name="_MON_1405949393"/>
      <w:bookmarkEnd w:id="55"/>
      <w:r>
        <w:rPr>
          <w:rFonts w:ascii="Times New Roman" w:hAnsi="Times New Roman" w:eastAsia="Times New Roman" w:cs="Times New Roman"/>
          <w:sz w:val="18"/>
          <w:szCs w:val="18"/>
          <w:lang w:eastAsia="en-US" w:bidi="ar-SA"/>
        </w:rPr>
        <w:object>
          <v:shape id="Picture 38" type="#_x0000_t75" style="height:229.5pt;width:465pt;rotation:0f;" o:ole="t" fillcolor="#FFFFFF" filled="f" o:preferrelative="f" stroked="f" coordorigin="0,0" coordsize="21600,21600">
            <v:fill on="f" color2="#FFFFFF" focus="0%"/>
            <v:imagedata gain="65536f" blacklevel="0f" gamma="0" o:title="" r:id="rId65"/>
            <o:lock v:ext="edit" position="f" selection="f" grouping="f" rotation="f" cropping="f" text="f" aspectratio="f"/>
            <w10:wrap type="none"/>
            <w10:anchorlock/>
          </v:shape>
          <o:OLEObject Type="Embed" ProgID="Excel.Sheet.12" ShapeID="Picture 38" DrawAspect="Content" ObjectID="_46" r:id="rId64"/>
        </w:object>
      </w:r>
    </w:p>
    <w:p>
      <w:pPr>
        <w:spacing w:after="200" w:line="276" w:lineRule="auto"/>
        <w:rPr>
          <w:sz w:val="18"/>
          <w:szCs w:val="18"/>
        </w:rPr>
      </w:pPr>
      <w:r>
        <w:rPr>
          <w:sz w:val="18"/>
          <w:szCs w:val="18"/>
        </w:rPr>
        <w:br w:type="page"/>
      </w:r>
    </w:p>
    <w:p>
      <w:pPr>
        <w:pStyle w:val="3"/>
        <w:rPr>
          <w:szCs w:val="18"/>
        </w:rPr>
      </w:pPr>
      <w:r>
        <w:rPr>
          <w:szCs w:val="18"/>
        </w:rPr>
        <w:t>Časové rozlíšenie</w:t>
      </w:r>
      <w:bookmarkEnd w:id="54"/>
    </w:p>
    <w:p>
      <w:pPr>
        <w:pStyle w:val="7"/>
        <w:rPr>
          <w:szCs w:val="18"/>
        </w:rPr>
      </w:pPr>
    </w:p>
    <w:p>
      <w:pPr>
        <w:pStyle w:val="7"/>
        <w:rPr>
          <w:szCs w:val="18"/>
        </w:rPr>
      </w:pPr>
      <w:r>
        <w:rPr>
          <w:szCs w:val="18"/>
        </w:rPr>
        <w:t>Štruktúra časového rozlíšenia je uvedená v nasledujúcom prehľade:</w:t>
      </w:r>
    </w:p>
    <w:p>
      <w:pPr>
        <w:pStyle w:val="7"/>
        <w:rPr>
          <w:i/>
          <w:szCs w:val="18"/>
          <w:u w:val="single"/>
        </w:rPr>
      </w:pPr>
      <w:r>
        <w:rPr>
          <w:i/>
          <w:szCs w:val="18"/>
          <w:u w:val="single"/>
        </w:rPr>
        <w:t xml:space="preserve"> (Povinný údaj. Forma a spôsob uvedenia informácií nie sú predpísané. Túto informáciu vymažte.)</w:t>
      </w:r>
    </w:p>
    <w:p>
      <w:pPr>
        <w:pStyle w:val="7"/>
        <w:rPr>
          <w:szCs w:val="18"/>
        </w:rPr>
      </w:pPr>
    </w:p>
    <w:p>
      <w:pPr>
        <w:pStyle w:val="7"/>
        <w:rPr>
          <w:szCs w:val="18"/>
        </w:rPr>
      </w:pPr>
    </w:p>
    <w:p>
      <w:pPr>
        <w:pStyle w:val="7"/>
        <w:rPr>
          <w:szCs w:val="18"/>
        </w:rPr>
      </w:pPr>
      <w:bookmarkStart w:id="56" w:name="_MON_1405949598"/>
      <w:bookmarkEnd w:id="56"/>
      <w:r>
        <w:rPr>
          <w:rFonts w:ascii="Times New Roman" w:hAnsi="Times New Roman" w:eastAsia="Times New Roman" w:cs="Times New Roman"/>
          <w:sz w:val="18"/>
          <w:szCs w:val="18"/>
          <w:lang w:eastAsia="en-US" w:bidi="ar-SA"/>
        </w:rPr>
        <w:pict>
          <v:shape id="Picture 39" o:spid="_x0000_s1057" type="#_x0000_t75" style="height:246pt;width:438pt;rotation:0f;" o:ole="f" fillcolor="#FFFFFF" filled="f" o:preferrelative="f" stroked="f" coordorigin="0,0" coordsize="21600,21600">
            <v:fill on="f" color2="#FFFFFF" focus="0%"/>
            <v:imagedata gain="65536f" blacklevel="0f" gamma="0" o:title="" r:id="rId66"/>
            <o:lock v:ext="edit" position="f" selection="f" grouping="f" rotation="f" cropping="f" text="f" aspectratio="f"/>
            <w10:wrap type="none"/>
            <w10:anchorlock/>
          </v:shape>
        </w:pict>
      </w:r>
      <w:r>
        <w:rPr>
          <w:szCs w:val="18"/>
        </w:rPr>
        <w:t xml:space="preserve"> </w:t>
      </w:r>
    </w:p>
    <w:p>
      <w:pPr>
        <w:pStyle w:val="7"/>
        <w:rPr>
          <w:szCs w:val="18"/>
        </w:rPr>
      </w:pPr>
      <w:r>
        <w:rPr>
          <w:szCs w:val="18"/>
        </w:rPr>
        <w:t>Zúčtovanie dotácií zo štátneho rozpočtu na obstaranie dlhodobého hmotného majetku a na hospodársku činnosť je vykázané v rámci ostatných výnosov z hospodárskej činnosti.</w:t>
      </w:r>
    </w:p>
    <w:p>
      <w:pPr>
        <w:pStyle w:val="7"/>
        <w:rPr>
          <w:szCs w:val="18"/>
        </w:rPr>
      </w:pPr>
    </w:p>
    <w:p>
      <w:pPr>
        <w:pStyle w:val="7"/>
        <w:rPr>
          <w:szCs w:val="18"/>
        </w:rPr>
      </w:pPr>
    </w:p>
    <w:p>
      <w:pPr>
        <w:spacing w:after="200" w:line="276" w:lineRule="auto"/>
        <w:rPr>
          <w:sz w:val="18"/>
          <w:szCs w:val="18"/>
        </w:rPr>
      </w:pPr>
      <w:r>
        <w:rPr>
          <w:sz w:val="18"/>
          <w:szCs w:val="18"/>
        </w:rPr>
        <w:br w:type="page"/>
      </w:r>
    </w:p>
    <w:p>
      <w:pPr>
        <w:pStyle w:val="3"/>
        <w:rPr>
          <w:szCs w:val="18"/>
        </w:rPr>
      </w:pPr>
      <w:r>
        <w:rPr>
          <w:szCs w:val="18"/>
        </w:rPr>
        <w:t>Deriváty</w:t>
      </w:r>
    </w:p>
    <w:p>
      <w:pPr>
        <w:pStyle w:val="7"/>
        <w:rPr>
          <w:szCs w:val="18"/>
        </w:rPr>
      </w:pPr>
    </w:p>
    <w:p>
      <w:pPr>
        <w:pStyle w:val="3"/>
        <w:numPr>
          <w:ilvl w:val="0"/>
          <w:numId w:val="0"/>
        </w:numPr>
        <w:ind w:left="426"/>
        <w:jc w:val="both"/>
        <w:rPr>
          <w:b w:val="0"/>
          <w:szCs w:val="18"/>
        </w:rPr>
      </w:pPr>
      <w:r>
        <w:rPr>
          <w:b w:val="0"/>
          <w:szCs w:val="18"/>
        </w:rPr>
        <w:t xml:space="preserve">Spoločnosť má s bankou uzatvorený menový forward na nákup USD. Forward bol dohodnutý 14. marca 2014 a je splatný 13. marca 2015. Nominálna hodnota forwardu je 740 000 EUR a jeho reálna hodnota k 31. decembru 2014 predstavuje </w:t>
      </w:r>
      <w:r>
        <w:rPr>
          <w:b w:val="0"/>
          <w:szCs w:val="18"/>
        </w:rPr>
        <w:br/>
      </w:r>
      <w:r>
        <w:rPr>
          <w:b w:val="0"/>
          <w:szCs w:val="18"/>
        </w:rPr>
        <w:t>14 818 EUR. Forward bol uzatvorený na verejnom trhu. Spoločnosť nesplnila formálne požiadavky pre účtovanie o zabezpečení, preto vykazuje tento forward ako derivát určený na obchodovanie.</w:t>
      </w:r>
    </w:p>
    <w:p>
      <w:pPr>
        <w:pStyle w:val="7"/>
        <w:rPr>
          <w:szCs w:val="18"/>
        </w:rPr>
      </w:pPr>
    </w:p>
    <w:p>
      <w:pPr>
        <w:pStyle w:val="7"/>
        <w:rPr>
          <w:szCs w:val="18"/>
        </w:rPr>
      </w:pPr>
      <w:r>
        <w:rPr>
          <w:szCs w:val="18"/>
        </w:rPr>
        <w:t>Spoločnosť má uzatvorený úrokový swap (pay fix) s nominálnou hodnotou 1 250 000 EUR s trvaním do roku 2015. Swap bol uzatvorený na neverejnom trhu a jeho reálna hodnota k 31. decembru 2014 je 17 568 EUR. Odložená daň z precenenia je 3 865 EUR. Spoločnosť vykazuje swap medzi zabezpečovacími derivátmi.</w:t>
      </w:r>
    </w:p>
    <w:p>
      <w:pPr>
        <w:pStyle w:val="7"/>
        <w:rPr>
          <w:szCs w:val="18"/>
        </w:rPr>
      </w:pPr>
    </w:p>
    <w:p>
      <w:pPr>
        <w:pStyle w:val="7"/>
        <w:rPr>
          <w:szCs w:val="18"/>
        </w:rPr>
      </w:pPr>
      <w:r>
        <w:rPr>
          <w:szCs w:val="18"/>
        </w:rPr>
        <w:t>Prehľad o derivátoch určených na obchodovanie a zabezpečovacích derivátoch:</w:t>
      </w:r>
    </w:p>
    <w:p>
      <w:pPr>
        <w:pStyle w:val="7"/>
        <w:rPr>
          <w:i/>
          <w:szCs w:val="18"/>
          <w:u w:val="single"/>
        </w:rPr>
      </w:pPr>
      <w:r>
        <w:rPr>
          <w:i/>
          <w:szCs w:val="18"/>
          <w:u w:val="single"/>
        </w:rPr>
        <w:t>(Obsahová náplň a počet riadkov v tabuľke sa uvádzajú podľa potrieb účtovnej jednotky. Stĺpce sa nesmú meniť. Túto informáciu vymažte.)</w:t>
      </w:r>
    </w:p>
    <w:p>
      <w:pPr>
        <w:pStyle w:val="7"/>
        <w:rPr>
          <w:szCs w:val="18"/>
        </w:rPr>
      </w:pPr>
    </w:p>
    <w:p>
      <w:pPr>
        <w:pStyle w:val="7"/>
        <w:rPr>
          <w:szCs w:val="18"/>
        </w:rPr>
      </w:pPr>
      <w:bookmarkStart w:id="57" w:name="_MON_1409039027"/>
      <w:bookmarkEnd w:id="57"/>
      <w:r>
        <w:rPr>
          <w:rFonts w:ascii="Times New Roman" w:hAnsi="Times New Roman" w:eastAsia="Times New Roman" w:cs="Times New Roman"/>
          <w:sz w:val="18"/>
          <w:szCs w:val="18"/>
          <w:lang w:eastAsia="en-US" w:bidi="ar-SA"/>
        </w:rPr>
        <w:object>
          <v:shape id="Picture 40" type="#_x0000_t75" style="height:117pt;width:328.5pt;rotation:0f;" o:ole="t" fillcolor="#FFFFFF" filled="f" o:preferrelative="f" stroked="f" coordorigin="0,0" coordsize="21600,21600">
            <v:fill on="f" color2="#FFFFFF" focus="0%"/>
            <v:imagedata gain="65536f" blacklevel="0f" gamma="0" o:title="" r:id="rId68"/>
            <o:lock v:ext="edit" position="f" selection="f" grouping="f" rotation="f" cropping="f" text="f" aspectratio="f"/>
            <w10:wrap type="none"/>
            <w10:anchorlock/>
          </v:shape>
          <o:OLEObject Type="Embed" ProgID="Excel.Sheet.12" ShapeID="Picture 40" DrawAspect="Content" ObjectID="_48" r:id="rId67"/>
        </w:object>
      </w:r>
    </w:p>
    <w:p>
      <w:pPr>
        <w:pStyle w:val="7"/>
        <w:rPr>
          <w:i/>
          <w:szCs w:val="18"/>
          <w:u w:val="single"/>
        </w:rPr>
      </w:pPr>
    </w:p>
    <w:p>
      <w:pPr>
        <w:pStyle w:val="7"/>
        <w:rPr>
          <w:i/>
          <w:szCs w:val="18"/>
          <w:u w:val="single"/>
        </w:rPr>
      </w:pPr>
    </w:p>
    <w:p>
      <w:pPr>
        <w:pStyle w:val="7"/>
        <w:rPr>
          <w:i/>
          <w:szCs w:val="18"/>
          <w:u w:val="single"/>
        </w:rPr>
      </w:pPr>
    </w:p>
    <w:p>
      <w:pPr>
        <w:pStyle w:val="7"/>
        <w:rPr>
          <w:i/>
          <w:szCs w:val="18"/>
          <w:u w:val="single"/>
        </w:rPr>
      </w:pPr>
      <w:r>
        <w:rPr>
          <w:i/>
          <w:szCs w:val="18"/>
          <w:u w:val="single"/>
        </w:rPr>
        <w:t>(Obsahová náplň a počet riadkov v tabuľke sa uvádzajú podľa potrieb účtovnej jednotky. Stĺpce sa nesmú meniť. Túto informáciu vymažte.)</w:t>
      </w:r>
    </w:p>
    <w:p>
      <w:pPr>
        <w:pStyle w:val="7"/>
        <w:rPr>
          <w:szCs w:val="18"/>
        </w:rPr>
      </w:pPr>
    </w:p>
    <w:p>
      <w:pPr>
        <w:pStyle w:val="7"/>
        <w:rPr>
          <w:szCs w:val="18"/>
        </w:rPr>
      </w:pPr>
      <w:bookmarkStart w:id="58" w:name="_MON_1406023315"/>
      <w:bookmarkEnd w:id="58"/>
      <w:r>
        <w:rPr>
          <w:rFonts w:ascii="Times New Roman" w:hAnsi="Times New Roman" w:eastAsia="Times New Roman" w:cs="Times New Roman"/>
          <w:sz w:val="18"/>
          <w:szCs w:val="18"/>
          <w:lang w:eastAsia="en-US" w:bidi="ar-SA"/>
        </w:rPr>
        <w:pict>
          <v:shape id="Picture 41" o:spid="_x0000_s1059" type="#_x0000_t75" style="height:129pt;width:328.5pt;rotation:0f;" o:ole="f" fillcolor="#FFFFFF" filled="f" o:preferrelative="f" stroked="f" coordorigin="0,0" coordsize="21600,21600">
            <v:fill on="f" color2="#FFFFFF" focus="0%"/>
            <v:imagedata gain="65536f" blacklevel="0f" gamma="0" o:title="" r:id="rId69"/>
            <o:lock v:ext="edit" position="f" selection="f" grouping="f" rotation="f" cropping="f" text="f" aspectratio="f"/>
            <w10:wrap type="none"/>
            <w10:anchorlock/>
          </v:shape>
        </w:pict>
      </w:r>
    </w:p>
    <w:p>
      <w:pPr>
        <w:pStyle w:val="7"/>
        <w:ind w:left="0"/>
        <w:rPr>
          <w:szCs w:val="18"/>
        </w:rPr>
      </w:pPr>
      <w:r>
        <w:rPr>
          <w:szCs w:val="18"/>
        </w:rPr>
        <w:br w:type="page"/>
      </w:r>
    </w:p>
    <w:p>
      <w:pPr>
        <w:pStyle w:val="7"/>
        <w:rPr>
          <w:szCs w:val="18"/>
        </w:rPr>
      </w:pPr>
      <w:r>
        <w:rPr>
          <w:szCs w:val="18"/>
        </w:rPr>
        <w:t>Informácie o položkách zabezpečených derivátmi:</w:t>
      </w:r>
    </w:p>
    <w:p>
      <w:pPr>
        <w:pStyle w:val="7"/>
        <w:rPr>
          <w:i/>
          <w:szCs w:val="18"/>
          <w:u w:val="single"/>
        </w:rPr>
      </w:pPr>
      <w:r>
        <w:rPr>
          <w:i/>
          <w:szCs w:val="18"/>
          <w:u w:val="single"/>
        </w:rPr>
        <w:t>(Obsahová náplň, počet riadkov a stĺpcov v tabuľke sa nesmú meniť. Túto informáciu vymažte.)</w:t>
      </w:r>
    </w:p>
    <w:p>
      <w:pPr>
        <w:pStyle w:val="7"/>
        <w:rPr>
          <w:i/>
          <w:szCs w:val="18"/>
          <w:u w:val="single"/>
        </w:rPr>
      </w:pPr>
    </w:p>
    <w:p>
      <w:pPr>
        <w:pStyle w:val="7"/>
        <w:rPr>
          <w:szCs w:val="18"/>
        </w:rPr>
      </w:pPr>
    </w:p>
    <w:p>
      <w:pPr>
        <w:pStyle w:val="7"/>
        <w:rPr>
          <w:szCs w:val="18"/>
        </w:rPr>
      </w:pPr>
      <w:bookmarkStart w:id="59" w:name="_MON_1406023325"/>
      <w:bookmarkEnd w:id="59"/>
      <w:r>
        <w:rPr>
          <w:rFonts w:ascii="Times New Roman" w:hAnsi="Times New Roman" w:eastAsia="Times New Roman" w:cs="Times New Roman"/>
          <w:sz w:val="18"/>
          <w:szCs w:val="18"/>
          <w:lang w:eastAsia="en-US" w:bidi="ar-SA"/>
        </w:rPr>
        <w:object>
          <v:shape id="Picture 42" type="#_x0000_t75" style="height:93pt;width:330pt;rotation:0f;" o:ole="t" fillcolor="#FFFFFF" filled="f" o:preferrelative="f" stroked="f" coordorigin="0,0" coordsize="21600,21600">
            <v:fill on="f" color2="#FFFFFF" focus="0%"/>
            <v:imagedata gain="65536f" blacklevel="0f" gamma="0" o:title="" r:id="rId71"/>
            <o:lock v:ext="edit" position="f" selection="f" grouping="f" rotation="f" cropping="f" text="f" aspectratio="f"/>
            <w10:wrap type="none"/>
            <w10:anchorlock/>
          </v:shape>
          <o:OLEObject Type="Embed" ProgID="Excel.Sheet.12" ShapeID="Picture 42" DrawAspect="Content" ObjectID="_50" r:id="rId70"/>
        </w:object>
      </w:r>
    </w:p>
    <w:p>
      <w:pPr>
        <w:pStyle w:val="2"/>
        <w:tabs>
          <w:tab w:val="left" w:pos="360"/>
          <w:tab w:val="clear" w:pos="450"/>
        </w:tabs>
        <w:ind w:left="360"/>
        <w:rPr>
          <w:szCs w:val="18"/>
        </w:rPr>
      </w:pPr>
      <w:r>
        <w:rPr>
          <w:szCs w:val="18"/>
        </w:rPr>
        <w:br w:type="page"/>
      </w:r>
    </w:p>
    <w:p>
      <w:pPr>
        <w:pStyle w:val="2"/>
        <w:numPr>
          <w:ilvl w:val="0"/>
          <w:numId w:val="0"/>
        </w:numPr>
        <w:tabs>
          <w:tab w:val="left" w:pos="426"/>
        </w:tabs>
        <w:rPr>
          <w:szCs w:val="18"/>
        </w:rPr>
      </w:pPr>
      <w:r>
        <w:rPr>
          <w:szCs w:val="18"/>
        </w:rPr>
        <w:t>H.</w:t>
      </w:r>
      <w:r>
        <w:rPr>
          <w:szCs w:val="18"/>
        </w:rPr>
        <w:tab/>
      </w:r>
      <w:r>
        <w:rPr>
          <w:szCs w:val="18"/>
        </w:rPr>
        <w:t>informácie o výnosoch</w:t>
      </w:r>
    </w:p>
    <w:p>
      <w:pPr>
        <w:pStyle w:val="3"/>
        <w:numPr>
          <w:ilvl w:val="0"/>
          <w:numId w:val="0"/>
        </w:numPr>
        <w:rPr>
          <w:szCs w:val="18"/>
        </w:rPr>
      </w:pPr>
      <w:bookmarkStart w:id="60" w:name="_Toc530739914"/>
    </w:p>
    <w:p>
      <w:pPr>
        <w:pStyle w:val="3"/>
        <w:rPr>
          <w:szCs w:val="18"/>
        </w:rPr>
      </w:pPr>
      <w:r>
        <w:rPr>
          <w:szCs w:val="18"/>
        </w:rPr>
        <w:t>Tržby za vlastné výkony a tovar</w:t>
      </w:r>
      <w:bookmarkEnd w:id="60"/>
    </w:p>
    <w:p>
      <w:pPr>
        <w:pStyle w:val="7"/>
        <w:rPr>
          <w:szCs w:val="18"/>
        </w:rPr>
      </w:pPr>
    </w:p>
    <w:p>
      <w:pPr>
        <w:pStyle w:val="7"/>
        <w:rPr>
          <w:szCs w:val="18"/>
        </w:rPr>
      </w:pPr>
      <w:r>
        <w:rPr>
          <w:szCs w:val="18"/>
        </w:rPr>
        <w:t>Tržby za vlastné výkony a tovar podľa jednotlivých segmentov, t. j. podľa typov výrobkov a služieb, a podľa hlavných teritórií sú uvedené v nasledujúcom prehľade:</w:t>
      </w:r>
    </w:p>
    <w:p>
      <w:pPr>
        <w:pStyle w:val="7"/>
        <w:rPr>
          <w:i/>
          <w:szCs w:val="18"/>
          <w:u w:val="single"/>
        </w:rPr>
      </w:pPr>
      <w:r>
        <w:rPr>
          <w:i/>
          <w:szCs w:val="18"/>
          <w:u w:val="single"/>
        </w:rPr>
        <w:t>(Povinný údaj. Forma a spôsob uvedenia informácií nie sú predpísané. Túto informáciu vymažte.)</w:t>
      </w:r>
    </w:p>
    <w:p>
      <w:pPr>
        <w:pStyle w:val="7"/>
        <w:rPr>
          <w:i/>
          <w:szCs w:val="18"/>
          <w:u w:val="single"/>
        </w:rPr>
      </w:pPr>
    </w:p>
    <w:p>
      <w:pPr>
        <w:pStyle w:val="7"/>
        <w:rPr>
          <w:szCs w:val="18"/>
        </w:rPr>
      </w:pPr>
    </w:p>
    <w:p>
      <w:pPr>
        <w:pStyle w:val="7"/>
        <w:rPr>
          <w:szCs w:val="18"/>
        </w:rPr>
      </w:pPr>
    </w:p>
    <w:p>
      <w:pPr>
        <w:pStyle w:val="7"/>
        <w:rPr>
          <w:szCs w:val="18"/>
        </w:rPr>
      </w:pPr>
      <w:bookmarkStart w:id="61" w:name="_MON_1405949910"/>
      <w:bookmarkEnd w:id="61"/>
      <w:r>
        <w:rPr>
          <w:rFonts w:ascii="Times New Roman" w:hAnsi="Times New Roman" w:eastAsia="Times New Roman" w:cs="Times New Roman"/>
          <w:sz w:val="18"/>
          <w:szCs w:val="18"/>
          <w:lang w:eastAsia="en-US" w:bidi="ar-SA"/>
        </w:rPr>
        <w:object>
          <v:shape id="Picture 43" type="#_x0000_t75" style="height:105.75pt;width:334.5pt;rotation:0f;" o:ole="t" fillcolor="#FFFFFF" filled="f" o:preferrelative="f" stroked="f" coordorigin="0,0" coordsize="21600,21600">
            <v:fill on="f" color2="#FFFFFF" focus="0%"/>
            <v:imagedata gain="65536f" blacklevel="0f" gamma="0" o:title="" r:id="rId73"/>
            <o:lock v:ext="edit" position="f" selection="f" grouping="f" rotation="f" cropping="f" text="f" aspectratio="f"/>
            <w10:wrap type="none"/>
            <w10:anchorlock/>
          </v:shape>
          <o:OLEObject Type="Embed" ProgID="Excel.Sheet.12" ShapeID="Picture 43" DrawAspect="Content" ObjectID="_51" r:id="rId72"/>
        </w:object>
      </w:r>
    </w:p>
    <w:p>
      <w:pPr>
        <w:pStyle w:val="7"/>
        <w:rPr>
          <w:szCs w:val="18"/>
        </w:rPr>
      </w:pPr>
    </w:p>
    <w:p>
      <w:pPr>
        <w:pStyle w:val="3"/>
        <w:rPr>
          <w:szCs w:val="18"/>
        </w:rPr>
      </w:pPr>
      <w:bookmarkStart w:id="62" w:name="_Toc530739915"/>
      <w:r>
        <w:rPr>
          <w:szCs w:val="18"/>
        </w:rPr>
        <w:t>Zmena stavu zásob vlastnej výroby</w:t>
      </w:r>
      <w:bookmarkEnd w:id="62"/>
    </w:p>
    <w:p>
      <w:pPr>
        <w:pStyle w:val="7"/>
        <w:rPr>
          <w:szCs w:val="18"/>
        </w:rPr>
      </w:pPr>
    </w:p>
    <w:p>
      <w:pPr>
        <w:pStyle w:val="7"/>
        <w:rPr>
          <w:szCs w:val="18"/>
        </w:rPr>
      </w:pPr>
      <w:r>
        <w:rPr>
          <w:szCs w:val="18"/>
        </w:rPr>
        <w:t>Zmena stavu zásob vlastnej výroby vykázaná vo výkaze ziskov a strát je zníženie 658 832 EUR (v roku 2013 zvýšenie 938 990 EUR). Vychádzajúc zo súvahových položiek predstavuje zníženie 725 884 EUR (v roku 2013 zvýšenie 1 013 177 EUR), ako je to znázornené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bookmarkStart w:id="63" w:name="_MON_1405949943"/>
      <w:bookmarkEnd w:id="63"/>
    </w:p>
    <w:p>
      <w:pPr>
        <w:pStyle w:val="7"/>
        <w:rPr>
          <w:szCs w:val="18"/>
        </w:rPr>
      </w:pPr>
    </w:p>
    <w:p>
      <w:pPr>
        <w:pStyle w:val="7"/>
        <w:rPr>
          <w:szCs w:val="18"/>
        </w:rPr>
      </w:pPr>
      <w:r>
        <w:rPr>
          <w:szCs w:val="18"/>
        </w:rPr>
        <w:t>Rozdiel je spôsobený tým, že niektoré položky sa podľa slovenských právnych predpisov neúčtujú prostredníctvom zmeny stavu, ale priamo na príslušné iné účty nákladov a výnosov.</w:t>
      </w:r>
    </w:p>
    <w:p>
      <w:pPr>
        <w:pStyle w:val="7"/>
        <w:ind w:left="0"/>
        <w:rPr>
          <w:szCs w:val="18"/>
        </w:rPr>
      </w:pPr>
    </w:p>
    <w:p>
      <w:pPr>
        <w:spacing w:after="200" w:line="276" w:lineRule="auto"/>
        <w:rPr>
          <w:sz w:val="18"/>
          <w:szCs w:val="18"/>
        </w:rPr>
      </w:pPr>
      <w:bookmarkStart w:id="64" w:name="_Toc530739916"/>
      <w:r>
        <w:rPr>
          <w:sz w:val="18"/>
          <w:szCs w:val="18"/>
        </w:rPr>
        <w:br w:type="page"/>
      </w:r>
    </w:p>
    <w:p>
      <w:pPr>
        <w:pStyle w:val="3"/>
        <w:rPr>
          <w:szCs w:val="18"/>
        </w:rPr>
      </w:pPr>
      <w:r>
        <w:rPr>
          <w:szCs w:val="18"/>
        </w:rPr>
        <w:t>Aktivácia</w:t>
      </w:r>
      <w:bookmarkEnd w:id="64"/>
      <w:r>
        <w:rPr>
          <w:szCs w:val="18"/>
        </w:rPr>
        <w:t xml:space="preserve"> nákladov, výnosy z hospodárskej činnosti, finančnej činnosti a mimoriadnej činnosti</w:t>
      </w:r>
    </w:p>
    <w:p>
      <w:pPr>
        <w:pStyle w:val="7"/>
        <w:rPr>
          <w:szCs w:val="18"/>
        </w:rPr>
      </w:pPr>
    </w:p>
    <w:p>
      <w:pPr>
        <w:pStyle w:val="7"/>
        <w:rPr>
          <w:szCs w:val="18"/>
        </w:rPr>
      </w:pPr>
      <w:r>
        <w:rPr>
          <w:szCs w:val="18"/>
        </w:rPr>
        <w:t xml:space="preserve">Prehľad o výnosoch pri aktivácii nákladov, výnosoch z hospodárskej činnosti, finančnej činnosti a mimoriadnej činnosti je uvedený v nasledujúcom prehľade: </w:t>
      </w:r>
    </w:p>
    <w:p>
      <w:pPr>
        <w:pStyle w:val="7"/>
        <w:rPr>
          <w:i/>
          <w:szCs w:val="18"/>
          <w:u w:val="single"/>
        </w:rPr>
      </w:pPr>
      <w:r>
        <w:rPr>
          <w:i/>
          <w:szCs w:val="18"/>
          <w:u w:val="single"/>
        </w:rPr>
        <w:t>(Povinný údaj. Forma a spôsob uvedenia informácií nie sú predpísané. Túto informáciu vymažte.)</w:t>
      </w:r>
    </w:p>
    <w:p>
      <w:pPr>
        <w:pStyle w:val="7"/>
        <w:rPr>
          <w:i/>
          <w:szCs w:val="18"/>
          <w:u w:val="single"/>
        </w:rPr>
      </w:pPr>
    </w:p>
    <w:p>
      <w:pPr>
        <w:pStyle w:val="7"/>
        <w:rPr>
          <w:i/>
          <w:szCs w:val="18"/>
          <w:u w:val="single"/>
        </w:rPr>
      </w:pPr>
    </w:p>
    <w:p>
      <w:pPr>
        <w:pStyle w:val="7"/>
        <w:rPr>
          <w:szCs w:val="18"/>
        </w:rPr>
      </w:pPr>
    </w:p>
    <w:p>
      <w:pPr>
        <w:pStyle w:val="7"/>
        <w:rPr>
          <w:szCs w:val="18"/>
        </w:rPr>
      </w:pPr>
      <w:bookmarkStart w:id="65" w:name="_MON_1405949975"/>
      <w:bookmarkEnd w:id="65"/>
      <w:r>
        <w:rPr>
          <w:rFonts w:ascii="Times New Roman" w:hAnsi="Times New Roman" w:eastAsia="Times New Roman" w:cs="Times New Roman"/>
          <w:sz w:val="18"/>
          <w:szCs w:val="18"/>
          <w:lang w:eastAsia="en-US" w:bidi="ar-SA"/>
        </w:rPr>
        <w:object>
          <v:shape id="Picture 45" type="#_x0000_t75" style="height:294.75pt;width:328.5pt;rotation:0f;" o:ole="t" fillcolor="#FFFFFF" filled="f" o:preferrelative="f" stroked="f" coordorigin="0,0" coordsize="21600,21600">
            <v:fill on="f" color2="#FFFFFF" focus="0%"/>
            <v:imagedata gain="65536f" blacklevel="0f" gamma="0" o:title="" r:id="rId75"/>
            <o:lock v:ext="edit" position="f" selection="f" grouping="f" rotation="f" cropping="f" text="f" aspectratio="f"/>
            <w10:wrap type="none"/>
            <w10:anchorlock/>
          </v:shape>
          <o:OLEObject Type="Embed" ProgID="Excel.Sheet.12" ShapeID="Picture 45" DrawAspect="Content" ObjectID="_53" r:id="rId74"/>
        </w:object>
      </w:r>
    </w:p>
    <w:p>
      <w:pPr>
        <w:pStyle w:val="3"/>
        <w:numPr>
          <w:ilvl w:val="0"/>
          <w:numId w:val="0"/>
        </w:numPr>
        <w:ind w:left="426"/>
        <w:jc w:val="both"/>
        <w:rPr>
          <w:szCs w:val="18"/>
        </w:rPr>
      </w:pPr>
      <w:r>
        <w:rPr>
          <w:b w:val="0"/>
          <w:szCs w:val="18"/>
        </w:rPr>
        <w:t>Výnosy z precenenia derivátov sa týkajú menového forwardu na nákup USD. Bližšie informácie o menovom forwarde sú uvedené v časti G.9.</w:t>
      </w:r>
    </w:p>
    <w:p>
      <w:pPr>
        <w:ind w:left="426"/>
        <w:jc w:val="both"/>
        <w:rPr>
          <w:sz w:val="18"/>
          <w:szCs w:val="18"/>
        </w:rPr>
      </w:pPr>
    </w:p>
    <w:p>
      <w:pPr>
        <w:pStyle w:val="7"/>
        <w:rPr>
          <w:szCs w:val="18"/>
        </w:rPr>
      </w:pPr>
      <w:r>
        <w:rPr>
          <w:szCs w:val="18"/>
        </w:rPr>
        <w:t>V položke výnos z rozdielu medzi uznanou hodnotou vkladu a účtovnou hodnotou vkladaného majetku je vykázaný rozdiel medzi uznaným ocenením a účtovným ocenením nepeňažného vkladu do spoločnosti ABC Motoren SR, s. r. o., Martin. Uznané ocenenie nepeňažného vkladu bolo o 82 985 EUR vyššie, ako bolo jeho účtovné ocenenie. S tým súvisiaca odložená daň predstavuje 18 257 EUR.</w:t>
      </w:r>
    </w:p>
    <w:p>
      <w:pPr>
        <w:ind w:left="450"/>
        <w:rPr>
          <w:sz w:val="18"/>
          <w:szCs w:val="18"/>
        </w:rPr>
      </w:pPr>
    </w:p>
    <w:p>
      <w:pPr>
        <w:pStyle w:val="7"/>
        <w:rPr>
          <w:szCs w:val="18"/>
        </w:rPr>
      </w:pPr>
    </w:p>
    <w:p>
      <w:pPr>
        <w:pStyle w:val="7"/>
        <w:rPr>
          <w:szCs w:val="18"/>
          <w:highlight w:val="yellow"/>
          <w:lang/>
        </w:rPr>
      </w:pPr>
    </w:p>
    <w:p>
      <w:pPr>
        <w:spacing w:after="200" w:line="276" w:lineRule="auto"/>
        <w:rPr>
          <w:b/>
          <w:sz w:val="18"/>
          <w:szCs w:val="18"/>
        </w:rPr>
      </w:pPr>
      <w:r>
        <w:rPr>
          <w:sz w:val="18"/>
          <w:szCs w:val="18"/>
        </w:rPr>
        <w:br w:type="page"/>
      </w:r>
    </w:p>
    <w:p>
      <w:pPr>
        <w:pStyle w:val="3"/>
        <w:rPr>
          <w:szCs w:val="18"/>
        </w:rPr>
      </w:pPr>
      <w:r>
        <w:rPr>
          <w:szCs w:val="18"/>
        </w:rPr>
        <w:t xml:space="preserve">Čistý obrat </w:t>
      </w:r>
    </w:p>
    <w:p>
      <w:pPr>
        <w:pStyle w:val="7"/>
        <w:rPr>
          <w:szCs w:val="18"/>
        </w:rPr>
      </w:pPr>
    </w:p>
    <w:p>
      <w:pPr>
        <w:pStyle w:val="7"/>
        <w:rPr>
          <w:szCs w:val="18"/>
        </w:rPr>
      </w:pPr>
      <w:r>
        <w:rPr>
          <w:szCs w:val="18"/>
        </w:rPr>
        <w:t>Čistý obrat Spoločnosti na účely zistenia povinnosti overenia individuálnej účtovnej závierky audítorom [§ 19 ods. 1 písm. a) zákona o účtovníctve] je uvedený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p>
    <w:p>
      <w:pPr>
        <w:pStyle w:val="7"/>
        <w:rPr>
          <w:szCs w:val="18"/>
        </w:rPr>
      </w:pPr>
      <w:bookmarkStart w:id="66" w:name="_MON_1405950002"/>
      <w:bookmarkEnd w:id="66"/>
      <w:r>
        <w:rPr>
          <w:rFonts w:ascii="Times New Roman" w:hAnsi="Times New Roman" w:eastAsia="Times New Roman" w:cs="Times New Roman"/>
          <w:sz w:val="18"/>
          <w:szCs w:val="18"/>
          <w:lang w:eastAsia="en-US" w:bidi="ar-SA"/>
        </w:rPr>
        <w:object>
          <v:shape id="Picture 46" type="#_x0000_t75" style="height:99.75pt;width:329.25pt;rotation:0f;" o:ole="t" fillcolor="#FFFFFF" filled="f" o:preferrelative="f" stroked="f" coordorigin="0,0" coordsize="21600,21600">
            <v:fill on="f" color2="#FFFFFF" focus="0%"/>
            <v:imagedata gain="65536f" blacklevel="0f" gamma="0" o:title="" r:id="rId77"/>
            <o:lock v:ext="edit" position="f" selection="f" grouping="f" rotation="f" cropping="f" text="f" aspectratio="f"/>
            <w10:wrap type="none"/>
            <w10:anchorlock/>
          </v:shape>
          <o:OLEObject Type="Embed" ProgID="Excel.Sheet.12" ShapeID="Picture 46" DrawAspect="Content" ObjectID="_107" r:id="rId76"/>
        </w:object>
      </w:r>
      <w:r>
        <w:rPr>
          <w:szCs w:val="18"/>
        </w:rPr>
        <w:br w:type="page"/>
      </w:r>
    </w:p>
    <w:p>
      <w:pPr>
        <w:pStyle w:val="2"/>
        <w:tabs>
          <w:tab w:val="left" w:pos="360"/>
          <w:tab w:val="clear" w:pos="450"/>
        </w:tabs>
        <w:spacing w:before="240" w:after="60"/>
        <w:ind w:left="360"/>
        <w:rPr>
          <w:szCs w:val="18"/>
        </w:rPr>
      </w:pPr>
      <w:r>
        <w:rPr>
          <w:szCs w:val="18"/>
        </w:rPr>
        <w:t>Informácie o nákladoch</w:t>
      </w:r>
    </w:p>
    <w:p>
      <w:pPr>
        <w:pStyle w:val="7"/>
        <w:rPr>
          <w:szCs w:val="18"/>
        </w:rPr>
      </w:pPr>
    </w:p>
    <w:p>
      <w:pPr>
        <w:pStyle w:val="3"/>
        <w:rPr>
          <w:szCs w:val="18"/>
        </w:rPr>
      </w:pPr>
      <w:r>
        <w:rPr>
          <w:szCs w:val="18"/>
        </w:rPr>
        <w:t xml:space="preserve">Náklady na poskytnuté služby, ostatné náklady na hospodársku činnosť, finančné a mimoriadne náklady </w:t>
      </w:r>
    </w:p>
    <w:p>
      <w:pPr>
        <w:rPr>
          <w:sz w:val="18"/>
          <w:szCs w:val="18"/>
        </w:rPr>
      </w:pPr>
    </w:p>
    <w:p>
      <w:pPr>
        <w:pStyle w:val="7"/>
        <w:rPr>
          <w:szCs w:val="18"/>
        </w:rPr>
      </w:pPr>
      <w:r>
        <w:rPr>
          <w:szCs w:val="18"/>
        </w:rPr>
        <w:t>Prehľad o nákladoch na poskytnuté služby, ostatných nákladoch na hospodársku činnosť, finančných a mimoriadnych nákladoch:</w:t>
      </w:r>
    </w:p>
    <w:p>
      <w:pPr>
        <w:pStyle w:val="7"/>
        <w:rPr>
          <w:i/>
          <w:szCs w:val="18"/>
          <w:u w:val="single"/>
        </w:rPr>
      </w:pPr>
      <w:r>
        <w:rPr>
          <w:i/>
          <w:szCs w:val="18"/>
          <w:u w:val="single"/>
        </w:rPr>
        <w:t xml:space="preserve">(Povinný údaj. Forma a spôsob uvedenia informácií nie sú predpísané, </w:t>
      </w:r>
      <w:r>
        <w:rPr>
          <w:b/>
          <w:i/>
          <w:szCs w:val="18"/>
          <w:u w:val="single"/>
        </w:rPr>
        <w:t xml:space="preserve">okrem </w:t>
      </w:r>
      <w:r>
        <w:rPr>
          <w:i/>
          <w:szCs w:val="18"/>
          <w:u w:val="single"/>
        </w:rPr>
        <w:t>informácií o nákladoch voči audítorovi, audítorskej spoločnosti. Túto informáciu vymažte.)</w:t>
      </w:r>
    </w:p>
    <w:p>
      <w:pPr>
        <w:pStyle w:val="3"/>
        <w:numPr>
          <w:ilvl w:val="0"/>
          <w:numId w:val="0"/>
        </w:numPr>
        <w:ind w:left="426"/>
        <w:rPr>
          <w:szCs w:val="18"/>
        </w:rPr>
      </w:pPr>
    </w:p>
    <w:p>
      <w:pPr>
        <w:pStyle w:val="7"/>
        <w:rPr>
          <w:szCs w:val="18"/>
        </w:rPr>
      </w:pPr>
      <w:bookmarkStart w:id="67" w:name="_MON_1405950034"/>
      <w:bookmarkEnd w:id="67"/>
      <w:r>
        <w:rPr>
          <w:rFonts w:ascii="Times New Roman" w:hAnsi="Times New Roman" w:eastAsia="Times New Roman" w:cs="Times New Roman"/>
          <w:sz w:val="18"/>
          <w:szCs w:val="18"/>
          <w:lang w:eastAsia="en-US" w:bidi="ar-SA"/>
        </w:rPr>
        <w:object>
          <v:shape id="Picture 47" type="#_x0000_t75" style="height:386.25pt;width:330pt;rotation:0f;" o:ole="t" fillcolor="#FFFFFF" filled="f" o:preferrelative="f" stroked="f" coordorigin="0,0" coordsize="21600,21600">
            <v:fill on="f" color2="#FFFFFF" focus="0%"/>
            <v:imagedata gain="65536f" blacklevel="0f" gamma="0" o:title="" r:id="rId79"/>
            <o:lock v:ext="edit" position="f" selection="f" grouping="f" rotation="f" cropping="f" text="f" aspectratio="f"/>
            <w10:wrap type="none"/>
            <w10:anchorlock/>
          </v:shape>
          <o:OLEObject Type="Embed" ProgID="Excel.Sheet.12" ShapeID="Picture 47" DrawAspect="Content" ObjectID="_55" r:id="rId78"/>
        </w:object>
      </w:r>
    </w:p>
    <w:p>
      <w:pPr>
        <w:pStyle w:val="7"/>
        <w:rPr>
          <w:szCs w:val="18"/>
        </w:rPr>
      </w:pPr>
    </w:p>
    <w:p>
      <w:pPr>
        <w:pStyle w:val="7"/>
        <w:rPr>
          <w:szCs w:val="18"/>
          <w:lang/>
        </w:rPr>
      </w:pPr>
    </w:p>
    <w:p>
      <w:pPr>
        <w:pStyle w:val="2"/>
        <w:tabs>
          <w:tab w:val="left" w:pos="360"/>
          <w:tab w:val="clear" w:pos="450"/>
        </w:tabs>
        <w:spacing w:before="120"/>
        <w:ind w:left="360"/>
        <w:rPr>
          <w:szCs w:val="18"/>
        </w:rPr>
      </w:pPr>
      <w:r>
        <w:rPr>
          <w:szCs w:val="18"/>
        </w:rPr>
        <w:t>Informácie o daniach z príjmov</w:t>
      </w:r>
    </w:p>
    <w:p>
      <w:pPr>
        <w:pStyle w:val="7"/>
        <w:rPr>
          <w:szCs w:val="18"/>
        </w:rPr>
      </w:pPr>
    </w:p>
    <w:p>
      <w:pPr>
        <w:pStyle w:val="7"/>
        <w:rPr>
          <w:szCs w:val="18"/>
        </w:rPr>
      </w:pPr>
      <w:r>
        <w:rPr>
          <w:szCs w:val="18"/>
        </w:rPr>
        <w:t>Prevod od teoretickej dane z príjmov k vykázanej dani z príjmov je uvedený v nasledujúcom prehľade:</w:t>
      </w:r>
    </w:p>
    <w:p>
      <w:pPr>
        <w:pStyle w:val="7"/>
        <w:rPr>
          <w:i/>
          <w:szCs w:val="18"/>
          <w:u w:val="single"/>
        </w:rPr>
      </w:pPr>
      <w:r>
        <w:rPr>
          <w:i/>
          <w:szCs w:val="18"/>
          <w:u w:val="single"/>
        </w:rPr>
        <w:t>(Obsahová náplň, počet riadkov a stĺpcov v tabuľke sa nesmú meniť. Túto informáciu vymažte.)</w:t>
      </w:r>
    </w:p>
    <w:p>
      <w:pPr>
        <w:pStyle w:val="7"/>
        <w:rPr>
          <w:szCs w:val="18"/>
        </w:rPr>
      </w:pPr>
    </w:p>
    <w:p>
      <w:pPr>
        <w:pStyle w:val="7"/>
        <w:rPr>
          <w:szCs w:val="18"/>
        </w:rPr>
      </w:pPr>
      <w:bookmarkStart w:id="68" w:name="_MON_1405950056"/>
      <w:bookmarkEnd w:id="68"/>
    </w:p>
    <w:p>
      <w:pPr>
        <w:pStyle w:val="7"/>
        <w:rPr>
          <w:szCs w:val="18"/>
        </w:rPr>
      </w:pPr>
    </w:p>
    <w:p>
      <w:pPr>
        <w:pStyle w:val="7"/>
        <w:rPr>
          <w:szCs w:val="18"/>
        </w:rPr>
      </w:pPr>
      <w:r>
        <w:rPr>
          <w:szCs w:val="18"/>
        </w:rPr>
        <w:t>:</w:t>
      </w:r>
    </w:p>
    <w:p>
      <w:pPr>
        <w:pStyle w:val="7"/>
        <w:rPr>
          <w:szCs w:val="18"/>
        </w:rPr>
      </w:pPr>
      <w:bookmarkStart w:id="69" w:name="_MON_1405950083"/>
      <w:bookmarkEnd w:id="69"/>
      <w:r>
        <w:rPr>
          <w:szCs w:val="18"/>
        </w:rPr>
        <w:br w:type="page"/>
      </w:r>
    </w:p>
    <w:p>
      <w:pPr>
        <w:pStyle w:val="7"/>
        <w:rPr>
          <w:szCs w:val="18"/>
        </w:rPr>
      </w:pPr>
      <w:r>
        <w:rPr>
          <w:szCs w:val="18"/>
        </w:rPr>
        <w:t>I</w:t>
      </w:r>
    </w:p>
    <w:p>
      <w:pPr>
        <w:spacing w:after="200" w:line="276" w:lineRule="auto"/>
        <w:rPr>
          <w:sz w:val="18"/>
          <w:szCs w:val="18"/>
        </w:rPr>
      </w:pPr>
      <w:r>
        <w:rPr>
          <w:sz w:val="18"/>
          <w:szCs w:val="18"/>
        </w:rPr>
        <w:br w:type="page"/>
      </w:r>
    </w:p>
    <w:p>
      <w:pPr>
        <w:spacing w:after="200" w:line="276" w:lineRule="auto"/>
        <w:rPr>
          <w:sz w:val="18"/>
          <w:szCs w:val="18"/>
        </w:rPr>
      </w:pPr>
    </w:p>
    <w:p>
      <w:pPr>
        <w:pStyle w:val="7"/>
        <w:rPr>
          <w:szCs w:val="18"/>
        </w:rPr>
      </w:pPr>
      <w:bookmarkStart w:id="70" w:name="_MON_1405950497"/>
      <w:bookmarkEnd w:id="70"/>
      <w:r>
        <w:rPr>
          <w:szCs w:val="18"/>
        </w:rPr>
        <w:br w:type="page"/>
      </w:r>
    </w:p>
    <w:p>
      <w:pPr>
        <w:pStyle w:val="7"/>
        <w:rPr>
          <w:szCs w:val="18"/>
        </w:rPr>
      </w:pPr>
      <w:bookmarkStart w:id="71" w:name="_MON_1405950538"/>
      <w:bookmarkEnd w:id="71"/>
    </w:p>
    <w:p>
      <w:pPr>
        <w:pStyle w:val="7"/>
        <w:rPr>
          <w:szCs w:val="18"/>
        </w:rPr>
      </w:pPr>
    </w:p>
    <w:p>
      <w:pPr>
        <w:pStyle w:val="2"/>
        <w:tabs>
          <w:tab w:val="left" w:pos="360"/>
          <w:tab w:val="clear" w:pos="450"/>
        </w:tabs>
        <w:spacing w:before="120" w:after="60"/>
        <w:ind w:left="360"/>
        <w:rPr>
          <w:szCs w:val="18"/>
        </w:rPr>
      </w:pPr>
      <w:bookmarkStart w:id="72" w:name="_Toc530739925"/>
      <w:r>
        <w:rPr>
          <w:szCs w:val="18"/>
        </w:rPr>
        <w:t>Informácie o skutočnostiach, ktoré nastali po dni, ku ktorému sa zostavuje účtovná závierka, do dňa zostavenia účtovnej závierky</w:t>
      </w:r>
      <w:bookmarkEnd w:id="72"/>
    </w:p>
    <w:p>
      <w:pPr>
        <w:pStyle w:val="7"/>
        <w:rPr>
          <w:szCs w:val="18"/>
        </w:rPr>
      </w:pPr>
    </w:p>
    <w:p>
      <w:pPr>
        <w:pStyle w:val="7"/>
        <w:rPr>
          <w:szCs w:val="18"/>
        </w:rPr>
      </w:pPr>
      <w:r>
        <w:rPr>
          <w:szCs w:val="18"/>
        </w:rPr>
        <w:t>Po 31. decembri 2014 nastali tieto udalosti majúce významný vplyv na verné zobrazenie skutočností, ktoré sú predmetom účtovníctva:</w:t>
      </w:r>
    </w:p>
    <w:p>
      <w:pPr>
        <w:pStyle w:val="7"/>
        <w:rPr>
          <w:szCs w:val="18"/>
        </w:rPr>
      </w:pPr>
    </w:p>
    <w:p>
      <w:pPr>
        <w:pStyle w:val="7"/>
        <w:numPr>
          <w:ilvl w:val="0"/>
          <w:numId w:val="6"/>
        </w:numPr>
        <w:rPr>
          <w:szCs w:val="18"/>
        </w:rPr>
      </w:pPr>
      <w:r>
        <w:rPr>
          <w:szCs w:val="18"/>
        </w:rPr>
        <w:t>k 1. januáru 2015 Spoločnosť predala všetky svoje podiely v spoločnom podniku ABC Elektro, s. r. o., Považská Bystrica,</w:t>
      </w:r>
    </w:p>
    <w:p>
      <w:pPr>
        <w:pStyle w:val="7"/>
        <w:numPr>
          <w:ilvl w:val="0"/>
          <w:numId w:val="6"/>
        </w:numPr>
        <w:rPr>
          <w:szCs w:val="18"/>
        </w:rPr>
      </w:pPr>
      <w:r>
        <w:rPr>
          <w:szCs w:val="18"/>
        </w:rPr>
        <w:t>k 1. februáru 2015 Spoločnosť odkúpila 50 % podielov od druhého spoločníka spoločného podniku ABC Elektromery, s. r. o., Košice, a následne zvýšila jeho základné imanie vložením časti podniku „výroba elektromerov“.</w:t>
      </w:r>
    </w:p>
    <w:p>
      <w:pPr>
        <w:pStyle w:val="7"/>
        <w:rPr>
          <w:szCs w:val="18"/>
        </w:rPr>
      </w:pPr>
    </w:p>
    <w:p>
      <w:pPr>
        <w:pStyle w:val="7"/>
        <w:rPr>
          <w:szCs w:val="18"/>
        </w:rPr>
      </w:pPr>
    </w:p>
    <w:p>
      <w:pPr>
        <w:spacing w:after="200" w:line="276" w:lineRule="auto"/>
        <w:rPr>
          <w:b/>
          <w:caps/>
          <w:sz w:val="18"/>
          <w:szCs w:val="18"/>
        </w:rPr>
      </w:pPr>
      <w:bookmarkStart w:id="73" w:name="_Toc530739907"/>
      <w:r>
        <w:rPr>
          <w:sz w:val="18"/>
          <w:szCs w:val="18"/>
        </w:rPr>
        <w:br w:type="page"/>
      </w:r>
    </w:p>
    <w:p>
      <w:pPr>
        <w:pStyle w:val="2"/>
        <w:tabs>
          <w:tab w:val="left" w:pos="360"/>
          <w:tab w:val="clear" w:pos="450"/>
        </w:tabs>
        <w:spacing w:before="120" w:after="60"/>
        <w:ind w:left="360"/>
        <w:rPr>
          <w:szCs w:val="18"/>
        </w:rPr>
      </w:pPr>
      <w:r>
        <w:rPr>
          <w:szCs w:val="18"/>
        </w:rPr>
        <w:t>Informácie o Vlastnom imaní</w:t>
      </w:r>
      <w:bookmarkEnd w:id="73"/>
    </w:p>
    <w:p>
      <w:pPr>
        <w:pStyle w:val="7"/>
        <w:rPr>
          <w:szCs w:val="18"/>
        </w:rPr>
      </w:pPr>
    </w:p>
    <w:p>
      <w:pPr>
        <w:pStyle w:val="7"/>
        <w:rPr>
          <w:szCs w:val="18"/>
        </w:rPr>
      </w:pPr>
      <w:r>
        <w:rPr>
          <w:szCs w:val="18"/>
        </w:rPr>
        <w:t>Prehľad o pohybe vlastného imania v priebehu účtovného obdobia je uvedený v nasledujúcej tabuľke:</w:t>
      </w:r>
    </w:p>
    <w:p>
      <w:pPr>
        <w:ind w:left="426"/>
        <w:jc w:val="both"/>
        <w:rPr>
          <w:i/>
          <w:sz w:val="18"/>
          <w:szCs w:val="18"/>
          <w:u w:val="single"/>
        </w:rPr>
      </w:pPr>
      <w:r>
        <w:rPr>
          <w:i/>
          <w:sz w:val="18"/>
          <w:szCs w:val="18"/>
          <w:u w:val="single"/>
        </w:rPr>
        <w:t>(Povinný údaj. Forma a spôsob uvedenia informácií nie sú predpísané. Túto informáciu vymažte).</w:t>
      </w:r>
    </w:p>
    <w:p>
      <w:pPr>
        <w:pStyle w:val="7"/>
        <w:rPr>
          <w:i/>
          <w:szCs w:val="18"/>
          <w:u w:val="single"/>
        </w:rPr>
      </w:pPr>
    </w:p>
    <w:p>
      <w:pPr>
        <w:pStyle w:val="7"/>
        <w:rPr>
          <w:szCs w:val="18"/>
        </w:rPr>
      </w:pPr>
    </w:p>
    <w:p>
      <w:pPr>
        <w:pStyle w:val="7"/>
        <w:ind w:left="0"/>
        <w:rPr>
          <w:szCs w:val="18"/>
        </w:rPr>
      </w:pPr>
    </w:p>
    <w:p>
      <w:pPr>
        <w:pStyle w:val="7"/>
        <w:rPr>
          <w:szCs w:val="18"/>
        </w:rPr>
      </w:pPr>
      <w:bookmarkStart w:id="74" w:name="_MON_1405950579"/>
      <w:bookmarkEnd w:id="74"/>
      <w:r>
        <w:rPr>
          <w:rFonts w:ascii="Times New Roman" w:hAnsi="Times New Roman" w:eastAsia="Times New Roman" w:cs="Times New Roman"/>
          <w:sz w:val="18"/>
          <w:szCs w:val="18"/>
          <w:lang w:eastAsia="en-US" w:bidi="ar-SA"/>
        </w:rPr>
        <w:object>
          <v:shape id="Picture 52" type="#_x0000_t75" style="height:276pt;width:329.25pt;rotation:0f;" o:ole="t" fillcolor="#FFFFFF" filled="f" o:preferrelative="f" stroked="f" coordorigin="0,0" coordsize="21600,21600">
            <v:fill on="f" color2="#FFFFFF" focus="0%"/>
            <v:imagedata gain="65536f" blacklevel="0f" gamma="0" o:title="" r:id="rId81"/>
            <o:lock v:ext="edit" position="f" selection="f" grouping="f" rotation="f" cropping="f" text="f" aspectratio="f"/>
            <w10:wrap type="none"/>
            <w10:anchorlock/>
          </v:shape>
          <o:OLEObject Type="Embed" ProgID="Excel.Sheet.12" ShapeID="Picture 52" DrawAspect="Content" ObjectID="_60" r:id="rId80"/>
        </w:object>
      </w:r>
    </w:p>
    <w:p>
      <w:pPr>
        <w:autoSpaceDE w:val="0"/>
        <w:autoSpaceDN w:val="0"/>
        <w:adjustRightInd w:val="0"/>
        <w:ind w:left="426"/>
        <w:jc w:val="both"/>
        <w:rPr>
          <w:sz w:val="18"/>
          <w:szCs w:val="18"/>
        </w:rPr>
      </w:pPr>
    </w:p>
    <w:p>
      <w:pPr>
        <w:autoSpaceDE w:val="0"/>
        <w:autoSpaceDN w:val="0"/>
        <w:adjustRightInd w:val="0"/>
        <w:ind w:left="426"/>
        <w:jc w:val="both"/>
        <w:rPr>
          <w:sz w:val="18"/>
          <w:szCs w:val="18"/>
        </w:rPr>
      </w:pPr>
    </w:p>
    <w:p>
      <w:pPr>
        <w:autoSpaceDE w:val="0"/>
        <w:autoSpaceDN w:val="0"/>
        <w:adjustRightInd w:val="0"/>
        <w:ind w:left="426"/>
        <w:jc w:val="both"/>
        <w:rPr>
          <w:sz w:val="18"/>
          <w:szCs w:val="18"/>
        </w:rPr>
      </w:pPr>
      <w:r>
        <w:rPr>
          <w:sz w:val="18"/>
          <w:szCs w:val="18"/>
        </w:rPr>
        <w:t xml:space="preserve">Základné imanie sa v priebehu účtovného obdobia roka 2014 zvýšilo o 1 327 757 EUR, čiastočne peňažným vkladom (663 878 EUR) a čiastočne nepeňažným vkladom (kapitalizáciou záväzku vo výške 663 879 EUR). Toto zvýšenie je k 31. decembru 2014 už zapísané v obchodnom registri. </w:t>
      </w:r>
    </w:p>
    <w:p>
      <w:pPr>
        <w:autoSpaceDE w:val="0"/>
        <w:autoSpaceDN w:val="0"/>
        <w:adjustRightInd w:val="0"/>
        <w:ind w:left="426"/>
        <w:jc w:val="both"/>
        <w:rPr>
          <w:sz w:val="18"/>
          <w:szCs w:val="18"/>
        </w:rPr>
      </w:pPr>
    </w:p>
    <w:p>
      <w:pPr>
        <w:autoSpaceDE w:val="0"/>
        <w:autoSpaceDN w:val="0"/>
        <w:adjustRightInd w:val="0"/>
        <w:ind w:left="426"/>
        <w:jc w:val="both"/>
        <w:rPr>
          <w:sz w:val="18"/>
          <w:szCs w:val="18"/>
        </w:rPr>
      </w:pPr>
      <w:r>
        <w:rPr>
          <w:sz w:val="18"/>
          <w:szCs w:val="18"/>
        </w:rPr>
        <w:t>Základné imanie bolo splatené v plnom rozsahu.</w:t>
      </w:r>
    </w:p>
    <w:p>
      <w:pPr>
        <w:pStyle w:val="7"/>
        <w:rPr>
          <w:szCs w:val="18"/>
        </w:rPr>
      </w:pPr>
    </w:p>
    <w:p>
      <w:pPr>
        <w:pStyle w:val="7"/>
        <w:rPr>
          <w:szCs w:val="18"/>
        </w:rPr>
      </w:pPr>
      <w:r>
        <w:rPr>
          <w:szCs w:val="18"/>
        </w:rPr>
        <w:t>V položke ostatné kapitálové fondy je vo výške 165 969 EUR vykázaný nepeňažný vklad spoločníka z roku 1999, ktorý nezvyšoval základné imanie.</w:t>
      </w:r>
    </w:p>
    <w:p>
      <w:pPr>
        <w:autoSpaceDE w:val="0"/>
        <w:autoSpaceDN w:val="0"/>
        <w:adjustRightInd w:val="0"/>
        <w:ind w:left="426"/>
        <w:jc w:val="both"/>
        <w:rPr>
          <w:sz w:val="18"/>
          <w:szCs w:val="18"/>
        </w:rPr>
      </w:pPr>
    </w:p>
    <w:p>
      <w:pPr>
        <w:pStyle w:val="7"/>
        <w:rPr>
          <w:szCs w:val="18"/>
        </w:rPr>
      </w:pPr>
      <w:r>
        <w:rPr>
          <w:szCs w:val="18"/>
        </w:rPr>
        <w:t>V položke oceňovacie rozdiely z precenenia majetku a záväzkov je vykázané precenenie zabezpečovacích derivátov na reálnu hodnotu. Bližšie informácie o derivátoch sú uvedené v časti G.9.</w:t>
      </w:r>
    </w:p>
    <w:p>
      <w:pPr>
        <w:pStyle w:val="7"/>
        <w:rPr>
          <w:szCs w:val="18"/>
        </w:rPr>
      </w:pPr>
    </w:p>
    <w:p>
      <w:pPr>
        <w:spacing w:after="200" w:line="276" w:lineRule="auto"/>
        <w:rPr>
          <w:sz w:val="18"/>
          <w:szCs w:val="18"/>
        </w:rPr>
      </w:pPr>
      <w:r>
        <w:rPr>
          <w:sz w:val="18"/>
          <w:szCs w:val="18"/>
        </w:rPr>
        <w:br w:type="page"/>
      </w:r>
    </w:p>
    <w:p>
      <w:pPr>
        <w:pStyle w:val="7"/>
        <w:ind w:left="0"/>
        <w:rPr>
          <w:szCs w:val="18"/>
        </w:rPr>
      </w:pPr>
      <w:r>
        <w:rPr>
          <w:szCs w:val="18"/>
        </w:rPr>
        <w:t>Prehľad o pohybe vlastného imania za predchádzajúce účtovné obdobie je uvedený v nasledujúcej tabuľke:</w:t>
      </w:r>
    </w:p>
    <w:p>
      <w:pPr>
        <w:jc w:val="both"/>
        <w:rPr>
          <w:sz w:val="18"/>
          <w:szCs w:val="18"/>
        </w:rPr>
      </w:pPr>
      <w:r>
        <w:rPr>
          <w:i/>
          <w:sz w:val="18"/>
          <w:szCs w:val="18"/>
          <w:u w:val="single"/>
        </w:rPr>
        <w:t>(Povinný údaj. Forma a spôsob uvedenia informácií nie sú predpísané. Túto informáciu vymažte).</w:t>
      </w:r>
    </w:p>
    <w:p>
      <w:pPr>
        <w:spacing w:line="276" w:lineRule="auto"/>
        <w:rPr>
          <w:i/>
          <w:sz w:val="18"/>
          <w:szCs w:val="18"/>
        </w:rPr>
      </w:pPr>
      <w:bookmarkStart w:id="75" w:name="_MON_1475596442"/>
      <w:bookmarkEnd w:id="75"/>
      <w:r>
        <w:rPr>
          <w:rFonts w:ascii="Times New Roman" w:hAnsi="Times New Roman" w:eastAsia="Times New Roman" w:cs="Times New Roman"/>
          <w:sz w:val="18"/>
          <w:szCs w:val="18"/>
          <w:lang w:eastAsia="en-US" w:bidi="ar-SA"/>
        </w:rPr>
        <w:object>
          <v:shape id="Picture 53" type="#_x0000_t75" style="height:276pt;width:462pt;rotation:0f;" o:ole="t" fillcolor="#FFFFFF" filled="f" o:preferrelative="f" stroked="f" coordorigin="0,0" coordsize="21600,21600">
            <v:fill on="f" color2="#FFFFFF" focus="0%"/>
            <v:imagedata gain="65536f" blacklevel="0f" gamma="0" o:title="" r:id="rId83"/>
            <o:lock v:ext="edit" position="f" selection="f" grouping="f" rotation="f" cropping="f" text="f" aspectratio="f"/>
            <w10:wrap type="none"/>
            <w10:anchorlock/>
          </v:shape>
          <o:OLEObject Type="Embed" ProgID="Excel.Sheet.12" ShapeID="Picture 53" DrawAspect="Content" ObjectID="_114" r:id="rId82"/>
        </w:object>
      </w:r>
    </w:p>
    <w:p>
      <w:pPr>
        <w:pStyle w:val="7"/>
        <w:ind w:left="766"/>
        <w:rPr>
          <w:i/>
          <w:szCs w:val="18"/>
        </w:rPr>
      </w:pPr>
    </w:p>
    <w:p>
      <w:pPr>
        <w:pStyle w:val="7"/>
        <w:ind w:left="0"/>
        <w:rPr>
          <w:szCs w:val="18"/>
        </w:rPr>
      </w:pPr>
      <w:r>
        <w:rPr>
          <w:szCs w:val="18"/>
        </w:rPr>
        <w:t>Účtovný zisk za rok 2013 bol rozdelený takto:</w:t>
      </w:r>
    </w:p>
    <w:p>
      <w:pPr>
        <w:pStyle w:val="7"/>
        <w:rPr>
          <w:szCs w:val="18"/>
        </w:rPr>
      </w:pPr>
    </w:p>
    <w:p>
      <w:pPr>
        <w:pStyle w:val="7"/>
        <w:ind w:left="0"/>
        <w:rPr>
          <w:szCs w:val="18"/>
        </w:rPr>
      </w:pPr>
      <w:bookmarkStart w:id="76" w:name="_MON_1405948107"/>
      <w:bookmarkEnd w:id="76"/>
    </w:p>
    <w:p>
      <w:pPr>
        <w:pStyle w:val="7"/>
        <w:ind w:left="0"/>
        <w:rPr>
          <w:rFonts w:hint="default"/>
          <w:szCs w:val="18"/>
          <w:lang/>
        </w:rPr>
      </w:pPr>
    </w:p>
    <w:p>
      <w:pPr>
        <w:pStyle w:val="7"/>
        <w:ind w:left="0"/>
        <w:rPr>
          <w:rFonts w:hint="default"/>
          <w:szCs w:val="18"/>
          <w:lang/>
        </w:rPr>
      </w:pPr>
      <w:r>
        <w:rPr>
          <w:rFonts w:hint="default"/>
          <w:szCs w:val="18"/>
          <w:lang/>
        </w:rPr>
        <w:t>Názov položky                                                                                                    2013</w:t>
      </w:r>
    </w:p>
    <w:p>
      <w:pPr>
        <w:pStyle w:val="7"/>
        <w:ind w:left="0"/>
        <w:rPr>
          <w:rFonts w:hint="default"/>
          <w:szCs w:val="18"/>
          <w:lang/>
        </w:rPr>
      </w:pPr>
      <w:r>
        <w:rPr>
          <w:rFonts w:hint="default"/>
          <w:szCs w:val="18"/>
          <w:lang/>
        </w:rPr>
        <w:t xml:space="preserve">_____________________________________________________________________________   </w:t>
      </w:r>
    </w:p>
    <w:p>
      <w:pPr>
        <w:pStyle w:val="7"/>
        <w:ind w:left="0"/>
        <w:rPr>
          <w:rFonts w:hint="default"/>
          <w:szCs w:val="18"/>
          <w:lang/>
        </w:rPr>
      </w:pPr>
      <w:r>
        <w:rPr>
          <w:rFonts w:hint="default"/>
          <w:szCs w:val="18"/>
          <w:lang/>
        </w:rPr>
        <w:t>Účtovný zisk                                                                                             3246</w:t>
      </w:r>
    </w:p>
    <w:p>
      <w:pPr>
        <w:pStyle w:val="7"/>
        <w:rPr>
          <w:szCs w:val="18"/>
        </w:rPr>
      </w:pPr>
    </w:p>
    <w:p>
      <w:pPr>
        <w:pStyle w:val="7"/>
        <w:ind w:left="0"/>
        <w:rPr>
          <w:szCs w:val="18"/>
        </w:rPr>
      </w:pPr>
      <w:bookmarkStart w:id="77" w:name="_MON_1405948121"/>
      <w:bookmarkEnd w:id="77"/>
    </w:p>
    <w:p>
      <w:pPr>
        <w:pStyle w:val="7"/>
        <w:rPr>
          <w:szCs w:val="18"/>
        </w:rPr>
      </w:pPr>
    </w:p>
    <w:p>
      <w:pPr>
        <w:pStyle w:val="7"/>
        <w:pBdr>
          <w:bottom w:val="single" w:color="auto" w:sz="12" w:space="0"/>
        </w:pBdr>
        <w:ind w:left="0"/>
        <w:rPr>
          <w:rFonts w:hint="default"/>
          <w:b/>
          <w:bCs/>
          <w:szCs w:val="18"/>
          <w:lang/>
        </w:rPr>
      </w:pPr>
    </w:p>
    <w:p>
      <w:pPr>
        <w:pStyle w:val="7"/>
        <w:pBdr>
          <w:bottom w:val="single" w:color="auto" w:sz="12" w:space="0"/>
        </w:pBdr>
        <w:ind w:left="0"/>
        <w:rPr>
          <w:rFonts w:hint="default"/>
          <w:b/>
          <w:bCs/>
          <w:szCs w:val="18"/>
          <w:lang/>
        </w:rPr>
      </w:pPr>
    </w:p>
    <w:p>
      <w:pPr>
        <w:pStyle w:val="7"/>
        <w:pBdr>
          <w:bottom w:val="single" w:color="auto" w:sz="12" w:space="0"/>
        </w:pBdr>
        <w:ind w:left="0"/>
        <w:rPr>
          <w:rFonts w:hint="default"/>
          <w:b/>
          <w:bCs/>
          <w:szCs w:val="18"/>
          <w:lang/>
        </w:rPr>
      </w:pPr>
      <w:r>
        <w:rPr>
          <w:rFonts w:hint="default"/>
          <w:b/>
          <w:bCs/>
          <w:szCs w:val="18"/>
          <w:lang/>
        </w:rPr>
        <w:t>Rozdelenie účtovného zisku                                                                                      2013</w:t>
      </w:r>
    </w:p>
    <w:p>
      <w:pPr>
        <w:pStyle w:val="7"/>
        <w:ind w:left="0"/>
        <w:rPr>
          <w:rFonts w:hint="default"/>
          <w:b w:val="0"/>
          <w:bCs w:val="0"/>
          <w:szCs w:val="18"/>
          <w:lang/>
        </w:rPr>
      </w:pPr>
      <w:r>
        <w:rPr>
          <w:rFonts w:hint="default"/>
          <w:b w:val="0"/>
          <w:bCs w:val="0"/>
          <w:szCs w:val="18"/>
          <w:lang/>
        </w:rPr>
        <w:t>Prídel do zákonného rezervného fondu                                                                   3246</w:t>
      </w:r>
    </w:p>
    <w:p>
      <w:pPr>
        <w:pStyle w:val="7"/>
        <w:ind w:left="0"/>
        <w:rPr>
          <w:rFonts w:hint="default"/>
          <w:b w:val="0"/>
          <w:bCs w:val="0"/>
          <w:szCs w:val="18"/>
          <w:lang/>
        </w:rPr>
      </w:pPr>
      <w:r>
        <w:rPr>
          <w:rFonts w:hint="default"/>
          <w:b w:val="0"/>
          <w:bCs w:val="0"/>
          <w:szCs w:val="18"/>
          <w:lang/>
        </w:rPr>
        <w:t>Prídel do štatutárnych a ostatných fondov</w:t>
      </w:r>
    </w:p>
    <w:p>
      <w:pPr>
        <w:pStyle w:val="7"/>
        <w:ind w:left="0"/>
        <w:rPr>
          <w:rFonts w:hint="default"/>
          <w:b w:val="0"/>
          <w:bCs w:val="0"/>
          <w:szCs w:val="18"/>
          <w:lang/>
        </w:rPr>
      </w:pPr>
      <w:r>
        <w:rPr>
          <w:rFonts w:hint="default"/>
          <w:b w:val="0"/>
          <w:bCs w:val="0"/>
          <w:szCs w:val="18"/>
          <w:lang/>
        </w:rPr>
        <w:t>Prídel do sociálneho fondu</w:t>
      </w:r>
    </w:p>
    <w:p>
      <w:pPr>
        <w:pStyle w:val="7"/>
        <w:ind w:left="0"/>
        <w:rPr>
          <w:rFonts w:hint="default"/>
          <w:b w:val="0"/>
          <w:bCs w:val="0"/>
          <w:szCs w:val="18"/>
          <w:lang/>
        </w:rPr>
      </w:pPr>
      <w:r>
        <w:rPr>
          <w:rFonts w:hint="default"/>
          <w:b w:val="0"/>
          <w:bCs w:val="0"/>
          <w:szCs w:val="18"/>
          <w:lang/>
        </w:rPr>
        <w:t>Prídel na zvýšenie základného imania</w:t>
      </w:r>
    </w:p>
    <w:p>
      <w:pPr>
        <w:pStyle w:val="7"/>
        <w:ind w:left="0"/>
        <w:rPr>
          <w:rFonts w:hint="default"/>
          <w:b w:val="0"/>
          <w:bCs w:val="0"/>
          <w:szCs w:val="18"/>
          <w:lang/>
        </w:rPr>
      </w:pPr>
      <w:r>
        <w:rPr>
          <w:rFonts w:hint="default"/>
          <w:b w:val="0"/>
          <w:bCs w:val="0"/>
          <w:szCs w:val="18"/>
          <w:lang/>
        </w:rPr>
        <w:t>Úhrada straty minulých období</w:t>
      </w:r>
    </w:p>
    <w:p>
      <w:pPr>
        <w:pStyle w:val="7"/>
        <w:ind w:left="0"/>
        <w:rPr>
          <w:rFonts w:hint="default"/>
          <w:b w:val="0"/>
          <w:bCs w:val="0"/>
          <w:szCs w:val="18"/>
          <w:lang/>
        </w:rPr>
      </w:pPr>
      <w:r>
        <w:rPr>
          <w:rFonts w:hint="default"/>
          <w:b w:val="0"/>
          <w:bCs w:val="0"/>
          <w:szCs w:val="18"/>
          <w:lang/>
        </w:rPr>
        <w:t xml:space="preserve">Prevod do nerozdeleného zsku minulých rokov                                             </w:t>
      </w:r>
    </w:p>
    <w:p>
      <w:pPr>
        <w:pStyle w:val="7"/>
        <w:ind w:left="0"/>
        <w:rPr>
          <w:rFonts w:hint="default"/>
          <w:b w:val="0"/>
          <w:bCs w:val="0"/>
          <w:szCs w:val="18"/>
          <w:lang/>
        </w:rPr>
      </w:pPr>
      <w:r>
        <w:rPr>
          <w:rFonts w:hint="default"/>
          <w:b w:val="0"/>
          <w:bCs w:val="0"/>
          <w:szCs w:val="18"/>
          <w:lang/>
        </w:rPr>
        <w:t>Rozdelenie podielu na zisku spoločníkom, členom</w:t>
      </w:r>
    </w:p>
    <w:p>
      <w:pPr>
        <w:pStyle w:val="7"/>
        <w:ind w:left="0"/>
        <w:rPr>
          <w:rFonts w:hint="default"/>
          <w:b w:val="0"/>
          <w:bCs w:val="0"/>
          <w:szCs w:val="18"/>
          <w:lang/>
        </w:rPr>
      </w:pPr>
      <w:r>
        <w:rPr>
          <w:rFonts w:hint="default"/>
          <w:b w:val="0"/>
          <w:bCs w:val="0"/>
          <w:szCs w:val="18"/>
          <w:lang/>
        </w:rPr>
        <w:t>Iné</w:t>
      </w:r>
    </w:p>
    <w:p>
      <w:pPr>
        <w:pStyle w:val="7"/>
        <w:ind w:left="0"/>
        <w:rPr>
          <w:rFonts w:hint="default"/>
          <w:b w:val="0"/>
          <w:bCs w:val="0"/>
          <w:szCs w:val="18"/>
          <w:lang/>
        </w:rPr>
      </w:pPr>
      <w:r>
        <w:rPr>
          <w:rFonts w:hint="default"/>
          <w:b w:val="0"/>
          <w:bCs w:val="0"/>
          <w:szCs w:val="18"/>
          <w:lang/>
        </w:rPr>
        <w:t xml:space="preserve">                                                                                                              ____________________</w:t>
      </w:r>
    </w:p>
    <w:p>
      <w:pPr>
        <w:pStyle w:val="7"/>
        <w:ind w:left="0"/>
        <w:rPr>
          <w:rFonts w:hint="default"/>
          <w:b w:val="0"/>
          <w:bCs w:val="0"/>
          <w:szCs w:val="18"/>
          <w:lang/>
        </w:rPr>
      </w:pPr>
      <w:r>
        <w:rPr>
          <w:rFonts w:hint="default"/>
          <w:b w:val="0"/>
          <w:bCs w:val="0"/>
          <w:szCs w:val="18"/>
          <w:lang/>
        </w:rPr>
        <w:t>Spolu                                                                                                                       3246</w:t>
      </w:r>
    </w:p>
    <w:p>
      <w:pPr>
        <w:pStyle w:val="7"/>
        <w:ind w:left="0"/>
        <w:rPr>
          <w:szCs w:val="18"/>
        </w:rPr>
      </w:pPr>
    </w:p>
    <w:p>
      <w:pPr>
        <w:pStyle w:val="7"/>
        <w:ind w:left="0"/>
        <w:rPr>
          <w:szCs w:val="18"/>
        </w:rPr>
      </w:pPr>
      <w:r>
        <w:rPr>
          <w:szCs w:val="18"/>
        </w:rPr>
        <w:t xml:space="preserve">O rozdelení výsledku hospodárenia za účtovné obdobie 2014 vo výške </w:t>
      </w:r>
      <w:r>
        <w:rPr>
          <w:rFonts w:hint="default"/>
          <w:szCs w:val="18"/>
          <w:lang/>
        </w:rPr>
        <w:t>13673</w:t>
      </w:r>
      <w:r>
        <w:rPr>
          <w:szCs w:val="18"/>
        </w:rPr>
        <w:t xml:space="preserve"> EUR rozhodne valné zhromaždenie. Návrh štatutárneho orgánu valnému zhromaždeniu je takýto:</w:t>
      </w:r>
    </w:p>
    <w:p>
      <w:pPr>
        <w:pStyle w:val="7"/>
        <w:numPr>
          <w:ilvl w:val="0"/>
          <w:numId w:val="7"/>
        </w:numPr>
        <w:rPr>
          <w:szCs w:val="18"/>
        </w:rPr>
      </w:pPr>
      <w:r>
        <w:rPr>
          <w:szCs w:val="18"/>
        </w:rPr>
        <w:t>prídel do sociálneho fondu ,</w:t>
      </w:r>
    </w:p>
    <w:p>
      <w:pPr>
        <w:pStyle w:val="7"/>
        <w:numPr>
          <w:ilvl w:val="0"/>
          <w:numId w:val="7"/>
        </w:numPr>
        <w:rPr>
          <w:szCs w:val="18"/>
        </w:rPr>
      </w:pPr>
      <w:r>
        <w:rPr>
          <w:szCs w:val="18"/>
        </w:rPr>
        <w:t xml:space="preserve">prevod na nerozdelený zisk minulých rokov </w:t>
      </w:r>
    </w:p>
    <w:p>
      <w:pPr>
        <w:pStyle w:val="7"/>
        <w:rPr>
          <w:szCs w:val="18"/>
        </w:rPr>
      </w:pPr>
    </w:p>
    <w:p>
      <w:pPr>
        <w:pStyle w:val="7"/>
        <w:ind w:left="0"/>
        <w:rPr>
          <w:szCs w:val="18"/>
        </w:rPr>
      </w:pPr>
      <w:r>
        <w:rPr>
          <w:szCs w:val="18"/>
        </w:rPr>
        <w:t>Povinný prídel do zákonného rezervného fondu nie je potrebný, pretože zákonný rezervný fond už dosiahol svoju maximálnu hranicu stanovenú v právnych predpisoch a v spoločenskej zmluve.</w:t>
      </w:r>
    </w:p>
    <w:p>
      <w:pPr>
        <w:pStyle w:val="7"/>
        <w:rPr>
          <w:szCs w:val="18"/>
        </w:rPr>
      </w:pPr>
    </w:p>
    <w:p>
      <w:pPr>
        <w:pStyle w:val="7"/>
        <w:rPr>
          <w:szCs w:val="18"/>
        </w:rPr>
      </w:pPr>
    </w:p>
    <w:p>
      <w:pPr>
        <w:pStyle w:val="7"/>
        <w:ind w:left="0"/>
        <w:rPr>
          <w:i/>
          <w:szCs w:val="18"/>
        </w:rPr>
      </w:pPr>
    </w:p>
    <w:p>
      <w:pPr>
        <w:pStyle w:val="7"/>
        <w:rPr>
          <w:i/>
          <w:szCs w:val="18"/>
        </w:rPr>
      </w:pPr>
    </w:p>
    <w:p>
      <w:pPr>
        <w:pStyle w:val="7"/>
        <w:ind w:left="0"/>
        <w:rPr>
          <w:szCs w:val="18"/>
        </w:rPr>
      </w:pPr>
      <w:r>
        <w:rPr>
          <w:szCs w:val="18"/>
        </w:rPr>
        <w:t>Účtovná strata za rok 2013 bola vysporiadaná takto:</w:t>
      </w:r>
    </w:p>
    <w:p>
      <w:pPr>
        <w:pStyle w:val="7"/>
        <w:ind w:left="0"/>
        <w:rPr>
          <w:szCs w:val="18"/>
        </w:rPr>
      </w:pPr>
      <w:bookmarkStart w:id="78" w:name="_MON_1405948157"/>
      <w:bookmarkEnd w:id="78"/>
      <w:bookmarkStart w:id="79" w:name="_Toc530739926"/>
      <w:r>
        <w:rPr>
          <w:rFonts w:ascii="Times New Roman" w:hAnsi="Times New Roman" w:eastAsia="Times New Roman" w:cs="Times New Roman"/>
          <w:sz w:val="18"/>
          <w:szCs w:val="18"/>
          <w:lang w:eastAsia="en-US" w:bidi="ar-SA"/>
        </w:rPr>
        <w:object>
          <v:shape id="Picture 56" type="#_x0000_t75" style="height:36pt;width:345.75pt;rotation:0f;" o:ole="t" fillcolor="#FFFFFF" filled="f" o:preferrelative="f" stroked="f" coordorigin="0,0" coordsize="21600,21600">
            <v:fill on="f" color2="#FFFFFF" focus="0%"/>
            <v:imagedata gain="65536f" blacklevel="0f" gamma="0" o:title="" r:id="rId85"/>
            <o:lock v:ext="edit" position="f" selection="f" grouping="f" rotation="f" cropping="f" text="f" aspectratio="t"/>
            <w10:wrap type="none"/>
            <w10:anchorlock/>
          </v:shape>
          <o:OLEObject Type="Embed" ProgID="Excel.Sheet.12" ShapeID="Picture 56" DrawAspect="Content" ObjectID="_64" r:id="rId84"/>
        </w:object>
      </w:r>
    </w:p>
    <w:p>
      <w:pPr>
        <w:pStyle w:val="7"/>
        <w:rPr>
          <w:szCs w:val="18"/>
        </w:rPr>
      </w:pPr>
    </w:p>
    <w:p>
      <w:pPr>
        <w:pStyle w:val="7"/>
        <w:ind w:left="0"/>
        <w:rPr>
          <w:szCs w:val="18"/>
        </w:rPr>
      </w:pPr>
      <w:bookmarkStart w:id="80" w:name="_MON_1405948211"/>
      <w:bookmarkEnd w:id="80"/>
      <w:r>
        <w:rPr>
          <w:rFonts w:ascii="Times New Roman" w:hAnsi="Times New Roman" w:eastAsia="Times New Roman" w:cs="Times New Roman"/>
          <w:sz w:val="18"/>
          <w:szCs w:val="18"/>
          <w:lang w:eastAsia="en-US" w:bidi="ar-SA"/>
        </w:rPr>
        <w:object>
          <v:shape id="Picture 57" type="#_x0000_t75" style="height:117pt;width:345pt;rotation:0f;" o:ole="t" fillcolor="#FFFFFF" filled="f" o:preferrelative="f" stroked="f" coordorigin="0,0" coordsize="21600,21600">
            <v:fill on="f" color2="#FFFFFF" focus="0%"/>
            <v:imagedata gain="65536f" blacklevel="0f" gamma="0" o:title="" r:id="rId87"/>
            <o:lock v:ext="edit" position="f" selection="f" grouping="f" rotation="f" cropping="f" text="f" aspectratio="f"/>
            <w10:wrap type="none"/>
            <w10:anchorlock/>
          </v:shape>
          <o:OLEObject Type="Embed" ProgID="Excel.Sheet.12" ShapeID="Picture 57" DrawAspect="Content" ObjectID="_116" r:id="rId86"/>
        </w:object>
      </w:r>
    </w:p>
    <w:p>
      <w:pPr>
        <w:spacing w:after="200" w:line="276" w:lineRule="auto"/>
        <w:rPr>
          <w:b/>
          <w:caps/>
          <w:sz w:val="18"/>
          <w:szCs w:val="18"/>
        </w:rPr>
      </w:pPr>
      <w:r>
        <w:rPr>
          <w:sz w:val="18"/>
          <w:szCs w:val="18"/>
        </w:rPr>
        <w:br w:type="page"/>
      </w:r>
    </w:p>
    <w:p>
      <w:pPr>
        <w:ind w:left="426"/>
        <w:rPr>
          <w:sz w:val="18"/>
          <w:szCs w:val="18"/>
        </w:rPr>
      </w:pPr>
    </w:p>
    <w:p>
      <w:pPr>
        <w:pStyle w:val="21"/>
        <w:ind w:left="426"/>
        <w:rPr>
          <w:sz w:val="18"/>
          <w:szCs w:val="18"/>
        </w:rPr>
      </w:pPr>
    </w:p>
    <w:p>
      <w:pPr>
        <w:spacing w:after="200" w:line="276" w:lineRule="auto"/>
        <w:rPr>
          <w:sz w:val="18"/>
          <w:szCs w:val="18"/>
        </w:rPr>
      </w:pPr>
      <w:r>
        <w:rPr>
          <w:sz w:val="18"/>
          <w:szCs w:val="18"/>
        </w:rPr>
        <w:br w:type="page"/>
      </w:r>
    </w:p>
    <w:p>
      <w:pPr>
        <w:ind w:firstLine="426"/>
        <w:rPr>
          <w:sz w:val="18"/>
          <w:szCs w:val="18"/>
        </w:rPr>
      </w:pPr>
      <w:r>
        <w:rPr>
          <w:sz w:val="18"/>
          <w:szCs w:val="18"/>
        </w:rPr>
        <w:t>Informácie o prijatých úveroch, prečerpaniach úverov a prijatých kapitálových príspevkov:</w:t>
      </w:r>
    </w:p>
    <w:p>
      <w:pPr>
        <w:ind w:left="426"/>
        <w:rPr>
          <w:b/>
          <w:caps/>
          <w:sz w:val="18"/>
          <w:szCs w:val="18"/>
        </w:rPr>
      </w:pPr>
      <w:bookmarkStart w:id="81" w:name="_MON_1406099690"/>
      <w:bookmarkEnd w:id="81"/>
      <w:r>
        <w:rPr>
          <w:rFonts w:ascii="Times New Roman" w:hAnsi="Times New Roman" w:eastAsia="Times New Roman" w:cs="Times New Roman"/>
          <w:sz w:val="18"/>
          <w:szCs w:val="18"/>
          <w:lang w:eastAsia="en-US" w:bidi="ar-SA"/>
        </w:rPr>
        <w:object>
          <v:shape id="Picture 58" type="#_x0000_t75" style="height:207pt;width:441pt;rotation:0f;" o:ole="t" fillcolor="#FFFFFF" filled="f" o:preferrelative="f" stroked="f" coordorigin="0,0" coordsize="21600,21600">
            <v:fill on="f" color2="#FFFFFF" focus="0%"/>
            <v:imagedata gain="65536f" blacklevel="0f" gamma="0" o:title="" r:id="rId89"/>
            <o:lock v:ext="edit" position="f" selection="f" grouping="f" rotation="f" cropping="f" text="f" aspectratio="f"/>
            <w10:wrap type="none"/>
            <w10:anchorlock/>
          </v:shape>
          <o:OLEObject Type="Embed" ProgID="Excel.Sheet.12" ShapeID="Picture 58" DrawAspect="Content" ObjectID="_118" r:id="rId88"/>
        </w:object>
      </w:r>
    </w:p>
    <w:p>
      <w:pPr>
        <w:pStyle w:val="2"/>
        <w:numPr>
          <w:ilvl w:val="0"/>
          <w:numId w:val="0"/>
        </w:numPr>
        <w:spacing w:before="120" w:after="60"/>
        <w:ind w:left="426"/>
        <w:rPr>
          <w:b w:val="0"/>
          <w:caps w:val="0"/>
          <w:szCs w:val="18"/>
        </w:rPr>
      </w:pPr>
    </w:p>
    <w:p>
      <w:pPr>
        <w:pStyle w:val="2"/>
        <w:numPr>
          <w:ilvl w:val="0"/>
          <w:numId w:val="0"/>
        </w:numPr>
        <w:spacing w:before="120" w:after="60"/>
        <w:ind w:left="450" w:hanging="24"/>
        <w:rPr>
          <w:szCs w:val="18"/>
        </w:rPr>
      </w:pPr>
      <w:bookmarkStart w:id="82" w:name="_MON_1406096943"/>
      <w:bookmarkEnd w:id="82"/>
      <w:r>
        <w:rPr>
          <w:rFonts w:ascii="Times New Roman" w:hAnsi="Times New Roman" w:eastAsia="Times New Roman" w:cs="Times New Roman"/>
          <w:b/>
          <w:caps/>
          <w:sz w:val="18"/>
          <w:szCs w:val="18"/>
          <w:lang w:eastAsia="en-US" w:bidi="ar-SA"/>
        </w:rPr>
        <w:object>
          <v:shape id="Picture 59" type="#_x0000_t75" style="height:112.5pt;width:441pt;rotation:0f;" o:ole="t" fillcolor="#FFFFFF" filled="f" o:preferrelative="f" stroked="f" coordorigin="0,0" coordsize="21600,21600">
            <v:fill on="f" color2="#FFFFFF" focus="0%"/>
            <v:imagedata gain="65536f" blacklevel="0f" gamma="0" o:title="" r:id="rId91"/>
            <o:lock v:ext="edit" position="f" selection="f" grouping="f" rotation="f" cropping="f" text="f" aspectratio="f"/>
            <w10:wrap type="none"/>
            <w10:anchorlock/>
          </v:shape>
          <o:OLEObject Type="Embed" ProgID="Excel.Sheet.12" ShapeID="Picture 59" DrawAspect="Content" ObjectID="_119" r:id="rId90"/>
        </w:object>
      </w:r>
    </w:p>
    <w:p>
      <w:pPr>
        <w:pStyle w:val="2"/>
        <w:numPr>
          <w:ilvl w:val="0"/>
          <w:numId w:val="0"/>
        </w:numPr>
        <w:spacing w:before="120" w:after="60"/>
        <w:ind w:left="360"/>
        <w:rPr>
          <w:szCs w:val="18"/>
        </w:rPr>
      </w:pPr>
    </w:p>
    <w:p>
      <w:pPr>
        <w:spacing w:after="200" w:line="276" w:lineRule="auto"/>
        <w:rPr>
          <w:b/>
          <w:caps/>
          <w:sz w:val="18"/>
          <w:szCs w:val="18"/>
        </w:rPr>
      </w:pPr>
      <w:r>
        <w:rPr>
          <w:sz w:val="18"/>
          <w:szCs w:val="18"/>
        </w:rPr>
        <w:br w:type="page"/>
      </w:r>
    </w:p>
    <w:p>
      <w:pPr>
        <w:pStyle w:val="2"/>
        <w:tabs>
          <w:tab w:val="left" w:pos="360"/>
          <w:tab w:val="clear" w:pos="450"/>
        </w:tabs>
        <w:spacing w:before="120" w:after="60"/>
        <w:ind w:left="360"/>
        <w:rPr>
          <w:szCs w:val="18"/>
        </w:rPr>
      </w:pPr>
      <w:r>
        <w:rPr>
          <w:szCs w:val="18"/>
        </w:rPr>
        <w:t xml:space="preserve">informácie účtovných jednotiek, ktorým bolo udelené výlučné právo alebo osobitné právo a účtovných jednotiek, ktorým bolo udelené právo poskytovať služby vo verejnom záujme </w:t>
      </w:r>
    </w:p>
    <w:p>
      <w:pPr>
        <w:pStyle w:val="2"/>
        <w:numPr>
          <w:ilvl w:val="0"/>
          <w:numId w:val="0"/>
        </w:numPr>
        <w:spacing w:before="120" w:after="60"/>
        <w:ind w:left="709" w:hanging="349"/>
        <w:rPr>
          <w:b w:val="0"/>
          <w:caps w:val="0"/>
          <w:szCs w:val="18"/>
        </w:rPr>
      </w:pPr>
    </w:p>
    <w:p>
      <w:pPr>
        <w:pStyle w:val="2"/>
        <w:numPr>
          <w:ilvl w:val="0"/>
          <w:numId w:val="0"/>
        </w:numPr>
        <w:spacing w:before="120" w:after="60"/>
        <w:ind w:left="709" w:hanging="349"/>
        <w:rPr>
          <w:b w:val="0"/>
          <w:caps w:val="0"/>
          <w:szCs w:val="18"/>
        </w:rPr>
      </w:pPr>
      <w:r>
        <w:rPr>
          <w:b w:val="0"/>
          <w:caps w:val="0"/>
          <w:szCs w:val="18"/>
        </w:rPr>
        <w:t>Uvedú sa informácie o:</w:t>
      </w:r>
    </w:p>
    <w:p>
      <w:pPr>
        <w:pStyle w:val="2"/>
        <w:numPr>
          <w:ilvl w:val="0"/>
          <w:numId w:val="8"/>
        </w:numPr>
        <w:spacing w:before="120" w:after="60"/>
        <w:ind w:left="709" w:hanging="349"/>
        <w:rPr>
          <w:b w:val="0"/>
          <w:caps w:val="0"/>
          <w:szCs w:val="18"/>
        </w:rPr>
      </w:pPr>
      <w:r>
        <w:rPr>
          <w:b w:val="0"/>
          <w:caps w:val="0"/>
          <w:szCs w:val="18"/>
        </w:rPr>
        <w:t>všetkých formách prijatej náhrady,</w:t>
      </w:r>
    </w:p>
    <w:p>
      <w:pPr>
        <w:pStyle w:val="2"/>
        <w:numPr>
          <w:ilvl w:val="0"/>
          <w:numId w:val="8"/>
        </w:numPr>
        <w:spacing w:before="120" w:after="60"/>
        <w:ind w:left="709" w:hanging="349"/>
        <w:rPr>
          <w:b w:val="0"/>
          <w:caps w:val="0"/>
          <w:szCs w:val="18"/>
        </w:rPr>
      </w:pPr>
      <w:r>
        <w:rPr>
          <w:b w:val="0"/>
          <w:caps w:val="0"/>
          <w:szCs w:val="18"/>
        </w:rPr>
        <w:t>účtovných zásadách použitých pri priraďovaní nákladov a výnosov,</w:t>
      </w:r>
    </w:p>
    <w:p>
      <w:pPr>
        <w:pStyle w:val="2"/>
        <w:numPr>
          <w:ilvl w:val="0"/>
          <w:numId w:val="8"/>
        </w:numPr>
        <w:spacing w:before="120" w:after="60"/>
        <w:ind w:left="709" w:hanging="349"/>
        <w:rPr>
          <w:b w:val="0"/>
          <w:caps w:val="0"/>
          <w:szCs w:val="18"/>
        </w:rPr>
      </w:pPr>
      <w:r>
        <w:rPr>
          <w:b w:val="0"/>
          <w:caps w:val="0"/>
          <w:szCs w:val="18"/>
        </w:rPr>
        <w:t>organizačnej štruktúre účtovnej jednotky a jednotlivých činnostiach,</w:t>
      </w:r>
    </w:p>
    <w:p>
      <w:pPr>
        <w:pStyle w:val="2"/>
        <w:numPr>
          <w:ilvl w:val="0"/>
          <w:numId w:val="8"/>
        </w:numPr>
        <w:spacing w:before="120" w:after="60"/>
        <w:ind w:left="709" w:hanging="349"/>
        <w:rPr>
          <w:b w:val="0"/>
          <w:caps w:val="0"/>
          <w:szCs w:val="18"/>
        </w:rPr>
      </w:pPr>
      <w:r>
        <w:rPr>
          <w:b w:val="0"/>
          <w:caps w:val="0"/>
          <w:szCs w:val="18"/>
        </w:rPr>
        <w:t>všetkých druhoch činností účtovnej jednotky.</w:t>
      </w:r>
    </w:p>
    <w:p>
      <w:pPr>
        <w:pStyle w:val="2"/>
        <w:numPr>
          <w:ilvl w:val="0"/>
          <w:numId w:val="8"/>
        </w:numPr>
        <w:spacing w:before="120" w:after="60"/>
        <w:rPr>
          <w:b w:val="0"/>
          <w:caps w:val="0"/>
          <w:szCs w:val="18"/>
        </w:rPr>
      </w:pPr>
      <w:r>
        <w:rPr>
          <w:b w:val="0"/>
          <w:caps w:val="0"/>
          <w:szCs w:val="18"/>
        </w:rPr>
        <w:br w:type="page"/>
      </w:r>
    </w:p>
    <w:p>
      <w:pPr>
        <w:pStyle w:val="2"/>
        <w:tabs>
          <w:tab w:val="left" w:pos="360"/>
          <w:tab w:val="clear" w:pos="450"/>
        </w:tabs>
        <w:spacing w:before="120" w:after="60"/>
        <w:ind w:left="360"/>
        <w:rPr>
          <w:szCs w:val="18"/>
        </w:rPr>
      </w:pPr>
      <w:r>
        <w:rPr>
          <w:szCs w:val="18"/>
        </w:rPr>
        <w:t xml:space="preserve">Prehľad peňažných tokov k 31. decembru </w:t>
      </w:r>
      <w:bookmarkEnd w:id="79"/>
      <w:r>
        <w:rPr>
          <w:szCs w:val="18"/>
        </w:rPr>
        <w:t>2014</w:t>
      </w:r>
    </w:p>
    <w:p>
      <w:pPr>
        <w:pStyle w:val="7"/>
        <w:rPr>
          <w:szCs w:val="18"/>
          <w:lang/>
        </w:rPr>
      </w:pPr>
      <w:bookmarkStart w:id="83" w:name="_MON_1405950641"/>
      <w:bookmarkEnd w:id="83"/>
      <w:r>
        <w:rPr>
          <w:rFonts w:ascii="Times New Roman" w:hAnsi="Times New Roman" w:eastAsia="Times New Roman" w:cs="Times New Roman"/>
          <w:sz w:val="18"/>
          <w:szCs w:val="18"/>
          <w:lang w:eastAsia="en-US" w:bidi="ar-SA"/>
        </w:rPr>
        <w:object>
          <v:shape id="Picture 60" type="#_x0000_t75" style="height:333pt;width:329.25pt;rotation:0f;" o:ole="t" fillcolor="#FFFFFF" filled="f" o:preferrelative="f" stroked="f" coordorigin="0,0" coordsize="21600,21600">
            <v:fill on="f" color2="#FFFFFF" focus="0%"/>
            <v:imagedata gain="65536f" blacklevel="0f" gamma="0" o:title="" r:id="rId93"/>
            <o:lock v:ext="edit" position="f" selection="f" grouping="f" rotation="f" cropping="f" text="f" aspectratio="f"/>
            <w10:wrap type="none"/>
            <w10:anchorlock/>
          </v:shape>
          <o:OLEObject Type="Embed" ProgID="Excel.Sheet.12" ShapeID="Picture 60" DrawAspect="Content" ObjectID="_121" r:id="rId92"/>
        </w:object>
      </w:r>
    </w:p>
    <w:p>
      <w:pPr>
        <w:pStyle w:val="7"/>
        <w:ind w:left="0"/>
        <w:rPr>
          <w:szCs w:val="18"/>
        </w:rPr>
      </w:pPr>
      <w:r>
        <w:rPr>
          <w:b/>
          <w:szCs w:val="18"/>
          <w:highlight w:val="yellow"/>
          <w:lang/>
        </w:rPr>
        <w:br w:type="page"/>
      </w:r>
      <w:r>
        <w:rPr>
          <w:b/>
          <w:szCs w:val="18"/>
        </w:rPr>
        <w:t>Peňažné toky z prevádzky</w:t>
      </w:r>
    </w:p>
    <w:p>
      <w:pPr>
        <w:pStyle w:val="7"/>
        <w:ind w:left="0"/>
        <w:rPr>
          <w:szCs w:val="18"/>
          <w:lang/>
        </w:rPr>
      </w:pPr>
      <w:bookmarkStart w:id="84" w:name="_MON_1405950650"/>
      <w:bookmarkEnd w:id="84"/>
      <w:r>
        <w:rPr>
          <w:rFonts w:ascii="Times New Roman" w:hAnsi="Times New Roman" w:eastAsia="Times New Roman" w:cs="Times New Roman"/>
          <w:sz w:val="18"/>
          <w:szCs w:val="18"/>
          <w:lang w:eastAsia="en-US" w:bidi="ar-SA"/>
        </w:rPr>
        <w:object>
          <v:shape id="Picture 61" type="#_x0000_t75" style="height:274.5pt;width:346.5pt;rotation:0f;" o:ole="t" fillcolor="#FFFFFF" filled="f" o:preferrelative="f" stroked="f" coordorigin="0,0" coordsize="21600,21600">
            <v:fill on="f" color2="#FFFFFF" focus="0%"/>
            <v:imagedata gain="65536f" blacklevel="0f" gamma="0" o:title="" r:id="rId95"/>
            <o:lock v:ext="edit" position="f" selection="f" grouping="f" rotation="f" cropping="f" text="f" aspectratio="f"/>
            <w10:wrap type="none"/>
            <w10:anchorlock/>
          </v:shape>
          <o:OLEObject Type="Embed" ProgID="Excel.Sheet.12" ShapeID="Picture 61" DrawAspect="Content" ObjectID="_122" r:id="rId94"/>
        </w:object>
      </w:r>
    </w:p>
    <w:p>
      <w:pPr>
        <w:pStyle w:val="7"/>
        <w:ind w:left="0"/>
        <w:rPr>
          <w:b/>
          <w:szCs w:val="18"/>
        </w:rPr>
      </w:pPr>
      <w:r>
        <w:rPr>
          <w:b/>
          <w:szCs w:val="18"/>
        </w:rPr>
        <w:t>Peňažné prostriedky</w:t>
      </w:r>
    </w:p>
    <w:p>
      <w:pPr>
        <w:pStyle w:val="7"/>
        <w:rPr>
          <w:b/>
          <w:szCs w:val="18"/>
        </w:rPr>
      </w:pPr>
    </w:p>
    <w:p>
      <w:pPr>
        <w:pStyle w:val="7"/>
        <w:ind w:left="0"/>
        <w:rPr>
          <w:szCs w:val="18"/>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7"/>
        <w:rPr>
          <w:szCs w:val="18"/>
        </w:rPr>
      </w:pPr>
    </w:p>
    <w:p>
      <w:pPr>
        <w:pStyle w:val="7"/>
        <w:ind w:left="0"/>
        <w:rPr>
          <w:b/>
          <w:szCs w:val="18"/>
        </w:rPr>
      </w:pPr>
      <w:r>
        <w:rPr>
          <w:b/>
          <w:szCs w:val="18"/>
        </w:rPr>
        <w:t>Ekvivalenty peňažných prostriedkov</w:t>
      </w:r>
    </w:p>
    <w:p>
      <w:pPr>
        <w:pStyle w:val="7"/>
        <w:rPr>
          <w:szCs w:val="18"/>
        </w:rPr>
      </w:pPr>
    </w:p>
    <w:p>
      <w:pPr>
        <w:pStyle w:val="7"/>
        <w:ind w:left="0"/>
        <w:rPr>
          <w:szCs w:val="18"/>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pPr>
        <w:pStyle w:val="7"/>
        <w:ind w:left="0"/>
        <w:rPr>
          <w:szCs w:val="18"/>
        </w:rPr>
      </w:pPr>
      <w:bookmarkStart w:id="85" w:name="_GoBack"/>
      <w:bookmarkEnd w:id="85"/>
    </w:p>
    <w:sectPr>
      <w:pgSz w:w="11906" w:h="16838"/>
      <w:pgMar w:top="1979" w:right="992" w:bottom="1134" w:left="1673" w:header="675" w:footer="340"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00007A87" w:usb1="80000000" w:usb2="00000008" w:usb3="00000000" w:csb0="400001FF" w:csb1="FFFF0000"/>
  </w:font>
  <w:font w:name="宋体">
    <w:altName w:val="Times New Roman"/>
    <w:panose1 w:val="02010600030101010101"/>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EE"/>
    <w:family w:val="swiss"/>
    <w:pitch w:val="default"/>
    <w:sig w:usb0="00007A87" w:usb1="80000000" w:usb2="00000008" w:usb3="00000000" w:csb0="400001FF" w:csb1="FFFF0000"/>
  </w:font>
  <w:font w:name="黑体">
    <w:altName w:val="Arial Unicode MS"/>
    <w:panose1 w:val="02010600030101010101"/>
    <w:charset w:val="86"/>
    <w:family w:val="auto"/>
    <w:pitch w:val="default"/>
    <w:sig w:usb0="00000001" w:usb1="080E0000" w:usb2="00000010" w:usb3="00000000" w:csb0="00040000" w:csb1="00000000"/>
  </w:font>
  <w:font w:name="Courier New">
    <w:panose1 w:val="02070309020205020404"/>
    <w:charset w:val="EE"/>
    <w:family w:val="modern"/>
    <w:pitch w:val="default"/>
    <w:sig w:usb0="00007A87" w:usb1="80000000" w:usb2="00000008" w:usb3="00000000" w:csb0="400001FF" w:csb1="FFFF0000"/>
  </w:font>
  <w:font w:name="SimSun">
    <w:altName w:val="Arial Unicode MS"/>
    <w:panose1 w:val="02010600030101010101"/>
    <w:charset w:val="86"/>
    <w:family w:val="auto"/>
    <w:pitch w:val="default"/>
    <w:sig w:usb0="00000003" w:usb1="080E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auto"/>
    <w:pitch w:val="default"/>
    <w:sig w:usb0="00000000" w:usb1="00000000" w:usb2="00000000" w:usb3="00000000" w:csb0="80000000" w:csb1="00000000"/>
  </w:font>
  <w:font w:name="Cambria">
    <w:panose1 w:val="02040503050406030204"/>
    <w:charset w:val="EE"/>
    <w:family w:val="auto"/>
    <w:pitch w:val="default"/>
    <w:sig w:usb0="A00002EF" w:usb1="4000004B" w:usb2="00000000" w:usb3="00000000" w:csb0="2000009F" w:csb1="00000000"/>
  </w:font>
  <w:font w:name="Times">
    <w:altName w:val="Times New Roman"/>
    <w:panose1 w:val="02020603050405020304"/>
    <w:charset w:val="EE"/>
    <w:family w:val="auto"/>
    <w:pitch w:val="default"/>
    <w:sig w:usb0="E0002AFF" w:usb1="C0007841" w:usb2="00000009" w:usb3="00000000" w:csb0="000001FF" w:csb1="00000000"/>
  </w:font>
  <w:font w:name="Tahoma">
    <w:panose1 w:val="020B0604030504040204"/>
    <w:charset w:val="EE"/>
    <w:family w:val="auto"/>
    <w:pitch w:val="default"/>
    <w:sig w:usb0="61007A87" w:usb1="80000000" w:usb2="00000008" w:usb3="00000000" w:csb0="200101FF" w:csb1="20280000"/>
  </w:font>
  <w:font w:name="Univers 55">
    <w:altName w:val="Zekton Free"/>
    <w:panose1 w:val="02000000000000000000"/>
    <w:charset w:val="00"/>
    <w:family w:val="auto"/>
    <w:pitch w:val="default"/>
    <w:sig w:usb0="80000023" w:usb1="00000000" w:usb2="00000000" w:usb3="00000000" w:csb0="00000001" w:csb1="00000000"/>
  </w:font>
  <w:font w:name="Calibri">
    <w:panose1 w:val="020F0502020204030204"/>
    <w:charset w:val="EE"/>
    <w:family w:val="auto"/>
    <w:pitch w:val="default"/>
    <w:sig w:usb0="A00002EF" w:usb1="4000207B" w:usb2="00000000" w:usb3="00000000" w:csb0="2000009F" w:csb1="00000000"/>
  </w:font>
  <w:font w:name="Zekton Free">
    <w:panose1 w:val="02000506020000020004"/>
    <w:charset w:val="00"/>
    <w:family w:val="auto"/>
    <w:pitch w:val="default"/>
    <w:sig w:usb0="800000AF" w:usb1="0000000A" w:usb2="00000000" w:usb3="00000000" w:csb0="20000111" w:csb1="40000000"/>
  </w:font>
  <w:font w:name="Arial CE">
    <w:panose1 w:val="020B0604020102020204"/>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tabs>
        <w:tab w:val="right" w:pos="9214"/>
        <w:tab w:val="clear" w:pos="9072"/>
      </w:tabs>
    </w:pPr>
    <w:r>
      <w:rPr>
        <w:sz w:val="16"/>
        <w:szCs w:val="16"/>
        <w:lang w:val="en-US"/>
      </w:rPr>
      <w:t>© 2013 KPMG Slovensko, spol. s r. o. V</w:t>
    </w:r>
    <w:r>
      <w:rPr>
        <w:sz w:val="16"/>
        <w:szCs w:val="16"/>
      </w:rPr>
      <w:t>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pPr>
      <w:pStyle w:val="11"/>
      <w:rPr>
        <w:sz w:val="16"/>
        <w:szCs w:val="16"/>
      </w:rPr>
    </w:pPr>
  </w:p>
  <w:p>
    <w:pPr>
      <w:pStyle w:val="11"/>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right" w:pos="9214"/>
      </w:tabs>
      <w:autoSpaceDE w:val="0"/>
      <w:autoSpaceDN w:val="0"/>
      <w:adjustRightInd w:val="0"/>
      <w:rPr>
        <w:rStyle w:val="17"/>
        <w:sz w:val="16"/>
        <w:szCs w:val="16"/>
      </w:rPr>
    </w:pPr>
    <w:r>
      <w:rPr>
        <w:rStyle w:val="17"/>
        <w:b/>
      </w:rPr>
      <w:fldChar w:fldCharType="begin"/>
    </w:r>
    <w:r>
      <w:rPr>
        <w:rStyle w:val="17"/>
        <w:b/>
      </w:rPr>
      <w:instrText xml:space="preserve"> PAGE </w:instrText>
    </w:r>
    <w:r>
      <w:rPr>
        <w:rStyle w:val="17"/>
        <w:b/>
      </w:rPr>
      <w:fldChar w:fldCharType="separate"/>
    </w:r>
    <w:r>
      <w:rPr>
        <w:rStyle w:val="17"/>
        <w:b/>
      </w:rPr>
      <w:t>58</w:t>
    </w:r>
    <w:r>
      <w:rPr>
        <w:rStyle w:val="17"/>
        <w:b/>
      </w:rPr>
      <w:fldChar w:fldCharType="end"/>
    </w:r>
    <w:r>
      <w:rPr>
        <w:rStyle w:val="17"/>
        <w:sz w:val="16"/>
        <w:szCs w:val="16"/>
      </w:rPr>
      <w:tab/>
    </w:r>
    <w:r>
      <w:rPr>
        <w:sz w:val="16"/>
        <w:szCs w:val="16"/>
        <w:lang/>
      </w:rPr>
      <w:t>© 2006 KPMG Slovensko, spol. s r.o. Alle Rechte vorbehalten</w:t>
    </w:r>
    <w:r>
      <w:rPr>
        <w:sz w:val="16"/>
        <w:szCs w:val="16"/>
      </w:rPr>
      <w:t>. Gedruckt in der Slowakei.</w:t>
    </w:r>
  </w:p>
  <w:p>
    <w:pPr>
      <w:autoSpaceDE w:val="0"/>
      <w:autoSpaceDN w:val="0"/>
      <w:adjustRightInd w:val="0"/>
      <w:rPr>
        <w:sz w:val="16"/>
        <w:szCs w:val="16"/>
      </w:rPr>
    </w:pPr>
  </w:p>
  <w:p>
    <w:pPr>
      <w:pStyle w:val="11"/>
      <w:ind w:right="360"/>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both"/>
      <w:rPr>
        <w:rFonts w:ascii="Calibri" w:hAnsi="Calibri" w:cs="Calibri"/>
        <w:color w:val="1F497D"/>
        <w:sz w:val="18"/>
        <w:szCs w:val="18"/>
      </w:rPr>
    </w:pPr>
    <w:r>
      <w:rPr>
        <w:sz w:val="18"/>
        <w:szCs w:val="18"/>
      </w:rPr>
      <w:t>© 2014 KPMG Slovensko spol. s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jc w:val="right"/>
    </w:pPr>
    <w:r>
      <w:rPr>
        <w:sz w:val="16"/>
        <w:szCs w:val="16"/>
        <w:lang w:val="en-US"/>
      </w:rPr>
      <w:t>© 2014 KPMG Slovensko, spol. s r. o. V</w:t>
    </w:r>
    <w:r>
      <w:rPr>
        <w:sz w:val="16"/>
        <w:szCs w:val="16"/>
      </w:rPr>
      <w:t>šetky práva vyhradené. Vytlačené na Slovensku.</w:t>
    </w:r>
    <w:r>
      <w:rPr>
        <w:sz w:val="16"/>
        <w:szCs w:val="16"/>
      </w:rPr>
      <w:tab/>
    </w:r>
    <w:r>
      <w:fldChar w:fldCharType="begin"/>
    </w:r>
    <w:r>
      <w:instrText xml:space="preserve"> PAGE   \* MERGEFORMAT </w:instrText>
    </w:r>
    <w:r>
      <w:fldChar w:fldCharType="separate"/>
    </w:r>
    <w:r>
      <w:t>21</w:t>
    </w:r>
    <w:r>
      <w:fldChar w:fldCharType="end"/>
    </w:r>
  </w:p>
  <w:p>
    <w:pPr>
      <w:pStyle w:val="11"/>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tabs>
        <w:tab w:val="right" w:pos="9214"/>
        <w:tab w:val="clear" w:pos="9072"/>
      </w:tabs>
    </w:pPr>
    <w:r>
      <w:rPr>
        <w:sz w:val="16"/>
        <w:szCs w:val="16"/>
        <w:lang w:val="en-US"/>
      </w:rPr>
      <w:t>© 2013 KPMG Slovensko, spol. s r. o. V</w:t>
    </w:r>
    <w:r>
      <w:rPr>
        <w:sz w:val="16"/>
        <w:szCs w:val="16"/>
      </w:rPr>
      <w:t>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pPr>
      <w:pStyle w:val="11"/>
      <w:tabs>
        <w:tab w:val="right" w:pos="9214"/>
        <w:tab w:val="clear" w:pos="9072"/>
      </w:tabs>
      <w:rPr>
        <w:sz w:val="16"/>
        <w:szCs w:val="16"/>
      </w:rPr>
    </w:pPr>
  </w:p>
  <w:p>
    <w:pPr>
      <w:pStyle w:val="11"/>
      <w:tabs>
        <w:tab w:val="right" w:pos="9214"/>
        <w:tab w:val="clear" w:pos="9072"/>
      </w:tabs>
      <w:rPr>
        <w:sz w:val="16"/>
        <w:szCs w:val="16"/>
      </w:rPr>
    </w:pPr>
    <w:r>
      <w:rPr>
        <w:sz w:val="16"/>
        <w:szCs w:val="16"/>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820"/>
        <w:tab w:val="right" w:pos="9214"/>
      </w:tabs>
      <w:jc w:val="right"/>
      <w:rPr>
        <w:sz w:val="18"/>
      </w:rPr>
    </w:pPr>
  </w:p>
  <w:p>
    <w:pPr>
      <w:pStyle w:val="12"/>
      <w:tabs>
        <w:tab w:val="center" w:pos="4820"/>
        <w:tab w:val="right" w:pos="9214"/>
      </w:tabs>
      <w:jc w:val="right"/>
      <w:rPr>
        <w:sz w:val="18"/>
      </w:rPr>
    </w:pPr>
    <w:r>
      <w:rPr>
        <w:rFonts w:ascii="Times New Roman" w:hAnsi="Times New Roman" w:eastAsia="Calibri" w:cs="Times New Roman"/>
        <w:sz w:val="20"/>
        <w:szCs w:val="20"/>
        <w:lang w:bidi="ar-SA"/>
      </w:rPr>
      <w:pict>
        <v:shape id="Picture 1" o:spid="_x0000_s1025" type="#_x0000_t75" style="position:absolute;left:0;margin-top:44.25pt;height:19.2pt;width:49.6pt;mso-position-horizontal:left;mso-position-vertical-relative:page;rotation:0f;z-index:-251656192;"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r>
      <w:rPr>
        <w:sz w:val="18"/>
        <w:szCs w:val="18"/>
      </w:rPr>
      <w:t xml:space="preserve"> Vzorová účtovná závierka</w:t>
    </w:r>
  </w:p>
  <w:p>
    <w:pPr>
      <w:pStyle w:val="12"/>
      <w:tabs>
        <w:tab w:val="center" w:pos="3969"/>
        <w:tab w:val="right" w:pos="9214"/>
        <w:tab w:val="clear" w:pos="4536"/>
        <w:tab w:val="clear" w:pos="9072"/>
      </w:tabs>
      <w:jc w:val="right"/>
      <w:rPr>
        <w:sz w:val="18"/>
        <w:szCs w:val="18"/>
      </w:rPr>
    </w:pPr>
    <w:r>
      <w:rPr>
        <w:b/>
        <w:bCs/>
        <w:sz w:val="18"/>
        <w:szCs w:val="18"/>
      </w:rPr>
      <w:tab/>
    </w:r>
    <w:r>
      <w:rPr>
        <w:b/>
        <w:bCs/>
        <w:sz w:val="18"/>
        <w:szCs w:val="18"/>
      </w:rPr>
      <w:t>ABC Slovenská výroba, spol. s r. o.</w:t>
    </w:r>
    <w:r>
      <w:rPr>
        <w:b/>
        <w:bCs/>
        <w:sz w:val="18"/>
        <w:szCs w:val="18"/>
      </w:rPr>
      <w:tab/>
    </w:r>
    <w:r>
      <w:rPr>
        <w:b/>
        <w:bCs/>
        <w:sz w:val="18"/>
        <w:szCs w:val="18"/>
      </w:rPr>
      <w:t xml:space="preserve"> </w:t>
    </w:r>
    <w:r>
      <w:rPr>
        <w:sz w:val="18"/>
        <w:szCs w:val="18"/>
      </w:rPr>
      <w:t>k</w:t>
    </w:r>
    <w:r>
      <w:rPr>
        <w:b/>
        <w:bCs/>
        <w:sz w:val="18"/>
        <w:szCs w:val="18"/>
      </w:rPr>
      <w:t xml:space="preserve"> </w:t>
    </w:r>
    <w:r>
      <w:rPr>
        <w:sz w:val="18"/>
        <w:szCs w:val="18"/>
      </w:rPr>
      <w:t>31. decembru 2013</w:t>
    </w:r>
  </w:p>
  <w:p>
    <w:pPr>
      <w:pStyle w:val="12"/>
      <w:tabs>
        <w:tab w:val="center" w:pos="3969"/>
        <w:tab w:val="right" w:pos="9214"/>
        <w:tab w:val="clear" w:pos="4536"/>
        <w:tab w:val="clear" w:pos="9072"/>
      </w:tabs>
      <w:jc w:val="right"/>
      <w:rPr>
        <w:sz w:val="18"/>
        <w:szCs w:val="18"/>
      </w:rPr>
    </w:pPr>
  </w:p>
  <w:tbl>
    <w:tblPr>
      <w:tblW w:w="9338" w:type="dxa"/>
      <w:tblInd w:w="-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251"/>
      <w:gridCol w:w="4252"/>
      <w:gridCol w:w="284"/>
      <w:gridCol w:w="283"/>
      <w:gridCol w:w="284"/>
      <w:gridCol w:w="283"/>
      <w:gridCol w:w="284"/>
      <w:gridCol w:w="283"/>
      <w:gridCol w:w="284"/>
      <w:gridCol w:w="283"/>
      <w:gridCol w:w="284"/>
      <w:gridCol w:w="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299" w:hRule="atLeast"/>
      </w:trPr>
      <w:tc>
        <w:tcPr>
          <w:tcW w:w="2251" w:type="dxa"/>
          <w:vAlign w:val="center"/>
        </w:tcPr>
        <w:p>
          <w:pPr>
            <w:pStyle w:val="12"/>
            <w:tabs>
              <w:tab w:val="center" w:pos="4253"/>
              <w:tab w:val="right" w:pos="9214"/>
              <w:tab w:val="clear" w:pos="4536"/>
            </w:tabs>
            <w:jc w:val="center"/>
            <w:rPr>
              <w:sz w:val="22"/>
            </w:rPr>
          </w:pPr>
          <w:r>
            <w:rPr>
              <w:rFonts w:cs="Arial"/>
              <w:szCs w:val="22"/>
              <w:lang/>
            </w:rPr>
            <w:t>Poznámky Úč POD 3 - 04</w:t>
          </w:r>
        </w:p>
      </w:tc>
      <w:tc>
        <w:tcPr>
          <w:tcW w:w="4252" w:type="dxa"/>
          <w:tcBorders>
            <w:top w:val="nil"/>
            <w:bottom w:val="nil"/>
          </w:tcBorders>
          <w:vAlign w:val="center"/>
        </w:tcPr>
        <w:p>
          <w:pPr>
            <w:pStyle w:val="12"/>
            <w:tabs>
              <w:tab w:val="center" w:pos="4253"/>
              <w:tab w:val="right" w:pos="9214"/>
              <w:tab w:val="clear" w:pos="4536"/>
            </w:tabs>
            <w:jc w:val="right"/>
            <w:rPr>
              <w:sz w:val="22"/>
            </w:rPr>
          </w:pPr>
          <w:r>
            <w:rPr>
              <w:sz w:val="22"/>
            </w:rPr>
            <w:t>DIČ</w:t>
          </w: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r>
  </w:tbl>
  <w:p>
    <w:pPr>
      <w:pStyle w:val="12"/>
      <w:rPr>
        <w:sz w:val="24"/>
      </w:rPr>
    </w:pPr>
  </w:p>
  <w:p>
    <w:pPr>
      <w:pStyle w:val="12"/>
      <w:tabs>
        <w:tab w:val="center" w:pos="3969"/>
        <w:tab w:val="right" w:pos="9214"/>
        <w:tab w:val="clear" w:pos="4536"/>
        <w:tab w:val="clear" w:pos="9072"/>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253"/>
        <w:tab w:val="right" w:pos="9214"/>
      </w:tabs>
      <w:ind/>
      <w:rPr>
        <w:sz w:val="18"/>
        <w:szCs w:val="18"/>
      </w:rPr>
    </w:pPr>
  </w:p>
  <w:p>
    <w:pPr>
      <w:pStyle w:val="12"/>
      <w:tabs>
        <w:tab w:val="center" w:pos="4253"/>
        <w:tab w:val="right" w:pos="9214"/>
      </w:tabs>
      <w:ind/>
    </w:pPr>
    <w:r>
      <w:rPr>
        <w:rFonts w:ascii="Times New Roman" w:hAnsi="Times New Roman" w:eastAsia="Times New Roman" w:cs="Times New Roman"/>
        <w:sz w:val="20"/>
        <w:szCs w:val="20"/>
        <w:lang w:bidi="ar-SA"/>
      </w:rPr>
      <w:pict>
        <v:shape id="Picture 2" o:spid="_x0000_s1026" type="#_x0000_t75" style="position:absolute;left:0;margin-left:0pt;margin-top:-0.15pt;height:19.2pt;width:49.6pt;mso-wrap-distance-left:9pt;mso-wrap-distance-right:9pt;rotation:0f;z-index:-251658240;" o:ole="f" fillcolor="#FFFFFF" filled="f" o:preferrelative="t" stroked="f" coordorigin="0,0" coordsize="21600,21600" wrapcoords="-653 0 0 20250 15024 20250 18290 20250 19597 20250 21556 10125 21556 0 -653 0">
          <v:fill on="f" color2="#FFFFFF" focus="0%"/>
          <v:imagedata gain="65536f" blacklevel="0f" gamma="0" o:title="" r:id="rId1"/>
          <o:lock v:ext="edit" position="f" selection="f" grouping="f" rotation="f" cropping="f" text="f" aspectratio="t"/>
          <w10:wrap type="through"/>
        </v:shape>
      </w:pict>
    </w:r>
    <w:r>
      <w:rPr>
        <w:sz w:val="18"/>
        <w:szCs w:val="18"/>
      </w:rPr>
      <w:tab/>
    </w:r>
    <w:r>
      <w:rPr>
        <w:sz w:val="18"/>
        <w:szCs w:val="18"/>
      </w:rPr>
      <w:tab/>
    </w:r>
    <w:r>
      <w:rPr>
        <w:sz w:val="18"/>
      </w:rPr>
      <w:t>Illustrativer Jahresabschluss</w:t>
    </w:r>
    <w:r>
      <w:br/>
    </w:r>
    <w:r>
      <w:t xml:space="preserve"> </w:t>
    </w:r>
    <w:r>
      <w:tab/>
    </w:r>
    <w:r>
      <w:rPr>
        <w:b/>
        <w:bCs/>
        <w:sz w:val="18"/>
        <w:szCs w:val="18"/>
      </w:rPr>
      <w:t>ABC Slovenská výroba, spol. s r. o.</w:t>
    </w:r>
    <w:r>
      <w:rPr>
        <w:b/>
        <w:bCs/>
        <w:sz w:val="18"/>
        <w:szCs w:val="18"/>
      </w:rPr>
      <w:tab/>
    </w:r>
    <w:r>
      <w:rPr>
        <w:sz w:val="18"/>
      </w:rPr>
      <w:t xml:space="preserve">zum 31. </w:t>
    </w:r>
    <w:r>
      <w:rPr>
        <w:sz w:val="18"/>
        <w:lang/>
      </w:rPr>
      <w:t>Dezember 2012</w:t>
    </w:r>
  </w:p>
  <w:p>
    <w:pPr>
      <w:pStyle w:val="1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820"/>
        <w:tab w:val="right" w:pos="9214"/>
      </w:tabs>
      <w:jc w:val="right"/>
      <w:rPr>
        <w:sz w:val="18"/>
      </w:rPr>
    </w:pPr>
  </w:p>
  <w:p>
    <w:pPr>
      <w:pStyle w:val="12"/>
      <w:tabs>
        <w:tab w:val="center" w:pos="4820"/>
        <w:tab w:val="right" w:pos="9214"/>
      </w:tabs>
      <w:jc w:val="right"/>
      <w:rPr>
        <w:sz w:val="18"/>
      </w:rPr>
    </w:pPr>
    <w:r>
      <w:rPr>
        <w:rFonts w:ascii="Times New Roman" w:hAnsi="Times New Roman" w:eastAsia="Calibri" w:cs="Times New Roman"/>
        <w:sz w:val="20"/>
        <w:szCs w:val="20"/>
        <w:lang w:bidi="ar-SA"/>
      </w:rPr>
      <w:pict>
        <v:shape id="Picture 1" o:spid="_x0000_s1027" type="#_x0000_t75" style="position:absolute;left:0;margin-top:44.25pt;height:19.2pt;width:49.6pt;mso-position-horizontal:left;mso-position-vertical-relative:page;rotation:0f;z-index:-251657216;"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r>
      <w:rPr>
        <w:sz w:val="18"/>
        <w:szCs w:val="18"/>
      </w:rPr>
      <w:t xml:space="preserve"> Vzorová účtovná závierka</w:t>
    </w:r>
  </w:p>
  <w:p>
    <w:pPr>
      <w:pStyle w:val="12"/>
      <w:tabs>
        <w:tab w:val="center" w:pos="3969"/>
        <w:tab w:val="right" w:pos="9214"/>
        <w:tab w:val="clear" w:pos="4536"/>
        <w:tab w:val="clear" w:pos="9072"/>
      </w:tabs>
      <w:jc w:val="right"/>
      <w:rPr>
        <w:sz w:val="18"/>
        <w:szCs w:val="18"/>
      </w:rPr>
    </w:pPr>
    <w:r>
      <w:rPr>
        <w:b/>
        <w:bCs/>
        <w:sz w:val="18"/>
        <w:szCs w:val="18"/>
      </w:rPr>
      <w:tab/>
    </w:r>
    <w:r>
      <w:rPr>
        <w:b/>
        <w:bCs/>
        <w:sz w:val="18"/>
        <w:szCs w:val="18"/>
      </w:rPr>
      <w:t>ABC Slovenská výroba, spol. s r. o.</w:t>
    </w:r>
    <w:r>
      <w:rPr>
        <w:b/>
        <w:bCs/>
        <w:sz w:val="18"/>
        <w:szCs w:val="18"/>
      </w:rPr>
      <w:tab/>
    </w:r>
    <w:r>
      <w:rPr>
        <w:b/>
        <w:bCs/>
        <w:sz w:val="18"/>
        <w:szCs w:val="18"/>
      </w:rPr>
      <w:t xml:space="preserve"> </w:t>
    </w:r>
    <w:r>
      <w:rPr>
        <w:sz w:val="18"/>
        <w:szCs w:val="18"/>
      </w:rPr>
      <w:t>k</w:t>
    </w:r>
    <w:r>
      <w:rPr>
        <w:b/>
        <w:bCs/>
        <w:sz w:val="18"/>
        <w:szCs w:val="18"/>
      </w:rPr>
      <w:t xml:space="preserve"> </w:t>
    </w:r>
    <w:r>
      <w:rPr>
        <w:sz w:val="18"/>
        <w:szCs w:val="18"/>
      </w:rPr>
      <w:t>31. decembru 2014</w:t>
    </w:r>
  </w:p>
  <w:p>
    <w:pPr>
      <w:pStyle w:val="12"/>
      <w:tabs>
        <w:tab w:val="center" w:pos="3969"/>
        <w:tab w:val="right" w:pos="9214"/>
        <w:tab w:val="clear" w:pos="4536"/>
        <w:tab w:val="clear" w:pos="9072"/>
      </w:tabs>
      <w:jc w:val="right"/>
    </w:pPr>
  </w:p>
  <w:p>
    <w:pPr>
      <w:pStyle w:val="12"/>
      <w:tabs>
        <w:tab w:val="center" w:pos="4253"/>
        <w:tab w:val="right" w:pos="9214"/>
        <w:tab w:val="clear" w:pos="4536"/>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820"/>
        <w:tab w:val="right" w:pos="9214"/>
      </w:tabs>
      <w:jc w:val="right"/>
      <w:rPr>
        <w:sz w:val="18"/>
      </w:rPr>
    </w:pPr>
  </w:p>
  <w:p>
    <w:pPr>
      <w:pStyle w:val="12"/>
      <w:tabs>
        <w:tab w:val="center" w:pos="4820"/>
        <w:tab w:val="right" w:pos="9213"/>
      </w:tabs>
      <w:jc w:val="right"/>
      <w:rPr>
        <w:sz w:val="18"/>
      </w:rPr>
    </w:pPr>
    <w:r>
      <w:rPr>
        <w:rFonts w:ascii="Times New Roman" w:hAnsi="Times New Roman" w:eastAsia="Calibri" w:cs="Times New Roman"/>
        <w:sz w:val="20"/>
        <w:szCs w:val="20"/>
        <w:lang w:bidi="ar-SA"/>
      </w:rPr>
      <w:pict>
        <v:shape id="Picture 15" o:spid="_x0000_s1028" type="#_x0000_t75" style="position:absolute;left:0;margin-top:44.25pt;height:19.2pt;width:49.6pt;mso-position-horizontal:left;mso-position-vertical-relative:page;rotation:0f;z-index:-251651072;"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r>
      <w:rPr>
        <w:sz w:val="18"/>
        <w:szCs w:val="18"/>
      </w:rPr>
      <w:t xml:space="preserve"> Vzorová účtovná závierka</w:t>
    </w:r>
  </w:p>
  <w:p>
    <w:pPr>
      <w:pStyle w:val="12"/>
      <w:tabs>
        <w:tab w:val="center" w:pos="3969"/>
        <w:tab w:val="right" w:pos="9213"/>
        <w:tab w:val="clear" w:pos="4536"/>
        <w:tab w:val="clear" w:pos="9072"/>
      </w:tabs>
      <w:spacing w:after="120"/>
      <w:jc w:val="right"/>
      <w:rPr>
        <w:sz w:val="18"/>
        <w:szCs w:val="18"/>
      </w:rPr>
    </w:pPr>
    <w:r>
      <w:rPr>
        <w:b/>
        <w:bCs/>
        <w:sz w:val="18"/>
        <w:szCs w:val="18"/>
      </w:rPr>
      <w:tab/>
    </w:r>
    <w:r>
      <w:rPr>
        <w:b/>
        <w:bCs/>
        <w:sz w:val="18"/>
        <w:szCs w:val="18"/>
      </w:rPr>
      <w:t>ABC Slovenská výroba, spol. s r. o.</w:t>
    </w:r>
    <w:r>
      <w:rPr>
        <w:b/>
        <w:bCs/>
        <w:sz w:val="18"/>
        <w:szCs w:val="18"/>
      </w:rPr>
      <w:tab/>
    </w:r>
    <w:r>
      <w:rPr>
        <w:b/>
        <w:bCs/>
        <w:sz w:val="18"/>
        <w:szCs w:val="18"/>
      </w:rPr>
      <w:t xml:space="preserve"> </w:t>
    </w:r>
    <w:r>
      <w:rPr>
        <w:sz w:val="18"/>
        <w:szCs w:val="18"/>
      </w:rPr>
      <w:t>k</w:t>
    </w:r>
    <w:r>
      <w:rPr>
        <w:b/>
        <w:bCs/>
        <w:sz w:val="18"/>
        <w:szCs w:val="18"/>
      </w:rPr>
      <w:t xml:space="preserve"> </w:t>
    </w:r>
    <w:r>
      <w:rPr>
        <w:sz w:val="18"/>
        <w:szCs w:val="18"/>
      </w:rPr>
      <w:t>31. decembru 2014</w:t>
    </w:r>
  </w:p>
  <w:p>
    <w:pPr>
      <w:pStyle w:val="12"/>
      <w:tabs>
        <w:tab w:val="center" w:pos="3969"/>
        <w:tab w:val="left" w:pos="7920"/>
        <w:tab w:val="right" w:pos="9213"/>
        <w:tab w:val="clear" w:pos="4536"/>
        <w:tab w:val="clear" w:pos="9072"/>
      </w:tabs>
      <w:rPr>
        <w:sz w:val="18"/>
        <w:szCs w:val="18"/>
      </w:rPr>
    </w:pPr>
    <w:r>
      <w:rPr>
        <w:sz w:val="18"/>
        <w:szCs w:val="18"/>
      </w:rPr>
      <w:tab/>
    </w:r>
    <w:r>
      <w:rPr>
        <w:sz w:val="18"/>
        <w:szCs w:val="18"/>
      </w:rPr>
      <w:tab/>
    </w:r>
    <w:r>
      <w:rPr>
        <w:sz w:val="18"/>
        <w:szCs w:val="18"/>
      </w:rPr>
      <w:tab/>
    </w:r>
  </w:p>
  <w:tbl>
    <w:tblPr>
      <w:tblW w:w="91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062"/>
      <w:gridCol w:w="4317"/>
      <w:gridCol w:w="280"/>
      <w:gridCol w:w="279"/>
      <w:gridCol w:w="283"/>
      <w:gridCol w:w="282"/>
      <w:gridCol w:w="283"/>
      <w:gridCol w:w="282"/>
      <w:gridCol w:w="283"/>
      <w:gridCol w:w="282"/>
      <w:gridCol w:w="283"/>
      <w:gridCol w:w="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126" w:hRule="atLeast"/>
      </w:trPr>
      <w:tc>
        <w:tcPr>
          <w:tcW w:w="2062" w:type="dxa"/>
          <w:tcBorders>
            <w:top w:val="nil"/>
            <w:left w:val="nil"/>
            <w:bottom w:val="nil"/>
            <w:right w:val="nil"/>
          </w:tcBorders>
          <w:vAlign w:val="center"/>
        </w:tcPr>
        <w:p>
          <w:pPr>
            <w:pStyle w:val="12"/>
            <w:tabs>
              <w:tab w:val="center" w:pos="4253"/>
              <w:tab w:val="right" w:pos="9213"/>
              <w:tab w:val="clear" w:pos="4536"/>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pPr>
            <w:pStyle w:val="12"/>
            <w:tabs>
              <w:tab w:val="center" w:pos="4253"/>
              <w:tab w:val="right" w:pos="9213"/>
              <w:tab w:val="clear" w:pos="4536"/>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pPr>
            <w:pStyle w:val="12"/>
            <w:tabs>
              <w:tab w:val="center" w:pos="4253"/>
              <w:tab w:val="right" w:pos="9213"/>
              <w:tab w:val="clear" w:pos="4536"/>
            </w:tabs>
            <w:spacing w:line="276" w:lineRule="auto"/>
            <w:jc w:val="center"/>
            <w:rPr>
              <w:sz w:val="18"/>
              <w:szCs w:val="18"/>
            </w:rPr>
          </w:pPr>
        </w:p>
      </w:tc>
      <w:tc>
        <w:tcPr>
          <w:tcW w:w="279" w:type="dxa"/>
          <w:tcBorders>
            <w:top w:val="nil"/>
            <w:left w:val="nil"/>
            <w:bottom w:val="nil"/>
            <w:right w:val="single" w:color="auto" w:sz="4" w:space="0"/>
          </w:tcBorders>
          <w:vAlign w:val="center"/>
        </w:tcPr>
        <w:p>
          <w:pPr>
            <w:pStyle w:val="12"/>
            <w:tabs>
              <w:tab w:val="center" w:pos="4253"/>
              <w:tab w:val="right" w:pos="9213"/>
              <w:tab w:val="clear" w:pos="4536"/>
            </w:tabs>
            <w:spacing w:line="276" w:lineRule="auto"/>
            <w:jc w:val="center"/>
            <w:rPr>
              <w:sz w:val="18"/>
              <w:szCs w:val="18"/>
            </w:rPr>
          </w:pP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r>
  </w:tbl>
  <w:p>
    <w:pPr>
      <w:pStyle w:val="12"/>
      <w:tabs>
        <w:tab w:val="center" w:pos="4962"/>
        <w:tab w:val="right" w:pos="9213"/>
      </w:tabs>
      <w:ind/>
      <w:jc w:val="right"/>
      <w:rPr>
        <w:sz w:val="18"/>
        <w:szCs w:val="18"/>
        <w:lang/>
      </w:rPr>
    </w:pPr>
  </w:p>
  <w:tbl>
    <w:tblPr>
      <w:tblW w:w="8970"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012"/>
      <w:gridCol w:w="4162"/>
      <w:gridCol w:w="279"/>
      <w:gridCol w:w="280"/>
      <w:gridCol w:w="279"/>
      <w:gridCol w:w="287"/>
      <w:gridCol w:w="279"/>
      <w:gridCol w:w="278"/>
      <w:gridCol w:w="279"/>
      <w:gridCol w:w="278"/>
      <w:gridCol w:w="279"/>
      <w:gridCol w:w="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127" w:hRule="atLeast"/>
      </w:trPr>
      <w:tc>
        <w:tcPr>
          <w:tcW w:w="2012" w:type="dxa"/>
          <w:tcBorders>
            <w:top w:val="nil"/>
            <w:left w:val="nil"/>
            <w:bottom w:val="nil"/>
            <w:right w:val="nil"/>
          </w:tcBorders>
          <w:vAlign w:val="center"/>
        </w:tcPr>
        <w:p>
          <w:pPr>
            <w:pStyle w:val="12"/>
            <w:tabs>
              <w:tab w:val="center" w:pos="4253"/>
              <w:tab w:val="right" w:pos="9213"/>
              <w:tab w:val="clear" w:pos="4536"/>
            </w:tabs>
            <w:spacing w:line="276" w:lineRule="auto"/>
            <w:rPr>
              <w:sz w:val="18"/>
              <w:szCs w:val="18"/>
            </w:rPr>
          </w:pPr>
        </w:p>
      </w:tc>
      <w:tc>
        <w:tcPr>
          <w:tcW w:w="4162" w:type="dxa"/>
          <w:tcBorders>
            <w:top w:val="nil"/>
            <w:left w:val="nil"/>
            <w:bottom w:val="nil"/>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 xml:space="preserve">                                                                                DIČ</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0"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7"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r>
  </w:tbl>
  <w:p>
    <w:pPr>
      <w:pStyle w:val="12"/>
      <w:tabs>
        <w:tab w:val="center" w:pos="3969"/>
        <w:tab w:val="right" w:pos="9214"/>
        <w:tab w:val="clear" w:pos="4536"/>
        <w:tab w:val="clear" w:pos="9072"/>
      </w:tabs>
      <w:jc w:val="right"/>
    </w:pPr>
  </w:p>
  <w:p>
    <w:pPr>
      <w:pStyle w:val="12"/>
      <w:tabs>
        <w:tab w:val="center" w:pos="3969"/>
        <w:tab w:val="right" w:pos="9214"/>
        <w:tab w:val="clear" w:pos="4536"/>
        <w:tab w:val="clear" w:pos="9072"/>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820"/>
        <w:tab w:val="right" w:pos="9213"/>
      </w:tabs>
      <w:jc w:val="right"/>
      <w:rPr>
        <w:sz w:val="18"/>
      </w:rPr>
    </w:pPr>
    <w:r>
      <w:rPr>
        <w:rFonts w:ascii="Times New Roman" w:hAnsi="Times New Roman" w:eastAsia="Calibri" w:cs="Times New Roman"/>
        <w:sz w:val="20"/>
        <w:szCs w:val="20"/>
        <w:lang w:bidi="ar-SA"/>
      </w:rPr>
      <w:pict>
        <v:shape id="Picture 18" o:spid="_x0000_s1029" type="#_x0000_t75" style="position:absolute;left:0;margin-top:44.25pt;height:19.2pt;width:49.6pt;mso-position-horizontal:left;mso-position-vertical-relative:page;rotation:0f;z-index:-251652096;"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r>
      <w:rPr>
        <w:sz w:val="18"/>
        <w:szCs w:val="18"/>
      </w:rPr>
      <w:t xml:space="preserve"> Vzorová účtovná závierka</w:t>
    </w:r>
  </w:p>
  <w:p>
    <w:pPr>
      <w:pStyle w:val="12"/>
      <w:tabs>
        <w:tab w:val="center" w:pos="3969"/>
        <w:tab w:val="right" w:pos="9213"/>
        <w:tab w:val="clear" w:pos="4536"/>
        <w:tab w:val="clear" w:pos="9072"/>
      </w:tabs>
      <w:spacing w:after="120"/>
      <w:jc w:val="right"/>
      <w:rPr>
        <w:sz w:val="18"/>
        <w:szCs w:val="18"/>
      </w:rPr>
    </w:pPr>
    <w:r>
      <w:rPr>
        <w:b/>
        <w:bCs/>
        <w:sz w:val="18"/>
        <w:szCs w:val="18"/>
      </w:rPr>
      <w:tab/>
    </w:r>
    <w:r>
      <w:rPr>
        <w:b/>
        <w:bCs/>
        <w:sz w:val="18"/>
        <w:szCs w:val="18"/>
      </w:rPr>
      <w:t>ABC Slovenská výroba, spol. s r. o.</w:t>
    </w:r>
    <w:r>
      <w:rPr>
        <w:b/>
        <w:bCs/>
        <w:sz w:val="18"/>
        <w:szCs w:val="18"/>
      </w:rPr>
      <w:tab/>
    </w:r>
    <w:r>
      <w:rPr>
        <w:b/>
        <w:bCs/>
        <w:sz w:val="18"/>
        <w:szCs w:val="18"/>
      </w:rPr>
      <w:t xml:space="preserve"> </w:t>
    </w:r>
    <w:r>
      <w:rPr>
        <w:sz w:val="18"/>
        <w:szCs w:val="18"/>
      </w:rPr>
      <w:t>k</w:t>
    </w:r>
    <w:r>
      <w:rPr>
        <w:b/>
        <w:bCs/>
        <w:sz w:val="18"/>
        <w:szCs w:val="18"/>
      </w:rPr>
      <w:t xml:space="preserve"> </w:t>
    </w:r>
    <w:r>
      <w:rPr>
        <w:sz w:val="18"/>
        <w:szCs w:val="18"/>
      </w:rPr>
      <w:t>31. decembru 2014</w:t>
    </w:r>
  </w:p>
  <w:p>
    <w:pPr>
      <w:pStyle w:val="12"/>
      <w:tabs>
        <w:tab w:val="center" w:pos="3969"/>
        <w:tab w:val="left" w:pos="7920"/>
        <w:tab w:val="right" w:pos="9213"/>
        <w:tab w:val="clear" w:pos="4536"/>
        <w:tab w:val="clear" w:pos="9072"/>
      </w:tabs>
      <w:rPr>
        <w:sz w:val="18"/>
        <w:szCs w:val="18"/>
      </w:rPr>
    </w:pPr>
    <w:r>
      <w:rPr>
        <w:sz w:val="18"/>
        <w:szCs w:val="18"/>
      </w:rPr>
      <w:tab/>
    </w:r>
    <w:r>
      <w:rPr>
        <w:sz w:val="18"/>
        <w:szCs w:val="18"/>
      </w:rPr>
      <w:tab/>
    </w:r>
    <w:r>
      <w:rPr>
        <w:sz w:val="18"/>
        <w:szCs w:val="18"/>
      </w:rPr>
      <w:tab/>
    </w:r>
  </w:p>
  <w:tbl>
    <w:tblPr>
      <w:tblW w:w="91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062"/>
      <w:gridCol w:w="4317"/>
      <w:gridCol w:w="280"/>
      <w:gridCol w:w="279"/>
      <w:gridCol w:w="283"/>
      <w:gridCol w:w="282"/>
      <w:gridCol w:w="283"/>
      <w:gridCol w:w="282"/>
      <w:gridCol w:w="283"/>
      <w:gridCol w:w="282"/>
      <w:gridCol w:w="283"/>
      <w:gridCol w:w="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126" w:hRule="atLeast"/>
      </w:trPr>
      <w:tc>
        <w:tcPr>
          <w:tcW w:w="2062" w:type="dxa"/>
          <w:tcBorders>
            <w:top w:val="nil"/>
            <w:left w:val="nil"/>
            <w:bottom w:val="nil"/>
            <w:right w:val="nil"/>
          </w:tcBorders>
          <w:vAlign w:val="center"/>
        </w:tcPr>
        <w:p>
          <w:pPr>
            <w:pStyle w:val="12"/>
            <w:tabs>
              <w:tab w:val="center" w:pos="4253"/>
              <w:tab w:val="right" w:pos="9213"/>
              <w:tab w:val="clear" w:pos="4536"/>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pPr>
            <w:pStyle w:val="12"/>
            <w:tabs>
              <w:tab w:val="center" w:pos="4253"/>
              <w:tab w:val="right" w:pos="9213"/>
              <w:tab w:val="clear" w:pos="4536"/>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pPr>
            <w:pStyle w:val="12"/>
            <w:tabs>
              <w:tab w:val="center" w:pos="4253"/>
              <w:tab w:val="right" w:pos="9213"/>
              <w:tab w:val="clear" w:pos="4536"/>
            </w:tabs>
            <w:spacing w:line="276" w:lineRule="auto"/>
            <w:jc w:val="center"/>
            <w:rPr>
              <w:sz w:val="18"/>
              <w:szCs w:val="18"/>
            </w:rPr>
          </w:pPr>
        </w:p>
      </w:tc>
      <w:tc>
        <w:tcPr>
          <w:tcW w:w="279" w:type="dxa"/>
          <w:tcBorders>
            <w:top w:val="nil"/>
            <w:left w:val="nil"/>
            <w:bottom w:val="nil"/>
            <w:right w:val="single" w:color="auto" w:sz="4" w:space="0"/>
          </w:tcBorders>
          <w:vAlign w:val="center"/>
        </w:tcPr>
        <w:p>
          <w:pPr>
            <w:pStyle w:val="12"/>
            <w:tabs>
              <w:tab w:val="center" w:pos="4253"/>
              <w:tab w:val="right" w:pos="9213"/>
              <w:tab w:val="clear" w:pos="4536"/>
            </w:tabs>
            <w:spacing w:line="276" w:lineRule="auto"/>
            <w:jc w:val="center"/>
            <w:rPr>
              <w:sz w:val="18"/>
              <w:szCs w:val="18"/>
            </w:rPr>
          </w:pP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3"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2"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r>
  </w:tbl>
  <w:p>
    <w:pPr>
      <w:pStyle w:val="12"/>
      <w:tabs>
        <w:tab w:val="center" w:pos="4962"/>
        <w:tab w:val="right" w:pos="9213"/>
      </w:tabs>
      <w:ind/>
      <w:jc w:val="right"/>
      <w:rPr>
        <w:sz w:val="18"/>
        <w:szCs w:val="18"/>
        <w:lang/>
      </w:rPr>
    </w:pPr>
  </w:p>
  <w:tbl>
    <w:tblPr>
      <w:tblW w:w="8970"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012"/>
      <w:gridCol w:w="4162"/>
      <w:gridCol w:w="279"/>
      <w:gridCol w:w="280"/>
      <w:gridCol w:w="279"/>
      <w:gridCol w:w="287"/>
      <w:gridCol w:w="279"/>
      <w:gridCol w:w="278"/>
      <w:gridCol w:w="279"/>
      <w:gridCol w:w="278"/>
      <w:gridCol w:w="279"/>
      <w:gridCol w:w="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127" w:hRule="atLeast"/>
      </w:trPr>
      <w:tc>
        <w:tcPr>
          <w:tcW w:w="2012" w:type="dxa"/>
          <w:tcBorders>
            <w:top w:val="nil"/>
            <w:left w:val="nil"/>
            <w:bottom w:val="nil"/>
            <w:right w:val="nil"/>
          </w:tcBorders>
          <w:vAlign w:val="center"/>
        </w:tcPr>
        <w:p>
          <w:pPr>
            <w:pStyle w:val="12"/>
            <w:tabs>
              <w:tab w:val="center" w:pos="4253"/>
              <w:tab w:val="right" w:pos="9213"/>
              <w:tab w:val="clear" w:pos="4536"/>
            </w:tabs>
            <w:spacing w:line="276" w:lineRule="auto"/>
            <w:rPr>
              <w:sz w:val="18"/>
              <w:szCs w:val="18"/>
            </w:rPr>
          </w:pPr>
        </w:p>
      </w:tc>
      <w:tc>
        <w:tcPr>
          <w:tcW w:w="4162" w:type="dxa"/>
          <w:tcBorders>
            <w:top w:val="nil"/>
            <w:left w:val="nil"/>
            <w:bottom w:val="nil"/>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 xml:space="preserve">                                                                                DIČ</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0"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87"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9"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c>
        <w:tcPr>
          <w:tcW w:w="278" w:type="dxa"/>
          <w:tcBorders>
            <w:top w:val="single" w:color="auto" w:sz="4" w:space="0"/>
            <w:left w:val="single" w:color="auto" w:sz="4" w:space="0"/>
            <w:bottom w:val="single" w:color="auto" w:sz="4" w:space="0"/>
            <w:right w:val="single" w:color="auto" w:sz="4" w:space="0"/>
          </w:tcBorders>
          <w:vAlign w:val="center"/>
        </w:tcPr>
        <w:p>
          <w:pPr>
            <w:pStyle w:val="12"/>
            <w:tabs>
              <w:tab w:val="center" w:pos="4253"/>
              <w:tab w:val="right" w:pos="9213"/>
              <w:tab w:val="clear" w:pos="4536"/>
            </w:tabs>
            <w:spacing w:line="276" w:lineRule="auto"/>
            <w:jc w:val="center"/>
            <w:rPr>
              <w:sz w:val="18"/>
              <w:szCs w:val="18"/>
            </w:rPr>
          </w:pPr>
          <w:r>
            <w:rPr>
              <w:sz w:val="18"/>
              <w:szCs w:val="18"/>
            </w:rPr>
            <w:t>9</w:t>
          </w:r>
        </w:p>
      </w:tc>
    </w:tr>
  </w:tbl>
  <w:p>
    <w:pPr>
      <w:pStyle w:val="12"/>
      <w:tabs>
        <w:tab w:val="center" w:pos="3969"/>
        <w:tab w:val="right" w:pos="9214"/>
        <w:tab w:val="clear" w:pos="4536"/>
        <w:tab w:val="clear" w:pos="9072"/>
      </w:tabs>
    </w:pPr>
  </w:p>
  <w:p>
    <w:pPr>
      <w:pStyle w:val="12"/>
      <w:tabs>
        <w:tab w:val="center" w:pos="3969"/>
        <w:tab w:val="right" w:pos="9214"/>
        <w:tab w:val="clear" w:pos="4536"/>
        <w:tab w:val="clear" w:pos="9072"/>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2"/>
      <w:tabs>
        <w:tab w:val="center" w:pos="4820"/>
        <w:tab w:val="right" w:pos="9214"/>
      </w:tabs>
      <w:jc w:val="right"/>
      <w:rPr>
        <w:sz w:val="18"/>
      </w:rPr>
    </w:pPr>
  </w:p>
  <w:p>
    <w:pPr>
      <w:pStyle w:val="12"/>
      <w:tabs>
        <w:tab w:val="center" w:pos="4820"/>
        <w:tab w:val="right" w:pos="9214"/>
      </w:tabs>
      <w:jc w:val="right"/>
      <w:rPr>
        <w:sz w:val="18"/>
      </w:rPr>
    </w:pPr>
    <w:r>
      <w:rPr>
        <w:rFonts w:ascii="Times New Roman" w:hAnsi="Times New Roman" w:eastAsia="Calibri" w:cs="Times New Roman"/>
        <w:sz w:val="20"/>
        <w:szCs w:val="20"/>
        <w:lang w:bidi="ar-SA"/>
      </w:rPr>
      <w:pict>
        <v:shape id="Picture 1" o:spid="_x0000_s1030" type="#_x0000_t75" style="position:absolute;left:0;margin-top:44.25pt;height:19.2pt;width:49.6pt;mso-position-horizontal:left;mso-position-vertical-relative:page;rotation:0f;z-index:-251655168;" o:ole="f" fillcolor="#FFFFFF" filled="f" o:preferrelative="t" stroked="f" coordorigin="0,0" coordsize="21600,21600">
          <v:fill on="f" color2="#FFFFFF" focus="0%"/>
          <v:imagedata gain="65536f" blacklevel="0f" gamma="0" o:title="" r:id="rId1"/>
          <o:lock v:ext="edit" position="f" selection="f" grouping="f" rotation="f" cropping="f" text="f" aspectratio="t"/>
        </v:shape>
      </w:pict>
    </w:r>
    <w:r>
      <w:rPr>
        <w:sz w:val="18"/>
        <w:szCs w:val="18"/>
      </w:rPr>
      <w:t xml:space="preserve"> Vzorová účtovná závierka</w:t>
    </w:r>
  </w:p>
  <w:p>
    <w:pPr>
      <w:pStyle w:val="12"/>
      <w:tabs>
        <w:tab w:val="center" w:pos="3969"/>
        <w:tab w:val="right" w:pos="9214"/>
        <w:tab w:val="clear" w:pos="4536"/>
        <w:tab w:val="clear" w:pos="9072"/>
      </w:tabs>
      <w:jc w:val="right"/>
      <w:rPr>
        <w:sz w:val="18"/>
        <w:szCs w:val="18"/>
      </w:rPr>
    </w:pPr>
    <w:r>
      <w:rPr>
        <w:b/>
        <w:bCs/>
        <w:sz w:val="18"/>
        <w:szCs w:val="18"/>
      </w:rPr>
      <w:tab/>
    </w:r>
    <w:r>
      <w:rPr>
        <w:b/>
        <w:bCs/>
        <w:sz w:val="18"/>
        <w:szCs w:val="18"/>
      </w:rPr>
      <w:t>ABC Slovenská výroba, spol. s r. o.</w:t>
    </w:r>
    <w:r>
      <w:rPr>
        <w:b/>
        <w:bCs/>
        <w:sz w:val="18"/>
        <w:szCs w:val="18"/>
      </w:rPr>
      <w:tab/>
    </w:r>
    <w:r>
      <w:rPr>
        <w:b/>
        <w:bCs/>
        <w:sz w:val="18"/>
        <w:szCs w:val="18"/>
      </w:rPr>
      <w:t xml:space="preserve"> </w:t>
    </w:r>
    <w:r>
      <w:rPr>
        <w:sz w:val="18"/>
        <w:szCs w:val="18"/>
      </w:rPr>
      <w:t>k</w:t>
    </w:r>
    <w:r>
      <w:rPr>
        <w:b/>
        <w:bCs/>
        <w:sz w:val="18"/>
        <w:szCs w:val="18"/>
      </w:rPr>
      <w:t xml:space="preserve"> </w:t>
    </w:r>
    <w:r>
      <w:rPr>
        <w:sz w:val="18"/>
        <w:szCs w:val="18"/>
      </w:rPr>
      <w:t>31. decembru 2013</w:t>
    </w:r>
  </w:p>
  <w:p>
    <w:pPr>
      <w:pStyle w:val="12"/>
      <w:tabs>
        <w:tab w:val="center" w:pos="3969"/>
        <w:tab w:val="right" w:pos="9214"/>
        <w:tab w:val="clear" w:pos="4536"/>
        <w:tab w:val="clear" w:pos="9072"/>
      </w:tabs>
      <w:jc w:val="right"/>
    </w:pPr>
  </w:p>
  <w:tbl>
    <w:tblPr>
      <w:tblW w:w="9338" w:type="dxa"/>
      <w:tblInd w:w="-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
    <w:tblGrid>
      <w:gridCol w:w="2251"/>
      <w:gridCol w:w="4252"/>
      <w:gridCol w:w="284"/>
      <w:gridCol w:w="283"/>
      <w:gridCol w:w="284"/>
      <w:gridCol w:w="283"/>
      <w:gridCol w:w="284"/>
      <w:gridCol w:w="283"/>
      <w:gridCol w:w="284"/>
      <w:gridCol w:w="283"/>
      <w:gridCol w:w="284"/>
      <w:gridCol w:w="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PrEx>
      <w:trPr>
        <w:trHeight w:val="299" w:hRule="atLeast"/>
      </w:trPr>
      <w:tc>
        <w:tcPr>
          <w:tcW w:w="2251" w:type="dxa"/>
          <w:vAlign w:val="center"/>
        </w:tcPr>
        <w:p>
          <w:pPr>
            <w:pStyle w:val="12"/>
            <w:tabs>
              <w:tab w:val="center" w:pos="4253"/>
              <w:tab w:val="right" w:pos="9214"/>
              <w:tab w:val="clear" w:pos="4536"/>
            </w:tabs>
            <w:jc w:val="center"/>
            <w:rPr>
              <w:sz w:val="22"/>
            </w:rPr>
          </w:pPr>
          <w:r>
            <w:rPr>
              <w:rFonts w:cs="Arial"/>
              <w:szCs w:val="22"/>
              <w:lang/>
            </w:rPr>
            <w:t>Poznámky Úč POD 3 - 04</w:t>
          </w:r>
        </w:p>
      </w:tc>
      <w:tc>
        <w:tcPr>
          <w:tcW w:w="4252" w:type="dxa"/>
          <w:tcBorders>
            <w:top w:val="nil"/>
            <w:bottom w:val="nil"/>
          </w:tcBorders>
          <w:vAlign w:val="center"/>
        </w:tcPr>
        <w:p>
          <w:pPr>
            <w:pStyle w:val="12"/>
            <w:tabs>
              <w:tab w:val="center" w:pos="4253"/>
              <w:tab w:val="right" w:pos="9214"/>
              <w:tab w:val="clear" w:pos="4536"/>
            </w:tabs>
            <w:jc w:val="right"/>
            <w:rPr>
              <w:sz w:val="22"/>
            </w:rPr>
          </w:pPr>
          <w:r>
            <w:rPr>
              <w:sz w:val="22"/>
            </w:rPr>
            <w:t>DIČ</w:t>
          </w: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c>
        <w:tcPr>
          <w:tcW w:w="284" w:type="dxa"/>
          <w:vAlign w:val="center"/>
        </w:tcPr>
        <w:p>
          <w:pPr>
            <w:pStyle w:val="12"/>
            <w:tabs>
              <w:tab w:val="center" w:pos="4253"/>
              <w:tab w:val="right" w:pos="9214"/>
              <w:tab w:val="clear" w:pos="4536"/>
            </w:tabs>
            <w:jc w:val="center"/>
            <w:rPr>
              <w:sz w:val="22"/>
            </w:rPr>
          </w:pPr>
        </w:p>
      </w:tc>
      <w:tc>
        <w:tcPr>
          <w:tcW w:w="283" w:type="dxa"/>
          <w:vAlign w:val="center"/>
        </w:tcPr>
        <w:p>
          <w:pPr>
            <w:pStyle w:val="12"/>
            <w:tabs>
              <w:tab w:val="center" w:pos="4253"/>
              <w:tab w:val="right" w:pos="9214"/>
              <w:tab w:val="clear" w:pos="4536"/>
            </w:tabs>
            <w:jc w:val="center"/>
            <w:rPr>
              <w:sz w:val="22"/>
            </w:rPr>
          </w:pPr>
        </w:p>
      </w:tc>
    </w:tr>
  </w:tbl>
  <w:p>
    <w:pPr>
      <w:pStyle w:val="12"/>
      <w:tabs>
        <w:tab w:val="center" w:pos="4253"/>
        <w:tab w:val="right" w:pos="9214"/>
        <w:tab w:val="clear" w:pos="4536"/>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6">
    <w:nsid w:val="00000024"/>
    <w:multiLevelType w:val="multilevel"/>
    <w:tmpl w:val="00000024"/>
    <w:lvl w:ilvl="0" w:tentative="1">
      <w:start w:val="0"/>
      <w:numFmt w:val="bullet"/>
      <w:lvlText w:val="-"/>
      <w:legacy w:legacy="1" w:legacySpace="0" w:legacyIndent="360"/>
      <w:lvlJc w:val="left"/>
      <w:pPr>
        <w:ind w:left="360" w:hanging="360"/>
      </w:pPr>
    </w:lvl>
    <w:lvl w:ilvl="1" w:tentative="1">
      <w:start w:val="1"/>
      <w:numFmt w:val="decimal"/>
      <w:lvlText w:val=""/>
      <w:lvlJc w:val="left"/>
    </w:lvl>
    <w:lvl w:ilvl="2" w:tentative="1">
      <w:start w:val="1"/>
      <w:numFmt w:val="decimal"/>
      <w:lvlText w:val=""/>
      <w:lvlJc w:val="left"/>
    </w:lvl>
    <w:lvl w:ilvl="3" w:tentative="1">
      <w:start w:val="1"/>
      <w:numFmt w:val="decimal"/>
      <w:lvlText w:val=""/>
      <w:lvlJc w:val="left"/>
    </w:lvl>
    <w:lvl w:ilvl="4" w:tentative="1">
      <w:start w:val="1"/>
      <w:numFmt w:val="decimal"/>
      <w:lvlText w:val=""/>
      <w:lvlJc w:val="left"/>
    </w:lvl>
    <w:lvl w:ilvl="5" w:tentative="1">
      <w:start w:val="1"/>
      <w:numFmt w:val="decimal"/>
      <w:lvlText w:val=""/>
      <w:lvlJc w:val="left"/>
    </w:lvl>
    <w:lvl w:ilvl="6" w:tentative="1">
      <w:start w:val="1"/>
      <w:numFmt w:val="decimal"/>
      <w:lvlText w:val=""/>
      <w:lvlJc w:val="left"/>
    </w:lvl>
    <w:lvl w:ilvl="7" w:tentative="1">
      <w:start w:val="1"/>
      <w:numFmt w:val="decimal"/>
      <w:lvlText w:val=""/>
      <w:lvlJc w:val="left"/>
    </w:lvl>
    <w:lvl w:ilvl="8" w:tentative="1">
      <w:start w:val="1"/>
      <w:numFmt w:val="decimal"/>
      <w:lvlText w:val=""/>
      <w:lvlJc w:val="left"/>
    </w:lvl>
  </w:abstractNum>
  <w:abstractNum w:abstractNumId="2026713450">
    <w:nsid w:val="78CD316A"/>
    <w:multiLevelType w:val="singleLevel"/>
    <w:tmpl w:val="78CD316A"/>
    <w:lvl w:ilvl="0" w:tentative="1">
      <w:start w:val="1"/>
      <w:numFmt w:val="lowerLetter"/>
      <w:pStyle w:val="23"/>
      <w:lvlText w:val="(%1)"/>
      <w:lvlJc w:val="left"/>
      <w:pPr>
        <w:tabs>
          <w:tab w:val="left" w:pos="360"/>
        </w:tabs>
        <w:ind w:left="360" w:hanging="360"/>
      </w:pPr>
      <w:rPr>
        <w:rFonts w:hint="default" w:cs="Times New Roman"/>
      </w:rPr>
    </w:lvl>
  </w:abstractNum>
  <w:abstractNum w:abstractNumId="1934048275">
    <w:nsid w:val="73473C13"/>
    <w:multiLevelType w:val="singleLevel"/>
    <w:tmpl w:val="73473C13"/>
    <w:lvl w:ilvl="0" w:tentative="1">
      <w:start w:val="1"/>
      <w:numFmt w:val="upperLetter"/>
      <w:pStyle w:val="2"/>
      <w:lvlText w:val="%1."/>
      <w:lvlJc w:val="left"/>
      <w:pPr>
        <w:tabs>
          <w:tab w:val="left" w:pos="644"/>
        </w:tabs>
        <w:ind w:left="644" w:hanging="360"/>
      </w:pPr>
      <w:rPr>
        <w:rFonts w:hint="default" w:cs="Times New Roman"/>
      </w:rPr>
    </w:lvl>
  </w:abstractNum>
  <w:abstractNum w:abstractNumId="1733847063">
    <w:nsid w:val="67586817"/>
    <w:multiLevelType w:val="multilevel"/>
    <w:tmpl w:val="67586817"/>
    <w:lvl w:ilvl="0" w:tentative="1">
      <w:start w:val="1"/>
      <w:numFmt w:val="bullet"/>
      <w:lvlText w:val="-"/>
      <w:lvlJc w:val="left"/>
      <w:pPr>
        <w:ind w:left="720" w:hanging="360"/>
      </w:pPr>
    </w:lvl>
    <w:lvl w:ilvl="1" w:tentative="1">
      <w:start w:val="1"/>
      <w:numFmt w:val="bullet"/>
      <w:lvlText w:val="o"/>
      <w:lvlJc w:val="left"/>
      <w:pPr>
        <w:ind w:left="1440" w:hanging="360"/>
      </w:pPr>
      <w:rPr>
        <w:rFonts w:hint="default" w:ascii="Courier New" w:hAnsi="Courier New" w:cs="Courier New"/>
      </w:rPr>
    </w:lvl>
    <w:lvl w:ilvl="2" w:tentative="1">
      <w:start w:val="1"/>
      <w:numFmt w:val="bullet"/>
      <w:lvlText w:val=""/>
      <w:lvlJc w:val="left"/>
      <w:pPr>
        <w:ind w:left="2160" w:hanging="360"/>
      </w:pPr>
      <w:rPr>
        <w:rFonts w:hint="default" w:ascii="Wingdings" w:hAnsi="Wingdings"/>
      </w:rPr>
    </w:lvl>
    <w:lvl w:ilvl="3" w:tentative="1">
      <w:start w:val="1"/>
      <w:numFmt w:val="bullet"/>
      <w:lvlText w:val=""/>
      <w:lvlJc w:val="left"/>
      <w:pPr>
        <w:ind w:left="2880" w:hanging="360"/>
      </w:pPr>
      <w:rPr>
        <w:rFonts w:hint="default" w:ascii="Symbol" w:hAnsi="Symbol"/>
      </w:rPr>
    </w:lvl>
    <w:lvl w:ilvl="4" w:tentative="1">
      <w:start w:val="1"/>
      <w:numFmt w:val="bullet"/>
      <w:lvlText w:val="o"/>
      <w:lvlJc w:val="left"/>
      <w:pPr>
        <w:ind w:left="3600" w:hanging="360"/>
      </w:pPr>
      <w:rPr>
        <w:rFonts w:hint="default" w:ascii="Courier New" w:hAnsi="Courier New" w:cs="Courier New"/>
      </w:rPr>
    </w:lvl>
    <w:lvl w:ilvl="5" w:tentative="1">
      <w:start w:val="1"/>
      <w:numFmt w:val="bullet"/>
      <w:lvlText w:val=""/>
      <w:lvlJc w:val="left"/>
      <w:pPr>
        <w:ind w:left="4320" w:hanging="360"/>
      </w:pPr>
      <w:rPr>
        <w:rFonts w:hint="default" w:ascii="Wingdings" w:hAnsi="Wingdings"/>
      </w:rPr>
    </w:lvl>
    <w:lvl w:ilvl="6" w:tentative="1">
      <w:start w:val="1"/>
      <w:numFmt w:val="bullet"/>
      <w:lvlText w:val=""/>
      <w:lvlJc w:val="left"/>
      <w:pPr>
        <w:ind w:left="5040" w:hanging="360"/>
      </w:pPr>
      <w:rPr>
        <w:rFonts w:hint="default" w:ascii="Symbol" w:hAnsi="Symbol"/>
      </w:rPr>
    </w:lvl>
    <w:lvl w:ilvl="7" w:tentative="1">
      <w:start w:val="1"/>
      <w:numFmt w:val="bullet"/>
      <w:lvlText w:val="o"/>
      <w:lvlJc w:val="left"/>
      <w:pPr>
        <w:ind w:left="5760" w:hanging="360"/>
      </w:pPr>
      <w:rPr>
        <w:rFonts w:hint="default" w:ascii="Courier New" w:hAnsi="Courier New" w:cs="Courier New"/>
      </w:rPr>
    </w:lvl>
    <w:lvl w:ilvl="8" w:tentative="1">
      <w:start w:val="1"/>
      <w:numFmt w:val="bullet"/>
      <w:lvlText w:val=""/>
      <w:lvlJc w:val="left"/>
      <w:pPr>
        <w:ind w:left="6480" w:hanging="360"/>
      </w:pPr>
      <w:rPr>
        <w:rFonts w:hint="default" w:ascii="Wingdings" w:hAnsi="Wingdings"/>
      </w:rPr>
    </w:lvl>
  </w:abstractNum>
  <w:abstractNum w:abstractNumId="918446531">
    <w:nsid w:val="36BE61C3"/>
    <w:multiLevelType w:val="singleLevel"/>
    <w:tmpl w:val="36BE61C3"/>
    <w:lvl w:ilvl="0" w:tentative="1">
      <w:start w:val="1"/>
      <w:numFmt w:val="decimal"/>
      <w:pStyle w:val="3"/>
      <w:lvlText w:val="%1."/>
      <w:lvlJc w:val="left"/>
      <w:pPr>
        <w:tabs>
          <w:tab w:val="left" w:pos="360"/>
        </w:tabs>
        <w:ind w:left="360" w:hanging="360"/>
      </w:pPr>
      <w:rPr>
        <w:rFonts w:hint="default" w:cs="Times New Roman"/>
      </w:rPr>
    </w:lvl>
  </w:abstractNum>
  <w:abstractNum w:abstractNumId="477960530">
    <w:nsid w:val="1C7D1952"/>
    <w:multiLevelType w:val="multilevel"/>
    <w:tmpl w:val="1C7D1952"/>
    <w:lvl w:ilvl="0" w:tentative="1">
      <w:start w:val="1"/>
      <w:numFmt w:val="bullet"/>
      <w:lvlText w:val="–"/>
      <w:lvlJc w:val="left"/>
      <w:pPr>
        <w:tabs>
          <w:tab w:val="left" w:pos="766"/>
        </w:tabs>
        <w:ind w:left="766" w:hanging="340"/>
      </w:pPr>
      <w:rPr>
        <w:rFonts w:hint="default" w:ascii="Times New Roman" w:hAnsi="Times New Roman"/>
      </w:rPr>
    </w:lvl>
    <w:lvl w:ilvl="1" w:tentative="1">
      <w:start w:val="1"/>
      <w:numFmt w:val="bullet"/>
      <w:lvlText w:val="o"/>
      <w:lvlJc w:val="left"/>
      <w:pPr>
        <w:tabs>
          <w:tab w:val="left" w:pos="1866"/>
        </w:tabs>
        <w:ind w:left="1866" w:hanging="360"/>
      </w:pPr>
      <w:rPr>
        <w:rFonts w:hint="default" w:ascii="Courier New" w:hAnsi="Courier New"/>
      </w:rPr>
    </w:lvl>
    <w:lvl w:ilvl="2" w:tentative="1">
      <w:start w:val="1"/>
      <w:numFmt w:val="bullet"/>
      <w:lvlText w:val=""/>
      <w:lvlJc w:val="left"/>
      <w:pPr>
        <w:tabs>
          <w:tab w:val="left" w:pos="2586"/>
        </w:tabs>
        <w:ind w:left="2586" w:hanging="360"/>
      </w:pPr>
      <w:rPr>
        <w:rFonts w:hint="default" w:ascii="Wingdings" w:hAnsi="Wingdings"/>
      </w:rPr>
    </w:lvl>
    <w:lvl w:ilvl="3" w:tentative="1">
      <w:start w:val="1"/>
      <w:numFmt w:val="bullet"/>
      <w:lvlText w:val=""/>
      <w:lvlJc w:val="left"/>
      <w:pPr>
        <w:tabs>
          <w:tab w:val="left" w:pos="3306"/>
        </w:tabs>
        <w:ind w:left="3306" w:hanging="360"/>
      </w:pPr>
      <w:rPr>
        <w:rFonts w:hint="default" w:ascii="Symbol" w:hAnsi="Symbol"/>
      </w:rPr>
    </w:lvl>
    <w:lvl w:ilvl="4" w:tentative="1">
      <w:start w:val="1"/>
      <w:numFmt w:val="bullet"/>
      <w:lvlText w:val="o"/>
      <w:lvlJc w:val="left"/>
      <w:pPr>
        <w:tabs>
          <w:tab w:val="left" w:pos="4026"/>
        </w:tabs>
        <w:ind w:left="4026" w:hanging="360"/>
      </w:pPr>
      <w:rPr>
        <w:rFonts w:hint="default" w:ascii="Courier New" w:hAnsi="Courier New"/>
      </w:rPr>
    </w:lvl>
    <w:lvl w:ilvl="5" w:tentative="1">
      <w:start w:val="1"/>
      <w:numFmt w:val="bullet"/>
      <w:lvlText w:val=""/>
      <w:lvlJc w:val="left"/>
      <w:pPr>
        <w:tabs>
          <w:tab w:val="left" w:pos="4746"/>
        </w:tabs>
        <w:ind w:left="4746" w:hanging="360"/>
      </w:pPr>
      <w:rPr>
        <w:rFonts w:hint="default" w:ascii="Wingdings" w:hAnsi="Wingdings"/>
      </w:rPr>
    </w:lvl>
    <w:lvl w:ilvl="6" w:tentative="1">
      <w:start w:val="1"/>
      <w:numFmt w:val="bullet"/>
      <w:lvlText w:val=""/>
      <w:lvlJc w:val="left"/>
      <w:pPr>
        <w:tabs>
          <w:tab w:val="left" w:pos="5466"/>
        </w:tabs>
        <w:ind w:left="5466" w:hanging="360"/>
      </w:pPr>
      <w:rPr>
        <w:rFonts w:hint="default" w:ascii="Symbol" w:hAnsi="Symbol"/>
      </w:rPr>
    </w:lvl>
    <w:lvl w:ilvl="7" w:tentative="1">
      <w:start w:val="1"/>
      <w:numFmt w:val="bullet"/>
      <w:lvlText w:val="o"/>
      <w:lvlJc w:val="left"/>
      <w:pPr>
        <w:tabs>
          <w:tab w:val="left" w:pos="6186"/>
        </w:tabs>
        <w:ind w:left="6186" w:hanging="360"/>
      </w:pPr>
      <w:rPr>
        <w:rFonts w:hint="default" w:ascii="Courier New" w:hAnsi="Courier New"/>
      </w:rPr>
    </w:lvl>
    <w:lvl w:ilvl="8" w:tentative="1">
      <w:start w:val="1"/>
      <w:numFmt w:val="bullet"/>
      <w:lvlText w:val=""/>
      <w:lvlJc w:val="left"/>
      <w:pPr>
        <w:tabs>
          <w:tab w:val="left" w:pos="6906"/>
        </w:tabs>
        <w:ind w:left="6906" w:hanging="360"/>
      </w:pPr>
      <w:rPr>
        <w:rFonts w:hint="default" w:ascii="Wingdings" w:hAnsi="Wingdings"/>
      </w:rPr>
    </w:lvl>
  </w:abstractNum>
  <w:abstractNum w:abstractNumId="206911437">
    <w:nsid w:val="0C5537CD"/>
    <w:multiLevelType w:val="multilevel"/>
    <w:tmpl w:val="0C5537CD"/>
    <w:lvl w:ilvl="0" w:tentative="1">
      <w:start w:val="1"/>
      <w:numFmt w:val="lowerLetter"/>
      <w:lvlText w:val="%1)"/>
      <w:lvlJc w:val="left"/>
      <w:pPr>
        <w:tabs>
          <w:tab w:val="left" w:pos="1192"/>
        </w:tabs>
        <w:ind w:left="1192" w:hanging="360"/>
      </w:pPr>
      <w:rPr>
        <w:rFonts w:cs="Times New Roman"/>
      </w:rPr>
    </w:lvl>
    <w:lvl w:ilvl="1" w:tentative="1">
      <w:start w:val="1"/>
      <w:numFmt w:val="lowerLetter"/>
      <w:lvlText w:val="%2."/>
      <w:lvlJc w:val="left"/>
      <w:pPr>
        <w:tabs>
          <w:tab w:val="left" w:pos="1912"/>
        </w:tabs>
        <w:ind w:left="1912" w:hanging="360"/>
      </w:pPr>
      <w:rPr>
        <w:rFonts w:cs="Times New Roman"/>
      </w:rPr>
    </w:lvl>
    <w:lvl w:ilvl="2" w:tentative="1">
      <w:start w:val="1"/>
      <w:numFmt w:val="lowerRoman"/>
      <w:lvlText w:val="%3."/>
      <w:lvlJc w:val="right"/>
      <w:pPr>
        <w:tabs>
          <w:tab w:val="left" w:pos="2632"/>
        </w:tabs>
        <w:ind w:left="2632" w:hanging="180"/>
      </w:pPr>
      <w:rPr>
        <w:rFonts w:cs="Times New Roman"/>
      </w:rPr>
    </w:lvl>
    <w:lvl w:ilvl="3" w:tentative="1">
      <w:start w:val="1"/>
      <w:numFmt w:val="decimal"/>
      <w:lvlText w:val="%4."/>
      <w:lvlJc w:val="left"/>
      <w:pPr>
        <w:tabs>
          <w:tab w:val="left" w:pos="3352"/>
        </w:tabs>
        <w:ind w:left="3352" w:hanging="360"/>
      </w:pPr>
      <w:rPr>
        <w:rFonts w:cs="Times New Roman"/>
      </w:rPr>
    </w:lvl>
    <w:lvl w:ilvl="4" w:tentative="1">
      <w:start w:val="1"/>
      <w:numFmt w:val="lowerLetter"/>
      <w:lvlText w:val="%5."/>
      <w:lvlJc w:val="left"/>
      <w:pPr>
        <w:tabs>
          <w:tab w:val="left" w:pos="4072"/>
        </w:tabs>
        <w:ind w:left="4072" w:hanging="360"/>
      </w:pPr>
      <w:rPr>
        <w:rFonts w:cs="Times New Roman"/>
      </w:rPr>
    </w:lvl>
    <w:lvl w:ilvl="5" w:tentative="1">
      <w:start w:val="1"/>
      <w:numFmt w:val="lowerRoman"/>
      <w:lvlText w:val="%6."/>
      <w:lvlJc w:val="right"/>
      <w:pPr>
        <w:tabs>
          <w:tab w:val="left" w:pos="4792"/>
        </w:tabs>
        <w:ind w:left="4792" w:hanging="180"/>
      </w:pPr>
      <w:rPr>
        <w:rFonts w:cs="Times New Roman"/>
      </w:rPr>
    </w:lvl>
    <w:lvl w:ilvl="6" w:tentative="1">
      <w:start w:val="1"/>
      <w:numFmt w:val="decimal"/>
      <w:lvlText w:val="%7."/>
      <w:lvlJc w:val="left"/>
      <w:pPr>
        <w:tabs>
          <w:tab w:val="left" w:pos="5512"/>
        </w:tabs>
        <w:ind w:left="5512" w:hanging="360"/>
      </w:pPr>
      <w:rPr>
        <w:rFonts w:cs="Times New Roman"/>
      </w:rPr>
    </w:lvl>
    <w:lvl w:ilvl="7" w:tentative="1">
      <w:start w:val="1"/>
      <w:numFmt w:val="lowerLetter"/>
      <w:lvlText w:val="%8."/>
      <w:lvlJc w:val="left"/>
      <w:pPr>
        <w:tabs>
          <w:tab w:val="left" w:pos="6232"/>
        </w:tabs>
        <w:ind w:left="6232" w:hanging="360"/>
      </w:pPr>
      <w:rPr>
        <w:rFonts w:cs="Times New Roman"/>
      </w:rPr>
    </w:lvl>
    <w:lvl w:ilvl="8" w:tentative="1">
      <w:start w:val="1"/>
      <w:numFmt w:val="lowerRoman"/>
      <w:lvlText w:val="%9."/>
      <w:lvlJc w:val="right"/>
      <w:pPr>
        <w:tabs>
          <w:tab w:val="left" w:pos="6952"/>
        </w:tabs>
        <w:ind w:left="6952" w:hanging="180"/>
      </w:pPr>
      <w:rPr>
        <w:rFonts w:cs="Times New Roman"/>
      </w:rPr>
    </w:lvl>
  </w:abstractNum>
  <w:abstractNum w:abstractNumId="380137757">
    <w:nsid w:val="16A8711D"/>
    <w:multiLevelType w:val="singleLevel"/>
    <w:tmpl w:val="16A8711D"/>
    <w:lvl w:ilvl="0" w:tentative="1">
      <w:start w:val="1"/>
      <w:numFmt w:val="bullet"/>
      <w:lvlText w:val=""/>
      <w:lvlJc w:val="left"/>
      <w:pPr>
        <w:tabs>
          <w:tab w:val="left" w:pos="340"/>
        </w:tabs>
        <w:ind w:left="340" w:hanging="340"/>
      </w:pPr>
      <w:rPr>
        <w:rFonts w:hint="default" w:ascii="Symbol" w:hAnsi="Symbol"/>
        <w:color w:val="auto"/>
        <w:sz w:val="22"/>
      </w:rPr>
    </w:lvl>
  </w:abstractNum>
  <w:num w:numId="1">
    <w:abstractNumId w:val="1934048275"/>
  </w:num>
  <w:num w:numId="2">
    <w:abstractNumId w:val="918446531"/>
  </w:num>
  <w:num w:numId="3">
    <w:abstractNumId w:val="2026713450"/>
  </w:num>
  <w:num w:numId="4">
    <w:abstractNumId w:val="206911437"/>
  </w:num>
  <w:num w:numId="5">
    <w:abstractNumId w:val="380137757"/>
  </w:num>
  <w:num w:numId="6">
    <w:abstractNumId w:val="477960530"/>
  </w:num>
  <w:num w:numId="7">
    <w:abstractNumId w:val="1733847063"/>
  </w:num>
  <w:num w:numId="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val="0"/>
  <w:bordersDoNotSurroundFooter w:val="0"/>
  <w:documentProtection w:enforcement="0"/>
  <w:defaultTabStop w:val="708"/>
  <w:drawingGridHorizontalSpacing w:val="0"/>
  <w:displayHorizontalDrawingGridEvery w:val="1"/>
  <w:displayVerticalDrawingGridEvery w:val="1"/>
  <w:noPunctuationKerning w:val="1"/>
  <w:characterSpacingControl w:val="doNotCompress"/>
  <w:compat>
    <w:spaceForUL/>
    <w:doNotLeaveBackslashAlone/>
    <w:ulTrailSpace/>
    <w:doNotBreakWrappedTables/>
    <w:doNotWrapTextWithPunct/>
    <w:doNotUseEastAsianBreakRules/>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nhideWhenUsed="0" w:uiPriority="0" w:semiHidden="0"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99" w:name="annotation text"/>
    <w:lsdException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nhideWhenUsed="0" w:uiPriority="0" w:name="footnote reference"/>
    <w:lsdException w:uiPriority="99"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99" w:semiHidden="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annotation subject"/>
    <w:lsdException w:uiPriority="99" w:name="Balloon Text"/>
  </w:latentStyles>
  <w:style w:type="paragraph" w:default="1" w:styleId="1">
    <w:name w:val="Normal"/>
    <w:qFormat/>
    <w:uiPriority w:val="0"/>
    <w:pPr>
      <w:spacing w:after="0" w:line="240" w:lineRule="auto"/>
    </w:pPr>
    <w:rPr>
      <w:rFonts w:ascii="Times New Roman" w:hAnsi="Times New Roman" w:eastAsia="Times New Roman" w:cs="Times New Roman"/>
      <w:sz w:val="20"/>
      <w:szCs w:val="20"/>
      <w:lang w:eastAsia="en-US" w:bidi="ar-SA"/>
    </w:rPr>
  </w:style>
  <w:style w:type="paragraph" w:styleId="2">
    <w:name w:val="heading 1"/>
    <w:basedOn w:val="1"/>
    <w:next w:val="1"/>
    <w:link w:val="29"/>
    <w:qFormat/>
    <w:uiPriority w:val="0"/>
    <w:pPr>
      <w:keepNext/>
      <w:numPr>
        <w:ilvl w:val="0"/>
        <w:numId w:val="1"/>
      </w:numPr>
      <w:tabs>
        <w:tab w:val="left" w:pos="450"/>
        <w:tab w:val="clear" w:pos="644"/>
      </w:tabs>
      <w:ind w:left="450"/>
      <w:outlineLvl w:val="0"/>
    </w:pPr>
    <w:rPr>
      <w:b/>
      <w:caps/>
      <w:sz w:val="18"/>
    </w:rPr>
  </w:style>
  <w:style w:type="paragraph" w:styleId="3">
    <w:name w:val="heading 2"/>
    <w:basedOn w:val="1"/>
    <w:next w:val="1"/>
    <w:link w:val="30"/>
    <w:qFormat/>
    <w:uiPriority w:val="0"/>
    <w:pPr>
      <w:keepNext/>
      <w:numPr>
        <w:ilvl w:val="0"/>
        <w:numId w:val="2"/>
      </w:numPr>
      <w:outlineLvl w:val="1"/>
    </w:pPr>
    <w:rPr>
      <w:b/>
      <w:sz w:val="18"/>
    </w:rPr>
  </w:style>
  <w:style w:type="paragraph" w:styleId="4">
    <w:name w:val="heading 6"/>
    <w:basedOn w:val="1"/>
    <w:next w:val="1"/>
    <w:link w:val="31"/>
    <w:qFormat/>
    <w:uiPriority w:val="0"/>
    <w:pPr>
      <w:keepNext/>
      <w:outlineLvl w:val="5"/>
    </w:pPr>
    <w:rPr>
      <w:b/>
      <w:caps/>
      <w:sz w:val="32"/>
    </w:rPr>
  </w:style>
  <w:style w:type="paragraph" w:styleId="5">
    <w:name w:val="heading 9"/>
    <w:basedOn w:val="1"/>
    <w:next w:val="1"/>
    <w:link w:val="34"/>
    <w:semiHidden/>
    <w:unhideWhenUsed/>
    <w:qFormat/>
    <w:uiPriority w:val="9"/>
    <w:pPr>
      <w:keepNext/>
      <w:keepLines/>
      <w:spacing w:before="200"/>
      <w:outlineLvl w:val="8"/>
    </w:pPr>
    <w:rPr>
      <w:rFonts w:ascii="Cambria" w:hAnsi="Cambria"/>
      <w:i/>
      <w:iCs/>
      <w:color w:val="3F3F3F"/>
    </w:rPr>
  </w:style>
  <w:style w:type="character" w:default="1" w:styleId="13">
    <w:name w:val="Default Paragraph Font"/>
    <w:semiHidden/>
    <w:unhideWhenUsed/>
    <w:uiPriority w:val="1"/>
  </w:style>
  <w:style w:type="paragraph" w:styleId="6">
    <w:name w:val="Balloon Text"/>
    <w:basedOn w:val="1"/>
    <w:link w:val="35"/>
    <w:semiHidden/>
    <w:unhideWhenUsed/>
    <w:uiPriority w:val="99"/>
    <w:rPr>
      <w:rFonts w:ascii="Tahoma" w:hAnsi="Tahoma" w:cs="Tahoma"/>
      <w:sz w:val="16"/>
      <w:szCs w:val="16"/>
    </w:rPr>
  </w:style>
  <w:style w:type="paragraph" w:styleId="7">
    <w:name w:val="Body Text"/>
    <w:basedOn w:val="1"/>
    <w:link w:val="32"/>
    <w:uiPriority w:val="0"/>
    <w:pPr>
      <w:ind w:left="426"/>
      <w:jc w:val="both"/>
    </w:pPr>
    <w:rPr>
      <w:sz w:val="18"/>
    </w:rPr>
  </w:style>
  <w:style w:type="paragraph" w:styleId="8">
    <w:name w:val="Body Text 3"/>
    <w:basedOn w:val="1"/>
    <w:link w:val="38"/>
    <w:unhideWhenUsed/>
    <w:uiPriority w:val="99"/>
    <w:pPr>
      <w:spacing w:after="120"/>
    </w:pPr>
    <w:rPr>
      <w:sz w:val="16"/>
      <w:szCs w:val="16"/>
    </w:rPr>
  </w:style>
  <w:style w:type="paragraph" w:styleId="9">
    <w:name w:val="annotation text"/>
    <w:basedOn w:val="1"/>
    <w:link w:val="36"/>
    <w:semiHidden/>
    <w:unhideWhenUsed/>
    <w:uiPriority w:val="99"/>
  </w:style>
  <w:style w:type="paragraph" w:styleId="10">
    <w:name w:val="annotation subject"/>
    <w:basedOn w:val="9"/>
    <w:next w:val="9"/>
    <w:link w:val="37"/>
    <w:semiHidden/>
    <w:unhideWhenUsed/>
    <w:uiPriority w:val="99"/>
    <w:rPr>
      <w:b/>
      <w:bCs/>
    </w:rPr>
  </w:style>
  <w:style w:type="paragraph" w:styleId="11">
    <w:name w:val="footer"/>
    <w:basedOn w:val="1"/>
    <w:link w:val="28"/>
    <w:unhideWhenUsed/>
    <w:uiPriority w:val="99"/>
    <w:pPr>
      <w:tabs>
        <w:tab w:val="center" w:pos="4536"/>
        <w:tab w:val="right" w:pos="9072"/>
      </w:tabs>
    </w:pPr>
  </w:style>
  <w:style w:type="paragraph" w:styleId="12">
    <w:name w:val="header"/>
    <w:basedOn w:val="1"/>
    <w:link w:val="27"/>
    <w:unhideWhenUsed/>
    <w:uiPriority w:val="99"/>
    <w:pPr>
      <w:tabs>
        <w:tab w:val="center" w:pos="4536"/>
        <w:tab w:val="right" w:pos="9072"/>
      </w:tabs>
    </w:pPr>
  </w:style>
  <w:style w:type="character" w:styleId="14">
    <w:name w:val="annotation reference"/>
    <w:basedOn w:val="13"/>
    <w:semiHidden/>
    <w:unhideWhenUsed/>
    <w:uiPriority w:val="99"/>
    <w:rPr>
      <w:sz w:val="16"/>
      <w:szCs w:val="16"/>
    </w:rPr>
  </w:style>
  <w:style w:type="character" w:styleId="15">
    <w:name w:val="footnote reference"/>
    <w:basedOn w:val="13"/>
    <w:semiHidden/>
    <w:uiPriority w:val="0"/>
    <w:rPr>
      <w:rFonts w:cs="Times New Roman"/>
      <w:position w:val="6"/>
      <w:sz w:val="16"/>
      <w:szCs w:val="16"/>
    </w:rPr>
  </w:style>
  <w:style w:type="character" w:styleId="16">
    <w:name w:val="Hyperlink"/>
    <w:basedOn w:val="13"/>
    <w:unhideWhenUsed/>
    <w:uiPriority w:val="99"/>
    <w:rPr>
      <w:color w:val="0000FF"/>
      <w:u w:val="single"/>
    </w:rPr>
  </w:style>
  <w:style w:type="character" w:styleId="17">
    <w:name w:val="page number"/>
    <w:basedOn w:val="13"/>
    <w:uiPriority w:val="0"/>
    <w:rPr>
      <w:rFonts w:cs="Times New Roman"/>
    </w:rPr>
  </w:style>
  <w:style w:type="paragraph" w:customStyle="1" w:styleId="18">
    <w:name w:val="Uvod"/>
    <w:basedOn w:val="1"/>
    <w:uiPriority w:val="0"/>
    <w:pPr>
      <w:ind w:left="284" w:hanging="284"/>
      <w:jc w:val="both"/>
    </w:pPr>
    <w:rPr>
      <w:sz w:val="22"/>
    </w:rPr>
  </w:style>
  <w:style w:type="paragraph" w:customStyle="1" w:styleId="19">
    <w:name w:val="lit_a"/>
    <w:basedOn w:val="1"/>
    <w:uiPriority w:val="0"/>
    <w:pPr>
      <w:spacing w:after="20"/>
      <w:ind w:left="624" w:hanging="340"/>
      <w:jc w:val="both"/>
    </w:pPr>
    <w:rPr>
      <w:rFonts w:ascii="Times" w:hAnsi="Times"/>
      <w:lang w:val="en-US"/>
    </w:rPr>
  </w:style>
  <w:style w:type="paragraph" w:customStyle="1" w:styleId="20">
    <w:name w:val="zif"/>
    <w:basedOn w:val="1"/>
    <w:link w:val="33"/>
    <w:uiPriority w:val="0"/>
    <w:pPr>
      <w:tabs>
        <w:tab w:val="left" w:pos="620"/>
      </w:tabs>
      <w:spacing w:after="80"/>
      <w:jc w:val="both"/>
    </w:pPr>
    <w:rPr>
      <w:rFonts w:ascii="Times" w:hAnsi="Times"/>
      <w:lang w:val="en-US"/>
    </w:rPr>
  </w:style>
  <w:style w:type="paragraph" w:customStyle="1" w:styleId="21">
    <w:name w:val="List Paragraph"/>
    <w:basedOn w:val="1"/>
    <w:qFormat/>
    <w:uiPriority w:val="34"/>
    <w:pPr>
      <w:ind w:left="708"/>
    </w:pPr>
  </w:style>
  <w:style w:type="paragraph" w:customStyle="1" w:styleId="22">
    <w:name w:val="Tabulka"/>
    <w:basedOn w:val="1"/>
    <w:uiPriority w:val="0"/>
    <w:rPr>
      <w:color w:val="000000"/>
      <w:sz w:val="18"/>
    </w:rPr>
  </w:style>
  <w:style w:type="paragraph" w:customStyle="1" w:styleId="23">
    <w:name w:val="Pismenka"/>
    <w:basedOn w:val="7"/>
    <w:uiPriority w:val="0"/>
    <w:pPr>
      <w:numPr>
        <w:ilvl w:val="0"/>
        <w:numId w:val="3"/>
      </w:numPr>
      <w:tabs>
        <w:tab w:val="left" w:pos="426"/>
        <w:tab w:val="clear" w:pos="360"/>
      </w:tabs>
      <w:ind w:hanging="426"/>
    </w:pPr>
    <w:rPr>
      <w:b/>
    </w:rPr>
  </w:style>
  <w:style w:type="paragraph" w:customStyle="1" w:styleId="24">
    <w:name w:val="Revision"/>
    <w:hidden/>
    <w:semiHidden/>
    <w:uiPriority w:val="99"/>
    <w:pPr>
      <w:spacing w:after="0" w:line="240" w:lineRule="auto"/>
    </w:pPr>
    <w:rPr>
      <w:rFonts w:ascii="Times New Roman" w:hAnsi="Times New Roman" w:eastAsia="Times New Roman" w:cs="Times New Roman"/>
      <w:sz w:val="20"/>
      <w:szCs w:val="20"/>
    </w:rPr>
  </w:style>
  <w:style w:type="paragraph" w:customStyle="1" w:styleId="25">
    <w:name w:val="Subhead 2"/>
    <w:basedOn w:val="1"/>
    <w:uiPriority w:val="0"/>
    <w:pPr>
      <w:tabs>
        <w:tab w:val="left" w:pos="1531"/>
      </w:tabs>
      <w:autoSpaceDE w:val="0"/>
      <w:autoSpaceDN w:val="0"/>
      <w:adjustRightInd w:val="0"/>
      <w:spacing w:line="260" w:lineRule="atLeast"/>
      <w:ind w:left="1531" w:right="1134" w:hanging="1531"/>
    </w:pPr>
    <w:rPr>
      <w:rFonts w:ascii="Univers 55" w:hAnsi="Univers 55" w:cs="Univers 55"/>
      <w:b/>
      <w:bCs/>
      <w:color w:val="0C2D83"/>
      <w:lang/>
    </w:rPr>
  </w:style>
  <w:style w:type="paragraph" w:customStyle="1" w:styleId="26">
    <w:name w:val="tabelLinks"/>
    <w:basedOn w:val="1"/>
    <w:uiPriority w:val="0"/>
    <w:pPr>
      <w:spacing w:line="260" w:lineRule="exact"/>
    </w:pPr>
    <w:rPr>
      <w:rFonts w:ascii="Times" w:hAnsi="Times"/>
      <w:sz w:val="18"/>
      <w:lang/>
    </w:rPr>
  </w:style>
  <w:style w:type="character" w:customStyle="1" w:styleId="27">
    <w:name w:val="Header Char"/>
    <w:basedOn w:val="13"/>
    <w:link w:val="12"/>
    <w:uiPriority w:val="99"/>
    <w:rPr/>
  </w:style>
  <w:style w:type="character" w:customStyle="1" w:styleId="28">
    <w:name w:val="Footer Char"/>
    <w:basedOn w:val="13"/>
    <w:link w:val="11"/>
    <w:uiPriority w:val="99"/>
    <w:rPr/>
  </w:style>
  <w:style w:type="character" w:customStyle="1" w:styleId="29">
    <w:name w:val="Heading 1 Char"/>
    <w:basedOn w:val="13"/>
    <w:link w:val="2"/>
    <w:uiPriority w:val="0"/>
    <w:rPr>
      <w:rFonts w:ascii="Times New Roman" w:hAnsi="Times New Roman" w:eastAsia="Times New Roman" w:cs="Times New Roman"/>
      <w:b/>
      <w:caps/>
      <w:sz w:val="18"/>
      <w:szCs w:val="20"/>
    </w:rPr>
  </w:style>
  <w:style w:type="character" w:customStyle="1" w:styleId="30">
    <w:name w:val="Heading 2 Char"/>
    <w:basedOn w:val="13"/>
    <w:link w:val="3"/>
    <w:uiPriority w:val="0"/>
    <w:rPr>
      <w:rFonts w:ascii="Times New Roman" w:hAnsi="Times New Roman" w:eastAsia="Times New Roman" w:cs="Times New Roman"/>
      <w:b/>
      <w:sz w:val="18"/>
      <w:szCs w:val="20"/>
    </w:rPr>
  </w:style>
  <w:style w:type="character" w:customStyle="1" w:styleId="31">
    <w:name w:val="Heading 6 Char"/>
    <w:basedOn w:val="13"/>
    <w:link w:val="4"/>
    <w:uiPriority w:val="0"/>
    <w:rPr>
      <w:rFonts w:ascii="Times New Roman" w:hAnsi="Times New Roman" w:eastAsia="Times New Roman" w:cs="Times New Roman"/>
      <w:b/>
      <w:caps/>
      <w:sz w:val="32"/>
      <w:szCs w:val="20"/>
    </w:rPr>
  </w:style>
  <w:style w:type="character" w:customStyle="1" w:styleId="32">
    <w:name w:val="Body Text Char"/>
    <w:basedOn w:val="13"/>
    <w:link w:val="7"/>
    <w:uiPriority w:val="0"/>
    <w:rPr>
      <w:rFonts w:ascii="Times New Roman" w:hAnsi="Times New Roman" w:eastAsia="Times New Roman" w:cs="Times New Roman"/>
      <w:sz w:val="18"/>
      <w:szCs w:val="20"/>
    </w:rPr>
  </w:style>
  <w:style w:type="character" w:customStyle="1" w:styleId="33">
    <w:name w:val="zif Char"/>
    <w:basedOn w:val="13"/>
    <w:link w:val="20"/>
    <w:locked/>
    <w:uiPriority w:val="0"/>
    <w:rPr>
      <w:rFonts w:ascii="Times" w:hAnsi="Times" w:eastAsia="Times New Roman" w:cs="Times New Roman"/>
      <w:sz w:val="20"/>
      <w:szCs w:val="20"/>
      <w:lang w:val="en-US"/>
    </w:rPr>
  </w:style>
  <w:style w:type="character" w:customStyle="1" w:styleId="34">
    <w:name w:val="Heading 9 Char"/>
    <w:basedOn w:val="13"/>
    <w:link w:val="5"/>
    <w:semiHidden/>
    <w:uiPriority w:val="0"/>
    <w:rPr>
      <w:rFonts w:ascii="Cambria" w:hAnsi="Cambria"/>
      <w:i/>
      <w:iCs/>
      <w:color w:val="3F3F3F"/>
      <w:sz w:val="20"/>
      <w:szCs w:val="20"/>
    </w:rPr>
  </w:style>
  <w:style w:type="character" w:customStyle="1" w:styleId="35">
    <w:name w:val="Balloon Text Char"/>
    <w:basedOn w:val="13"/>
    <w:link w:val="6"/>
    <w:semiHidden/>
    <w:uiPriority w:val="99"/>
    <w:rPr>
      <w:rFonts w:ascii="Tahoma" w:hAnsi="Tahoma" w:eastAsia="Times New Roman" w:cs="Tahoma"/>
      <w:sz w:val="16"/>
      <w:szCs w:val="16"/>
    </w:rPr>
  </w:style>
  <w:style w:type="character" w:customStyle="1" w:styleId="36">
    <w:name w:val="Comment Text Char"/>
    <w:basedOn w:val="13"/>
    <w:link w:val="9"/>
    <w:semiHidden/>
    <w:uiPriority w:val="99"/>
    <w:rPr>
      <w:rFonts w:ascii="Times New Roman" w:hAnsi="Times New Roman" w:eastAsia="Times New Roman" w:cs="Times New Roman"/>
      <w:sz w:val="20"/>
      <w:szCs w:val="20"/>
    </w:rPr>
  </w:style>
  <w:style w:type="character" w:customStyle="1" w:styleId="37">
    <w:name w:val="Comment Subject Char"/>
    <w:basedOn w:val="36"/>
    <w:link w:val="10"/>
    <w:semiHidden/>
    <w:uiPriority w:val="99"/>
    <w:rPr>
      <w:rFonts w:ascii="Times New Roman" w:hAnsi="Times New Roman" w:eastAsia="Times New Roman" w:cs="Times New Roman"/>
      <w:b/>
      <w:bCs/>
      <w:sz w:val="20"/>
      <w:szCs w:val="20"/>
    </w:rPr>
  </w:style>
  <w:style w:type="character" w:customStyle="1" w:styleId="38">
    <w:name w:val="Body Text 3 Char"/>
    <w:basedOn w:val="13"/>
    <w:link w:val="8"/>
    <w:uiPriority w:val="99"/>
    <w:rPr>
      <w:rFonts w:ascii="Times New Roman" w:hAnsi="Times New Roman" w:eastAsia="Times New Roman" w:cs="Times New Roman"/>
      <w:sz w:val="16"/>
      <w:szCs w:val="16"/>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header" Target="header4.xml"/><Relationship Id="rId11" Type="http://schemas.openxmlformats.org/officeDocument/2006/relationships/footer" Target="foot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footer" Target="footer5.xml"/><Relationship Id="rId15" Type="http://schemas.openxmlformats.org/officeDocument/2006/relationships/theme" Target="theme/theme1.xml"/><Relationship Id="rId16" Type="http://schemas.openxmlformats.org/officeDocument/2006/relationships/oleObject" Target="embeddings/oleObject1.bin"/><Relationship Id="rId17" Type="http://schemas.openxmlformats.org/officeDocument/2006/relationships/image" Target="media/image2.emf"/><Relationship Id="rId18" Type="http://schemas.openxmlformats.org/officeDocument/2006/relationships/oleObject" Target="embeddings/oleObject2.bin"/><Relationship Id="rId19" Type="http://schemas.openxmlformats.org/officeDocument/2006/relationships/image" Target="media/image3.emf"/><Relationship Id="rId2" Type="http://schemas.openxmlformats.org/officeDocument/2006/relationships/styles" Target="styles.xml"/><Relationship Id="rId20" Type="http://schemas.openxmlformats.org/officeDocument/2006/relationships/oleObject" Target="embeddings/oleObject3.bin"/><Relationship Id="rId21" Type="http://schemas.openxmlformats.org/officeDocument/2006/relationships/image" Target="media/image4.emf"/><Relationship Id="rId22" Type="http://schemas.openxmlformats.org/officeDocument/2006/relationships/oleObject" Target="embeddings/oleObject4.bin"/><Relationship Id="rId23" Type="http://schemas.openxmlformats.org/officeDocument/2006/relationships/image" Target="media/image5.emf"/><Relationship Id="rId24" Type="http://schemas.openxmlformats.org/officeDocument/2006/relationships/oleObject" Target="embeddings/oleObject5.bin"/><Relationship Id="rId25" Type="http://schemas.openxmlformats.org/officeDocument/2006/relationships/image" Target="media/image6.emf"/><Relationship Id="rId26" Type="http://schemas.openxmlformats.org/officeDocument/2006/relationships/oleObject" Target="embeddings/oleObject6.bin"/><Relationship Id="rId27" Type="http://schemas.openxmlformats.org/officeDocument/2006/relationships/image" Target="media/image7.emf"/><Relationship Id="rId28" Type="http://schemas.openxmlformats.org/officeDocument/2006/relationships/oleObject" Target="embeddings/oleObject7.bin"/><Relationship Id="rId29" Type="http://schemas.openxmlformats.org/officeDocument/2006/relationships/image" Target="media/image8.emf"/><Relationship Id="rId3" Type="http://schemas.openxmlformats.org/officeDocument/2006/relationships/settings" Target="settings.xml"/><Relationship Id="rId30" Type="http://schemas.openxmlformats.org/officeDocument/2006/relationships/oleObject" Target="embeddings/oleObject8.bin"/><Relationship Id="rId31" Type="http://schemas.openxmlformats.org/officeDocument/2006/relationships/image" Target="media/image9.emf"/><Relationship Id="rId32" Type="http://schemas.openxmlformats.org/officeDocument/2006/relationships/oleObject" Target="embeddings/oleObject9.bin"/><Relationship Id="rId33" Type="http://schemas.openxmlformats.org/officeDocument/2006/relationships/image" Target="media/image10.emf"/><Relationship Id="rId34" Type="http://schemas.openxmlformats.org/officeDocument/2006/relationships/oleObject" Target="embeddings/oleObject10.bin"/><Relationship Id="rId35" Type="http://schemas.openxmlformats.org/officeDocument/2006/relationships/image" Target="media/image11.emf"/><Relationship Id="rId36" Type="http://schemas.openxmlformats.org/officeDocument/2006/relationships/oleObject" Target="embeddings/oleObject11.bin"/><Relationship Id="rId37" Type="http://schemas.openxmlformats.org/officeDocument/2006/relationships/image" Target="media/image12.emf"/><Relationship Id="rId38" Type="http://schemas.openxmlformats.org/officeDocument/2006/relationships/oleObject" Target="embeddings/oleObject12.bin"/><Relationship Id="rId39" Type="http://schemas.openxmlformats.org/officeDocument/2006/relationships/image" Target="media/image13.emf"/><Relationship Id="rId4" Type="http://schemas.openxmlformats.org/officeDocument/2006/relationships/header" Target="header1.xml"/><Relationship Id="rId40" Type="http://schemas.openxmlformats.org/officeDocument/2006/relationships/oleObject" Target="embeddings/oleObject13.bin"/><Relationship Id="rId41" Type="http://schemas.openxmlformats.org/officeDocument/2006/relationships/image" Target="media/image14.emf"/><Relationship Id="rId42" Type="http://schemas.openxmlformats.org/officeDocument/2006/relationships/oleObject" Target="embeddings/oleObject14.bin"/><Relationship Id="rId43" Type="http://schemas.openxmlformats.org/officeDocument/2006/relationships/image" Target="media/image15.emf"/><Relationship Id="rId44" Type="http://schemas.openxmlformats.org/officeDocument/2006/relationships/oleObject" Target="embeddings/oleObject15.bin"/><Relationship Id="rId45" Type="http://schemas.openxmlformats.org/officeDocument/2006/relationships/image" Target="media/image16.emf"/><Relationship Id="rId46" Type="http://schemas.openxmlformats.org/officeDocument/2006/relationships/oleObject" Target="embeddings/oleObject16.bin"/><Relationship Id="rId47" Type="http://schemas.openxmlformats.org/officeDocument/2006/relationships/image" Target="media/image17.emf"/><Relationship Id="rId48" Type="http://schemas.openxmlformats.org/officeDocument/2006/relationships/oleObject" Target="embeddings/oleObject17.bin"/><Relationship Id="rId49" Type="http://schemas.openxmlformats.org/officeDocument/2006/relationships/image" Target="media/image18.emf"/><Relationship Id="rId5" Type="http://schemas.openxmlformats.org/officeDocument/2006/relationships/header" Target="header2.xml"/><Relationship Id="rId50" Type="http://schemas.openxmlformats.org/officeDocument/2006/relationships/oleObject" Target="embeddings/oleObject18.bin"/><Relationship Id="rId51" Type="http://schemas.openxmlformats.org/officeDocument/2006/relationships/image" Target="media/image19.emf"/><Relationship Id="rId52" Type="http://schemas.openxmlformats.org/officeDocument/2006/relationships/oleObject" Target="embeddings/oleObject19.bin"/><Relationship Id="rId53" Type="http://schemas.openxmlformats.org/officeDocument/2006/relationships/image" Target="media/image20.emf"/><Relationship Id="rId54" Type="http://schemas.openxmlformats.org/officeDocument/2006/relationships/oleObject" Target="embeddings/oleObject20.bin"/><Relationship Id="rId55" Type="http://schemas.openxmlformats.org/officeDocument/2006/relationships/image" Target="media/image21.emf"/><Relationship Id="rId56" Type="http://schemas.openxmlformats.org/officeDocument/2006/relationships/oleObject" Target="embeddings/oleObject21.bin"/><Relationship Id="rId57" Type="http://schemas.openxmlformats.org/officeDocument/2006/relationships/image" Target="media/image22.emf"/><Relationship Id="rId58" Type="http://schemas.openxmlformats.org/officeDocument/2006/relationships/oleObject" Target="embeddings/oleObject22.bin"/><Relationship Id="rId59" Type="http://schemas.openxmlformats.org/officeDocument/2006/relationships/image" Target="media/image23.emf"/><Relationship Id="rId6" Type="http://schemas.openxmlformats.org/officeDocument/2006/relationships/header" Target="header3.xml"/><Relationship Id="rId60" Type="http://schemas.openxmlformats.org/officeDocument/2006/relationships/oleObject" Target="embeddings/oleObject23.bin"/><Relationship Id="rId61" Type="http://schemas.openxmlformats.org/officeDocument/2006/relationships/image" Target="media/image24.emf"/><Relationship Id="rId62" Type="http://schemas.openxmlformats.org/officeDocument/2006/relationships/oleObject" Target="embeddings/oleObject24.bin"/><Relationship Id="rId63" Type="http://schemas.openxmlformats.org/officeDocument/2006/relationships/image" Target="media/image25.emf"/><Relationship Id="rId64" Type="http://schemas.openxmlformats.org/officeDocument/2006/relationships/oleObject" Target="embeddings/oleObject25.bin"/><Relationship Id="rId65" Type="http://schemas.openxmlformats.org/officeDocument/2006/relationships/image" Target="media/image26.emf"/><Relationship Id="rId66" Type="http://schemas.openxmlformats.org/officeDocument/2006/relationships/image" Target="media/image27.emf"/><Relationship Id="rId67" Type="http://schemas.openxmlformats.org/officeDocument/2006/relationships/oleObject" Target="embeddings/oleObject26.bin"/><Relationship Id="rId68" Type="http://schemas.openxmlformats.org/officeDocument/2006/relationships/image" Target="media/image28.emf"/><Relationship Id="rId69" Type="http://schemas.openxmlformats.org/officeDocument/2006/relationships/image" Target="media/image29.emf"/><Relationship Id="rId7" Type="http://schemas.openxmlformats.org/officeDocument/2006/relationships/footer" Target="footer1.xml"/><Relationship Id="rId70" Type="http://schemas.openxmlformats.org/officeDocument/2006/relationships/oleObject" Target="embeddings/oleObject27.bin"/><Relationship Id="rId71" Type="http://schemas.openxmlformats.org/officeDocument/2006/relationships/image" Target="media/image30.emf"/><Relationship Id="rId72" Type="http://schemas.openxmlformats.org/officeDocument/2006/relationships/oleObject" Target="embeddings/oleObject28.bin"/><Relationship Id="rId73" Type="http://schemas.openxmlformats.org/officeDocument/2006/relationships/image" Target="media/image31.emf"/><Relationship Id="rId74" Type="http://schemas.openxmlformats.org/officeDocument/2006/relationships/oleObject" Target="embeddings/oleObject29.bin"/><Relationship Id="rId75" Type="http://schemas.openxmlformats.org/officeDocument/2006/relationships/image" Target="media/image32.emf"/><Relationship Id="rId76" Type="http://schemas.openxmlformats.org/officeDocument/2006/relationships/oleObject" Target="embeddings/oleObject30.bin"/><Relationship Id="rId77" Type="http://schemas.openxmlformats.org/officeDocument/2006/relationships/image" Target="media/image33.emf"/><Relationship Id="rId78" Type="http://schemas.openxmlformats.org/officeDocument/2006/relationships/oleObject" Target="embeddings/oleObject31.bin"/><Relationship Id="rId79" Type="http://schemas.openxmlformats.org/officeDocument/2006/relationships/image" Target="media/image34.emf"/><Relationship Id="rId8" Type="http://schemas.openxmlformats.org/officeDocument/2006/relationships/footer" Target="footer2.xml"/><Relationship Id="rId80" Type="http://schemas.openxmlformats.org/officeDocument/2006/relationships/oleObject" Target="embeddings/oleObject32.bin"/><Relationship Id="rId81" Type="http://schemas.openxmlformats.org/officeDocument/2006/relationships/image" Target="media/image35.emf"/><Relationship Id="rId82" Type="http://schemas.openxmlformats.org/officeDocument/2006/relationships/oleObject" Target="embeddings/oleObject33.bin"/><Relationship Id="rId83" Type="http://schemas.openxmlformats.org/officeDocument/2006/relationships/image" Target="media/image36.emf"/><Relationship Id="rId84" Type="http://schemas.openxmlformats.org/officeDocument/2006/relationships/oleObject" Target="embeddings/oleObject34.bin"/><Relationship Id="rId85" Type="http://schemas.openxmlformats.org/officeDocument/2006/relationships/image" Target="media/image37.emf"/><Relationship Id="rId86" Type="http://schemas.openxmlformats.org/officeDocument/2006/relationships/oleObject" Target="embeddings/oleObject35.bin"/><Relationship Id="rId87" Type="http://schemas.openxmlformats.org/officeDocument/2006/relationships/image" Target="media/image38.emf"/><Relationship Id="rId88" Type="http://schemas.openxmlformats.org/officeDocument/2006/relationships/oleObject" Target="embeddings/oleObject36.bin"/><Relationship Id="rId89" Type="http://schemas.openxmlformats.org/officeDocument/2006/relationships/image" Target="media/image39.emf"/><Relationship Id="rId9" Type="http://schemas.openxmlformats.org/officeDocument/2006/relationships/footer" Target="footer3.xml"/><Relationship Id="rId90" Type="http://schemas.openxmlformats.org/officeDocument/2006/relationships/oleObject" Target="embeddings/oleObject37.bin"/><Relationship Id="rId91" Type="http://schemas.openxmlformats.org/officeDocument/2006/relationships/image" Target="media/image40.emf"/><Relationship Id="rId92" Type="http://schemas.openxmlformats.org/officeDocument/2006/relationships/oleObject" Target="embeddings/oleObject38.bin"/><Relationship Id="rId93" Type="http://schemas.openxmlformats.org/officeDocument/2006/relationships/image" Target="media/image41.emf"/><Relationship Id="rId94" Type="http://schemas.openxmlformats.org/officeDocument/2006/relationships/oleObject" Target="embeddings/oleObject39.bin"/><Relationship Id="rId95" Type="http://schemas.openxmlformats.org/officeDocument/2006/relationships/image" Target="media/image42.emf"/><Relationship Id="rId96" Type="http://schemas.openxmlformats.org/officeDocument/2006/relationships/customXml" Target="../customXml/item1.xml"/><Relationship Id="rId9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KPMG</Company>
  <Pages>59</Pages>
  <Words>10153</Words>
  <Characters>57877</Characters>
  <Lines>482</Lines>
  <Paragraphs>135</Paragraphs>
  <ScaleCrop>false</ScaleCrop>
  <LinksUpToDate>false</LinksUpToDate>
  <CharactersWithSpaces>0</CharactersWithSpaces>
  <Application>WPS Office_9.1.0.4758_{F1E327BC-269C-435d-A152-05C5408002CA}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2014-12-01T13:40:00Z</dcterms:created>
  <dc:creator>Sikulova, Andrea</dc:creator>
  <cp:lastModifiedBy>Dana</cp:lastModifiedBy>
  <cp:lastPrinted>2014-11-14T15:53:00Z</cp:lastPrinted>
  <dcterms:modified xsi:type="dcterms:W3CDTF">2015-03-31T16:59:38Z</dcterms:modified>
  <dc:title>Vzorová účtovná závierka</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SOProductBuildVer">
    <vt:lpwstr>1033-9.1.0.4758</vt:lpwstr>
  </property>
</Properties>
</file>