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katabulky"/>
        <w:tblpPr w:leftFromText="141" w:rightFromText="141" w:vertAnchor="page" w:horzAnchor="page" w:tblpX="508" w:tblpY="526"/>
        <w:tblW w:w="0" w:type="auto"/>
        <w:tblLook w:val="04A0"/>
      </w:tblPr>
      <w:tblGrid>
        <w:gridCol w:w="2802"/>
      </w:tblGrid>
      <w:tr w:rsidR="005F592A" w:rsidTr="003868E6">
        <w:tc>
          <w:tcPr>
            <w:tcW w:w="2802" w:type="dxa"/>
          </w:tcPr>
          <w:p w:rsidR="005F592A" w:rsidRDefault="005F592A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Poznámky Úč MÚJ 3 - 01   </w:t>
            </w:r>
          </w:p>
        </w:tc>
      </w:tr>
    </w:tbl>
    <w:tbl>
      <w:tblPr>
        <w:tblStyle w:val="Mkatabulky"/>
        <w:tblpPr w:leftFromText="141" w:rightFromText="141" w:vertAnchor="text" w:horzAnchor="page" w:tblpX="7078" w:tblpY="-875"/>
        <w:tblW w:w="0" w:type="auto"/>
        <w:tblLook w:val="04A0"/>
      </w:tblPr>
      <w:tblGrid>
        <w:gridCol w:w="656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3868E6" w:rsidTr="003868E6">
        <w:tc>
          <w:tcPr>
            <w:tcW w:w="0" w:type="auto"/>
            <w:tcBorders>
              <w:top w:val="nil"/>
              <w:left w:val="nil"/>
              <w:bottom w:val="nil"/>
            </w:tcBorders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0" w:type="auto"/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3868E6" w:rsidRDefault="00BF6FA7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0" w:type="auto"/>
          </w:tcPr>
          <w:p w:rsidR="003868E6" w:rsidRDefault="00373CE0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3868E6" w:rsidRDefault="00373CE0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3868E6" w:rsidRDefault="00373CE0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</w:tcPr>
          <w:p w:rsidR="003868E6" w:rsidRDefault="00373CE0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</w:tcPr>
          <w:p w:rsidR="003868E6" w:rsidRDefault="00373CE0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tbl>
      <w:tblPr>
        <w:tblStyle w:val="Mkatabulky"/>
        <w:tblpPr w:leftFromText="141" w:rightFromText="141" w:vertAnchor="text" w:horzAnchor="page" w:tblpX="3373" w:tblpY="-860"/>
        <w:tblW w:w="0" w:type="auto"/>
        <w:tblLook w:val="04A0"/>
      </w:tblPr>
      <w:tblGrid>
        <w:gridCol w:w="675"/>
        <w:gridCol w:w="339"/>
        <w:gridCol w:w="370"/>
        <w:gridCol w:w="339"/>
        <w:gridCol w:w="370"/>
        <w:gridCol w:w="339"/>
        <w:gridCol w:w="370"/>
        <w:gridCol w:w="339"/>
        <w:gridCol w:w="369"/>
      </w:tblGrid>
      <w:tr w:rsidR="003868E6" w:rsidTr="003868E6">
        <w:tc>
          <w:tcPr>
            <w:tcW w:w="67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3868E6" w:rsidRDefault="003868E6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339" w:type="dxa"/>
            <w:tcBorders>
              <w:left w:val="single" w:sz="4" w:space="0" w:color="auto"/>
            </w:tcBorders>
          </w:tcPr>
          <w:p w:rsidR="003868E6" w:rsidRDefault="00BF6FA7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70" w:type="dxa"/>
          </w:tcPr>
          <w:p w:rsidR="003868E6" w:rsidRDefault="00BF6FA7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9" w:type="dxa"/>
          </w:tcPr>
          <w:p w:rsidR="003868E6" w:rsidRDefault="00373CE0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70" w:type="dxa"/>
          </w:tcPr>
          <w:p w:rsidR="003868E6" w:rsidRDefault="00BF6FA7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9" w:type="dxa"/>
          </w:tcPr>
          <w:p w:rsidR="003868E6" w:rsidRDefault="00373CE0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70" w:type="dxa"/>
          </w:tcPr>
          <w:p w:rsidR="003868E6" w:rsidRDefault="00373CE0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9" w:type="dxa"/>
          </w:tcPr>
          <w:p w:rsidR="003868E6" w:rsidRDefault="00373CE0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69" w:type="dxa"/>
          </w:tcPr>
          <w:p w:rsidR="003868E6" w:rsidRDefault="00373CE0" w:rsidP="003868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5F592A" w:rsidRPr="00D70A98" w:rsidRDefault="005F592A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</w:t>
      </w:r>
    </w:p>
    <w:p w:rsidR="005F592A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  <w:r w:rsidRPr="003868E6">
        <w:rPr>
          <w:rFonts w:ascii="Arial" w:hAnsi="Arial" w:cs="Arial"/>
          <w:b/>
          <w:sz w:val="24"/>
          <w:szCs w:val="24"/>
        </w:rPr>
        <w:t xml:space="preserve">Čl. </w:t>
      </w:r>
      <w:r w:rsidR="00906352">
        <w:rPr>
          <w:rFonts w:ascii="Arial" w:hAnsi="Arial" w:cs="Arial"/>
          <w:b/>
          <w:sz w:val="24"/>
          <w:szCs w:val="24"/>
        </w:rPr>
        <w:t>I</w:t>
      </w:r>
    </w:p>
    <w:p w:rsidR="00906352" w:rsidRDefault="00906352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3868E6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Všeobecné údaje</w:t>
      </w:r>
    </w:p>
    <w:p w:rsidR="003868E6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3868E6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3868E6" w:rsidRDefault="00373CE0" w:rsidP="003868E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AA5 – architektonický ateliér, spol. s r.o., </w:t>
      </w:r>
      <w:r>
        <w:rPr>
          <w:rFonts w:ascii="Arial" w:hAnsi="Arial" w:cs="Arial"/>
          <w:sz w:val="24"/>
          <w:szCs w:val="24"/>
        </w:rPr>
        <w:t>Budovateľská 38, 08001 Prešov</w:t>
      </w:r>
    </w:p>
    <w:p w:rsidR="00373CE0" w:rsidRPr="00373CE0" w:rsidRDefault="00373CE0" w:rsidP="003868E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Spoločnosť  vykonáva činnosť od 26. 04. 2008 nepretržite.</w:t>
      </w:r>
    </w:p>
    <w:p w:rsidR="003868E6" w:rsidRDefault="003868E6" w:rsidP="003868E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Konsolidovanú účtovnú závierku spoločnosť nezostavuje.</w:t>
      </w:r>
    </w:p>
    <w:p w:rsidR="003868E6" w:rsidRDefault="003868E6" w:rsidP="00BF6FA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Priemerný prepočítaný počet pracovníkov v roku 2014:  </w:t>
      </w:r>
      <w:r w:rsidR="00BF6FA7">
        <w:rPr>
          <w:rFonts w:ascii="Arial" w:hAnsi="Arial" w:cs="Arial"/>
          <w:sz w:val="24"/>
          <w:szCs w:val="24"/>
        </w:rPr>
        <w:t>spoločnosť v roku 2014 nezamestnávala žiadnych pracovníkov</w:t>
      </w:r>
    </w:p>
    <w:p w:rsidR="003868E6" w:rsidRDefault="003868E6" w:rsidP="003868E6">
      <w:pPr>
        <w:jc w:val="both"/>
        <w:rPr>
          <w:rFonts w:ascii="Arial" w:hAnsi="Arial" w:cs="Arial"/>
          <w:sz w:val="24"/>
          <w:szCs w:val="24"/>
        </w:rPr>
      </w:pPr>
    </w:p>
    <w:p w:rsidR="003868E6" w:rsidRDefault="003868E6" w:rsidP="003868E6">
      <w:pPr>
        <w:jc w:val="both"/>
        <w:rPr>
          <w:rFonts w:ascii="Arial" w:hAnsi="Arial" w:cs="Arial"/>
          <w:sz w:val="24"/>
          <w:szCs w:val="24"/>
        </w:rPr>
      </w:pPr>
    </w:p>
    <w:p w:rsidR="003868E6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  <w:r w:rsidRPr="003868E6">
        <w:rPr>
          <w:rFonts w:ascii="Arial" w:hAnsi="Arial" w:cs="Arial"/>
          <w:b/>
          <w:sz w:val="24"/>
          <w:szCs w:val="24"/>
        </w:rPr>
        <w:t>Čl. II</w:t>
      </w:r>
    </w:p>
    <w:p w:rsidR="00906352" w:rsidRDefault="00906352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3868E6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prijatých postupoch</w:t>
      </w:r>
    </w:p>
    <w:p w:rsidR="003868E6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3868E6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3868E6" w:rsidRDefault="00E35D30" w:rsidP="003868E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závierka je zostavená za predpokladu, že spoločnosť bude vo svojej činnosti pokračovať nepretržite aj v ďalších obdobiach.</w:t>
      </w:r>
      <w:r w:rsidR="00BF6FA7">
        <w:rPr>
          <w:rFonts w:ascii="Arial" w:hAnsi="Arial" w:cs="Arial"/>
          <w:sz w:val="24"/>
          <w:szCs w:val="24"/>
        </w:rPr>
        <w:t xml:space="preserve"> Vznikla a bez prerušenia pokračuje od </w:t>
      </w:r>
      <w:r w:rsidR="00373CE0">
        <w:rPr>
          <w:rFonts w:ascii="Arial" w:hAnsi="Arial" w:cs="Arial"/>
          <w:sz w:val="24"/>
          <w:szCs w:val="24"/>
        </w:rPr>
        <w:t>26</w:t>
      </w:r>
      <w:r w:rsidR="00BF6FA7">
        <w:rPr>
          <w:rFonts w:ascii="Arial" w:hAnsi="Arial" w:cs="Arial"/>
          <w:sz w:val="24"/>
          <w:szCs w:val="24"/>
        </w:rPr>
        <w:t>. 4. 2008.</w:t>
      </w:r>
    </w:p>
    <w:p w:rsidR="003616B4" w:rsidRDefault="003616B4" w:rsidP="003868E6">
      <w:pPr>
        <w:jc w:val="both"/>
        <w:rPr>
          <w:rFonts w:ascii="Arial" w:hAnsi="Arial" w:cs="Arial"/>
          <w:sz w:val="24"/>
          <w:szCs w:val="24"/>
        </w:rPr>
      </w:pPr>
    </w:p>
    <w:p w:rsidR="00E35D30" w:rsidRDefault="00E35D30" w:rsidP="003868E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Spôsob oceňovania jednotlivých položiek majetku a záväzkov:</w:t>
      </w:r>
    </w:p>
    <w:p w:rsidR="00E35D30" w:rsidRDefault="00E35D30" w:rsidP="00E35D30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Dlhodobý hmotný majetok  - kúpna cena bez ďalších obstarávacích nákladov</w:t>
      </w:r>
    </w:p>
    <w:p w:rsidR="00E35D30" w:rsidRDefault="00E35D30" w:rsidP="00E35D30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Zásoby spoločnosť neeviduje</w:t>
      </w:r>
    </w:p>
    <w:p w:rsidR="00E35D30" w:rsidRDefault="003616B4" w:rsidP="00E35D30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Pohľadávky sú uvádzané v nominálnej hodnote v  mene – euro</w:t>
      </w:r>
    </w:p>
    <w:p w:rsidR="003616B4" w:rsidRDefault="003616B4" w:rsidP="00E35D30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Záväzky sú uvádzané v nominálnej hodnote v mene – euro</w:t>
      </w:r>
    </w:p>
    <w:p w:rsidR="003616B4" w:rsidRDefault="003616B4" w:rsidP="00E35D30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Krátkodobý finančný majetok je uvádzaný v nominálnej hodnote v mene euro</w:t>
      </w:r>
    </w:p>
    <w:p w:rsidR="003616B4" w:rsidRDefault="003616B4" w:rsidP="003616B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Cudzie meny spoločnosť vo svojej činnosti nepoužíva.</w:t>
      </w:r>
    </w:p>
    <w:p w:rsidR="003616B4" w:rsidRDefault="003616B4" w:rsidP="003616B4">
      <w:pPr>
        <w:jc w:val="both"/>
        <w:rPr>
          <w:rFonts w:ascii="Arial" w:hAnsi="Arial" w:cs="Arial"/>
          <w:sz w:val="24"/>
          <w:szCs w:val="24"/>
        </w:rPr>
      </w:pPr>
    </w:p>
    <w:p w:rsidR="004A032D" w:rsidRDefault="003616B4" w:rsidP="003616B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 dlhodobom hmotnom majetku </w:t>
      </w:r>
      <w:r w:rsidR="00373CE0">
        <w:rPr>
          <w:rFonts w:ascii="Arial" w:hAnsi="Arial" w:cs="Arial"/>
          <w:sz w:val="24"/>
          <w:szCs w:val="24"/>
        </w:rPr>
        <w:t>ne</w:t>
      </w:r>
      <w:r>
        <w:rPr>
          <w:rFonts w:ascii="Arial" w:hAnsi="Arial" w:cs="Arial"/>
          <w:sz w:val="24"/>
          <w:szCs w:val="24"/>
        </w:rPr>
        <w:t xml:space="preserve">eviduje spoločnosť </w:t>
      </w:r>
      <w:r w:rsidR="00373CE0">
        <w:rPr>
          <w:rFonts w:ascii="Arial" w:hAnsi="Arial" w:cs="Arial"/>
          <w:sz w:val="24"/>
          <w:szCs w:val="24"/>
        </w:rPr>
        <w:t>žiaden majetok, posledný majetok bol odpísaný už v min</w:t>
      </w:r>
      <w:r w:rsidR="0018468A">
        <w:rPr>
          <w:rFonts w:ascii="Arial" w:hAnsi="Arial" w:cs="Arial"/>
          <w:sz w:val="24"/>
          <w:szCs w:val="24"/>
        </w:rPr>
        <w:t>u</w:t>
      </w:r>
      <w:r w:rsidR="00373CE0">
        <w:rPr>
          <w:rFonts w:ascii="Arial" w:hAnsi="Arial" w:cs="Arial"/>
          <w:sz w:val="24"/>
          <w:szCs w:val="24"/>
        </w:rPr>
        <w:t>lých obdobiach.</w:t>
      </w:r>
    </w:p>
    <w:p w:rsidR="0018468A" w:rsidRDefault="0018468A" w:rsidP="003616B4">
      <w:pPr>
        <w:jc w:val="both"/>
        <w:rPr>
          <w:rFonts w:ascii="Arial" w:hAnsi="Arial" w:cs="Arial"/>
          <w:sz w:val="24"/>
          <w:szCs w:val="24"/>
        </w:rPr>
      </w:pPr>
    </w:p>
    <w:p w:rsidR="004A032D" w:rsidRDefault="004A032D" w:rsidP="003616B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Zmeny účtovných zásad a metód v účtovnom období roku 2014 vykonané neboli, nakoľko nevznikla ich potreba.</w:t>
      </w:r>
    </w:p>
    <w:p w:rsidR="004A032D" w:rsidRDefault="004A032D" w:rsidP="003616B4">
      <w:pPr>
        <w:jc w:val="both"/>
        <w:rPr>
          <w:rFonts w:ascii="Arial" w:hAnsi="Arial" w:cs="Arial"/>
          <w:sz w:val="24"/>
          <w:szCs w:val="24"/>
        </w:rPr>
      </w:pPr>
    </w:p>
    <w:p w:rsidR="004A032D" w:rsidRDefault="004A032D" w:rsidP="003616B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Dotácie spoločnosti počas jej existencie pridelené neboli, ani o žiadne nepožiadala, nakoľko z jej činnosti takáto možnosť nevyplýva.</w:t>
      </w:r>
    </w:p>
    <w:p w:rsidR="004A032D" w:rsidRDefault="004A032D" w:rsidP="003616B4">
      <w:pPr>
        <w:jc w:val="both"/>
        <w:rPr>
          <w:rFonts w:ascii="Arial" w:hAnsi="Arial" w:cs="Arial"/>
          <w:sz w:val="24"/>
          <w:szCs w:val="24"/>
        </w:rPr>
      </w:pPr>
    </w:p>
    <w:p w:rsidR="004A032D" w:rsidRDefault="004A032D" w:rsidP="003616B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Významné opravy chýb minulých účtovných období v bežnom účtovnom období vykonané neboli. Nevýznamné chyby boli účtované v bežnom účtovnom období vo výške cca </w:t>
      </w:r>
      <w:r w:rsidR="0018468A">
        <w:rPr>
          <w:rFonts w:ascii="Arial" w:hAnsi="Arial" w:cs="Arial"/>
          <w:sz w:val="24"/>
          <w:szCs w:val="24"/>
        </w:rPr>
        <w:t>22</w:t>
      </w:r>
      <w:r>
        <w:rPr>
          <w:rFonts w:ascii="Arial" w:hAnsi="Arial" w:cs="Arial"/>
          <w:sz w:val="24"/>
          <w:szCs w:val="24"/>
        </w:rPr>
        <w:t xml:space="preserve"> eur. O túto sumu boli zvýšené náklady v bežnom účtovnom období.</w:t>
      </w:r>
    </w:p>
    <w:p w:rsidR="007222A9" w:rsidRDefault="007222A9" w:rsidP="003616B4">
      <w:pPr>
        <w:jc w:val="both"/>
        <w:rPr>
          <w:rFonts w:ascii="Arial" w:hAnsi="Arial" w:cs="Arial"/>
          <w:sz w:val="24"/>
          <w:szCs w:val="24"/>
        </w:rPr>
      </w:pPr>
    </w:p>
    <w:p w:rsidR="0018468A" w:rsidRDefault="0018468A" w:rsidP="003616B4">
      <w:pPr>
        <w:jc w:val="both"/>
        <w:rPr>
          <w:rFonts w:ascii="Arial" w:hAnsi="Arial" w:cs="Arial"/>
          <w:sz w:val="24"/>
          <w:szCs w:val="24"/>
        </w:rPr>
      </w:pPr>
    </w:p>
    <w:p w:rsidR="0018468A" w:rsidRDefault="0018468A" w:rsidP="003616B4">
      <w:pPr>
        <w:jc w:val="both"/>
        <w:rPr>
          <w:rFonts w:ascii="Arial" w:hAnsi="Arial" w:cs="Arial"/>
          <w:sz w:val="24"/>
          <w:szCs w:val="24"/>
        </w:rPr>
      </w:pPr>
    </w:p>
    <w:p w:rsidR="0018468A" w:rsidRDefault="0018468A" w:rsidP="003616B4">
      <w:pPr>
        <w:jc w:val="both"/>
        <w:rPr>
          <w:rFonts w:ascii="Arial" w:hAnsi="Arial" w:cs="Arial"/>
          <w:sz w:val="24"/>
          <w:szCs w:val="24"/>
        </w:rPr>
      </w:pPr>
    </w:p>
    <w:p w:rsidR="007222A9" w:rsidRDefault="007222A9" w:rsidP="003616B4">
      <w:pPr>
        <w:jc w:val="both"/>
        <w:rPr>
          <w:rFonts w:ascii="Arial" w:hAnsi="Arial" w:cs="Arial"/>
          <w:sz w:val="24"/>
          <w:szCs w:val="24"/>
        </w:rPr>
      </w:pPr>
    </w:p>
    <w:p w:rsidR="007222A9" w:rsidRDefault="007222A9" w:rsidP="007222A9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III</w:t>
      </w:r>
    </w:p>
    <w:p w:rsidR="00906352" w:rsidRDefault="00906352" w:rsidP="007222A9">
      <w:pPr>
        <w:jc w:val="center"/>
        <w:rPr>
          <w:rFonts w:ascii="Arial" w:hAnsi="Arial" w:cs="Arial"/>
          <w:b/>
          <w:sz w:val="24"/>
          <w:szCs w:val="24"/>
        </w:rPr>
      </w:pPr>
    </w:p>
    <w:p w:rsidR="007222A9" w:rsidRDefault="007222A9" w:rsidP="007222A9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Informácie, ktoré vysvetľujú a dopĺňajú súvahu a výkaz ziskov a strát</w:t>
      </w:r>
    </w:p>
    <w:tbl>
      <w:tblPr>
        <w:tblStyle w:val="Mkatabulky"/>
        <w:tblpPr w:leftFromText="141" w:rightFromText="141" w:vertAnchor="text" w:horzAnchor="page" w:tblpX="3553" w:tblpY="-875"/>
        <w:tblW w:w="0" w:type="auto"/>
        <w:tblLook w:val="04A0"/>
      </w:tblPr>
      <w:tblGrid>
        <w:gridCol w:w="675"/>
        <w:gridCol w:w="339"/>
        <w:gridCol w:w="370"/>
        <w:gridCol w:w="339"/>
        <w:gridCol w:w="370"/>
        <w:gridCol w:w="339"/>
        <w:gridCol w:w="370"/>
        <w:gridCol w:w="339"/>
        <w:gridCol w:w="369"/>
      </w:tblGrid>
      <w:tr w:rsidR="00B17708" w:rsidTr="00B17708">
        <w:trPr>
          <w:trHeight w:val="70"/>
        </w:trPr>
        <w:tc>
          <w:tcPr>
            <w:tcW w:w="67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IČO:</w:t>
            </w:r>
          </w:p>
        </w:tc>
        <w:tc>
          <w:tcPr>
            <w:tcW w:w="339" w:type="dxa"/>
            <w:tcBorders>
              <w:left w:val="single" w:sz="4" w:space="0" w:color="auto"/>
            </w:tcBorders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70" w:type="dxa"/>
          </w:tcPr>
          <w:p w:rsidR="00B17708" w:rsidRDefault="00373CE0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9" w:type="dxa"/>
          </w:tcPr>
          <w:p w:rsidR="00B17708" w:rsidRDefault="00373CE0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70" w:type="dxa"/>
          </w:tcPr>
          <w:p w:rsidR="00B17708" w:rsidRDefault="00373CE0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9" w:type="dxa"/>
          </w:tcPr>
          <w:p w:rsidR="00B17708" w:rsidRDefault="00373CE0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70" w:type="dxa"/>
          </w:tcPr>
          <w:p w:rsidR="00B17708" w:rsidRDefault="00373CE0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9" w:type="dxa"/>
          </w:tcPr>
          <w:p w:rsidR="00B17708" w:rsidRDefault="00373CE0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69" w:type="dxa"/>
          </w:tcPr>
          <w:p w:rsidR="00B17708" w:rsidRDefault="00373CE0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tbl>
      <w:tblPr>
        <w:tblStyle w:val="Mkatabulky"/>
        <w:tblpPr w:leftFromText="141" w:rightFromText="141" w:vertAnchor="text" w:horzAnchor="page" w:tblpX="7288" w:tblpY="-845"/>
        <w:tblW w:w="0" w:type="auto"/>
        <w:tblLook w:val="04A0"/>
      </w:tblPr>
      <w:tblGrid>
        <w:gridCol w:w="656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B17708" w:rsidTr="00B17708">
        <w:tc>
          <w:tcPr>
            <w:tcW w:w="0" w:type="auto"/>
            <w:tcBorders>
              <w:top w:val="nil"/>
              <w:left w:val="nil"/>
              <w:bottom w:val="nil"/>
            </w:tcBorders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0" w:type="auto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B17708" w:rsidRDefault="00B17708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B17708" w:rsidRDefault="00373CE0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0" w:type="auto"/>
          </w:tcPr>
          <w:p w:rsidR="00B17708" w:rsidRDefault="00373CE0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B17708" w:rsidRDefault="00373CE0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B17708" w:rsidRDefault="00373CE0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</w:tcPr>
          <w:p w:rsidR="00B17708" w:rsidRDefault="00373CE0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</w:tcPr>
          <w:p w:rsidR="00B17708" w:rsidRDefault="00373CE0" w:rsidP="00B1770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:rsidR="007222A9" w:rsidRDefault="007222A9" w:rsidP="007222A9">
      <w:pPr>
        <w:jc w:val="center"/>
        <w:rPr>
          <w:rFonts w:ascii="Arial" w:hAnsi="Arial" w:cs="Arial"/>
          <w:b/>
          <w:sz w:val="24"/>
          <w:szCs w:val="24"/>
        </w:rPr>
      </w:pPr>
    </w:p>
    <w:p w:rsidR="0075764A" w:rsidRDefault="0075764A" w:rsidP="007222A9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Mkatabulky"/>
        <w:tblpPr w:leftFromText="141" w:rightFromText="141" w:vertAnchor="page" w:horzAnchor="page" w:tblpX="508" w:tblpY="526"/>
        <w:tblW w:w="0" w:type="auto"/>
        <w:tblLook w:val="04A0"/>
      </w:tblPr>
      <w:tblGrid>
        <w:gridCol w:w="2802"/>
      </w:tblGrid>
      <w:tr w:rsidR="0075764A" w:rsidTr="003360D4">
        <w:tc>
          <w:tcPr>
            <w:tcW w:w="2802" w:type="dxa"/>
          </w:tcPr>
          <w:p w:rsidR="0075764A" w:rsidRDefault="0075764A" w:rsidP="003360D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Poznámky Úč MÚJ 3 - 01   </w:t>
            </w:r>
          </w:p>
        </w:tc>
      </w:tr>
    </w:tbl>
    <w:p w:rsidR="0075764A" w:rsidRDefault="0075764A" w:rsidP="007222A9">
      <w:pPr>
        <w:jc w:val="both"/>
        <w:rPr>
          <w:rFonts w:ascii="Arial" w:hAnsi="Arial" w:cs="Arial"/>
          <w:sz w:val="24"/>
          <w:szCs w:val="24"/>
        </w:rPr>
      </w:pPr>
    </w:p>
    <w:p w:rsidR="0075764A" w:rsidRDefault="0075764A" w:rsidP="007222A9">
      <w:pPr>
        <w:jc w:val="both"/>
        <w:rPr>
          <w:rFonts w:ascii="Arial" w:hAnsi="Arial" w:cs="Arial"/>
          <w:sz w:val="24"/>
          <w:szCs w:val="24"/>
        </w:rPr>
      </w:pPr>
    </w:p>
    <w:p w:rsidR="00906352" w:rsidRDefault="007222A9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Výnimočný rozsah či už výnosov alebo nákladov v účtovnom roku 2014 zaznamenaný nebol. Boli síce zvýšené mierne náklady, ale rovnako aj výnosy, čo sa </w:t>
      </w:r>
    </w:p>
    <w:p w:rsidR="007222A9" w:rsidRDefault="007222A9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prejavilo aj v hospodárskom výsledku.</w:t>
      </w:r>
    </w:p>
    <w:p w:rsidR="00906352" w:rsidRDefault="00906352" w:rsidP="007222A9">
      <w:pPr>
        <w:jc w:val="both"/>
        <w:rPr>
          <w:rFonts w:ascii="Arial" w:hAnsi="Arial" w:cs="Arial"/>
          <w:sz w:val="24"/>
          <w:szCs w:val="24"/>
        </w:rPr>
      </w:pPr>
    </w:p>
    <w:p w:rsidR="00906352" w:rsidRDefault="00906352" w:rsidP="007222A9">
      <w:pPr>
        <w:jc w:val="both"/>
        <w:rPr>
          <w:rFonts w:ascii="Arial" w:hAnsi="Arial" w:cs="Arial"/>
          <w:sz w:val="24"/>
          <w:szCs w:val="24"/>
        </w:rPr>
      </w:pPr>
    </w:p>
    <w:p w:rsidR="00701874" w:rsidRDefault="00B64EB9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Výnosy spoločnosti za obdobie 2013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3714C4">
        <w:rPr>
          <w:rFonts w:ascii="Arial" w:hAnsi="Arial" w:cs="Arial"/>
          <w:sz w:val="24"/>
          <w:szCs w:val="24"/>
        </w:rPr>
        <w:t>8011</w:t>
      </w:r>
      <w:r>
        <w:rPr>
          <w:rFonts w:ascii="Arial" w:hAnsi="Arial" w:cs="Arial"/>
          <w:sz w:val="24"/>
          <w:szCs w:val="24"/>
        </w:rPr>
        <w:t>.- eur</w:t>
      </w:r>
    </w:p>
    <w:p w:rsidR="00B64EB9" w:rsidRDefault="00B64EB9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Výnosy spoločnosti za obdobie 2014              </w:t>
      </w:r>
      <w:r w:rsidR="003714C4">
        <w:rPr>
          <w:rFonts w:ascii="Arial" w:hAnsi="Arial" w:cs="Arial"/>
          <w:sz w:val="24"/>
          <w:szCs w:val="24"/>
        </w:rPr>
        <w:t>21851</w:t>
      </w:r>
      <w:r>
        <w:rPr>
          <w:rFonts w:ascii="Arial" w:hAnsi="Arial" w:cs="Arial"/>
          <w:sz w:val="24"/>
          <w:szCs w:val="24"/>
        </w:rPr>
        <w:t>.- eur</w:t>
      </w:r>
    </w:p>
    <w:p w:rsidR="00906352" w:rsidRDefault="00906352" w:rsidP="007222A9">
      <w:pPr>
        <w:jc w:val="both"/>
        <w:rPr>
          <w:rFonts w:ascii="Arial" w:hAnsi="Arial" w:cs="Arial"/>
          <w:sz w:val="24"/>
          <w:szCs w:val="24"/>
        </w:rPr>
      </w:pPr>
    </w:p>
    <w:p w:rsidR="00701874" w:rsidRDefault="00701874" w:rsidP="007222A9">
      <w:pPr>
        <w:jc w:val="both"/>
        <w:rPr>
          <w:rFonts w:ascii="Arial" w:hAnsi="Arial" w:cs="Arial"/>
          <w:sz w:val="24"/>
          <w:szCs w:val="24"/>
        </w:rPr>
      </w:pPr>
    </w:p>
    <w:p w:rsidR="00701874" w:rsidRDefault="00701874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Oproti účtovnému obdobiu 2013 </w:t>
      </w:r>
      <w:r w:rsidR="00B64EB9">
        <w:rPr>
          <w:rFonts w:ascii="Arial" w:hAnsi="Arial" w:cs="Arial"/>
          <w:sz w:val="24"/>
          <w:szCs w:val="24"/>
        </w:rPr>
        <w:t>ne</w:t>
      </w:r>
      <w:r>
        <w:rPr>
          <w:rFonts w:ascii="Arial" w:hAnsi="Arial" w:cs="Arial"/>
          <w:sz w:val="24"/>
          <w:szCs w:val="24"/>
        </w:rPr>
        <w:t>došlo k navýšeniu finančného majetku a</w:t>
      </w:r>
      <w:r w:rsidR="00B64EB9">
        <w:rPr>
          <w:rFonts w:ascii="Arial" w:hAnsi="Arial" w:cs="Arial"/>
          <w:sz w:val="24"/>
          <w:szCs w:val="24"/>
        </w:rPr>
        <w:t>ni k výraznejšiemu</w:t>
      </w:r>
      <w:r>
        <w:rPr>
          <w:rFonts w:ascii="Arial" w:hAnsi="Arial" w:cs="Arial"/>
          <w:sz w:val="24"/>
          <w:szCs w:val="24"/>
        </w:rPr>
        <w:t> zníženiu krátkodobých pohľadávok aj záväzkov.</w:t>
      </w:r>
      <w:r w:rsidR="00B64EB9">
        <w:rPr>
          <w:rFonts w:ascii="Arial" w:hAnsi="Arial" w:cs="Arial"/>
          <w:sz w:val="24"/>
          <w:szCs w:val="24"/>
        </w:rPr>
        <w:t xml:space="preserve"> Táto situácia je zapríčinená tým, že v zdaňovacom období roku 2014 spoločnosť vykonávala najmä činnosti, ktoré sú náročn</w:t>
      </w:r>
      <w:r w:rsidR="003714C4">
        <w:rPr>
          <w:rFonts w:ascii="Arial" w:hAnsi="Arial" w:cs="Arial"/>
          <w:sz w:val="24"/>
          <w:szCs w:val="24"/>
        </w:rPr>
        <w:t>ejšie</w:t>
      </w:r>
      <w:r w:rsidR="00B64EB9">
        <w:rPr>
          <w:rFonts w:ascii="Arial" w:hAnsi="Arial" w:cs="Arial"/>
          <w:sz w:val="24"/>
          <w:szCs w:val="24"/>
        </w:rPr>
        <w:t xml:space="preserve"> na momentálne zabezpečenie.</w:t>
      </w:r>
      <w:r w:rsidR="0040673D">
        <w:rPr>
          <w:rFonts w:ascii="Arial" w:hAnsi="Arial" w:cs="Arial"/>
          <w:sz w:val="24"/>
          <w:szCs w:val="24"/>
        </w:rPr>
        <w:t xml:space="preserve"> Významným momentom v činnosti spoločnosti je to, že kým v roku 2013 bola vykázaná strata, v zdaňovacom období 2014 už spoločnosť vykázala zisk.</w:t>
      </w:r>
    </w:p>
    <w:p w:rsidR="00701874" w:rsidRDefault="00701874" w:rsidP="007222A9">
      <w:pPr>
        <w:jc w:val="both"/>
        <w:rPr>
          <w:rFonts w:ascii="Arial" w:hAnsi="Arial" w:cs="Arial"/>
          <w:sz w:val="24"/>
          <w:szCs w:val="24"/>
        </w:rPr>
      </w:pPr>
    </w:p>
    <w:p w:rsidR="00906352" w:rsidRDefault="00701874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Dlhodobé záväzky spoločnosť má</w:t>
      </w:r>
      <w:r w:rsidR="00B64EB9">
        <w:rPr>
          <w:rFonts w:ascii="Arial" w:hAnsi="Arial" w:cs="Arial"/>
          <w:sz w:val="24"/>
          <w:szCs w:val="24"/>
        </w:rPr>
        <w:t xml:space="preserve"> len v menšom rozsahu</w:t>
      </w:r>
      <w:r w:rsidR="003714C4">
        <w:rPr>
          <w:rFonts w:ascii="Arial" w:hAnsi="Arial" w:cs="Arial"/>
          <w:sz w:val="24"/>
          <w:szCs w:val="24"/>
        </w:rPr>
        <w:t>.</w:t>
      </w:r>
      <w:r w:rsidR="00B64EB9">
        <w:rPr>
          <w:rFonts w:ascii="Arial" w:hAnsi="Arial" w:cs="Arial"/>
          <w:sz w:val="24"/>
          <w:szCs w:val="24"/>
        </w:rPr>
        <w:t xml:space="preserve"> </w:t>
      </w:r>
    </w:p>
    <w:p w:rsidR="003714C4" w:rsidRDefault="003714C4" w:rsidP="007222A9">
      <w:pPr>
        <w:jc w:val="both"/>
        <w:rPr>
          <w:rFonts w:ascii="Arial" w:hAnsi="Arial" w:cs="Arial"/>
          <w:sz w:val="24"/>
          <w:szCs w:val="24"/>
        </w:rPr>
      </w:pPr>
    </w:p>
    <w:p w:rsidR="00917D8D" w:rsidRDefault="00701874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Krátkodobé záväzky predstavujú:</w:t>
      </w:r>
    </w:p>
    <w:p w:rsidR="00701874" w:rsidRDefault="00917D8D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</w:t>
      </w:r>
      <w:r w:rsidR="0070187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celková hodnota </w:t>
      </w:r>
      <w:r w:rsidR="003714C4">
        <w:rPr>
          <w:rFonts w:ascii="Arial" w:hAnsi="Arial" w:cs="Arial"/>
          <w:sz w:val="24"/>
          <w:szCs w:val="24"/>
        </w:rPr>
        <w:t>27098,28</w:t>
      </w:r>
      <w:r w:rsidR="00B1770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eur (oproti </w:t>
      </w:r>
      <w:r w:rsidR="003714C4">
        <w:rPr>
          <w:rFonts w:ascii="Arial" w:hAnsi="Arial" w:cs="Arial"/>
          <w:sz w:val="24"/>
          <w:szCs w:val="24"/>
        </w:rPr>
        <w:t>26548,78</w:t>
      </w:r>
      <w:r>
        <w:rPr>
          <w:rFonts w:ascii="Arial" w:hAnsi="Arial" w:cs="Arial"/>
          <w:sz w:val="24"/>
          <w:szCs w:val="24"/>
        </w:rPr>
        <w:t xml:space="preserve"> eur v minulom účtovnom období)</w:t>
      </w:r>
      <w:r w:rsidR="00B17708">
        <w:rPr>
          <w:rFonts w:ascii="Arial" w:hAnsi="Arial" w:cs="Arial"/>
          <w:sz w:val="24"/>
          <w:szCs w:val="24"/>
        </w:rPr>
        <w:t xml:space="preserve"> - </w:t>
      </w:r>
    </w:p>
    <w:p w:rsidR="003714C4" w:rsidRDefault="00917D8D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tieto záväzky predstavujú neuhradené záväzky voči dodávateľom splatné v roku </w:t>
      </w:r>
      <w:r w:rsidR="00906352">
        <w:rPr>
          <w:rFonts w:ascii="Arial" w:hAnsi="Arial" w:cs="Arial"/>
          <w:sz w:val="24"/>
          <w:szCs w:val="24"/>
        </w:rPr>
        <w:t xml:space="preserve">          </w:t>
      </w:r>
      <w:r w:rsidR="00B17708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>2015, ako aj daňové záväzky, rovnako splatné v roku 2015.</w:t>
      </w:r>
      <w:r w:rsidR="00B17708">
        <w:rPr>
          <w:rFonts w:ascii="Arial" w:hAnsi="Arial" w:cs="Arial"/>
          <w:sz w:val="24"/>
          <w:szCs w:val="24"/>
        </w:rPr>
        <w:t xml:space="preserve"> Boli vyvolané zvýšenou </w:t>
      </w:r>
    </w:p>
    <w:p w:rsidR="003714C4" w:rsidRDefault="003714C4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potrebou subdodávok v roku 2014.</w:t>
      </w:r>
    </w:p>
    <w:p w:rsidR="003714C4" w:rsidRDefault="003714C4" w:rsidP="007222A9">
      <w:pPr>
        <w:jc w:val="both"/>
        <w:rPr>
          <w:rFonts w:ascii="Arial" w:hAnsi="Arial" w:cs="Arial"/>
          <w:sz w:val="24"/>
          <w:szCs w:val="24"/>
        </w:rPr>
      </w:pPr>
    </w:p>
    <w:p w:rsidR="00917D8D" w:rsidRDefault="00917D8D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Vlastné akcie spoločnosť v roku 2014 nenadobudla, žiadne nemá v držbe, žiadne nepreviedla na iný subjekt. Počas svojej existencie žiadne akcie nevydala.</w:t>
      </w:r>
    </w:p>
    <w:p w:rsidR="00917D8D" w:rsidRDefault="00917D8D" w:rsidP="007222A9">
      <w:pPr>
        <w:jc w:val="both"/>
        <w:rPr>
          <w:rFonts w:ascii="Arial" w:hAnsi="Arial" w:cs="Arial"/>
          <w:sz w:val="24"/>
          <w:szCs w:val="24"/>
        </w:rPr>
      </w:pPr>
    </w:p>
    <w:p w:rsidR="00917D8D" w:rsidRDefault="00917D8D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Spoločnosť má </w:t>
      </w:r>
      <w:r w:rsidR="003714C4">
        <w:rPr>
          <w:rFonts w:ascii="Arial" w:hAnsi="Arial" w:cs="Arial"/>
          <w:sz w:val="24"/>
          <w:szCs w:val="24"/>
        </w:rPr>
        <w:t>dvoch spoločníkov, ktorí sú zároveň aj konateľmi.</w:t>
      </w:r>
      <w:r>
        <w:rPr>
          <w:rFonts w:ascii="Arial" w:hAnsi="Arial" w:cs="Arial"/>
          <w:sz w:val="24"/>
          <w:szCs w:val="24"/>
        </w:rPr>
        <w:t>.</w:t>
      </w:r>
    </w:p>
    <w:p w:rsidR="002F582E" w:rsidRDefault="002F582E" w:rsidP="007222A9">
      <w:pPr>
        <w:jc w:val="both"/>
        <w:rPr>
          <w:rFonts w:ascii="Arial" w:hAnsi="Arial" w:cs="Arial"/>
          <w:sz w:val="24"/>
          <w:szCs w:val="24"/>
        </w:rPr>
      </w:pPr>
    </w:p>
    <w:p w:rsidR="002F582E" w:rsidRDefault="002F582E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Pôžičky konateľo</w:t>
      </w:r>
      <w:r w:rsidR="003714C4">
        <w:rPr>
          <w:rFonts w:ascii="Arial" w:hAnsi="Arial" w:cs="Arial"/>
          <w:sz w:val="24"/>
          <w:szCs w:val="24"/>
        </w:rPr>
        <w:t>m</w:t>
      </w:r>
      <w:r>
        <w:rPr>
          <w:rFonts w:ascii="Arial" w:hAnsi="Arial" w:cs="Arial"/>
          <w:sz w:val="24"/>
          <w:szCs w:val="24"/>
        </w:rPr>
        <w:t xml:space="preserve"> v účtovnom období poskytnuté neboli. V roku 2013, kedy spoločnosť nedisponovala dostatočným množstvom finančných prostriedkov poskyt</w:t>
      </w:r>
      <w:r w:rsidR="0040673D">
        <w:rPr>
          <w:rFonts w:ascii="Arial" w:hAnsi="Arial" w:cs="Arial"/>
          <w:sz w:val="24"/>
          <w:szCs w:val="24"/>
        </w:rPr>
        <w:t>li</w:t>
      </w:r>
      <w:r>
        <w:rPr>
          <w:rFonts w:ascii="Arial" w:hAnsi="Arial" w:cs="Arial"/>
          <w:sz w:val="24"/>
          <w:szCs w:val="24"/>
        </w:rPr>
        <w:t xml:space="preserve"> pôžičku spoločnosti konate</w:t>
      </w:r>
      <w:r w:rsidR="0040673D">
        <w:rPr>
          <w:rFonts w:ascii="Arial" w:hAnsi="Arial" w:cs="Arial"/>
          <w:sz w:val="24"/>
          <w:szCs w:val="24"/>
        </w:rPr>
        <w:t>lia</w:t>
      </w:r>
      <w:r>
        <w:rPr>
          <w:rFonts w:ascii="Arial" w:hAnsi="Arial" w:cs="Arial"/>
          <w:sz w:val="24"/>
          <w:szCs w:val="24"/>
        </w:rPr>
        <w:t>, ktorá mu však bola v roku 2014 vrátená a ku koncu účtovného obdobia boli evidované záväzky vo vzťahu spoločnosť</w:t>
      </w:r>
      <w:r w:rsidR="00B17708">
        <w:rPr>
          <w:rFonts w:ascii="Arial" w:hAnsi="Arial" w:cs="Arial"/>
          <w:sz w:val="24"/>
          <w:szCs w:val="24"/>
        </w:rPr>
        <w:t xml:space="preserve"> – konate</w:t>
      </w:r>
      <w:r w:rsidR="0040673D">
        <w:rPr>
          <w:rFonts w:ascii="Arial" w:hAnsi="Arial" w:cs="Arial"/>
          <w:sz w:val="24"/>
          <w:szCs w:val="24"/>
        </w:rPr>
        <w:t>lia</w:t>
      </w:r>
      <w:r w:rsidR="00B17708">
        <w:rPr>
          <w:rFonts w:ascii="Arial" w:hAnsi="Arial" w:cs="Arial"/>
          <w:sz w:val="24"/>
          <w:szCs w:val="24"/>
        </w:rPr>
        <w:t xml:space="preserve"> v sume </w:t>
      </w:r>
      <w:r w:rsidR="0040673D">
        <w:rPr>
          <w:rFonts w:ascii="Arial" w:hAnsi="Arial" w:cs="Arial"/>
          <w:sz w:val="24"/>
          <w:szCs w:val="24"/>
        </w:rPr>
        <w:t>0</w:t>
      </w:r>
      <w:r w:rsidR="00B17708">
        <w:rPr>
          <w:rFonts w:ascii="Arial" w:hAnsi="Arial" w:cs="Arial"/>
          <w:sz w:val="24"/>
          <w:szCs w:val="24"/>
        </w:rPr>
        <w:t xml:space="preserve"> eur.</w:t>
      </w:r>
      <w:r>
        <w:rPr>
          <w:rFonts w:ascii="Arial" w:hAnsi="Arial" w:cs="Arial"/>
          <w:sz w:val="24"/>
          <w:szCs w:val="24"/>
        </w:rPr>
        <w:t>.</w:t>
      </w:r>
    </w:p>
    <w:p w:rsidR="002F582E" w:rsidRDefault="002F582E" w:rsidP="007222A9">
      <w:pPr>
        <w:jc w:val="both"/>
        <w:rPr>
          <w:rFonts w:ascii="Arial" w:hAnsi="Arial" w:cs="Arial"/>
          <w:sz w:val="24"/>
          <w:szCs w:val="24"/>
        </w:rPr>
      </w:pPr>
    </w:p>
    <w:p w:rsidR="002F582E" w:rsidRDefault="002F582E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Finančné prostriedky alebo iné plnenia na súkromné účely konateľ</w:t>
      </w:r>
      <w:r w:rsidR="0040673D">
        <w:rPr>
          <w:rFonts w:ascii="Arial" w:hAnsi="Arial" w:cs="Arial"/>
          <w:sz w:val="24"/>
          <w:szCs w:val="24"/>
        </w:rPr>
        <w:t>mi</w:t>
      </w:r>
      <w:r>
        <w:rPr>
          <w:rFonts w:ascii="Arial" w:hAnsi="Arial" w:cs="Arial"/>
          <w:sz w:val="24"/>
          <w:szCs w:val="24"/>
        </w:rPr>
        <w:t xml:space="preserve"> využívané neboli a teda nie je potrebné ich vyúčtovať.</w:t>
      </w:r>
    </w:p>
    <w:p w:rsidR="002F582E" w:rsidRDefault="002F582E" w:rsidP="007222A9">
      <w:pPr>
        <w:jc w:val="both"/>
        <w:rPr>
          <w:rFonts w:ascii="Arial" w:hAnsi="Arial" w:cs="Arial"/>
          <w:sz w:val="24"/>
          <w:szCs w:val="24"/>
        </w:rPr>
      </w:pPr>
    </w:p>
    <w:p w:rsidR="0040673D" w:rsidRDefault="00CB388C" w:rsidP="0040673D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Finančné povinnosti, ktoré nie sú vykazované v Súvahe, ale sú významné na posúdenie finančnej situácie účtovnej jednotky sa v účtovnom roku 2014 nevyskytli. Nie je predpoklad, že by sa vyskytli v nasledujúcom účtovnom období, nakoľko spoločnosť </w:t>
      </w:r>
      <w:r w:rsidR="0040673D">
        <w:rPr>
          <w:rFonts w:ascii="Arial" w:hAnsi="Arial" w:cs="Arial"/>
          <w:sz w:val="24"/>
          <w:szCs w:val="24"/>
        </w:rPr>
        <w:t>nežiadala o poskytnutie úveru, ani finančného prenájmu.</w:t>
      </w:r>
    </w:p>
    <w:p w:rsidR="003714C4" w:rsidRDefault="003714C4" w:rsidP="007222A9">
      <w:pPr>
        <w:jc w:val="both"/>
        <w:rPr>
          <w:rFonts w:ascii="Arial" w:hAnsi="Arial" w:cs="Arial"/>
          <w:sz w:val="24"/>
          <w:szCs w:val="24"/>
        </w:rPr>
      </w:pPr>
    </w:p>
    <w:p w:rsidR="0040673D" w:rsidRDefault="0040673D" w:rsidP="007222A9">
      <w:pPr>
        <w:jc w:val="both"/>
        <w:rPr>
          <w:rFonts w:ascii="Arial" w:hAnsi="Arial" w:cs="Arial"/>
          <w:sz w:val="24"/>
          <w:szCs w:val="24"/>
        </w:rPr>
      </w:pPr>
    </w:p>
    <w:p w:rsidR="003714C4" w:rsidRDefault="003714C4" w:rsidP="007222A9">
      <w:pPr>
        <w:jc w:val="both"/>
        <w:rPr>
          <w:rFonts w:ascii="Arial" w:hAnsi="Arial" w:cs="Arial"/>
          <w:sz w:val="24"/>
          <w:szCs w:val="24"/>
        </w:rPr>
      </w:pPr>
    </w:p>
    <w:p w:rsidR="00CB388C" w:rsidRDefault="00CB388C" w:rsidP="007222A9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Mkatabulky"/>
        <w:tblpPr w:leftFromText="141" w:rightFromText="141" w:vertAnchor="text" w:horzAnchor="page" w:tblpX="3448" w:tblpY="-725"/>
        <w:tblW w:w="0" w:type="auto"/>
        <w:tblLook w:val="04A0"/>
      </w:tblPr>
      <w:tblGrid>
        <w:gridCol w:w="675"/>
        <w:gridCol w:w="339"/>
        <w:gridCol w:w="370"/>
        <w:gridCol w:w="339"/>
        <w:gridCol w:w="370"/>
        <w:gridCol w:w="339"/>
        <w:gridCol w:w="370"/>
        <w:gridCol w:w="339"/>
        <w:gridCol w:w="369"/>
      </w:tblGrid>
      <w:tr w:rsidR="0040673D" w:rsidTr="0040673D">
        <w:tc>
          <w:tcPr>
            <w:tcW w:w="67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0673D" w:rsidRDefault="0040673D" w:rsidP="004067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IČO:</w:t>
            </w:r>
          </w:p>
        </w:tc>
        <w:tc>
          <w:tcPr>
            <w:tcW w:w="339" w:type="dxa"/>
            <w:tcBorders>
              <w:left w:val="single" w:sz="4" w:space="0" w:color="auto"/>
            </w:tcBorders>
          </w:tcPr>
          <w:p w:rsidR="0040673D" w:rsidRDefault="0040673D" w:rsidP="004067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70" w:type="dxa"/>
          </w:tcPr>
          <w:p w:rsidR="0040673D" w:rsidRDefault="0040673D" w:rsidP="004067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9" w:type="dxa"/>
          </w:tcPr>
          <w:p w:rsidR="0040673D" w:rsidRDefault="0040673D" w:rsidP="004067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70" w:type="dxa"/>
          </w:tcPr>
          <w:p w:rsidR="0040673D" w:rsidRDefault="0040673D" w:rsidP="004067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9" w:type="dxa"/>
          </w:tcPr>
          <w:p w:rsidR="0040673D" w:rsidRDefault="0040673D" w:rsidP="004067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70" w:type="dxa"/>
          </w:tcPr>
          <w:p w:rsidR="0040673D" w:rsidRDefault="0040673D" w:rsidP="004067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9" w:type="dxa"/>
          </w:tcPr>
          <w:p w:rsidR="0040673D" w:rsidRDefault="0040673D" w:rsidP="004067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69" w:type="dxa"/>
          </w:tcPr>
          <w:p w:rsidR="0040673D" w:rsidRDefault="0040673D" w:rsidP="004067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tbl>
      <w:tblPr>
        <w:tblStyle w:val="Mkatabulky"/>
        <w:tblpPr w:leftFromText="141" w:rightFromText="141" w:vertAnchor="text" w:horzAnchor="page" w:tblpX="7063" w:tblpY="-680"/>
        <w:tblW w:w="0" w:type="auto"/>
        <w:tblLook w:val="04A0"/>
      </w:tblPr>
      <w:tblGrid>
        <w:gridCol w:w="656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F36242" w:rsidTr="00F36242">
        <w:tc>
          <w:tcPr>
            <w:tcW w:w="0" w:type="auto"/>
            <w:tcBorders>
              <w:top w:val="nil"/>
              <w:left w:val="nil"/>
              <w:bottom w:val="nil"/>
            </w:tcBorders>
          </w:tcPr>
          <w:p w:rsidR="00F36242" w:rsidRDefault="00F36242" w:rsidP="00F3624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0" w:type="auto"/>
          </w:tcPr>
          <w:p w:rsidR="00F36242" w:rsidRDefault="00F36242" w:rsidP="00F3624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F36242" w:rsidRDefault="00F36242" w:rsidP="00F3624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</w:tcPr>
          <w:p w:rsidR="00F36242" w:rsidRDefault="00F36242" w:rsidP="00F3624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F36242" w:rsidRDefault="00F36242" w:rsidP="00F3624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F36242" w:rsidRDefault="00F36242" w:rsidP="00F3624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0" w:type="auto"/>
          </w:tcPr>
          <w:p w:rsidR="00F36242" w:rsidRDefault="00F36242" w:rsidP="00F3624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F36242" w:rsidRDefault="00F36242" w:rsidP="00F3624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F36242" w:rsidRDefault="00F36242" w:rsidP="00F3624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</w:tcPr>
          <w:p w:rsidR="00F36242" w:rsidRDefault="00F36242" w:rsidP="00F3624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</w:tcPr>
          <w:p w:rsidR="00F36242" w:rsidRDefault="00F36242" w:rsidP="00F3624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tbl>
      <w:tblPr>
        <w:tblStyle w:val="Mkatabulky"/>
        <w:tblpPr w:leftFromText="141" w:rightFromText="141" w:vertAnchor="page" w:horzAnchor="page" w:tblpX="508" w:tblpY="691"/>
        <w:tblW w:w="0" w:type="auto"/>
        <w:tblLook w:val="04A0"/>
      </w:tblPr>
      <w:tblGrid>
        <w:gridCol w:w="2727"/>
      </w:tblGrid>
      <w:tr w:rsidR="00F36242" w:rsidTr="00F36242">
        <w:trPr>
          <w:trHeight w:val="260"/>
        </w:trPr>
        <w:tc>
          <w:tcPr>
            <w:tcW w:w="2727" w:type="dxa"/>
          </w:tcPr>
          <w:p w:rsidR="00F36242" w:rsidRDefault="00F36242" w:rsidP="00F3624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PoznámkyÚčMÚJ3-01</w:t>
            </w:r>
          </w:p>
        </w:tc>
      </w:tr>
    </w:tbl>
    <w:p w:rsidR="00CB388C" w:rsidRDefault="00CB388C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Spoločnosti nevznikli významné finančné povinnosti, ani podmienené záväzky.</w:t>
      </w:r>
    </w:p>
    <w:p w:rsidR="0040673D" w:rsidRDefault="0040673D" w:rsidP="007222A9">
      <w:pPr>
        <w:jc w:val="both"/>
        <w:rPr>
          <w:rFonts w:ascii="Arial" w:hAnsi="Arial" w:cs="Arial"/>
          <w:sz w:val="24"/>
          <w:szCs w:val="24"/>
        </w:rPr>
      </w:pPr>
    </w:p>
    <w:p w:rsidR="00CB388C" w:rsidRDefault="00CB388C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Dcérsku účtovnú jednotku  ani účtovnú jednotku s podstatným vplyvom spoločnosť nemá.</w:t>
      </w:r>
    </w:p>
    <w:p w:rsidR="00CB388C" w:rsidRDefault="00CB388C" w:rsidP="007222A9">
      <w:pPr>
        <w:jc w:val="both"/>
        <w:rPr>
          <w:rFonts w:ascii="Arial" w:hAnsi="Arial" w:cs="Arial"/>
          <w:sz w:val="24"/>
          <w:szCs w:val="24"/>
        </w:rPr>
      </w:pPr>
    </w:p>
    <w:p w:rsidR="00CB388C" w:rsidRDefault="00CB388C" w:rsidP="007222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Účtovná jednotka </w:t>
      </w:r>
      <w:r w:rsidR="00B17708">
        <w:rPr>
          <w:rFonts w:ascii="Arial" w:hAnsi="Arial" w:cs="Arial"/>
          <w:sz w:val="24"/>
          <w:szCs w:val="24"/>
        </w:rPr>
        <w:t>ne</w:t>
      </w:r>
      <w:r>
        <w:rPr>
          <w:rFonts w:ascii="Arial" w:hAnsi="Arial" w:cs="Arial"/>
          <w:sz w:val="24"/>
          <w:szCs w:val="24"/>
        </w:rPr>
        <w:t xml:space="preserve">zamestnáva </w:t>
      </w:r>
      <w:r w:rsidR="00B17708">
        <w:rPr>
          <w:rFonts w:ascii="Arial" w:hAnsi="Arial" w:cs="Arial"/>
          <w:sz w:val="24"/>
          <w:szCs w:val="24"/>
        </w:rPr>
        <w:t>žiadneho</w:t>
      </w:r>
      <w:r>
        <w:rPr>
          <w:rFonts w:ascii="Arial" w:hAnsi="Arial" w:cs="Arial"/>
          <w:sz w:val="24"/>
          <w:szCs w:val="24"/>
        </w:rPr>
        <w:t xml:space="preserve"> pracovníka</w:t>
      </w:r>
      <w:r w:rsidR="00906352">
        <w:rPr>
          <w:rFonts w:ascii="Arial" w:hAnsi="Arial" w:cs="Arial"/>
          <w:sz w:val="24"/>
          <w:szCs w:val="24"/>
        </w:rPr>
        <w:t>, nemá</w:t>
      </w:r>
      <w:r w:rsidR="00B17708">
        <w:rPr>
          <w:rFonts w:ascii="Arial" w:hAnsi="Arial" w:cs="Arial"/>
          <w:sz w:val="24"/>
          <w:szCs w:val="24"/>
        </w:rPr>
        <w:t xml:space="preserve"> teda</w:t>
      </w:r>
      <w:r w:rsidR="00906352">
        <w:rPr>
          <w:rFonts w:ascii="Arial" w:hAnsi="Arial" w:cs="Arial"/>
          <w:sz w:val="24"/>
          <w:szCs w:val="24"/>
        </w:rPr>
        <w:t xml:space="preserve"> vytvorený žiadny dôchodkový program.</w:t>
      </w:r>
    </w:p>
    <w:p w:rsidR="007222A9" w:rsidRPr="007222A9" w:rsidRDefault="007222A9" w:rsidP="007222A9">
      <w:pPr>
        <w:jc w:val="both"/>
        <w:rPr>
          <w:rFonts w:ascii="Arial" w:hAnsi="Arial" w:cs="Arial"/>
          <w:sz w:val="24"/>
          <w:szCs w:val="24"/>
        </w:rPr>
      </w:pPr>
    </w:p>
    <w:p w:rsidR="001C189A" w:rsidRPr="00906352" w:rsidRDefault="001C189A" w:rsidP="001C189A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účtovnom roku 2014 nebolo spoločnosti udelené výlučné alebo osobitné právo, ktorým sa udelilo právo poskytovať služby vo verejnom záujme. Ako takej teda neboli poskytnuté žiadne – či už finančné alebo iné náhrady.</w:t>
      </w:r>
    </w:p>
    <w:p w:rsidR="003616B4" w:rsidRDefault="003616B4" w:rsidP="003616B4">
      <w:pPr>
        <w:jc w:val="both"/>
        <w:rPr>
          <w:rFonts w:ascii="Arial" w:hAnsi="Arial" w:cs="Arial"/>
          <w:sz w:val="24"/>
          <w:szCs w:val="24"/>
        </w:rPr>
      </w:pPr>
    </w:p>
    <w:p w:rsidR="003616B4" w:rsidRPr="003616B4" w:rsidRDefault="003616B4" w:rsidP="003616B4">
      <w:pPr>
        <w:jc w:val="both"/>
        <w:rPr>
          <w:rFonts w:ascii="Arial" w:hAnsi="Arial" w:cs="Arial"/>
          <w:sz w:val="24"/>
          <w:szCs w:val="24"/>
        </w:rPr>
      </w:pPr>
    </w:p>
    <w:p w:rsidR="003868E6" w:rsidRDefault="003868E6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906352" w:rsidRDefault="00906352" w:rsidP="003868E6">
      <w:pPr>
        <w:jc w:val="center"/>
        <w:rPr>
          <w:rFonts w:ascii="Arial" w:hAnsi="Arial" w:cs="Arial"/>
          <w:b/>
          <w:sz w:val="24"/>
          <w:szCs w:val="24"/>
        </w:rPr>
      </w:pPr>
    </w:p>
    <w:p w:rsidR="00906352" w:rsidRDefault="00906352" w:rsidP="003868E6">
      <w:pPr>
        <w:jc w:val="center"/>
        <w:rPr>
          <w:rFonts w:ascii="Arial" w:hAnsi="Arial" w:cs="Arial"/>
          <w:b/>
          <w:sz w:val="24"/>
          <w:szCs w:val="24"/>
        </w:rPr>
      </w:pPr>
    </w:p>
    <w:sectPr w:rsidR="00906352" w:rsidSect="00DB15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C0C36" w:rsidRDefault="00AC0C36" w:rsidP="00827279">
      <w:r>
        <w:separator/>
      </w:r>
    </w:p>
  </w:endnote>
  <w:endnote w:type="continuationSeparator" w:id="1">
    <w:p w:rsidR="00AC0C36" w:rsidRDefault="00AC0C36" w:rsidP="008272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C0C36" w:rsidRDefault="00AC0C36" w:rsidP="00827279">
      <w:r>
        <w:separator/>
      </w:r>
    </w:p>
  </w:footnote>
  <w:footnote w:type="continuationSeparator" w:id="1">
    <w:p w:rsidR="00AC0C36" w:rsidRDefault="00AC0C36" w:rsidP="0082727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AA3C27"/>
    <w:multiLevelType w:val="hybridMultilevel"/>
    <w:tmpl w:val="74660336"/>
    <w:lvl w:ilvl="0" w:tplc="151E760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80B2F"/>
    <w:rsid w:val="0018468A"/>
    <w:rsid w:val="001C189A"/>
    <w:rsid w:val="002F582E"/>
    <w:rsid w:val="003616B4"/>
    <w:rsid w:val="003714C4"/>
    <w:rsid w:val="00373CE0"/>
    <w:rsid w:val="003868E6"/>
    <w:rsid w:val="0040673D"/>
    <w:rsid w:val="004A032D"/>
    <w:rsid w:val="004E097E"/>
    <w:rsid w:val="00537BBF"/>
    <w:rsid w:val="005B16B7"/>
    <w:rsid w:val="005F592A"/>
    <w:rsid w:val="0065490E"/>
    <w:rsid w:val="00701874"/>
    <w:rsid w:val="007222A9"/>
    <w:rsid w:val="0075764A"/>
    <w:rsid w:val="00827279"/>
    <w:rsid w:val="00906352"/>
    <w:rsid w:val="00917D8D"/>
    <w:rsid w:val="00980B2F"/>
    <w:rsid w:val="00A17508"/>
    <w:rsid w:val="00AC0C36"/>
    <w:rsid w:val="00AD0263"/>
    <w:rsid w:val="00AE558F"/>
    <w:rsid w:val="00B17708"/>
    <w:rsid w:val="00B64EB9"/>
    <w:rsid w:val="00BF6FA7"/>
    <w:rsid w:val="00CB388C"/>
    <w:rsid w:val="00CD3078"/>
    <w:rsid w:val="00D70A98"/>
    <w:rsid w:val="00DB1554"/>
    <w:rsid w:val="00DB6E28"/>
    <w:rsid w:val="00E35D30"/>
    <w:rsid w:val="00F36242"/>
    <w:rsid w:val="00FE08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B155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82727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827279"/>
  </w:style>
  <w:style w:type="paragraph" w:styleId="Zpat">
    <w:name w:val="footer"/>
    <w:basedOn w:val="Normln"/>
    <w:link w:val="ZpatChar"/>
    <w:uiPriority w:val="99"/>
    <w:semiHidden/>
    <w:unhideWhenUsed/>
    <w:rsid w:val="0082727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827279"/>
  </w:style>
  <w:style w:type="table" w:styleId="Mkatabulky">
    <w:name w:val="Table Grid"/>
    <w:basedOn w:val="Normlntabulka"/>
    <w:uiPriority w:val="59"/>
    <w:rsid w:val="00D70A98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tavecseseznamem">
    <w:name w:val="List Paragraph"/>
    <w:basedOn w:val="Normln"/>
    <w:uiPriority w:val="34"/>
    <w:qFormat/>
    <w:rsid w:val="00E35D3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3</Pages>
  <Words>664</Words>
  <Characters>3791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Gabriela</dc:creator>
  <cp:lastModifiedBy>Gabriela</cp:lastModifiedBy>
  <cp:revision>5</cp:revision>
  <cp:lastPrinted>2015-03-25T08:14:00Z</cp:lastPrinted>
  <dcterms:created xsi:type="dcterms:W3CDTF">2015-03-25T08:19:00Z</dcterms:created>
  <dcterms:modified xsi:type="dcterms:W3CDTF">2015-03-30T12:43:00Z</dcterms:modified>
</cp:coreProperties>
</file>