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1"/>
        <w:spacing w:after="0" w:before="0" w:line="24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vertAlign w:val="baseline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1"/>
        <w:tabs>
          <w:tab w:val="left" w:pos="2635"/>
          <w:tab w:val="center" w:pos="4734"/>
        </w:tabs>
        <w:spacing w:after="0" w:before="0" w:line="240" w:lineRule="auto"/>
        <w:contextualSpacing w:val="0"/>
      </w:pPr>
      <w:r w:rsidDel="00000000" w:rsidR="00000000" w:rsidRPr="00000000">
        <w:rPr>
          <w:b w:val="1"/>
          <w:sz w:val="24"/>
          <w:vertAlign w:val="baseline"/>
          <w:rtl w:val="0"/>
        </w:rPr>
        <w:tab/>
        <w:tab/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1"/>
        <w:spacing w:after="0" w:before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1481" w:hanging="1339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Názov právnickej osoby a jej sídlo alebo meno a priezvisko fyzickej osoby.</w:t>
      </w:r>
    </w:p>
    <w:tbl>
      <w:tblPr>
        <w:tblStyle w:val="Table1"/>
        <w:bidiVisual w:val="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8"/>
        <w:tblGridChange w:id="0">
          <w:tblGrid>
            <w:gridCol w:w="9498"/>
          </w:tblGrid>
        </w:tblGridChange>
      </w:tblGrid>
      <w:tr>
        <w:trPr>
          <w:trHeight w:val="16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1"/>
                <w:sz w:val="24"/>
                <w:rtl w:val="0"/>
              </w:rPr>
              <w:t xml:space="preserve">Služby Obce Poráč, s.r.o.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1"/>
                <w:sz w:val="24"/>
                <w:rtl w:val="0"/>
              </w:rPr>
              <w:t xml:space="preserve">Poráč č. 59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1"/>
                <w:sz w:val="24"/>
                <w:rtl w:val="0"/>
              </w:rPr>
              <w:t xml:space="preserve">053 23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Údaje o konsolidovanom celku:   Účtovná jednotka </w:t>
      </w:r>
      <w:r w:rsidDel="00000000" w:rsidR="00000000" w:rsidRPr="00000000">
        <w:rPr>
          <w:b w:val="1"/>
          <w:sz w:val="18"/>
          <w:vertAlign w:val="baseline"/>
          <w:rtl w:val="0"/>
        </w:rPr>
        <w:t xml:space="preserve"> je</w:t>
      </w:r>
      <w:r w:rsidDel="00000000" w:rsidR="00000000" w:rsidRPr="00000000">
        <w:rPr>
          <w:b w:val="0"/>
          <w:sz w:val="18"/>
          <w:vertAlign w:val="baseline"/>
          <w:rtl w:val="0"/>
        </w:rPr>
        <w:t xml:space="preserve"> súčasťou konsolidovaného celku.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sz w:val="18"/>
          <w:rtl w:val="0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</w:t>
      </w:r>
      <w:r w:rsidDel="00000000" w:rsidR="00000000" w:rsidRPr="00000000">
        <w:rPr>
          <w:b w:val="1"/>
          <w:sz w:val="18"/>
          <w:rtl w:val="0"/>
        </w:rPr>
        <w:t xml:space="preserve">Obec Poráč, Poráč č.61   05323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Priemerný prepočítaný počet zamestnancov:  </w:t>
      </w:r>
      <w:r w:rsidDel="00000000" w:rsidR="00000000" w:rsidRPr="00000000">
        <w:rPr>
          <w:b w:val="1"/>
          <w:sz w:val="18"/>
          <w:vertAlign w:val="baseline"/>
          <w:rtl w:val="0"/>
        </w:rPr>
        <w:t xml:space="preserve">  6  </w:t>
      </w:r>
    </w:p>
    <w:p w:rsidR="00000000" w:rsidDel="00000000" w:rsidP="00000000" w:rsidRDefault="00000000" w:rsidRPr="00000000">
      <w:pPr>
        <w:tabs>
          <w:tab w:val="left" w:pos="851"/>
        </w:tabs>
        <w:spacing w:after="0" w:before="0" w:line="240" w:lineRule="auto"/>
        <w:ind w:left="287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b w:val="1"/>
          <w:sz w:val="24"/>
          <w:vertAlign w:val="baseline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b w:val="1"/>
          <w:sz w:val="24"/>
          <w:vertAlign w:val="baseline"/>
          <w:rtl w:val="0"/>
        </w:rPr>
        <w:t xml:space="preserve">Informácie o 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121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Účtovná závierka zostavená za splnenia predpokladu, že účtovná jednotka </w:t>
      </w:r>
      <w:r w:rsidDel="00000000" w:rsidR="00000000" w:rsidRPr="00000000">
        <w:rPr>
          <w:b w:val="1"/>
          <w:sz w:val="18"/>
          <w:u w:val="single"/>
          <w:vertAlign w:val="baseline"/>
          <w:rtl w:val="0"/>
        </w:rPr>
        <w:t xml:space="preserve">bude</w:t>
      </w:r>
      <w:r w:rsidDel="00000000" w:rsidR="00000000" w:rsidRPr="00000000">
        <w:rPr>
          <w:b w:val="0"/>
          <w:sz w:val="18"/>
          <w:vertAlign w:val="baseline"/>
          <w:rtl w:val="0"/>
        </w:rPr>
        <w:t xml:space="preserve"> nepretržite pokračovať vo svojej činnosti</w:t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Spôsob oceňovania jednotlivých položiek majetku a záväzkov </w:t>
      </w:r>
    </w:p>
    <w:tbl>
      <w:tblPr>
        <w:tblStyle w:val="Table2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Obstarávacou cenou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1. hmotný majetok s výnimkou 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2. zásoby s výnimkou zásob vytvorených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3. podiely na ZI obchodných spoločností,  cenné papiere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4. pohľadávky pri odplatnom nadobudnutí alebo pohľadávky nadobudnuté vkladom do ZI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5. nehmotný majetok s výnimkou nehmotného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6. záväzky pri ich prevzatí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Vlastnými nákladmi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1. 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2. zásoby vytvorené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3. nehmotný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4. príchovky a prírastky zvierat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4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Menovitou hodnotou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1. peňažné prostriedky a ceniny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2. pohľadávky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3. záväzky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5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Reprodukčnou obstarávacou cenou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1. majetok v prípade bezodplatného nadobudnutia s výnimkou peňažných prostriedkov a cenín</w:t>
            </w:r>
          </w:p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a pohľadávok ocenených menovitými hodnotami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3. príchovky a prírastky zvierat, ak nie je možné zistiť vlastné náklady,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sz w:val="18"/>
                <w:rtl w:val="0"/>
              </w:rPr>
              <w:t xml:space="preserve">Zasoby - tovar na sklade:</w:t>
            </w: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6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c>
          <w:tcPr>
            <w:gridSpan w:val="2"/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Úbytok zásob rovnakého druhu sa účtuje v ocenení: 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Cenou zistenou váženým aritmetickým priemerom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Metódou FIFO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Obstarávacia cena zásob sa rozdeľuje na cenu za ktoré sa zásoby obstarali</w:t>
            </w:r>
          </w:p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a náklady súvisiace s obstaraním(VON).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Pri vyskladnení sa VON rozpúšťajú nasledovne :VON/(PS zásob + príjem zásob) x výdaj  zásob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7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>
            <w:pPr>
              <w:spacing w:after="100" w:before="100" w:line="240" w:lineRule="auto"/>
              <w:ind w:right="-468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Výdavky budúcich období a príjmy budúcich období  sa vykazujú vo výške, ktorá je potrebná </w:t>
            </w:r>
          </w:p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na dodržanie zásady vecnej a časovej súvislosti s účtovným obdobím.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Rezervy sú záväzky s neurčitým časovým vymedzením alebo výškou; tvoria sa na krytie známych</w:t>
            </w:r>
          </w:p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rizík alebo strát z podnikania. Oceňujú sa v očakávanej výške záväzku. Zakon. rezer. na nev. dovolenky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sz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Prenajatý  majetok a majetok obstaraný na základe  zmluvy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sz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Daň z príjmov splatná – daň sa  určuje z účtovného zisku pred zdanením, po úpravách na daňové účely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podľa zákona o daniach z príjmov pri sadzbe 22 %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sz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Náklady a výnosy časovo rozlišujú. Časovo sa ne nerozlišujú náklady a výnosy, ak ide o nevýznamný 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a stále sa opakujúci účtovný prípad týkajúci sa časového rozlíšenia nákladov alebo výnosov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 posledného a prvého mesiaca účtovného obdobia.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sz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100" w:before="100" w:line="240" w:lineRule="auto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ind w:right="-468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b w:val="1"/>
          <w:sz w:val="18"/>
          <w:vertAlign w:val="baseline"/>
          <w:rtl w:val="0"/>
        </w:rPr>
        <w:t xml:space="preserve">(ak má ÚJ náplň pre jednotlivú položku = X)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Style w:val="Table8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70"/>
        <w:gridCol w:w="1539"/>
        <w:gridCol w:w="463"/>
        <w:tblGridChange w:id="0">
          <w:tblGrid>
            <w:gridCol w:w="7070"/>
            <w:gridCol w:w="1539"/>
            <w:gridCol w:w="463"/>
          </w:tblGrid>
        </w:tblGridChange>
      </w:tblGrid>
      <w:t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b w:val="1"/>
                <w:sz w:val="18"/>
                <w:vertAlign w:val="baseline"/>
                <w:rtl w:val="0"/>
              </w:rPr>
              <w:t xml:space="preserve">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sz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b w:val="1"/>
                <w:sz w:val="18"/>
                <w:vertAlign w:val="baseline"/>
                <w:rtl w:val="0"/>
              </w:rPr>
              <w:t xml:space="preserve">nerovnajú.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sz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Dlhodobý nehmotný majetok =doba použiteľnosti viac ako rok a vstupná cena je  viac ako :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2400,-eur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Samostatné hnuteľné veci sú dlhodobým hmotným majetkom ak doba použiteľnosti je viac ako rok a vstupná cena viac ako: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widowControl w:val="0"/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1700,-eur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9"/>
        <w:bidiVisual w:val="0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1"/>
        <w:gridCol w:w="977"/>
        <w:gridCol w:w="1164"/>
        <w:gridCol w:w="1180"/>
        <w:gridCol w:w="980"/>
        <w:gridCol w:w="1660"/>
        <w:tblGridChange w:id="0">
          <w:tblGrid>
            <w:gridCol w:w="3111"/>
            <w:gridCol w:w="977"/>
            <w:gridCol w:w="1164"/>
            <w:gridCol w:w="1180"/>
            <w:gridCol w:w="980"/>
            <w:gridCol w:w="1660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Majetok</w:t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Odpisová skupina </w:t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Doba odpisovania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Lineárne odpisy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Zrýchlené odpisy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Reg. pokladna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4 roky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vyradena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Nabytok kancel.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6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169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Chlad. vytrina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6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299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Dvojdv. chladnicka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6 rokov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sz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ind w:left="709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709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Style w:val="Table10"/>
        <w:bidiVisual w:val="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62"/>
        <w:gridCol w:w="1502"/>
        <w:gridCol w:w="1503"/>
        <w:gridCol w:w="1503"/>
        <w:gridCol w:w="1503"/>
        <w:gridCol w:w="1425"/>
        <w:tblGridChange w:id="0">
          <w:tblGrid>
            <w:gridCol w:w="2062"/>
            <w:gridCol w:w="1502"/>
            <w:gridCol w:w="1503"/>
            <w:gridCol w:w="1503"/>
            <w:gridCol w:w="1503"/>
            <w:gridCol w:w="1425"/>
          </w:tblGrid>
        </w:tblGridChange>
      </w:tblGrid>
      <w:tr>
        <w:trPr>
          <w:trHeight w:val="28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Typ zmeny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Dôvod zmeny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Majetok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Záväzky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ZI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HV</w:t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ind w:left="0" w:firstLine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ind w:left="708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Informácie o dotáciách a ich oceňovanie v účtovníctve </w:t>
      </w:r>
    </w:p>
    <w:tbl>
      <w:tblPr>
        <w:tblStyle w:val="Table11"/>
        <w:bidiVisual w:val="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81"/>
        <w:gridCol w:w="2999"/>
        <w:gridCol w:w="1418"/>
        <w:tblGridChange w:id="0">
          <w:tblGrid>
            <w:gridCol w:w="5081"/>
            <w:gridCol w:w="2999"/>
            <w:gridCol w:w="1418"/>
          </w:tblGrid>
        </w:tblGridChange>
      </w:tblGrid>
      <w:tr>
        <w:trPr>
          <w:trHeight w:val="2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Dotácia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EUR</w:t>
            </w:r>
          </w:p>
        </w:tc>
      </w:tr>
      <w:tr>
        <w:trPr>
          <w:trHeight w:val="280" w:hRule="atLeast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ind w:left="709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Informácie o účtovaní významných opráv chýb minulých účtovných období v bežnom účtovnom období </w:t>
      </w:r>
    </w:p>
    <w:tbl>
      <w:tblPr>
        <w:tblStyle w:val="Table12"/>
        <w:bidiVisual w:val="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992"/>
        <w:gridCol w:w="851"/>
        <w:gridCol w:w="2126"/>
        <w:gridCol w:w="2552"/>
        <w:tblGridChange w:id="0">
          <w:tblGrid>
            <w:gridCol w:w="2977"/>
            <w:gridCol w:w="992"/>
            <w:gridCol w:w="851"/>
            <w:gridCol w:w="2126"/>
            <w:gridCol w:w="2552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Opravy minulého obdobia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Patrí do obdobia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Účet 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Účtované na účet HV min. období (EUR)</w:t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Účtované do HV bežného  obdobia(EUR)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36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b w:val="1"/>
          <w:sz w:val="18"/>
          <w:vertAlign w:val="baseline"/>
          <w:rtl w:val="0"/>
        </w:rPr>
        <w:t xml:space="preserve">Čl.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center"/>
      </w:pPr>
      <w:r w:rsidDel="00000000" w:rsidR="00000000" w:rsidRPr="00000000">
        <w:rPr>
          <w:b w:val="1"/>
          <w:sz w:val="18"/>
          <w:vertAlign w:val="baseline"/>
          <w:rtl w:val="0"/>
        </w:rPr>
        <w:t xml:space="preserve">Informácie, ktoré vysvetľujú a dopĺňajú súvahu a výkaz ziskov a 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841" w:firstLine="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Style w:val="Table13"/>
        <w:bidiVisual w:val="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9"/>
        <w:gridCol w:w="4181"/>
        <w:gridCol w:w="1418"/>
        <w:tblGridChange w:id="0">
          <w:tblGrid>
            <w:gridCol w:w="3899"/>
            <w:gridCol w:w="4181"/>
            <w:gridCol w:w="1418"/>
          </w:tblGrid>
        </w:tblGridChange>
      </w:tblGrid>
      <w:tr>
        <w:trPr>
          <w:trHeight w:val="2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Popis nákladov ,výnosov výnimoč. rozsahu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Dôvod vzniku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EUR</w:t>
            </w:r>
          </w:p>
        </w:tc>
      </w:tr>
      <w:tr>
        <w:trPr>
          <w:trHeight w:val="280" w:hRule="atLeast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ind w:left="1481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Informácie o záväzkoch 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14"/>
        <w:bidiVisual w:val="0"/>
        <w:tblW w:w="9468.0" w:type="dxa"/>
        <w:jc w:val="left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600"/>
      </w:tblPr>
      <w:tblGrid>
        <w:gridCol w:w="2678.3426462555135"/>
        <w:gridCol w:w="2349.8666613373844"/>
        <w:gridCol w:w="2438.3025034307266"/>
        <w:gridCol w:w="285.92688413948224"/>
        <w:gridCol w:w="285.92688413948224"/>
        <w:gridCol w:w="285.92688413948224"/>
        <w:gridCol w:w="285.92688413948224"/>
        <w:gridCol w:w="285.92688413948224"/>
        <w:gridCol w:w="285.92688413948224"/>
        <w:gridCol w:w="285.92688413948224"/>
        <w:tblGridChange w:id="0">
          <w:tblGrid>
            <w:gridCol w:w="2678.3426462555135"/>
            <w:gridCol w:w="2349.8666613373844"/>
            <w:gridCol w:w="2438.3025034307266"/>
            <w:gridCol w:w="285.92688413948224"/>
            <w:gridCol w:w="285.92688413948224"/>
            <w:gridCol w:w="285.92688413948224"/>
            <w:gridCol w:w="285.92688413948224"/>
            <w:gridCol w:w="285.92688413948224"/>
            <w:gridCol w:w="285.92688413948224"/>
            <w:gridCol w:w="285.92688413948224"/>
          </w:tblGrid>
        </w:tblGridChange>
      </w:tblGrid>
      <w:t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b w:val="1"/>
                <w:sz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b w:val="1"/>
                <w:sz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b w:val="1"/>
                <w:sz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b w:val="1"/>
                <w:sz w:val="18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12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Záväzky so zostatkovou dobou splatnosti nad päť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6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6" w:val="single"/>
              <w:right w:color="000000" w:space="0" w:sz="12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Záväzky so zostatkovou dobou splatnosti jeden rok až päť rokov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41</w:t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12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59</w:t>
            </w:r>
          </w:p>
        </w:tc>
      </w:tr>
      <w:tr>
        <w:tc>
          <w:tcPr>
            <w:gridSpan w:val="4"/>
            <w:tcBorders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b w:val="1"/>
                <w:sz w:val="18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12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Záväzky so zostatkovou dobou splatnosti do jedného roka vrátane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6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17459</w:t>
            </w:r>
          </w:p>
        </w:tc>
        <w:tc>
          <w:tcPr>
            <w:gridSpan w:val="3"/>
            <w:tcBorders>
              <w:bottom w:color="000000" w:space="0" w:sz="6" w:val="single"/>
              <w:right w:color="000000" w:space="0" w:sz="12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17605</w:t>
            </w:r>
          </w:p>
        </w:tc>
      </w:tr>
      <w:tr>
        <w:tc>
          <w:tcPr>
            <w:gridSpan w:val="4"/>
            <w:tcBorders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Záväzky po lehote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6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9952</w:t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12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sz w:val="18"/>
                <w:rtl w:val="0"/>
              </w:rPr>
              <w:t xml:space="preserve">11261</w:t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tbl>
      <w:tblPr>
        <w:tblStyle w:val="Table15"/>
        <w:bidiVisual w:val="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80"/>
        <w:gridCol w:w="1418"/>
        <w:tblGridChange w:id="0">
          <w:tblGrid>
            <w:gridCol w:w="8080"/>
            <w:gridCol w:w="1418"/>
          </w:tblGrid>
        </w:tblGridChange>
      </w:tblGrid>
      <w:tr>
        <w:trPr>
          <w:trHeight w:val="2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Celková suma záväzkov so zostatkovou dobou splatnosti dlhšou ako päť rokov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Celková suma zabezpečených záväzkov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Opis a spôsoby zabezpečenia záväzkov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ind w:left="1134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Informácie o orgánoch účtovnej jednotky</w:t>
      </w:r>
    </w:p>
    <w:tbl>
      <w:tblPr>
        <w:tblStyle w:val="Table16"/>
        <w:bidiVisual w:val="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0"/>
        <w:gridCol w:w="1560"/>
        <w:gridCol w:w="425"/>
        <w:gridCol w:w="417"/>
        <w:gridCol w:w="1426"/>
        <w:tblGridChange w:id="0">
          <w:tblGrid>
            <w:gridCol w:w="5670"/>
            <w:gridCol w:w="1560"/>
            <w:gridCol w:w="425"/>
            <w:gridCol w:w="417"/>
            <w:gridCol w:w="1426"/>
          </w:tblGrid>
        </w:tblGridChange>
      </w:tblGrid>
      <w:tr>
        <w:trPr>
          <w:trHeight w:val="280" w:hRule="atLeast"/>
        </w:trPr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8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výška jednotlivých druhov záruk alebo iných zabezpečení pre členov štatutárneho orgánu, dozorného orgánu a iného orgánu ÚJ</w:t>
            </w:r>
          </w:p>
        </w:tc>
      </w:tr>
      <w:tr>
        <w:trPr>
          <w:trHeight w:val="280" w:hRule="atLeast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Druh záruky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Štatutárny orgán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EUR</w:t>
            </w:r>
          </w:p>
        </w:tc>
      </w:tr>
      <w:tr>
        <w:trPr>
          <w:trHeight w:val="280" w:hRule="atLeast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b)pôžičky poskytnuté členom štatutárneho orgánu, dozorného orgánu a iného orgánu ÚJ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Celková suma poskytnutých pôžičiek k poslednému dňu ÚO. obdobia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Štatutárny orgán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Úrok v %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EUR</w:t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Celková suma splatených pôžičiek k poslednému dňu účt. obdobia</w:t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Celková suma odpustených pôžičiek a odpísaných pôžičiek </w:t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k poslednému dňu účtovného obdobia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tabs>
                <w:tab w:val="left" w:pos="851"/>
              </w:tabs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5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2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Plnenie na súkromné účely k vyúčtovaniu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Štatutárny orgán</w:t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b w:val="0"/>
                <w:sz w:val="18"/>
                <w:vertAlign w:val="baseline"/>
                <w:rtl w:val="0"/>
              </w:rPr>
              <w:t xml:space="preserve">EUR</w:t>
            </w:r>
          </w:p>
        </w:tc>
      </w:tr>
      <w:tr>
        <w:trPr>
          <w:trHeight w:val="280" w:hRule="atLeast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0" w:before="0" w:line="240" w:lineRule="auto"/>
        <w:ind w:left="1480" w:hanging="1338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Informácie o povinnostiach účtovnej jednotky, a to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celkovej sume významných podmienených záväzkov, ktorými sa rozumie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1701" w:hanging="425"/>
        <w:jc w:val="both"/>
        <w:rPr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1701" w:hanging="425"/>
        <w:jc w:val="both"/>
        <w:rPr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existujúca povinnosť, ktorá vznikla ako dôsledok minulej udalosti, ale ktorá sa nevykazuje v súvahe, pretože</w:t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2127" w:hanging="425.99999999999994"/>
        <w:jc w:val="both"/>
        <w:rPr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nie je pravdepodobné, že na splnenie tejto povinnosti bude potrebný úbytok ekonomických úžitkov, alebo</w:t>
      </w:r>
    </w:p>
    <w:p w:rsidR="00000000" w:rsidDel="00000000" w:rsidP="00000000" w:rsidRDefault="00000000" w:rsidRPr="00000000">
      <w:pPr>
        <w:numPr>
          <w:ilvl w:val="0"/>
          <w:numId w:val="5"/>
        </w:numPr>
        <w:tabs>
          <w:tab w:val="left" w:pos="851"/>
        </w:tabs>
        <w:spacing w:after="0" w:before="0" w:line="240" w:lineRule="auto"/>
        <w:ind w:left="2510" w:hanging="809"/>
        <w:jc w:val="both"/>
        <w:rPr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výška tejto povinnosti sa nedá spoľahlivo oceniť,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opise významných finančných povinností a významných podmienených záväzkov,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celkovej sume významných finančných povinností a významných podmienených záväzkoch voči dcérskej účtovnej jednotke a účtovnej jednotke s podstatným vplyvom,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opise významných povinností účtovnej jednotky vyplývajúcich z dôchodkových programov pre zamestnancov.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bookmarkStart w:colFirst="0" w:colLast="0" w:name="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0" w:before="0" w:line="240" w:lineRule="auto"/>
        <w:ind w:left="709" w:hanging="567"/>
        <w:jc w:val="both"/>
        <w:rPr>
          <w:rFonts w:ascii="Arial" w:cs="Arial" w:eastAsia="Arial" w:hAnsi="Arial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všetkých formách prijatej náhrady,</w:t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účtovných zásadách použitých pri prideľovaní nákladov a výnosov,</w:t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0" w:before="0" w:line="240" w:lineRule="auto"/>
        <w:ind w:left="1276" w:hanging="567"/>
        <w:jc w:val="both"/>
        <w:rPr>
          <w:rFonts w:ascii="Arial" w:cs="Arial" w:eastAsia="Arial" w:hAnsi="Arial"/>
          <w:b w:val="0"/>
          <w:sz w:val="18"/>
        </w:rPr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všetkých druhoch činností účtovnej jednotky.</w:t>
      </w:r>
    </w:p>
    <w:p w:rsidR="00000000" w:rsidDel="00000000" w:rsidP="00000000" w:rsidRDefault="00000000" w:rsidRPr="00000000">
      <w:pPr>
        <w:spacing w:after="0" w:before="0" w:line="240" w:lineRule="auto"/>
        <w:ind w:firstLine="709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righ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Údaje v poznámkach sú uvádzané za bežne účtovné obdobie. Sumy sú uvádzané v celých eurách.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ÚJ - účtovná jednotka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b w:val="0"/>
          <w:sz w:val="18"/>
          <w:vertAlign w:val="baseline"/>
          <w:rtl w:val="0"/>
        </w:rPr>
        <w:t xml:space="preserve">BO-bežné obdobie</w:t>
      </w:r>
    </w:p>
    <w:sectPr>
      <w:headerReference r:id="rId5" w:type="default"/>
      <w:footerReference r:id="rId6" w:type="default"/>
      <w:pgSz w:h="16840.0" w:w="11907.0"/>
      <w:pgMar w:bottom="1418" w:top="1418" w:left="1021" w:right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536"/>
        <w:tab w:val="right" w:pos="9072"/>
      </w:tabs>
      <w:spacing w:after="0" w:before="0" w:line="240" w:lineRule="auto"/>
      <w:contextualSpacing w:val="0"/>
      <w:jc w:val="center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536"/>
        <w:tab w:val="right" w:pos="9072"/>
      </w:tabs>
      <w:spacing w:after="567" w:before="0" w:line="240" w:lineRule="auto"/>
      <w:contextualSpacing w:val="0"/>
      <w:jc w:val="right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17"/>
      <w:bidiVisual w:val="0"/>
      <w:tblW w:w="10311.0" w:type="dxa"/>
      <w:jc w:val="left"/>
      <w:tblInd w:w="-15.0" w:type="dxa"/>
      <w:tblLayout w:type="fixed"/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  <w:tblGridChange w:id="0">
        <w:tblGrid>
          <w:gridCol w:w="2710"/>
          <w:gridCol w:w="707"/>
          <w:gridCol w:w="351"/>
          <w:gridCol w:w="346"/>
          <w:gridCol w:w="346"/>
          <w:gridCol w:w="346"/>
          <w:gridCol w:w="346"/>
          <w:gridCol w:w="346"/>
          <w:gridCol w:w="346"/>
          <w:gridCol w:w="346"/>
          <w:gridCol w:w="681"/>
          <w:gridCol w:w="344"/>
          <w:gridCol w:w="344"/>
          <w:gridCol w:w="344"/>
          <w:gridCol w:w="344"/>
          <w:gridCol w:w="344"/>
          <w:gridCol w:w="344"/>
          <w:gridCol w:w="344"/>
          <w:gridCol w:w="344"/>
          <w:gridCol w:w="344"/>
          <w:gridCol w:w="344"/>
        </w:tblGrid>
      </w:tblGridChange>
    </w:tblGrid>
    <w:tr>
      <w:trPr>
        <w:trHeight w:val="320" w:hRule="atLeast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rtl w:val="0"/>
            </w:rPr>
            <w:t xml:space="preserve">Poznamky Úč MÚJ 3 - 01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color w:val="000000"/>
              <w:sz w:val="24"/>
              <w:vertAlign w:val="baseline"/>
              <w:rtl w:val="0"/>
            </w:rPr>
            <w:t xml:space="preserve">  IČO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6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2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1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0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8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6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2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4" w:val="single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color w:val="000000"/>
              <w:sz w:val="24"/>
              <w:vertAlign w:val="baseline"/>
              <w:rtl w:val="0"/>
            </w:rPr>
            <w:t xml:space="preserve">DIČ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2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0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2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0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0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3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4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8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8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>
          <w:pPr>
            <w:spacing w:after="0" w:before="567" w:line="240" w:lineRule="auto"/>
            <w:contextualSpacing w:val="0"/>
            <w:jc w:val="center"/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rtl w:val="0"/>
            </w:rPr>
            <w:t xml:space="preserve">5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vertAlign w:val="baseline"/>
              <w:rtl w:val="0"/>
            </w:rPr>
            <w:t xml:space="preserve"> </w:t>
          </w:r>
        </w:p>
      </w:tc>
    </w:tr>
  </w:tbl>
  <w:p w:rsidR="00000000" w:rsidDel="00000000" w:rsidP="00000000" w:rsidRDefault="00000000" w:rsidRPr="00000000">
    <w:pPr>
      <w:tabs>
        <w:tab w:val="center" w:pos="4703"/>
        <w:tab w:val="right" w:pos="9406"/>
      </w:tabs>
      <w:spacing w:after="0" w:before="567" w:line="240" w:lineRule="auto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(%1)"/>
      <w:lvlJc w:val="left"/>
      <w:pPr>
        <w:ind w:left="1481" w:firstLine="1121"/>
      </w:pPr>
      <w:rPr>
        <w:rFonts w:ascii="Times New Roman" w:cs="Times New Roman" w:eastAsia="Times New Roman" w:hAnsi="Times New Roman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2201" w:firstLine="1841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21" w:firstLine="274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41" w:firstLine="3281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61" w:firstLine="4001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81" w:firstLine="4901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01" w:firstLine="544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21" w:firstLine="6161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41" w:firstLine="7061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2561" w:firstLine="2201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281" w:firstLine="2921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001" w:firstLine="382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721" w:firstLine="4361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441" w:firstLine="5081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161" w:firstLine="5981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881" w:firstLine="652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601" w:firstLine="7241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321" w:firstLine="8141"/>
      </w:pPr>
      <w:rPr>
        <w:vertAlign w:val="baseline"/>
      </w:rPr>
    </w:lvl>
  </w:abstractNum>
  <w:abstractNum w:abstractNumId="3">
    <w:lvl w:ilvl="0">
      <w:start w:val="2"/>
      <w:numFmt w:val="decimal"/>
      <w:lvlText w:val="%1a."/>
      <w:lvlJc w:val="left"/>
      <w:pPr>
        <w:ind w:left="2510" w:firstLine="215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lvl w:ilvl="0">
      <w:start w:val="1"/>
      <w:numFmt w:val="lowerLetter"/>
      <w:lvlText w:val="%1)"/>
      <w:lvlJc w:val="left"/>
      <w:pPr>
        <w:ind w:left="1841" w:firstLine="1481"/>
      </w:pPr>
      <w:rPr>
        <w:rFonts w:ascii="Times New Roman" w:cs="Times New Roman" w:eastAsia="Times New Roman" w:hAnsi="Times New Roman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>
    <w:lvl w:ilvl="0">
      <w:start w:val="2"/>
      <w:numFmt w:val="decimal"/>
      <w:lvlText w:val="%1b."/>
      <w:lvlJc w:val="left"/>
      <w:pPr>
        <w:ind w:left="2510" w:firstLine="215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6">
    <w:lvl w:ilvl="0">
      <w:start w:val="1"/>
      <w:numFmt w:val="lowerLetter"/>
      <w:lvlText w:val="%1)"/>
      <w:lvlJc w:val="left"/>
      <w:pPr>
        <w:ind w:left="1440" w:firstLine="1080"/>
      </w:pPr>
      <w:rPr>
        <w:rFonts w:ascii="Times New Roman" w:cs="Times New Roman" w:eastAsia="Times New Roman" w:hAnsi="Times New Roman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firstLine="27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firstLine="48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firstLine="7020"/>
      </w:pPr>
      <w:rPr>
        <w:vertAlign w:val="baseline"/>
      </w:rPr>
    </w:lvl>
  </w:abstractNum>
  <w:abstractNum w:abstractNumId="7">
    <w:lvl w:ilvl="0">
      <w:start w:val="1"/>
      <w:numFmt w:val="decimal"/>
      <w:lvlText w:val="(%1)"/>
      <w:lvlJc w:val="left"/>
      <w:pPr>
        <w:ind w:left="1481" w:firstLine="1121"/>
      </w:pPr>
      <w:rPr>
        <w:rFonts w:ascii="Times New Roman" w:cs="Times New Roman" w:eastAsia="Times New Roman" w:hAnsi="Times New Roman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">
    <w:lvl w:ilvl="0">
      <w:start w:val="1"/>
      <w:numFmt w:val="decimal"/>
      <w:lvlText w:val="(%1)"/>
      <w:lvlJc w:val="left"/>
      <w:pPr>
        <w:ind w:left="3479" w:firstLine="3119"/>
      </w:pPr>
      <w:rPr>
        <w:rFonts w:ascii="Times New Roman" w:cs="Times New Roman" w:eastAsia="Times New Roman" w:hAnsi="Times New Roman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4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/Relationships>
</file>