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wordprocessingml.document.main+xml" PartName="/word/document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header+xml" PartName="/word/head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footer+xml" PartName="/word/foot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background w:color="FFFFFF"/>
  <w:body>
    <w:p w:rsidR="00000000" w:rsidDel="00000000" w:rsidP="00000000" w:rsidRDefault="00000000" w:rsidRPr="00000000">
      <w:pPr>
        <w:keepNext w:val="1"/>
        <w:spacing w:after="0" w:before="0" w:line="240" w:lineRule="auto"/>
        <w:contextualSpacing w:val="0"/>
        <w:jc w:val="center"/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vertAlign w:val="baseline"/>
          <w:rtl w:val="0"/>
        </w:rPr>
        <w:t xml:space="preserve">Čl. 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keepNext w:val="1"/>
        <w:tabs>
          <w:tab w:val="left" w:pos="2635"/>
          <w:tab w:val="center" w:pos="4734"/>
        </w:tabs>
        <w:spacing w:after="0" w:before="0" w:line="240" w:lineRule="auto"/>
        <w:contextualSpacing w:val="0"/>
      </w:pPr>
      <w:r w:rsidDel="00000000" w:rsidR="00000000" w:rsidRPr="00000000">
        <w:rPr>
          <w:b w:val="1"/>
          <w:sz w:val="24"/>
          <w:vertAlign w:val="baseline"/>
          <w:rtl w:val="0"/>
        </w:rPr>
        <w:tab/>
        <w:tab/>
        <w:t xml:space="preserve">Všeobecné údaje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keepNext w:val="1"/>
        <w:spacing w:after="0" w:before="0" w:line="240" w:lineRule="auto"/>
        <w:contextualSpacing w:val="0"/>
        <w:jc w:val="center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0"/>
          <w:numId w:val="1"/>
        </w:numPr>
        <w:spacing w:after="0" w:before="0" w:line="240" w:lineRule="auto"/>
        <w:ind w:left="1481" w:hanging="1339"/>
        <w:jc w:val="both"/>
        <w:rPr>
          <w:rFonts w:ascii="Arial" w:cs="Arial" w:eastAsia="Arial" w:hAnsi="Arial"/>
          <w:sz w:val="18"/>
        </w:rPr>
      </w:pPr>
      <w:r w:rsidDel="00000000" w:rsidR="00000000" w:rsidRPr="00000000">
        <w:rPr>
          <w:b w:val="0"/>
          <w:sz w:val="18"/>
          <w:vertAlign w:val="baseline"/>
          <w:rtl w:val="0"/>
        </w:rPr>
        <w:t xml:space="preserve">Názov právnickej osoby a jej sídlo alebo meno a priezvisko fyzickej osoby.</w:t>
      </w:r>
    </w:p>
    <w:tbl>
      <w:tblPr>
        <w:tblStyle w:val="Table1"/>
        <w:bidiVisual w:val="0"/>
        <w:tblW w:w="949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498"/>
        <w:tblGridChange w:id="0">
          <w:tblGrid>
            <w:gridCol w:w="9498"/>
          </w:tblGrid>
        </w:tblGridChange>
      </w:tblGrid>
      <w:tr>
        <w:trPr>
          <w:trHeight w:val="1640" w:hRule="atLeast"/>
        </w:trPr>
        <w:tc>
          <w:tcPr/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b w:val="1"/>
                <w:sz w:val="24"/>
                <w:rtl w:val="0"/>
              </w:rPr>
              <w:t xml:space="preserve">Služby Obce Poráč, s.r.o.</w:t>
            </w:r>
          </w:p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b w:val="1"/>
                <w:sz w:val="24"/>
                <w:rtl w:val="0"/>
              </w:rPr>
              <w:t xml:space="preserve">Poráč č. 59</w:t>
            </w:r>
          </w:p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b w:val="1"/>
                <w:sz w:val="24"/>
                <w:rtl w:val="0"/>
              </w:rPr>
              <w:t xml:space="preserve">053 23 </w:t>
            </w:r>
          </w:p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sz w:val="24"/>
                <w:rtl w:val="0"/>
              </w:rPr>
              <w:t xml:space="preserve"> </w:t>
            </w:r>
          </w:p>
        </w:tc>
      </w:tr>
    </w:tbl>
    <w:p w:rsidR="00000000" w:rsidDel="00000000" w:rsidP="00000000" w:rsidRDefault="00000000" w:rsidRPr="00000000">
      <w:pPr>
        <w:spacing w:after="0" w:before="0" w:line="240" w:lineRule="auto"/>
        <w:contextualSpacing w:val="0"/>
        <w:jc w:val="both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0" w:before="0" w:line="240" w:lineRule="auto"/>
        <w:contextualSpacing w:val="0"/>
        <w:jc w:val="both"/>
      </w:pPr>
      <w:r w:rsidDel="00000000" w:rsidR="00000000" w:rsidRPr="00000000">
        <w:rPr>
          <w:b w:val="0"/>
          <w:sz w:val="18"/>
          <w:vertAlign w:val="baseline"/>
          <w:rtl w:val="0"/>
        </w:rPr>
        <w:t xml:space="preserve">Údaje o konsolidovanom celku:   Účtovná jednotka </w:t>
      </w:r>
      <w:r w:rsidDel="00000000" w:rsidR="00000000" w:rsidRPr="00000000">
        <w:rPr>
          <w:b w:val="1"/>
          <w:sz w:val="18"/>
          <w:vertAlign w:val="baseline"/>
          <w:rtl w:val="0"/>
        </w:rPr>
        <w:t xml:space="preserve"> je</w:t>
      </w:r>
      <w:r w:rsidDel="00000000" w:rsidR="00000000" w:rsidRPr="00000000">
        <w:rPr>
          <w:b w:val="0"/>
          <w:sz w:val="18"/>
          <w:vertAlign w:val="baseline"/>
          <w:rtl w:val="0"/>
        </w:rPr>
        <w:t xml:space="preserve"> súčasťou konsolidovaného celku.</w:t>
      </w:r>
    </w:p>
    <w:p w:rsidR="00000000" w:rsidDel="00000000" w:rsidP="00000000" w:rsidRDefault="00000000" w:rsidRPr="00000000">
      <w:pPr>
        <w:spacing w:after="0" w:before="0" w:line="240" w:lineRule="auto"/>
        <w:contextualSpacing w:val="0"/>
        <w:jc w:val="both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0" w:before="0" w:line="240" w:lineRule="auto"/>
        <w:contextualSpacing w:val="0"/>
        <w:jc w:val="both"/>
      </w:pPr>
      <w:r w:rsidDel="00000000" w:rsidR="00000000" w:rsidRPr="00000000">
        <w:rPr>
          <w:sz w:val="18"/>
          <w:rtl w:val="0"/>
        </w:rP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 </w:t>
      </w:r>
      <w:r w:rsidDel="00000000" w:rsidR="00000000" w:rsidRPr="00000000">
        <w:rPr>
          <w:b w:val="1"/>
          <w:sz w:val="18"/>
          <w:rtl w:val="0"/>
        </w:rPr>
        <w:t xml:space="preserve">Obec Poráč, Poráč č.61   05323</w:t>
      </w:r>
    </w:p>
    <w:p w:rsidR="00000000" w:rsidDel="00000000" w:rsidP="00000000" w:rsidRDefault="00000000" w:rsidRPr="00000000">
      <w:pPr>
        <w:spacing w:after="0" w:before="0" w:line="240" w:lineRule="auto"/>
        <w:contextualSpacing w:val="0"/>
        <w:jc w:val="both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0" w:before="0" w:line="240" w:lineRule="auto"/>
        <w:contextualSpacing w:val="0"/>
        <w:jc w:val="both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0" w:before="0" w:line="240" w:lineRule="auto"/>
        <w:contextualSpacing w:val="0"/>
        <w:jc w:val="both"/>
      </w:pPr>
      <w:r w:rsidDel="00000000" w:rsidR="00000000" w:rsidRPr="00000000">
        <w:rPr>
          <w:b w:val="0"/>
          <w:sz w:val="18"/>
          <w:vertAlign w:val="baseline"/>
          <w:rtl w:val="0"/>
        </w:rPr>
        <w:t xml:space="preserve">Priemerný prepočítaný počet zamestnancov:  </w:t>
      </w:r>
      <w:r w:rsidDel="00000000" w:rsidR="00000000" w:rsidRPr="00000000">
        <w:rPr>
          <w:b w:val="1"/>
          <w:sz w:val="18"/>
          <w:vertAlign w:val="baseline"/>
          <w:rtl w:val="0"/>
        </w:rPr>
        <w:t xml:space="preserve">  6  </w:t>
      </w:r>
    </w:p>
    <w:p w:rsidR="00000000" w:rsidDel="00000000" w:rsidP="00000000" w:rsidRDefault="00000000" w:rsidRPr="00000000">
      <w:pPr>
        <w:tabs>
          <w:tab w:val="left" w:pos="851"/>
        </w:tabs>
        <w:spacing w:after="0" w:before="0" w:line="240" w:lineRule="auto"/>
        <w:ind w:left="2870" w:firstLine="0"/>
        <w:contextualSpacing w:val="0"/>
        <w:jc w:val="both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0" w:before="0" w:line="240" w:lineRule="auto"/>
        <w:contextualSpacing w:val="0"/>
        <w:jc w:val="center"/>
      </w:pPr>
      <w:r w:rsidDel="00000000" w:rsidR="00000000" w:rsidRPr="00000000">
        <w:rPr>
          <w:b w:val="1"/>
          <w:sz w:val="24"/>
          <w:vertAlign w:val="baseline"/>
          <w:rtl w:val="0"/>
        </w:rPr>
        <w:t xml:space="preserve">Čl. II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0" w:before="0" w:line="240" w:lineRule="auto"/>
        <w:contextualSpacing w:val="0"/>
        <w:jc w:val="center"/>
      </w:pPr>
      <w:r w:rsidDel="00000000" w:rsidR="00000000" w:rsidRPr="00000000">
        <w:rPr>
          <w:b w:val="1"/>
          <w:sz w:val="24"/>
          <w:vertAlign w:val="baseline"/>
          <w:rtl w:val="0"/>
        </w:rPr>
        <w:t xml:space="preserve">Informácie o prijatých postupoch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0" w:before="0" w:line="240" w:lineRule="auto"/>
        <w:ind w:left="1121" w:firstLine="0"/>
        <w:contextualSpacing w:val="0"/>
        <w:jc w:val="both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0"/>
          <w:numId w:val="8"/>
        </w:numPr>
        <w:spacing w:after="0" w:before="0" w:line="240" w:lineRule="auto"/>
        <w:ind w:left="709" w:hanging="567"/>
        <w:jc w:val="both"/>
        <w:rPr>
          <w:rFonts w:ascii="Arial" w:cs="Arial" w:eastAsia="Arial" w:hAnsi="Arial"/>
          <w:sz w:val="18"/>
        </w:rPr>
      </w:pPr>
      <w:r w:rsidDel="00000000" w:rsidR="00000000" w:rsidRPr="00000000">
        <w:rPr>
          <w:b w:val="0"/>
          <w:sz w:val="18"/>
          <w:vertAlign w:val="baseline"/>
          <w:rtl w:val="0"/>
        </w:rPr>
        <w:t xml:space="preserve">Účtovná závierka zostavená za splnenia predpokladu, že účtovná jednotka </w:t>
      </w:r>
      <w:r w:rsidDel="00000000" w:rsidR="00000000" w:rsidRPr="00000000">
        <w:rPr>
          <w:b w:val="1"/>
          <w:sz w:val="18"/>
          <w:u w:val="single"/>
          <w:vertAlign w:val="baseline"/>
          <w:rtl w:val="0"/>
        </w:rPr>
        <w:t xml:space="preserve">bude</w:t>
      </w:r>
      <w:r w:rsidDel="00000000" w:rsidR="00000000" w:rsidRPr="00000000">
        <w:rPr>
          <w:b w:val="0"/>
          <w:sz w:val="18"/>
          <w:vertAlign w:val="baseline"/>
          <w:rtl w:val="0"/>
        </w:rPr>
        <w:t xml:space="preserve"> nepretržite pokračovať vo svojej činnosti</w:t>
      </w:r>
    </w:p>
    <w:p w:rsidR="00000000" w:rsidDel="00000000" w:rsidP="00000000" w:rsidRDefault="00000000" w:rsidRPr="00000000">
      <w:pPr>
        <w:numPr>
          <w:ilvl w:val="0"/>
          <w:numId w:val="8"/>
        </w:numPr>
        <w:spacing w:after="0" w:before="0" w:line="240" w:lineRule="auto"/>
        <w:ind w:left="709" w:hanging="567"/>
        <w:jc w:val="both"/>
        <w:rPr>
          <w:rFonts w:ascii="Arial" w:cs="Arial" w:eastAsia="Arial" w:hAnsi="Arial"/>
          <w:sz w:val="18"/>
        </w:rPr>
      </w:pPr>
      <w:r w:rsidDel="00000000" w:rsidR="00000000" w:rsidRPr="00000000">
        <w:rPr>
          <w:b w:val="0"/>
          <w:sz w:val="18"/>
          <w:vertAlign w:val="baseline"/>
          <w:rtl w:val="0"/>
        </w:rPr>
        <w:t xml:space="preserve">Spôsob oceňovania jednotlivých položiek majetku a záväzkov </w:t>
      </w:r>
    </w:p>
    <w:tbl>
      <w:tblPr>
        <w:tblStyle w:val="Table2"/>
        <w:bidiVisual w:val="0"/>
        <w:tblW w:w="9072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8549"/>
        <w:gridCol w:w="523"/>
        <w:tblGridChange w:id="0">
          <w:tblGrid>
            <w:gridCol w:w="8549"/>
            <w:gridCol w:w="523"/>
          </w:tblGrid>
        </w:tblGridChange>
      </w:tblGrid>
      <w:tr>
        <w:tc>
          <w:tcPr>
            <w:gridSpan w:val="2"/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 Obstarávacou cenou</w:t>
            </w:r>
          </w:p>
        </w:tc>
      </w:tr>
      <w:tr>
        <w:tc>
          <w:tcPr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1. hmotný majetok s výnimkou hmotného majetku vytvoreného vlastnou činnosťou </w:t>
            </w:r>
          </w:p>
        </w:tc>
        <w:tc>
          <w:tcPr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X</w:t>
            </w:r>
          </w:p>
        </w:tc>
      </w:tr>
      <w:tr>
        <w:tc>
          <w:tcPr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2. zásoby s výnimkou zásob vytvorených vlastnou činnosťou </w:t>
            </w:r>
          </w:p>
        </w:tc>
        <w:tc>
          <w:tcPr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X</w:t>
            </w:r>
          </w:p>
        </w:tc>
      </w:tr>
      <w:tr>
        <w:tc>
          <w:tcPr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3. podiely na ZI obchodných spoločností,  cenné papiere </w:t>
            </w:r>
          </w:p>
        </w:tc>
        <w:tc>
          <w:tcPr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4. pohľadávky pri odplatnom nadobudnutí alebo pohľadávky nadobudnuté vkladom do ZI </w:t>
            </w:r>
          </w:p>
        </w:tc>
        <w:tc>
          <w:tcPr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5. nehmotný majetok s výnimkou nehmotného majetku vytvoreného vlastnou činnosťou </w:t>
            </w:r>
          </w:p>
        </w:tc>
        <w:tc>
          <w:tcPr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6. záväzky pri ich prevzatí </w:t>
            </w:r>
          </w:p>
        </w:tc>
        <w:tc>
          <w:tcPr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X</w:t>
            </w:r>
          </w:p>
        </w:tc>
      </w:tr>
    </w:tbl>
    <w:p w:rsidR="00000000" w:rsidDel="00000000" w:rsidP="00000000" w:rsidRDefault="00000000" w:rsidRPr="00000000">
      <w:pPr>
        <w:spacing w:after="0" w:before="0" w:line="240" w:lineRule="auto"/>
        <w:contextualSpacing w:val="0"/>
        <w:jc w:val="both"/>
      </w:pPr>
      <w:r w:rsidDel="00000000" w:rsidR="00000000" w:rsidRPr="00000000">
        <w:rPr>
          <w:rtl w:val="0"/>
        </w:rPr>
      </w:r>
    </w:p>
    <w:tbl>
      <w:tblPr>
        <w:tblStyle w:val="Table3"/>
        <w:bidiVisual w:val="0"/>
        <w:tblW w:w="9072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8549"/>
        <w:gridCol w:w="523"/>
        <w:tblGridChange w:id="0">
          <w:tblGrid>
            <w:gridCol w:w="8549"/>
            <w:gridCol w:w="523"/>
          </w:tblGrid>
        </w:tblGridChange>
      </w:tblGrid>
      <w:tr>
        <w:tc>
          <w:tcPr>
            <w:gridSpan w:val="2"/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 Vlastnými nákladmi</w:t>
            </w:r>
          </w:p>
        </w:tc>
      </w:tr>
      <w:tr>
        <w:tc>
          <w:tcPr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1. hmotný majetok vytvorený vlastnou činnosťou </w:t>
            </w:r>
          </w:p>
        </w:tc>
        <w:tc>
          <w:tcPr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2. zásoby vytvorené vlastnou činnosťou </w:t>
            </w:r>
          </w:p>
        </w:tc>
        <w:tc>
          <w:tcPr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3. nehmotný majetok vytvorený vlastnou činnosťou </w:t>
            </w:r>
          </w:p>
        </w:tc>
        <w:tc>
          <w:tcPr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4. príchovky a prírastky zvierat </w:t>
            </w:r>
          </w:p>
        </w:tc>
        <w:tc>
          <w:tcPr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>
      <w:pPr>
        <w:spacing w:after="0" w:before="0" w:line="240" w:lineRule="auto"/>
        <w:contextualSpacing w:val="0"/>
        <w:jc w:val="both"/>
      </w:pPr>
      <w:r w:rsidDel="00000000" w:rsidR="00000000" w:rsidRPr="00000000">
        <w:rPr>
          <w:rtl w:val="0"/>
        </w:rPr>
      </w:r>
    </w:p>
    <w:tbl>
      <w:tblPr>
        <w:tblStyle w:val="Table4"/>
        <w:bidiVisual w:val="0"/>
        <w:tblW w:w="9072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8549"/>
        <w:gridCol w:w="523"/>
        <w:tblGridChange w:id="0">
          <w:tblGrid>
            <w:gridCol w:w="8549"/>
            <w:gridCol w:w="523"/>
          </w:tblGrid>
        </w:tblGridChange>
      </w:tblGrid>
      <w:tr>
        <w:tc>
          <w:tcPr>
            <w:gridSpan w:val="2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Menovitou hodnotou</w:t>
            </w:r>
          </w:p>
        </w:tc>
      </w:tr>
      <w:tr>
        <w:tc>
          <w:tcPr/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  <w:jc w:val="both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1. peňažné prostriedky a ceniny </w:t>
            </w:r>
          </w:p>
        </w:tc>
        <w:tc>
          <w:tcPr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X</w:t>
            </w:r>
          </w:p>
        </w:tc>
      </w:tr>
      <w:tr>
        <w:tc>
          <w:tcPr/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  <w:jc w:val="both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2. pohľadávky pri ich vzniku </w:t>
            </w:r>
          </w:p>
        </w:tc>
        <w:tc>
          <w:tcPr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X</w:t>
            </w:r>
          </w:p>
        </w:tc>
      </w:tr>
      <w:tr>
        <w:tc>
          <w:tcPr/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  <w:jc w:val="both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3. záväzky pri ich vzniku </w:t>
            </w:r>
          </w:p>
        </w:tc>
        <w:tc>
          <w:tcPr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X</w:t>
            </w:r>
          </w:p>
        </w:tc>
      </w:tr>
      <w:tr>
        <w:tc>
          <w:tcPr/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>
      <w:pPr>
        <w:spacing w:after="0" w:before="0" w:line="240" w:lineRule="auto"/>
        <w:contextualSpacing w:val="0"/>
        <w:jc w:val="both"/>
      </w:pPr>
      <w:r w:rsidDel="00000000" w:rsidR="00000000" w:rsidRPr="00000000">
        <w:rPr>
          <w:rtl w:val="0"/>
        </w:rPr>
      </w:r>
    </w:p>
    <w:tbl>
      <w:tblPr>
        <w:tblStyle w:val="Table5"/>
        <w:bidiVisual w:val="0"/>
        <w:tblW w:w="9072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8549"/>
        <w:gridCol w:w="523"/>
        <w:tblGridChange w:id="0">
          <w:tblGrid>
            <w:gridCol w:w="8549"/>
            <w:gridCol w:w="523"/>
          </w:tblGrid>
        </w:tblGridChange>
      </w:tblGrid>
      <w:tr>
        <w:tc>
          <w:tcPr>
            <w:gridSpan w:val="2"/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 Reprodukčnou obstarávacou cenou</w:t>
            </w:r>
          </w:p>
        </w:tc>
      </w:tr>
      <w:tr>
        <w:tc>
          <w:tcPr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1. majetok v prípade bezodplatného nadobudnutia s výnimkou peňažných prostriedkov a cenín</w:t>
            </w:r>
          </w:p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 a pohľadávok ocenených menovitými hodnotami </w:t>
            </w:r>
          </w:p>
        </w:tc>
        <w:tc>
          <w:tcPr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3. príchovky a prírastky zvierat, ak nie je možné zistiť vlastné náklady, </w:t>
            </w:r>
          </w:p>
        </w:tc>
        <w:tc>
          <w:tcPr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sz w:val="18"/>
                <w:rtl w:val="0"/>
              </w:rPr>
              <w:t xml:space="preserve">Zasoby - tovar na sklade:</w:t>
            </w: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 </w:t>
            </w:r>
          </w:p>
        </w:tc>
        <w:tc>
          <w:tcPr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>
      <w:pPr>
        <w:spacing w:after="0" w:before="0" w:line="240" w:lineRule="auto"/>
        <w:contextualSpacing w:val="0"/>
        <w:jc w:val="both"/>
      </w:pPr>
      <w:r w:rsidDel="00000000" w:rsidR="00000000" w:rsidRPr="00000000">
        <w:rPr>
          <w:rtl w:val="0"/>
        </w:rPr>
      </w:r>
    </w:p>
    <w:tbl>
      <w:tblPr>
        <w:tblStyle w:val="Table6"/>
        <w:bidiVisual w:val="0"/>
        <w:tblW w:w="9072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8549"/>
        <w:gridCol w:w="523"/>
        <w:tblGridChange w:id="0">
          <w:tblGrid>
            <w:gridCol w:w="8549"/>
            <w:gridCol w:w="523"/>
          </w:tblGrid>
        </w:tblGridChange>
      </w:tblGrid>
      <w:tr>
        <w:tc>
          <w:tcPr>
            <w:gridSpan w:val="2"/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Úbytok zásob rovnakého druhu sa účtuje v ocenení: </w:t>
            </w:r>
          </w:p>
        </w:tc>
      </w:tr>
      <w:tr>
        <w:tc>
          <w:tcPr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Cenou zistenou váženým aritmetickým priemerom</w:t>
            </w:r>
          </w:p>
        </w:tc>
        <w:tc>
          <w:tcPr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Metódou FIFO</w:t>
            </w:r>
          </w:p>
        </w:tc>
        <w:tc>
          <w:tcPr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X</w:t>
            </w:r>
          </w:p>
        </w:tc>
      </w:tr>
      <w:tr>
        <w:tc>
          <w:tcPr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Obstarávacia cena zásob sa rozdeľuje na cenu za ktoré sa zásoby obstarali</w:t>
            </w:r>
          </w:p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 a náklady súvisiace s obstaraním(VON).</w:t>
            </w:r>
          </w:p>
        </w:tc>
        <w:tc>
          <w:tcPr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X</w:t>
            </w:r>
          </w:p>
        </w:tc>
      </w:tr>
      <w:tr>
        <w:tc>
          <w:tcPr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Pri vyskladnení sa VON rozpúšťajú nasledovne :VON/(PS zásob + príjem zásob) x výdaj  zásob </w:t>
            </w:r>
          </w:p>
        </w:tc>
        <w:tc>
          <w:tcPr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X</w:t>
            </w:r>
          </w:p>
        </w:tc>
      </w:tr>
    </w:tbl>
    <w:p w:rsidR="00000000" w:rsidDel="00000000" w:rsidP="00000000" w:rsidRDefault="00000000" w:rsidRPr="00000000">
      <w:pPr>
        <w:spacing w:after="0" w:before="0" w:line="240" w:lineRule="auto"/>
        <w:contextualSpacing w:val="0"/>
        <w:jc w:val="both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0" w:before="0" w:line="240" w:lineRule="auto"/>
        <w:contextualSpacing w:val="0"/>
        <w:jc w:val="both"/>
      </w:pPr>
      <w:r w:rsidDel="00000000" w:rsidR="00000000" w:rsidRPr="00000000">
        <w:rPr>
          <w:rtl w:val="0"/>
        </w:rPr>
      </w:r>
    </w:p>
    <w:tbl>
      <w:tblPr>
        <w:tblStyle w:val="Table7"/>
        <w:bidiVisual w:val="0"/>
        <w:tblW w:w="9072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8549"/>
        <w:gridCol w:w="523"/>
        <w:tblGridChange w:id="0">
          <w:tblGrid>
            <w:gridCol w:w="8549"/>
            <w:gridCol w:w="523"/>
          </w:tblGrid>
        </w:tblGridChange>
      </w:tblGrid>
      <w:tr>
        <w:tc>
          <w:tcPr>
            <w:gridSpan w:val="2"/>
          </w:tcPr>
          <w:p w:rsidR="00000000" w:rsidDel="00000000" w:rsidP="00000000" w:rsidRDefault="00000000" w:rsidRPr="00000000">
            <w:pPr>
              <w:spacing w:after="100" w:before="100" w:line="240" w:lineRule="auto"/>
              <w:ind w:right="-468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Výdavky budúcich období a príjmy budúcich období  sa vykazujú vo výške, ktorá je potrebná </w:t>
            </w:r>
          </w:p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na dodržanie zásady vecnej a časovej súvislosti s účtovným obdobím.</w:t>
            </w:r>
          </w:p>
        </w:tc>
        <w:tc>
          <w:tcPr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X</w:t>
            </w:r>
          </w:p>
        </w:tc>
      </w:tr>
      <w:tr>
        <w:tc>
          <w:tcPr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Rezervy sú záväzky s neurčitým časovým vymedzením alebo výškou; tvoria sa na krytie známych</w:t>
            </w:r>
          </w:p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 rizík alebo strát z podnikania. Oceňujú sa v očakávanej výške záväzku. Zakon. rezer. na nev. dovolenky</w:t>
            </w:r>
          </w:p>
        </w:tc>
        <w:tc>
          <w:tcPr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sz w:val="18"/>
                <w:rtl w:val="0"/>
              </w:rPr>
              <w:t xml:space="preserve">X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vAlign w:val="center"/>
          </w:tcPr>
          <w:p w:rsidR="00000000" w:rsidDel="00000000" w:rsidP="00000000" w:rsidRDefault="00000000" w:rsidRPr="00000000">
            <w:pPr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Prenajatý  majetok a majetok obstaraný na základe  zmluvy </w:t>
            </w:r>
          </w:p>
          <w:p w:rsidR="00000000" w:rsidDel="00000000" w:rsidP="00000000" w:rsidRDefault="00000000" w:rsidRPr="00000000">
            <w:pPr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sz w:val="18"/>
                <w:rtl w:val="0"/>
              </w:rPr>
              <w:t xml:space="preserve">X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vAlign w:val="center"/>
          </w:tcPr>
          <w:p w:rsidR="00000000" w:rsidDel="00000000" w:rsidP="00000000" w:rsidRDefault="00000000" w:rsidRPr="00000000">
            <w:pPr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Daň z príjmov splatná – daň sa  určuje z účtovného zisku pred zdanením, po úpravách na daňové účely</w:t>
            </w:r>
          </w:p>
          <w:p w:rsidR="00000000" w:rsidDel="00000000" w:rsidP="00000000" w:rsidRDefault="00000000" w:rsidRPr="00000000">
            <w:pPr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 podľa zákona o daniach z príjmov pri sadzbe 22 %</w:t>
            </w:r>
          </w:p>
        </w:tc>
        <w:tc>
          <w:tcPr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sz w:val="18"/>
                <w:rtl w:val="0"/>
              </w:rPr>
              <w:t xml:space="preserve">X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Náklady a výnosy časovo rozlišujú. Časovo sa ne nerozlišujú náklady a výnosy, ak ide o nevýznamný </w:t>
            </w:r>
          </w:p>
          <w:p w:rsidR="00000000" w:rsidDel="00000000" w:rsidP="00000000" w:rsidRDefault="00000000" w:rsidRPr="00000000">
            <w:pPr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a stále sa opakujúci účtovný prípad týkajúci sa časového rozlíšenia nákladov alebo výnosov</w:t>
            </w:r>
          </w:p>
          <w:p w:rsidR="00000000" w:rsidDel="00000000" w:rsidP="00000000" w:rsidRDefault="00000000" w:rsidRPr="00000000">
            <w:pPr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 posledného a prvého mesiaca účtovného obdobia.</w:t>
            </w:r>
          </w:p>
        </w:tc>
        <w:tc>
          <w:tcPr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sz w:val="18"/>
                <w:rtl w:val="0"/>
              </w:rPr>
              <w:t xml:space="preserve">X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100" w:before="100" w:line="240" w:lineRule="auto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vAlign w:val="center"/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ind w:right="-468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X</w:t>
            </w:r>
          </w:p>
        </w:tc>
      </w:tr>
    </w:tbl>
    <w:p w:rsidR="00000000" w:rsidDel="00000000" w:rsidP="00000000" w:rsidRDefault="00000000" w:rsidRPr="00000000">
      <w:pPr>
        <w:spacing w:after="0" w:before="0" w:line="240" w:lineRule="auto"/>
        <w:contextualSpacing w:val="0"/>
        <w:jc w:val="both"/>
      </w:pPr>
      <w:r w:rsidDel="00000000" w:rsidR="00000000" w:rsidRPr="00000000">
        <w:rPr>
          <w:b w:val="1"/>
          <w:sz w:val="18"/>
          <w:vertAlign w:val="baseline"/>
          <w:rtl w:val="0"/>
        </w:rPr>
        <w:t xml:space="preserve">(ak má ÚJ náplň pre jednotlivú položku = X)</w:t>
      </w:r>
    </w:p>
    <w:p w:rsidR="00000000" w:rsidDel="00000000" w:rsidP="00000000" w:rsidRDefault="00000000" w:rsidRPr="00000000">
      <w:pPr>
        <w:spacing w:after="0" w:before="0" w:line="240" w:lineRule="auto"/>
        <w:contextualSpacing w:val="0"/>
        <w:jc w:val="both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0"/>
          <w:numId w:val="8"/>
        </w:numPr>
        <w:spacing w:after="0" w:before="0" w:line="240" w:lineRule="auto"/>
        <w:ind w:left="709" w:hanging="567"/>
        <w:jc w:val="both"/>
        <w:rPr>
          <w:rFonts w:ascii="Arial" w:cs="Arial" w:eastAsia="Arial" w:hAnsi="Arial"/>
          <w:sz w:val="18"/>
        </w:rPr>
      </w:pPr>
      <w:r w:rsidDel="00000000" w:rsidR="00000000" w:rsidRPr="00000000">
        <w:rPr>
          <w:b w:val="0"/>
          <w:sz w:val="18"/>
          <w:vertAlign w:val="baseline"/>
          <w:rtl w:val="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Style w:val="Table8"/>
        <w:bidiVisual w:val="0"/>
        <w:tblW w:w="9072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7070"/>
        <w:gridCol w:w="1539"/>
        <w:gridCol w:w="463"/>
        <w:tblGridChange w:id="0">
          <w:tblGrid>
            <w:gridCol w:w="7070"/>
            <w:gridCol w:w="1539"/>
            <w:gridCol w:w="463"/>
          </w:tblGrid>
        </w:tblGridChange>
      </w:tblGrid>
      <w:tr>
        <w:tc>
          <w:tcPr>
            <w:gridSpan w:val="2"/>
            <w:tcBorders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Borders>
              <w:left w:color="000000" w:space="0" w:sz="4" w:val="single"/>
            </w:tcBorders>
            <w:vAlign w:val="center"/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960" w:hRule="atLeast"/>
        </w:trPr>
        <w:tc>
          <w:tcPr>
            <w:gridSpan w:val="2"/>
            <w:tcBorders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Del="00000000" w:rsidR="00000000" w:rsidRPr="00000000">
              <w:rPr>
                <w:b w:val="1"/>
                <w:sz w:val="18"/>
                <w:vertAlign w:val="baseline"/>
                <w:rtl w:val="0"/>
              </w:rPr>
              <w:t xml:space="preserve">rovnajú.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vAlign w:val="center"/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</w:pPr>
            <w:r w:rsidDel="00000000" w:rsidR="00000000" w:rsidRPr="00000000">
              <w:rPr>
                <w:sz w:val="18"/>
                <w:rtl w:val="0"/>
              </w:rPr>
              <w:t xml:space="preserve">X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1200" w:hRule="atLeast"/>
        </w:trPr>
        <w:tc>
          <w:tcPr>
            <w:gridSpan w:val="2"/>
            <w:tcBorders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Del="00000000" w:rsidR="00000000" w:rsidRPr="00000000">
              <w:rPr>
                <w:b w:val="1"/>
                <w:sz w:val="18"/>
                <w:vertAlign w:val="baseline"/>
                <w:rtl w:val="0"/>
              </w:rPr>
              <w:t xml:space="preserve">nerovnajú.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vAlign w:val="center"/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</w:pPr>
            <w:r w:rsidDel="00000000" w:rsidR="00000000" w:rsidRPr="00000000">
              <w:rPr>
                <w:sz w:val="18"/>
                <w:rtl w:val="0"/>
              </w:rPr>
              <w:t xml:space="preserve">X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60" w:hRule="atLeast"/>
        </w:trPr>
        <w:tc>
          <w:tcPr>
            <w:tcBorders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Dlhodobý nehmotný majetok =doba použiteľnosti viac ako rok a vstupná cena je  viac ako :</w:t>
            </w:r>
          </w:p>
        </w:tc>
        <w:tc>
          <w:tcPr>
            <w:tcBorders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2400,-eur</w:t>
            </w:r>
          </w:p>
        </w:tc>
        <w:tc>
          <w:tcPr>
            <w:tcBorders>
              <w:left w:color="000000" w:space="0" w:sz="4" w:val="single"/>
            </w:tcBorders>
            <w:vAlign w:val="center"/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60" w:hRule="atLeast"/>
        </w:trPr>
        <w:tc>
          <w:tcPr>
            <w:tcBorders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Samostatné hnuteľné veci sú dlhodobým hmotným majetkom ak doba použiteľnosti je viac ako rok a vstupná cena viac ako:</w:t>
            </w:r>
          </w:p>
        </w:tc>
        <w:tc>
          <w:tcPr>
            <w:tcBorders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widowControl w:val="0"/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1700,-eur</w:t>
            </w:r>
          </w:p>
        </w:tc>
        <w:tc>
          <w:tcPr>
            <w:tcBorders>
              <w:left w:color="000000" w:space="0" w:sz="4" w:val="single"/>
            </w:tcBorders>
            <w:vAlign w:val="center"/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X</w:t>
            </w:r>
          </w:p>
        </w:tc>
      </w:tr>
    </w:tbl>
    <w:p w:rsidR="00000000" w:rsidDel="00000000" w:rsidP="00000000" w:rsidRDefault="00000000" w:rsidRPr="00000000">
      <w:pPr>
        <w:spacing w:after="0" w:before="0" w:line="240" w:lineRule="auto"/>
        <w:contextualSpacing w:val="0"/>
        <w:jc w:val="both"/>
      </w:pPr>
      <w:r w:rsidDel="00000000" w:rsidR="00000000" w:rsidRPr="00000000">
        <w:rPr>
          <w:rtl w:val="0"/>
        </w:rPr>
      </w:r>
    </w:p>
    <w:tbl>
      <w:tblPr>
        <w:tblStyle w:val="Table9"/>
        <w:bidiVisual w:val="0"/>
        <w:tblW w:w="9072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111"/>
        <w:gridCol w:w="977"/>
        <w:gridCol w:w="1164"/>
        <w:gridCol w:w="1180"/>
        <w:gridCol w:w="980"/>
        <w:gridCol w:w="1660"/>
        <w:tblGridChange w:id="0">
          <w:tblGrid>
            <w:gridCol w:w="3111"/>
            <w:gridCol w:w="977"/>
            <w:gridCol w:w="1164"/>
            <w:gridCol w:w="1180"/>
            <w:gridCol w:w="980"/>
            <w:gridCol w:w="1660"/>
          </w:tblGrid>
        </w:tblGridChange>
      </w:tblGrid>
      <w:tr>
        <w:tc>
          <w:tcPr/>
          <w:p w:rsidR="00000000" w:rsidDel="00000000" w:rsidP="00000000" w:rsidRDefault="00000000" w:rsidRPr="00000000">
            <w:pPr>
              <w:spacing w:after="120" w:before="0" w:line="240" w:lineRule="auto"/>
              <w:contextualSpacing w:val="0"/>
              <w:jc w:val="both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Majetok</w:t>
            </w:r>
          </w:p>
        </w:tc>
        <w:tc>
          <w:tcPr/>
          <w:p w:rsidR="00000000" w:rsidDel="00000000" w:rsidP="00000000" w:rsidRDefault="00000000" w:rsidRPr="00000000">
            <w:pPr>
              <w:spacing w:after="120" w:before="0" w:line="240" w:lineRule="auto"/>
              <w:contextualSpacing w:val="0"/>
              <w:jc w:val="both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Odpisová skupina </w:t>
            </w:r>
          </w:p>
        </w:tc>
        <w:tc>
          <w:tcPr/>
          <w:p w:rsidR="00000000" w:rsidDel="00000000" w:rsidP="00000000" w:rsidRDefault="00000000" w:rsidRPr="00000000">
            <w:pPr>
              <w:spacing w:after="120" w:before="0" w:line="240" w:lineRule="auto"/>
              <w:contextualSpacing w:val="0"/>
              <w:jc w:val="both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Doba odpisovania</w:t>
            </w:r>
          </w:p>
        </w:tc>
        <w:tc>
          <w:tcPr>
            <w:tcBorders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120" w:before="0" w:line="240" w:lineRule="auto"/>
              <w:contextualSpacing w:val="0"/>
              <w:jc w:val="both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Lineárne odpisy</w:t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120" w:before="0" w:line="240" w:lineRule="auto"/>
              <w:contextualSpacing w:val="0"/>
              <w:jc w:val="both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Zrýchlené odpisy</w:t>
            </w:r>
          </w:p>
        </w:tc>
        <w:tc>
          <w:tcPr>
            <w:tcBorders>
              <w:lef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12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120" w:before="0" w:line="240" w:lineRule="auto"/>
              <w:contextualSpacing w:val="0"/>
              <w:jc w:val="both"/>
            </w:pPr>
            <w:r w:rsidDel="00000000" w:rsidR="00000000" w:rsidRPr="00000000">
              <w:rPr>
                <w:sz w:val="18"/>
                <w:rtl w:val="0"/>
              </w:rPr>
              <w:t xml:space="preserve">Reg. pokladna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120" w:before="0" w:line="240" w:lineRule="auto"/>
              <w:contextualSpacing w:val="0"/>
              <w:jc w:val="both"/>
            </w:pPr>
            <w:r w:rsidDel="00000000" w:rsidR="00000000" w:rsidRPr="00000000">
              <w:rPr>
                <w:sz w:val="18"/>
                <w:rtl w:val="0"/>
              </w:rPr>
              <w:t xml:space="preserve">1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120" w:before="0" w:line="240" w:lineRule="auto"/>
              <w:contextualSpacing w:val="0"/>
              <w:jc w:val="both"/>
            </w:pPr>
            <w:r w:rsidDel="00000000" w:rsidR="00000000" w:rsidRPr="00000000">
              <w:rPr>
                <w:sz w:val="18"/>
                <w:rtl w:val="0"/>
              </w:rPr>
              <w:t xml:space="preserve">4 roky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120" w:before="0" w:line="240" w:lineRule="auto"/>
              <w:contextualSpacing w:val="0"/>
              <w:jc w:val="both"/>
            </w:pPr>
            <w:r w:rsidDel="00000000" w:rsidR="00000000" w:rsidRPr="00000000">
              <w:rPr>
                <w:sz w:val="18"/>
                <w:rtl w:val="0"/>
              </w:rPr>
              <w:t xml:space="preserve">301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12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120" w:before="0" w:line="240" w:lineRule="auto"/>
              <w:contextualSpacing w:val="0"/>
              <w:jc w:val="both"/>
            </w:pPr>
            <w:r w:rsidDel="00000000" w:rsidR="00000000" w:rsidRPr="00000000">
              <w:rPr>
                <w:sz w:val="18"/>
                <w:rtl w:val="0"/>
              </w:rPr>
              <w:t xml:space="preserve">vyradena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120" w:before="0" w:line="240" w:lineRule="auto"/>
              <w:contextualSpacing w:val="0"/>
              <w:jc w:val="both"/>
            </w:pPr>
            <w:r w:rsidDel="00000000" w:rsidR="00000000" w:rsidRPr="00000000">
              <w:rPr>
                <w:sz w:val="18"/>
                <w:rtl w:val="0"/>
              </w:rPr>
              <w:t xml:space="preserve">Nabytok kancel.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120" w:before="0" w:line="240" w:lineRule="auto"/>
              <w:contextualSpacing w:val="0"/>
              <w:jc w:val="both"/>
            </w:pPr>
            <w:r w:rsidDel="00000000" w:rsidR="00000000" w:rsidRPr="00000000">
              <w:rPr>
                <w:sz w:val="18"/>
                <w:rtl w:val="0"/>
              </w:rPr>
              <w:t xml:space="preserve">2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120" w:before="0" w:line="240" w:lineRule="auto"/>
              <w:contextualSpacing w:val="0"/>
              <w:jc w:val="both"/>
            </w:pPr>
            <w:r w:rsidDel="00000000" w:rsidR="00000000" w:rsidRPr="00000000">
              <w:rPr>
                <w:sz w:val="18"/>
                <w:rtl w:val="0"/>
              </w:rPr>
              <w:t xml:space="preserve">6 rokov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120" w:before="0" w:line="240" w:lineRule="auto"/>
              <w:contextualSpacing w:val="0"/>
              <w:jc w:val="both"/>
            </w:pPr>
            <w:r w:rsidDel="00000000" w:rsidR="00000000" w:rsidRPr="00000000">
              <w:rPr>
                <w:sz w:val="18"/>
                <w:rtl w:val="0"/>
              </w:rPr>
              <w:t xml:space="preserve">169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12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12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120" w:before="0" w:line="240" w:lineRule="auto"/>
              <w:contextualSpacing w:val="0"/>
              <w:jc w:val="both"/>
            </w:pPr>
            <w:r w:rsidDel="00000000" w:rsidR="00000000" w:rsidRPr="00000000">
              <w:rPr>
                <w:sz w:val="18"/>
                <w:rtl w:val="0"/>
              </w:rPr>
              <w:t xml:space="preserve">Chlad. vytrina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120" w:before="0" w:line="240" w:lineRule="auto"/>
              <w:contextualSpacing w:val="0"/>
              <w:jc w:val="both"/>
            </w:pPr>
            <w:r w:rsidDel="00000000" w:rsidR="00000000" w:rsidRPr="00000000">
              <w:rPr>
                <w:sz w:val="18"/>
                <w:rtl w:val="0"/>
              </w:rPr>
              <w:t xml:space="preserve">2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120" w:before="0" w:line="240" w:lineRule="auto"/>
              <w:contextualSpacing w:val="0"/>
              <w:jc w:val="both"/>
            </w:pPr>
            <w:r w:rsidDel="00000000" w:rsidR="00000000" w:rsidRPr="00000000">
              <w:rPr>
                <w:sz w:val="18"/>
                <w:rtl w:val="0"/>
              </w:rPr>
              <w:t xml:space="preserve">6 rokov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120" w:before="0" w:line="240" w:lineRule="auto"/>
              <w:contextualSpacing w:val="0"/>
              <w:jc w:val="both"/>
            </w:pPr>
            <w:r w:rsidDel="00000000" w:rsidR="00000000" w:rsidRPr="00000000">
              <w:rPr>
                <w:sz w:val="18"/>
                <w:rtl w:val="0"/>
              </w:rPr>
              <w:t xml:space="preserve">299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12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12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120" w:before="0" w:line="240" w:lineRule="auto"/>
              <w:contextualSpacing w:val="0"/>
              <w:jc w:val="both"/>
            </w:pPr>
            <w:r w:rsidDel="00000000" w:rsidR="00000000" w:rsidRPr="00000000">
              <w:rPr>
                <w:sz w:val="18"/>
                <w:rtl w:val="0"/>
              </w:rPr>
              <w:t xml:space="preserve">Dvojdv. chladnicka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120" w:before="0" w:line="240" w:lineRule="auto"/>
              <w:contextualSpacing w:val="0"/>
              <w:jc w:val="both"/>
            </w:pPr>
            <w:r w:rsidDel="00000000" w:rsidR="00000000" w:rsidRPr="00000000">
              <w:rPr>
                <w:sz w:val="18"/>
                <w:rtl w:val="0"/>
              </w:rPr>
              <w:t xml:space="preserve">2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120" w:before="0" w:line="240" w:lineRule="auto"/>
              <w:contextualSpacing w:val="0"/>
              <w:jc w:val="both"/>
            </w:pPr>
            <w:r w:rsidDel="00000000" w:rsidR="00000000" w:rsidRPr="00000000">
              <w:rPr>
                <w:sz w:val="18"/>
                <w:rtl w:val="0"/>
              </w:rPr>
              <w:t xml:space="preserve">6 rokov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120" w:before="0" w:line="240" w:lineRule="auto"/>
              <w:contextualSpacing w:val="0"/>
              <w:jc w:val="both"/>
            </w:pPr>
            <w:r w:rsidDel="00000000" w:rsidR="00000000" w:rsidRPr="00000000">
              <w:rPr>
                <w:sz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12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12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12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12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12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12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12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12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spacing w:after="12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12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12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12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12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12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>
      <w:pPr>
        <w:spacing w:after="0" w:before="0" w:line="240" w:lineRule="auto"/>
        <w:ind w:left="709" w:firstLine="0"/>
        <w:contextualSpacing w:val="0"/>
        <w:jc w:val="both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0" w:before="0" w:line="240" w:lineRule="auto"/>
        <w:ind w:left="709" w:firstLine="0"/>
        <w:contextualSpacing w:val="0"/>
        <w:jc w:val="both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0"/>
          <w:numId w:val="8"/>
        </w:numPr>
        <w:spacing w:after="0" w:before="0" w:line="240" w:lineRule="auto"/>
        <w:ind w:left="709" w:hanging="567"/>
        <w:jc w:val="both"/>
        <w:rPr>
          <w:rFonts w:ascii="Arial" w:cs="Arial" w:eastAsia="Arial" w:hAnsi="Arial"/>
          <w:sz w:val="18"/>
        </w:rPr>
      </w:pPr>
      <w:r w:rsidDel="00000000" w:rsidR="00000000" w:rsidRPr="00000000">
        <w:rPr>
          <w:b w:val="0"/>
          <w:sz w:val="18"/>
          <w:vertAlign w:val="baseline"/>
          <w:rtl w:val="0"/>
        </w:rPr>
        <w:t xml:space="preserve">Zmeny účtovných zásad a zmeny účtovných metód s uvedením dôvodu týchto zmien a vyčíslením ich vplyvu na finančnú hodnotu majetku, záväzkov, základného imania a výsledku hospodárenia ÚJ</w:t>
      </w:r>
    </w:p>
    <w:tbl>
      <w:tblPr>
        <w:tblStyle w:val="Table10"/>
        <w:bidiVisual w:val="0"/>
        <w:tblW w:w="949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062"/>
        <w:gridCol w:w="1502"/>
        <w:gridCol w:w="1503"/>
        <w:gridCol w:w="1503"/>
        <w:gridCol w:w="1503"/>
        <w:gridCol w:w="1425"/>
        <w:tblGridChange w:id="0">
          <w:tblGrid>
            <w:gridCol w:w="2062"/>
            <w:gridCol w:w="1502"/>
            <w:gridCol w:w="1503"/>
            <w:gridCol w:w="1503"/>
            <w:gridCol w:w="1503"/>
            <w:gridCol w:w="1425"/>
          </w:tblGrid>
        </w:tblGridChange>
      </w:tblGrid>
      <w:tr>
        <w:trPr>
          <w:trHeight w:val="280" w:hRule="atLeast"/>
        </w:trPr>
        <w:tc>
          <w:tcPr/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Typ zmeny</w:t>
            </w:r>
          </w:p>
        </w:tc>
        <w:tc>
          <w:tcPr/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Dôvod zmeny</w:t>
            </w:r>
          </w:p>
        </w:tc>
        <w:tc>
          <w:tcPr/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Majetok</w:t>
            </w:r>
          </w:p>
        </w:tc>
        <w:tc>
          <w:tcPr/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Záväzky</w:t>
            </w:r>
          </w:p>
        </w:tc>
        <w:tc>
          <w:tcPr/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ZI</w:t>
            </w:r>
          </w:p>
        </w:tc>
        <w:tc>
          <w:tcPr/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HV</w:t>
            </w:r>
          </w:p>
        </w:tc>
      </w:tr>
      <w:tr>
        <w:trPr>
          <w:trHeight w:val="280" w:hRule="atLeast"/>
        </w:trPr>
        <w:tc>
          <w:tcPr/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80" w:hRule="atLeast"/>
        </w:trPr>
        <w:tc>
          <w:tcPr/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>
      <w:pPr>
        <w:spacing w:after="0" w:before="0" w:line="240" w:lineRule="auto"/>
        <w:ind w:left="708" w:firstLine="0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0"/>
          <w:numId w:val="8"/>
        </w:numPr>
        <w:spacing w:after="0" w:before="0" w:line="240" w:lineRule="auto"/>
        <w:ind w:left="709" w:hanging="567"/>
        <w:jc w:val="both"/>
        <w:rPr>
          <w:rFonts w:ascii="Arial" w:cs="Arial" w:eastAsia="Arial" w:hAnsi="Arial"/>
          <w:sz w:val="18"/>
        </w:rPr>
      </w:pPr>
      <w:r w:rsidDel="00000000" w:rsidR="00000000" w:rsidRPr="00000000">
        <w:rPr>
          <w:b w:val="0"/>
          <w:sz w:val="18"/>
          <w:vertAlign w:val="baseline"/>
          <w:rtl w:val="0"/>
        </w:rPr>
        <w:t xml:space="preserve">Informácie o dotáciách a ich oceňovanie v účtovníctve </w:t>
      </w:r>
    </w:p>
    <w:tbl>
      <w:tblPr>
        <w:tblStyle w:val="Table11"/>
        <w:bidiVisual w:val="0"/>
        <w:tblW w:w="949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081"/>
        <w:gridCol w:w="2999"/>
        <w:gridCol w:w="1418"/>
        <w:tblGridChange w:id="0">
          <w:tblGrid>
            <w:gridCol w:w="5081"/>
            <w:gridCol w:w="2999"/>
            <w:gridCol w:w="1418"/>
          </w:tblGrid>
        </w:tblGridChange>
      </w:tblGrid>
      <w:tr>
        <w:trPr>
          <w:trHeight w:val="280" w:hRule="atLeast"/>
        </w:trPr>
        <w:tc>
          <w:tcPr>
            <w:tcBorders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Dotácia</w:t>
            </w:r>
          </w:p>
        </w:tc>
        <w:tc>
          <w:tcPr>
            <w:tcBorders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EUR</w:t>
            </w:r>
          </w:p>
        </w:tc>
      </w:tr>
      <w:tr>
        <w:trPr>
          <w:trHeight w:val="280" w:hRule="atLeast"/>
        </w:trPr>
        <w:tc>
          <w:tcPr>
            <w:tcBorders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80" w:hRule="atLeast"/>
        </w:trPr>
        <w:tc>
          <w:tcPr>
            <w:tcBorders>
              <w:top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>
      <w:pPr>
        <w:spacing w:after="0" w:before="0" w:line="240" w:lineRule="auto"/>
        <w:ind w:left="709" w:firstLine="0"/>
        <w:contextualSpacing w:val="0"/>
        <w:jc w:val="both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0"/>
          <w:numId w:val="8"/>
        </w:numPr>
        <w:spacing w:after="0" w:before="0" w:line="240" w:lineRule="auto"/>
        <w:ind w:left="709" w:hanging="567"/>
        <w:jc w:val="both"/>
        <w:rPr>
          <w:rFonts w:ascii="Arial" w:cs="Arial" w:eastAsia="Arial" w:hAnsi="Arial"/>
          <w:sz w:val="18"/>
        </w:rPr>
      </w:pPr>
      <w:r w:rsidDel="00000000" w:rsidR="00000000" w:rsidRPr="00000000">
        <w:rPr>
          <w:b w:val="0"/>
          <w:sz w:val="18"/>
          <w:vertAlign w:val="baseline"/>
          <w:rtl w:val="0"/>
        </w:rPr>
        <w:t xml:space="preserve">Informácie o účtovaní významných opráv chýb minulých účtovných období v bežnom účtovnom období </w:t>
      </w:r>
    </w:p>
    <w:tbl>
      <w:tblPr>
        <w:tblStyle w:val="Table12"/>
        <w:bidiVisual w:val="0"/>
        <w:tblW w:w="949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977"/>
        <w:gridCol w:w="992"/>
        <w:gridCol w:w="851"/>
        <w:gridCol w:w="2126"/>
        <w:gridCol w:w="2552"/>
        <w:tblGridChange w:id="0">
          <w:tblGrid>
            <w:gridCol w:w="2977"/>
            <w:gridCol w:w="992"/>
            <w:gridCol w:w="851"/>
            <w:gridCol w:w="2126"/>
            <w:gridCol w:w="2552"/>
          </w:tblGrid>
        </w:tblGridChange>
      </w:tblGrid>
      <w:tr>
        <w:tc>
          <w:tcPr/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Opravy minulého obdobia</w:t>
            </w:r>
          </w:p>
        </w:tc>
        <w:tc>
          <w:tcPr/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Patrí do obdobia</w:t>
            </w:r>
          </w:p>
        </w:tc>
        <w:tc>
          <w:tcPr/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Účet </w:t>
            </w:r>
          </w:p>
        </w:tc>
        <w:tc>
          <w:tcPr/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Účtované na účet HV min. období (EUR)</w:t>
            </w:r>
          </w:p>
        </w:tc>
        <w:tc>
          <w:tcPr/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Účtované do HV bežného  obdobia(EUR)</w:t>
            </w:r>
          </w:p>
        </w:tc>
      </w:tr>
      <w:tr>
        <w:trPr>
          <w:trHeight w:val="340" w:hRule="atLeast"/>
        </w:trPr>
        <w:tc>
          <w:tcPr/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40" w:hRule="atLeast"/>
        </w:trPr>
        <w:tc>
          <w:tcPr/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40" w:hRule="atLeast"/>
        </w:trPr>
        <w:tc>
          <w:tcPr/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40" w:hRule="atLeast"/>
        </w:trPr>
        <w:tc>
          <w:tcPr/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40" w:hRule="atLeast"/>
        </w:trPr>
        <w:tc>
          <w:tcPr/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40" w:hRule="atLeast"/>
        </w:trPr>
        <w:tc>
          <w:tcPr/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40" w:hRule="atLeast"/>
        </w:trPr>
        <w:tc>
          <w:tcPr/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>
      <w:pPr>
        <w:spacing w:after="0" w:before="0" w:line="240" w:lineRule="auto"/>
        <w:contextualSpacing w:val="0"/>
        <w:jc w:val="both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0" w:before="0" w:line="240" w:lineRule="auto"/>
        <w:ind w:left="360" w:firstLine="0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0" w:before="0" w:line="240" w:lineRule="auto"/>
        <w:contextualSpacing w:val="0"/>
        <w:jc w:val="center"/>
      </w:pPr>
      <w:r w:rsidDel="00000000" w:rsidR="00000000" w:rsidRPr="00000000">
        <w:rPr>
          <w:b w:val="1"/>
          <w:sz w:val="18"/>
          <w:vertAlign w:val="baseline"/>
          <w:rtl w:val="0"/>
        </w:rPr>
        <w:t xml:space="preserve">Čl. III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0" w:before="0" w:line="240" w:lineRule="auto"/>
        <w:contextualSpacing w:val="0"/>
        <w:jc w:val="center"/>
      </w:pPr>
      <w:r w:rsidDel="00000000" w:rsidR="00000000" w:rsidRPr="00000000">
        <w:rPr>
          <w:b w:val="1"/>
          <w:sz w:val="18"/>
          <w:vertAlign w:val="baseline"/>
          <w:rtl w:val="0"/>
        </w:rPr>
        <w:t xml:space="preserve">Informácie, ktoré vysvetľujú a dopĺňajú súvahu a výkaz ziskov a strát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0" w:before="0" w:line="240" w:lineRule="auto"/>
        <w:ind w:left="1841" w:firstLine="0"/>
        <w:contextualSpacing w:val="0"/>
        <w:jc w:val="center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0"/>
          <w:numId w:val="7"/>
        </w:numPr>
        <w:spacing w:after="0" w:before="0" w:line="240" w:lineRule="auto"/>
        <w:ind w:left="709" w:hanging="567"/>
        <w:jc w:val="both"/>
        <w:rPr>
          <w:rFonts w:ascii="Arial" w:cs="Arial" w:eastAsia="Arial" w:hAnsi="Arial"/>
          <w:sz w:val="18"/>
        </w:rPr>
      </w:pPr>
      <w:r w:rsidDel="00000000" w:rsidR="00000000" w:rsidRPr="00000000">
        <w:rPr>
          <w:b w:val="0"/>
          <w:sz w:val="18"/>
          <w:vertAlign w:val="baseline"/>
          <w:rtl w:val="0"/>
        </w:rPr>
        <w:t xml:space="preserve">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</w:t>
      </w:r>
    </w:p>
    <w:tbl>
      <w:tblPr>
        <w:tblStyle w:val="Table13"/>
        <w:bidiVisual w:val="0"/>
        <w:tblW w:w="949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899"/>
        <w:gridCol w:w="4181"/>
        <w:gridCol w:w="1418"/>
        <w:tblGridChange w:id="0">
          <w:tblGrid>
            <w:gridCol w:w="3899"/>
            <w:gridCol w:w="4181"/>
            <w:gridCol w:w="1418"/>
          </w:tblGrid>
        </w:tblGridChange>
      </w:tblGrid>
      <w:tr>
        <w:trPr>
          <w:trHeight w:val="280" w:hRule="atLeast"/>
        </w:trPr>
        <w:tc>
          <w:tcPr>
            <w:tcBorders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Popis nákladov ,výnosov výnimoč. rozsahu</w:t>
            </w:r>
          </w:p>
        </w:tc>
        <w:tc>
          <w:tcPr>
            <w:tcBorders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Dôvod vzniku</w:t>
            </w:r>
          </w:p>
        </w:tc>
        <w:tc>
          <w:tcPr>
            <w:tcBorders>
              <w:lef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EUR</w:t>
            </w:r>
          </w:p>
        </w:tc>
      </w:tr>
      <w:tr>
        <w:trPr>
          <w:trHeight w:val="280" w:hRule="atLeast"/>
        </w:trPr>
        <w:tc>
          <w:tcPr>
            <w:tcBorders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80" w:hRule="atLeast"/>
        </w:trPr>
        <w:tc>
          <w:tcPr>
            <w:tcBorders>
              <w:top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>
      <w:pPr>
        <w:spacing w:after="0" w:before="0" w:line="240" w:lineRule="auto"/>
        <w:ind w:left="1481" w:firstLine="0"/>
        <w:contextualSpacing w:val="0"/>
        <w:jc w:val="both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0"/>
          <w:numId w:val="7"/>
        </w:numPr>
        <w:spacing w:after="0" w:before="0" w:line="240" w:lineRule="auto"/>
        <w:ind w:left="709" w:hanging="567"/>
        <w:jc w:val="both"/>
        <w:rPr>
          <w:rFonts w:ascii="Arial" w:cs="Arial" w:eastAsia="Arial" w:hAnsi="Arial"/>
          <w:sz w:val="18"/>
        </w:rPr>
      </w:pPr>
      <w:r w:rsidDel="00000000" w:rsidR="00000000" w:rsidRPr="00000000">
        <w:rPr>
          <w:b w:val="0"/>
          <w:sz w:val="18"/>
          <w:vertAlign w:val="baseline"/>
          <w:rtl w:val="0"/>
        </w:rPr>
        <w:t xml:space="preserve">Informácie o záväzkoch </w:t>
      </w:r>
    </w:p>
    <w:p w:rsidR="00000000" w:rsidDel="00000000" w:rsidP="00000000" w:rsidRDefault="00000000" w:rsidRPr="00000000">
      <w:pPr>
        <w:spacing w:after="0" w:before="0" w:line="240" w:lineRule="auto"/>
        <w:contextualSpacing w:val="0"/>
        <w:jc w:val="both"/>
      </w:pPr>
      <w:r w:rsidDel="00000000" w:rsidR="00000000" w:rsidRPr="00000000">
        <w:rPr>
          <w:rtl w:val="0"/>
        </w:rPr>
      </w:r>
    </w:p>
    <w:tbl>
      <w:tblPr>
        <w:tblStyle w:val="Table14"/>
        <w:bidiVisual w:val="0"/>
        <w:tblW w:w="9468.0" w:type="dxa"/>
        <w:jc w:val="left"/>
        <w:tblBorders>
          <w:top w:color="cccccc" w:space="0" w:sz="6" w:val="single"/>
          <w:left w:color="cccccc" w:space="0" w:sz="6" w:val="single"/>
          <w:bottom w:color="cccccc" w:space="0" w:sz="6" w:val="single"/>
          <w:right w:color="cccccc" w:space="0" w:sz="6" w:val="single"/>
          <w:insideH w:color="cccccc" w:space="0" w:sz="6" w:val="single"/>
          <w:insideV w:color="cccccc" w:space="0" w:sz="6" w:val="single"/>
        </w:tblBorders>
        <w:tblLayout w:type="fixed"/>
        <w:tblLook w:val="0600"/>
      </w:tblPr>
      <w:tblGrid>
        <w:gridCol w:w="2678.3426462555135"/>
        <w:gridCol w:w="2349.8666613373844"/>
        <w:gridCol w:w="2438.3025034307266"/>
        <w:gridCol w:w="285.92688413948224"/>
        <w:gridCol w:w="285.92688413948224"/>
        <w:gridCol w:w="285.92688413948224"/>
        <w:gridCol w:w="285.92688413948224"/>
        <w:gridCol w:w="285.92688413948224"/>
        <w:gridCol w:w="285.92688413948224"/>
        <w:gridCol w:w="285.92688413948224"/>
        <w:tblGridChange w:id="0">
          <w:tblGrid>
            <w:gridCol w:w="2678.3426462555135"/>
            <w:gridCol w:w="2349.8666613373844"/>
            <w:gridCol w:w="2438.3025034307266"/>
            <w:gridCol w:w="285.92688413948224"/>
            <w:gridCol w:w="285.92688413948224"/>
            <w:gridCol w:w="285.92688413948224"/>
            <w:gridCol w:w="285.92688413948224"/>
            <w:gridCol w:w="285.92688413948224"/>
            <w:gridCol w:w="285.92688413948224"/>
            <w:gridCol w:w="285.92688413948224"/>
          </w:tblGrid>
        </w:tblGridChange>
      </w:tblGrid>
      <w:tr>
        <w:tc>
          <w:tcPr>
            <w:gridSpan w:val="4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tcMar>
              <w:left w:w="40.0" w:type="dxa"/>
              <w:right w:w="40.0" w:type="dxa"/>
            </w:tcMar>
            <w:vAlign w:val="center"/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b w:val="1"/>
                <w:sz w:val="18"/>
                <w:rtl w:val="0"/>
              </w:rPr>
              <w:t xml:space="preserve">Názov položky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bottom w:color="000000" w:space="0" w:sz="12" w:val="single"/>
              <w:right w:color="000000" w:space="0" w:sz="6" w:val="single"/>
            </w:tcBorders>
            <w:tcMar>
              <w:left w:w="40.0" w:type="dxa"/>
              <w:right w:w="40.0" w:type="dxa"/>
            </w:tcMar>
            <w:vAlign w:val="center"/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b w:val="1"/>
                <w:sz w:val="18"/>
                <w:rtl w:val="0"/>
              </w:rPr>
              <w:t xml:space="preserve">Bežné účtovné obdobie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bottom w:color="000000" w:space="0" w:sz="12" w:val="single"/>
              <w:right w:color="000000" w:space="0" w:sz="12" w:val="single"/>
            </w:tcBorders>
            <w:tcMar>
              <w:left w:w="40.0" w:type="dxa"/>
              <w:right w:w="40.0" w:type="dxa"/>
            </w:tcMar>
            <w:vAlign w:val="center"/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b w:val="1"/>
                <w:sz w:val="18"/>
                <w:rtl w:val="0"/>
              </w:rPr>
              <w:t xml:space="preserve">Bezprostredne predchádzajúce účtovné obdobie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gridSpan w:val="4"/>
            <w:tcBorders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tcMar>
              <w:left w:w="40.0" w:type="dxa"/>
              <w:right w:w="40.0" w:type="dxa"/>
            </w:tcMar>
            <w:vAlign w:val="bottom"/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b w:val="1"/>
                <w:sz w:val="18"/>
                <w:rtl w:val="0"/>
              </w:rPr>
              <w:t xml:space="preserve">Dlhodobé záväzky spolu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bottom w:color="000000" w:space="0" w:sz="12" w:val="single"/>
              <w:right w:color="000000" w:space="0" w:sz="6" w:val="single"/>
            </w:tcBorders>
            <w:tcMar>
              <w:left w:w="40.0" w:type="dxa"/>
              <w:right w:w="40.0" w:type="dxa"/>
            </w:tcMar>
            <w:vAlign w:val="bottom"/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bottom w:color="000000" w:space="0" w:sz="12" w:val="single"/>
              <w:right w:color="000000" w:space="0" w:sz="12" w:val="single"/>
            </w:tcBorders>
            <w:tcMar>
              <w:left w:w="40.0" w:type="dxa"/>
              <w:right w:w="40.0" w:type="dxa"/>
            </w:tcMar>
            <w:vAlign w:val="bottom"/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gridSpan w:val="4"/>
            <w:tcBorders>
              <w:left w:color="000000" w:space="0" w:sz="12" w:val="single"/>
              <w:bottom w:color="000000" w:space="0" w:sz="6" w:val="single"/>
              <w:right w:color="000000" w:space="0" w:sz="6" w:val="single"/>
            </w:tcBorders>
            <w:tcMar>
              <w:left w:w="40.0" w:type="dxa"/>
              <w:right w:w="40.0" w:type="dxa"/>
            </w:tcMar>
            <w:vAlign w:val="center"/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sz w:val="18"/>
                <w:rtl w:val="0"/>
              </w:rPr>
              <w:t xml:space="preserve">Záväzky so zostatkovou dobou splatnosti nad päť rokov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bottom w:color="000000" w:space="0" w:sz="6" w:val="single"/>
              <w:right w:color="000000" w:space="0" w:sz="6" w:val="single"/>
            </w:tcBorders>
            <w:tcMar>
              <w:left w:w="40.0" w:type="dxa"/>
              <w:right w:w="40.0" w:type="dxa"/>
            </w:tcMar>
            <w:vAlign w:val="bottom"/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bottom w:color="000000" w:space="0" w:sz="6" w:val="single"/>
              <w:right w:color="000000" w:space="0" w:sz="12" w:val="single"/>
            </w:tcBorders>
            <w:tcMar>
              <w:left w:w="40.0" w:type="dxa"/>
              <w:right w:w="40.0" w:type="dxa"/>
            </w:tcMar>
            <w:vAlign w:val="bottom"/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gridSpan w:val="4"/>
            <w:tcBorders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tcMar>
              <w:left w:w="40.0" w:type="dxa"/>
              <w:right w:w="40.0" w:type="dxa"/>
            </w:tcMar>
            <w:vAlign w:val="center"/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sz w:val="18"/>
                <w:rtl w:val="0"/>
              </w:rPr>
              <w:t xml:space="preserve">Záväzky so zostatkovou dobou splatnosti jeden rok až päť rokov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bottom w:color="000000" w:space="0" w:sz="12" w:val="single"/>
              <w:right w:color="000000" w:space="0" w:sz="6" w:val="single"/>
            </w:tcBorders>
            <w:tcMar>
              <w:left w:w="40.0" w:type="dxa"/>
              <w:right w:w="40.0" w:type="dxa"/>
            </w:tcMar>
            <w:vAlign w:val="bottom"/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sz w:val="18"/>
                <w:rtl w:val="0"/>
              </w:rPr>
              <w:t xml:space="preserve">41</w:t>
            </w:r>
          </w:p>
        </w:tc>
        <w:tc>
          <w:tcPr>
            <w:gridSpan w:val="3"/>
            <w:tcBorders>
              <w:bottom w:color="000000" w:space="0" w:sz="12" w:val="single"/>
              <w:right w:color="000000" w:space="0" w:sz="12" w:val="single"/>
            </w:tcBorders>
            <w:tcMar>
              <w:left w:w="40.0" w:type="dxa"/>
              <w:right w:w="40.0" w:type="dxa"/>
            </w:tcMar>
            <w:vAlign w:val="bottom"/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sz w:val="18"/>
                <w:rtl w:val="0"/>
              </w:rPr>
              <w:t xml:space="preserve">59</w:t>
            </w:r>
          </w:p>
        </w:tc>
      </w:tr>
      <w:tr>
        <w:tc>
          <w:tcPr>
            <w:gridSpan w:val="4"/>
            <w:tcBorders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tcMar>
              <w:left w:w="40.0" w:type="dxa"/>
              <w:right w:w="40.0" w:type="dxa"/>
            </w:tcMar>
            <w:vAlign w:val="center"/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b w:val="1"/>
                <w:sz w:val="18"/>
                <w:rtl w:val="0"/>
              </w:rPr>
              <w:t xml:space="preserve">Krátkodobé záväzky spolu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bottom w:color="000000" w:space="0" w:sz="12" w:val="single"/>
              <w:right w:color="000000" w:space="0" w:sz="6" w:val="single"/>
            </w:tcBorders>
            <w:tcMar>
              <w:left w:w="40.0" w:type="dxa"/>
              <w:right w:w="40.0" w:type="dxa"/>
            </w:tcMar>
            <w:vAlign w:val="bottom"/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bottom w:color="000000" w:space="0" w:sz="12" w:val="single"/>
              <w:right w:color="000000" w:space="0" w:sz="12" w:val="single"/>
            </w:tcBorders>
            <w:tcMar>
              <w:left w:w="40.0" w:type="dxa"/>
              <w:right w:w="40.0" w:type="dxa"/>
            </w:tcMar>
            <w:vAlign w:val="bottom"/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gridSpan w:val="4"/>
            <w:tcBorders>
              <w:left w:color="000000" w:space="0" w:sz="12" w:val="single"/>
              <w:bottom w:color="000000" w:space="0" w:sz="6" w:val="single"/>
              <w:right w:color="000000" w:space="0" w:sz="6" w:val="single"/>
            </w:tcBorders>
            <w:tcMar>
              <w:left w:w="40.0" w:type="dxa"/>
              <w:right w:w="40.0" w:type="dxa"/>
            </w:tcMar>
            <w:vAlign w:val="center"/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sz w:val="18"/>
                <w:rtl w:val="0"/>
              </w:rPr>
              <w:t xml:space="preserve">Záväzky so zostatkovou dobou splatnosti do jedného roka vrátane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bottom w:color="000000" w:space="0" w:sz="6" w:val="single"/>
              <w:right w:color="000000" w:space="0" w:sz="6" w:val="single"/>
            </w:tcBorders>
            <w:tcMar>
              <w:left w:w="40.0" w:type="dxa"/>
              <w:right w:w="40.0" w:type="dxa"/>
            </w:tcMar>
            <w:vAlign w:val="bottom"/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sz w:val="18"/>
                <w:rtl w:val="0"/>
              </w:rPr>
              <w:t xml:space="preserve">17459</w:t>
            </w:r>
          </w:p>
        </w:tc>
        <w:tc>
          <w:tcPr>
            <w:gridSpan w:val="3"/>
            <w:tcBorders>
              <w:bottom w:color="000000" w:space="0" w:sz="6" w:val="single"/>
              <w:right w:color="000000" w:space="0" w:sz="12" w:val="single"/>
            </w:tcBorders>
            <w:tcMar>
              <w:left w:w="40.0" w:type="dxa"/>
              <w:right w:w="40.0" w:type="dxa"/>
            </w:tcMar>
            <w:vAlign w:val="bottom"/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sz w:val="18"/>
                <w:rtl w:val="0"/>
              </w:rPr>
              <w:t xml:space="preserve">17605</w:t>
            </w:r>
          </w:p>
        </w:tc>
      </w:tr>
      <w:tr>
        <w:tc>
          <w:tcPr>
            <w:gridSpan w:val="4"/>
            <w:tcBorders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tcMar>
              <w:left w:w="40.0" w:type="dxa"/>
              <w:right w:w="40.0" w:type="dxa"/>
            </w:tcMar>
            <w:vAlign w:val="center"/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sz w:val="18"/>
                <w:rtl w:val="0"/>
              </w:rPr>
              <w:t xml:space="preserve">Záväzky po lehote splatnosti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bottom w:color="000000" w:space="0" w:sz="12" w:val="single"/>
              <w:right w:color="000000" w:space="0" w:sz="6" w:val="single"/>
            </w:tcBorders>
            <w:tcMar>
              <w:left w:w="40.0" w:type="dxa"/>
              <w:right w:w="40.0" w:type="dxa"/>
            </w:tcMar>
            <w:vAlign w:val="bottom"/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sz w:val="18"/>
                <w:rtl w:val="0"/>
              </w:rPr>
              <w:t xml:space="preserve">9952</w:t>
            </w:r>
          </w:p>
        </w:tc>
        <w:tc>
          <w:tcPr>
            <w:gridSpan w:val="3"/>
            <w:tcBorders>
              <w:bottom w:color="000000" w:space="0" w:sz="12" w:val="single"/>
              <w:right w:color="000000" w:space="0" w:sz="12" w:val="single"/>
            </w:tcBorders>
            <w:tcMar>
              <w:left w:w="40.0" w:type="dxa"/>
              <w:right w:w="40.0" w:type="dxa"/>
            </w:tcMar>
            <w:vAlign w:val="bottom"/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sz w:val="18"/>
                <w:rtl w:val="0"/>
              </w:rPr>
              <w:t xml:space="preserve">11261</w:t>
            </w:r>
          </w:p>
        </w:tc>
      </w:tr>
    </w:tbl>
    <w:p w:rsidR="00000000" w:rsidDel="00000000" w:rsidP="00000000" w:rsidRDefault="00000000" w:rsidRPr="00000000">
      <w:pPr>
        <w:spacing w:after="0" w:before="0" w:line="240" w:lineRule="auto"/>
        <w:contextualSpacing w:val="0"/>
        <w:jc w:val="both"/>
      </w:pPr>
      <w:r w:rsidDel="00000000" w:rsidR="00000000" w:rsidRPr="00000000">
        <w:rPr>
          <w:rtl w:val="0"/>
        </w:rPr>
      </w:r>
    </w:p>
    <w:tbl>
      <w:tblPr>
        <w:tblStyle w:val="Table15"/>
        <w:bidiVisual w:val="0"/>
        <w:tblW w:w="949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8080"/>
        <w:gridCol w:w="1418"/>
        <w:tblGridChange w:id="0">
          <w:tblGrid>
            <w:gridCol w:w="8080"/>
            <w:gridCol w:w="1418"/>
          </w:tblGrid>
        </w:tblGridChange>
      </w:tblGrid>
      <w:tr>
        <w:trPr>
          <w:trHeight w:val="280" w:hRule="atLeast"/>
        </w:trPr>
        <w:tc>
          <w:tcPr>
            <w:tcBorders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Celková suma záväzkov so zostatkovou dobou splatnosti dlhšou ako päť rokov</w:t>
            </w:r>
          </w:p>
        </w:tc>
        <w:tc>
          <w:tcPr>
            <w:tcBorders>
              <w:lef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80" w:hRule="atLeast"/>
        </w:trPr>
        <w:tc>
          <w:tcPr>
            <w:tcBorders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Celková suma zabezpečených záväzkov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80" w:hRule="atLeast"/>
        </w:trPr>
        <w:tc>
          <w:tcPr>
            <w:gridSpan w:val="2"/>
            <w:tcBorders>
              <w:top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center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Opis a spôsoby zabezpečenia záväzkov</w:t>
            </w:r>
          </w:p>
        </w:tc>
      </w:tr>
      <w:tr>
        <w:trPr>
          <w:trHeight w:val="280" w:hRule="atLeast"/>
        </w:trPr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80" w:hRule="atLeast"/>
        </w:trPr>
        <w:tc>
          <w:tcPr>
            <w:tcBorders>
              <w:top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>
      <w:pPr>
        <w:spacing w:after="0" w:before="0" w:line="240" w:lineRule="auto"/>
        <w:ind w:left="1134" w:firstLine="0"/>
        <w:contextualSpacing w:val="0"/>
        <w:jc w:val="both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0"/>
          <w:numId w:val="7"/>
        </w:numPr>
        <w:spacing w:after="0" w:before="0" w:line="240" w:lineRule="auto"/>
        <w:ind w:left="709" w:hanging="567"/>
        <w:jc w:val="both"/>
        <w:rPr>
          <w:rFonts w:ascii="Arial" w:cs="Arial" w:eastAsia="Arial" w:hAnsi="Arial"/>
          <w:sz w:val="18"/>
        </w:rPr>
      </w:pPr>
      <w:r w:rsidDel="00000000" w:rsidR="00000000" w:rsidRPr="00000000">
        <w:rPr>
          <w:b w:val="0"/>
          <w:sz w:val="18"/>
          <w:vertAlign w:val="baseline"/>
          <w:rtl w:val="0"/>
        </w:rPr>
        <w:t xml:space="preserve">Informácie o orgánoch účtovnej jednotky</w:t>
      </w:r>
    </w:p>
    <w:tbl>
      <w:tblPr>
        <w:tblStyle w:val="Table16"/>
        <w:bidiVisual w:val="0"/>
        <w:tblW w:w="949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670"/>
        <w:gridCol w:w="1560"/>
        <w:gridCol w:w="425"/>
        <w:gridCol w:w="417"/>
        <w:gridCol w:w="1426"/>
        <w:tblGridChange w:id="0">
          <w:tblGrid>
            <w:gridCol w:w="5670"/>
            <w:gridCol w:w="1560"/>
            <w:gridCol w:w="425"/>
            <w:gridCol w:w="417"/>
            <w:gridCol w:w="1426"/>
          </w:tblGrid>
        </w:tblGridChange>
      </w:tblGrid>
      <w:tr>
        <w:trPr>
          <w:trHeight w:val="280" w:hRule="atLeast"/>
        </w:trPr>
        <w:tc>
          <w:tcPr>
            <w:gridSpan w:val="5"/>
            <w:tcBorders>
              <w:lef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center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a</w:t>
            </w:r>
            <w:r w:rsidDel="00000000" w:rsidR="00000000" w:rsidRPr="00000000">
              <w:rPr>
                <w:b w:val="1"/>
                <w:sz w:val="18"/>
                <w:vertAlign w:val="baseline"/>
                <w:rtl w:val="0"/>
              </w:rPr>
              <w:t xml:space="preserve">)</w:t>
            </w: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výška jednotlivých druhov záruk alebo iných zabezpečení pre členov štatutárneho orgánu, dozorného orgánu a iného orgánu ÚJ</w:t>
            </w:r>
          </w:p>
        </w:tc>
      </w:tr>
      <w:tr>
        <w:trPr>
          <w:trHeight w:val="280" w:hRule="atLeast"/>
        </w:trPr>
        <w:tc>
          <w:tcPr>
            <w:tcBorders>
              <w:left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Druh záruky</w:t>
            </w:r>
          </w:p>
        </w:tc>
        <w:tc>
          <w:tcPr>
            <w:gridSpan w:val="2"/>
            <w:tcBorders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Štatutárny orgán</w:t>
            </w:r>
          </w:p>
        </w:tc>
        <w:tc>
          <w:tcPr>
            <w:gridSpan w:val="2"/>
            <w:tcBorders>
              <w:lef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EUR</w:t>
            </w:r>
          </w:p>
        </w:tc>
      </w:tr>
      <w:tr>
        <w:trPr>
          <w:trHeight w:val="280" w:hRule="atLeast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left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80" w:hRule="atLeast"/>
        </w:trPr>
        <w:tc>
          <w:tcPr>
            <w:tcBorders>
              <w:top w:color="000000" w:space="0" w:sz="4" w:val="single"/>
              <w:left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gridSpan w:val="5"/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b)pôžičky poskytnuté členom štatutárneho orgánu, dozorného orgánu a iného orgánu ÚJ</w:t>
            </w:r>
          </w:p>
        </w:tc>
      </w:tr>
      <w:tr>
        <w:tc>
          <w:tcPr>
            <w:tcBorders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tabs>
                <w:tab w:val="left" w:pos="851"/>
              </w:tabs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Celková suma poskytnutých pôžičiek k poslednému dňu ÚO. obdobia</w:t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Štatutárny orgán</w:t>
            </w:r>
          </w:p>
        </w:tc>
        <w:tc>
          <w:tcPr>
            <w:gridSpan w:val="2"/>
            <w:tcBorders>
              <w:left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Úrok v %</w:t>
            </w:r>
          </w:p>
        </w:tc>
        <w:tc>
          <w:tcPr>
            <w:tcBorders>
              <w:lef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EUR</w:t>
            </w:r>
          </w:p>
          <w:p w:rsidR="00000000" w:rsidDel="00000000" w:rsidP="00000000" w:rsidRDefault="00000000" w:rsidRPr="00000000">
            <w:pPr>
              <w:tabs>
                <w:tab w:val="left" w:pos="851"/>
              </w:tabs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tcBorders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tabs>
                <w:tab w:val="left" w:pos="851"/>
              </w:tabs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left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tcBorders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tabs>
                <w:tab w:val="left" w:pos="851"/>
              </w:tabs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left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tcBorders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tabs>
                <w:tab w:val="left" w:pos="851"/>
              </w:tabs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Celková suma splatených pôžičiek k poslednému dňu účt. obdobia</w:t>
            </w:r>
          </w:p>
          <w:p w:rsidR="00000000" w:rsidDel="00000000" w:rsidP="00000000" w:rsidRDefault="00000000" w:rsidRPr="00000000">
            <w:pPr>
              <w:tabs>
                <w:tab w:val="left" w:pos="851"/>
              </w:tabs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tabs>
                <w:tab w:val="left" w:pos="851"/>
              </w:tabs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left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tabs>
                <w:tab w:val="left" w:pos="851"/>
              </w:tabs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tabs>
                <w:tab w:val="left" w:pos="851"/>
              </w:tabs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tcBorders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tabs>
                <w:tab w:val="left" w:pos="851"/>
              </w:tabs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left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tcBorders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tabs>
                <w:tab w:val="left" w:pos="851"/>
              </w:tabs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left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tcBorders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tabs>
                <w:tab w:val="left" w:pos="851"/>
              </w:tabs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Celková suma odpustených pôžičiek a odpísaných pôžičiek </w:t>
            </w:r>
          </w:p>
          <w:p w:rsidR="00000000" w:rsidDel="00000000" w:rsidP="00000000" w:rsidRDefault="00000000" w:rsidRPr="00000000">
            <w:pPr>
              <w:tabs>
                <w:tab w:val="left" w:pos="851"/>
              </w:tabs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k poslednému dňu účtovného obdobia </w:t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tabs>
                <w:tab w:val="left" w:pos="851"/>
              </w:tabs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left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tabs>
                <w:tab w:val="left" w:pos="851"/>
              </w:tabs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>
            <w:pPr>
              <w:tabs>
                <w:tab w:val="left" w:pos="851"/>
              </w:tabs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tcBorders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tabs>
                <w:tab w:val="left" w:pos="851"/>
              </w:tabs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left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tcBorders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tabs>
                <w:tab w:val="left" w:pos="851"/>
              </w:tabs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left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80" w:hRule="atLeast"/>
        </w:trPr>
        <w:tc>
          <w:tcPr>
            <w:gridSpan w:val="5"/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c)celková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rPr>
          <w:trHeight w:val="280" w:hRule="atLeast"/>
        </w:trPr>
        <w:tc>
          <w:tcPr>
            <w:tcBorders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Plnenie na súkromné účely k vyúčtovaniu</w:t>
            </w:r>
          </w:p>
        </w:tc>
        <w:tc>
          <w:tcPr>
            <w:gridSpan w:val="2"/>
            <w:tcBorders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Štatutárny orgán</w:t>
            </w:r>
          </w:p>
        </w:tc>
        <w:tc>
          <w:tcPr>
            <w:gridSpan w:val="2"/>
            <w:tcBorders>
              <w:lef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b w:val="0"/>
                <w:sz w:val="18"/>
                <w:vertAlign w:val="baseline"/>
                <w:rtl w:val="0"/>
              </w:rPr>
              <w:t xml:space="preserve">EUR</w:t>
            </w:r>
          </w:p>
        </w:tc>
      </w:tr>
      <w:tr>
        <w:trPr>
          <w:trHeight w:val="280" w:hRule="atLeast"/>
        </w:trPr>
        <w:tc>
          <w:tcPr>
            <w:tcBorders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left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80" w:hRule="atLeast"/>
        </w:trPr>
        <w:tc>
          <w:tcPr>
            <w:tcBorders>
              <w:top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</w:tcBorders>
          </w:tcPr>
          <w:p w:rsidR="00000000" w:rsidDel="00000000" w:rsidP="00000000" w:rsidRDefault="00000000" w:rsidRPr="00000000">
            <w:pPr>
              <w:spacing w:after="0" w:before="0" w:line="240" w:lineRule="auto"/>
              <w:contextualSpacing w:val="0"/>
              <w:jc w:val="both"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>
      <w:pPr>
        <w:spacing w:after="0" w:before="0" w:line="240" w:lineRule="auto"/>
        <w:contextualSpacing w:val="0"/>
        <w:jc w:val="both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0"/>
          <w:numId w:val="7"/>
        </w:numPr>
        <w:spacing w:after="0" w:before="0" w:line="240" w:lineRule="auto"/>
        <w:ind w:left="1480" w:hanging="1338"/>
        <w:jc w:val="both"/>
        <w:rPr>
          <w:rFonts w:ascii="Arial" w:cs="Arial" w:eastAsia="Arial" w:hAnsi="Arial"/>
          <w:sz w:val="18"/>
        </w:rPr>
      </w:pPr>
      <w:r w:rsidDel="00000000" w:rsidR="00000000" w:rsidRPr="00000000">
        <w:rPr>
          <w:b w:val="0"/>
          <w:sz w:val="18"/>
          <w:vertAlign w:val="baseline"/>
          <w:rtl w:val="0"/>
        </w:rPr>
        <w:t xml:space="preserve">Informácie o povinnostiach účtovnej jednotky, a to</w:t>
      </w:r>
    </w:p>
    <w:p w:rsidR="00000000" w:rsidDel="00000000" w:rsidP="00000000" w:rsidRDefault="00000000" w:rsidRPr="00000000">
      <w:pPr>
        <w:numPr>
          <w:ilvl w:val="0"/>
          <w:numId w:val="4"/>
        </w:numPr>
        <w:spacing w:after="0" w:before="0" w:line="240" w:lineRule="auto"/>
        <w:ind w:left="1276" w:hanging="567"/>
        <w:jc w:val="both"/>
        <w:rPr>
          <w:rFonts w:ascii="Arial" w:cs="Arial" w:eastAsia="Arial" w:hAnsi="Arial"/>
          <w:b w:val="0"/>
          <w:sz w:val="18"/>
        </w:rPr>
      </w:pPr>
      <w:r w:rsidDel="00000000" w:rsidR="00000000" w:rsidRPr="00000000">
        <w:rPr>
          <w:b w:val="0"/>
          <w:sz w:val="18"/>
          <w:vertAlign w:val="baseline"/>
          <w:rtl w:val="0"/>
        </w:rPr>
        <w:t xml:space="preserve"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000000" w:rsidDel="00000000" w:rsidP="00000000" w:rsidRDefault="00000000" w:rsidRPr="00000000">
      <w:pPr>
        <w:spacing w:after="0" w:before="0" w:line="240" w:lineRule="auto"/>
        <w:contextualSpacing w:val="0"/>
        <w:jc w:val="both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0"/>
          <w:numId w:val="4"/>
        </w:numPr>
        <w:spacing w:after="0" w:before="0" w:line="240" w:lineRule="auto"/>
        <w:ind w:left="1276" w:hanging="567"/>
        <w:jc w:val="both"/>
        <w:rPr>
          <w:rFonts w:ascii="Arial" w:cs="Arial" w:eastAsia="Arial" w:hAnsi="Arial"/>
          <w:b w:val="0"/>
          <w:sz w:val="18"/>
        </w:rPr>
      </w:pPr>
      <w:r w:rsidDel="00000000" w:rsidR="00000000" w:rsidRPr="00000000">
        <w:rPr>
          <w:b w:val="0"/>
          <w:sz w:val="18"/>
          <w:vertAlign w:val="baseline"/>
          <w:rtl w:val="0"/>
        </w:rPr>
        <w:t xml:space="preserve">celkovej sume významných podmienených záväzkov, ktorými sa rozumie</w:t>
      </w:r>
    </w:p>
    <w:p w:rsidR="00000000" w:rsidDel="00000000" w:rsidP="00000000" w:rsidRDefault="00000000" w:rsidRPr="00000000">
      <w:pPr>
        <w:numPr>
          <w:ilvl w:val="0"/>
          <w:numId w:val="2"/>
        </w:numPr>
        <w:spacing w:after="0" w:before="0" w:line="240" w:lineRule="auto"/>
        <w:ind w:left="1701" w:hanging="425"/>
        <w:jc w:val="both"/>
        <w:rPr>
          <w:b w:val="0"/>
          <w:sz w:val="18"/>
        </w:rPr>
      </w:pPr>
      <w:r w:rsidDel="00000000" w:rsidR="00000000" w:rsidRPr="00000000">
        <w:rPr>
          <w:b w:val="0"/>
          <w:sz w:val="18"/>
          <w:vertAlign w:val="baseline"/>
          <w:rtl w:val="0"/>
        </w:rPr>
        <w:t xml:space="preserve"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000000" w:rsidDel="00000000" w:rsidP="00000000" w:rsidRDefault="00000000" w:rsidRPr="00000000">
      <w:pPr>
        <w:numPr>
          <w:ilvl w:val="0"/>
          <w:numId w:val="2"/>
        </w:numPr>
        <w:spacing w:after="0" w:before="0" w:line="240" w:lineRule="auto"/>
        <w:ind w:left="1701" w:hanging="425"/>
        <w:jc w:val="both"/>
        <w:rPr>
          <w:b w:val="0"/>
          <w:sz w:val="18"/>
        </w:rPr>
      </w:pPr>
      <w:r w:rsidDel="00000000" w:rsidR="00000000" w:rsidRPr="00000000">
        <w:rPr>
          <w:b w:val="0"/>
          <w:sz w:val="18"/>
          <w:vertAlign w:val="baseline"/>
          <w:rtl w:val="0"/>
        </w:rPr>
        <w:t xml:space="preserve">existujúca povinnosť, ktorá vznikla ako dôsledok minulej udalosti, ale ktorá sa nevykazuje v súvahe, pretože</w:t>
      </w:r>
    </w:p>
    <w:p w:rsidR="00000000" w:rsidDel="00000000" w:rsidP="00000000" w:rsidRDefault="00000000" w:rsidRPr="00000000">
      <w:pPr>
        <w:numPr>
          <w:ilvl w:val="0"/>
          <w:numId w:val="3"/>
        </w:numPr>
        <w:spacing w:after="0" w:before="0" w:line="240" w:lineRule="auto"/>
        <w:ind w:left="2127" w:hanging="425.99999999999994"/>
        <w:jc w:val="both"/>
        <w:rPr>
          <w:b w:val="0"/>
          <w:sz w:val="18"/>
        </w:rPr>
      </w:pPr>
      <w:r w:rsidDel="00000000" w:rsidR="00000000" w:rsidRPr="00000000">
        <w:rPr>
          <w:b w:val="0"/>
          <w:sz w:val="18"/>
          <w:vertAlign w:val="baseline"/>
          <w:rtl w:val="0"/>
        </w:rPr>
        <w:t xml:space="preserve">nie je pravdepodobné, že na splnenie tejto povinnosti bude potrebný úbytok ekonomických úžitkov, alebo</w:t>
      </w:r>
    </w:p>
    <w:p w:rsidR="00000000" w:rsidDel="00000000" w:rsidP="00000000" w:rsidRDefault="00000000" w:rsidRPr="00000000">
      <w:pPr>
        <w:numPr>
          <w:ilvl w:val="0"/>
          <w:numId w:val="5"/>
        </w:numPr>
        <w:tabs>
          <w:tab w:val="left" w:pos="851"/>
        </w:tabs>
        <w:spacing w:after="0" w:before="0" w:line="240" w:lineRule="auto"/>
        <w:ind w:left="2510" w:hanging="809"/>
        <w:jc w:val="both"/>
        <w:rPr>
          <w:b w:val="0"/>
          <w:sz w:val="18"/>
        </w:rPr>
      </w:pPr>
      <w:r w:rsidDel="00000000" w:rsidR="00000000" w:rsidRPr="00000000">
        <w:rPr>
          <w:b w:val="0"/>
          <w:sz w:val="18"/>
          <w:vertAlign w:val="baseline"/>
          <w:rtl w:val="0"/>
        </w:rPr>
        <w:t xml:space="preserve">výška tejto povinnosti sa nedá spoľahlivo oceniť,</w:t>
      </w:r>
    </w:p>
    <w:p w:rsidR="00000000" w:rsidDel="00000000" w:rsidP="00000000" w:rsidRDefault="00000000" w:rsidRPr="00000000">
      <w:pPr>
        <w:numPr>
          <w:ilvl w:val="0"/>
          <w:numId w:val="4"/>
        </w:numPr>
        <w:spacing w:after="0" w:before="0" w:line="240" w:lineRule="auto"/>
        <w:ind w:left="1276" w:hanging="567"/>
        <w:jc w:val="both"/>
        <w:rPr>
          <w:rFonts w:ascii="Arial" w:cs="Arial" w:eastAsia="Arial" w:hAnsi="Arial"/>
          <w:b w:val="0"/>
          <w:sz w:val="18"/>
        </w:rPr>
      </w:pPr>
      <w:r w:rsidDel="00000000" w:rsidR="00000000" w:rsidRPr="00000000">
        <w:rPr>
          <w:b w:val="0"/>
          <w:sz w:val="18"/>
          <w:vertAlign w:val="baseline"/>
          <w:rtl w:val="0"/>
        </w:rPr>
        <w:t xml:space="preserve">opise významných finančných povinností a významných podmienených záväzkov,</w:t>
      </w:r>
    </w:p>
    <w:p w:rsidR="00000000" w:rsidDel="00000000" w:rsidP="00000000" w:rsidRDefault="00000000" w:rsidRPr="00000000">
      <w:pPr>
        <w:numPr>
          <w:ilvl w:val="0"/>
          <w:numId w:val="4"/>
        </w:numPr>
        <w:spacing w:after="0" w:before="0" w:line="240" w:lineRule="auto"/>
        <w:ind w:left="1276" w:hanging="567"/>
        <w:jc w:val="both"/>
        <w:rPr>
          <w:rFonts w:ascii="Arial" w:cs="Arial" w:eastAsia="Arial" w:hAnsi="Arial"/>
          <w:b w:val="0"/>
          <w:sz w:val="18"/>
        </w:rPr>
      </w:pPr>
      <w:r w:rsidDel="00000000" w:rsidR="00000000" w:rsidRPr="00000000">
        <w:rPr>
          <w:b w:val="0"/>
          <w:sz w:val="18"/>
          <w:vertAlign w:val="baseline"/>
          <w:rtl w:val="0"/>
        </w:rPr>
        <w:t xml:space="preserve">celkovej sume významných finančných povinností a významných podmienených záväzkoch voči dcérskej účtovnej jednotke a účtovnej jednotke s podstatným vplyvom,</w:t>
      </w:r>
    </w:p>
    <w:p w:rsidR="00000000" w:rsidDel="00000000" w:rsidP="00000000" w:rsidRDefault="00000000" w:rsidRPr="00000000">
      <w:pPr>
        <w:numPr>
          <w:ilvl w:val="0"/>
          <w:numId w:val="4"/>
        </w:numPr>
        <w:spacing w:after="0" w:before="0" w:line="240" w:lineRule="auto"/>
        <w:ind w:left="1276" w:hanging="567"/>
        <w:jc w:val="both"/>
        <w:rPr>
          <w:rFonts w:ascii="Arial" w:cs="Arial" w:eastAsia="Arial" w:hAnsi="Arial"/>
          <w:b w:val="0"/>
          <w:sz w:val="18"/>
        </w:rPr>
      </w:pPr>
      <w:r w:rsidDel="00000000" w:rsidR="00000000" w:rsidRPr="00000000">
        <w:rPr>
          <w:b w:val="0"/>
          <w:sz w:val="18"/>
          <w:vertAlign w:val="baseline"/>
          <w:rtl w:val="0"/>
        </w:rPr>
        <w:t xml:space="preserve">opise významných povinností účtovnej jednotky vyplývajúcich z dôchodkových programov pre zamestnancov.</w:t>
      </w:r>
    </w:p>
    <w:p w:rsidR="00000000" w:rsidDel="00000000" w:rsidP="00000000" w:rsidRDefault="00000000" w:rsidRPr="00000000">
      <w:pPr>
        <w:spacing w:after="0" w:before="0" w:line="240" w:lineRule="auto"/>
        <w:contextualSpacing w:val="0"/>
        <w:jc w:val="both"/>
      </w:pPr>
      <w:bookmarkStart w:colFirst="0" w:colLast="0" w:name="h.gjdgxs" w:id="0"/>
      <w:bookmarkEnd w:id="0"/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0"/>
          <w:numId w:val="7"/>
        </w:numPr>
        <w:spacing w:after="0" w:before="0" w:line="240" w:lineRule="auto"/>
        <w:ind w:left="709" w:hanging="567"/>
        <w:jc w:val="both"/>
        <w:rPr>
          <w:rFonts w:ascii="Arial" w:cs="Arial" w:eastAsia="Arial" w:hAnsi="Arial"/>
          <w:sz w:val="18"/>
        </w:rPr>
      </w:pPr>
      <w:r w:rsidDel="00000000" w:rsidR="00000000" w:rsidRPr="00000000">
        <w:rPr>
          <w:b w:val="0"/>
          <w:sz w:val="18"/>
          <w:vertAlign w:val="baseline"/>
          <w:rtl w:val="0"/>
        </w:rPr>
        <w:t xml:space="preserve"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000000" w:rsidDel="00000000" w:rsidP="00000000" w:rsidRDefault="00000000" w:rsidRPr="00000000">
      <w:pPr>
        <w:numPr>
          <w:ilvl w:val="0"/>
          <w:numId w:val="6"/>
        </w:numPr>
        <w:spacing w:after="0" w:before="0" w:line="240" w:lineRule="auto"/>
        <w:ind w:left="1276" w:hanging="567"/>
        <w:jc w:val="both"/>
        <w:rPr>
          <w:rFonts w:ascii="Arial" w:cs="Arial" w:eastAsia="Arial" w:hAnsi="Arial"/>
          <w:b w:val="0"/>
          <w:sz w:val="18"/>
        </w:rPr>
      </w:pPr>
      <w:r w:rsidDel="00000000" w:rsidR="00000000" w:rsidRPr="00000000">
        <w:rPr>
          <w:b w:val="0"/>
          <w:sz w:val="18"/>
          <w:vertAlign w:val="baseline"/>
          <w:rtl w:val="0"/>
        </w:rPr>
        <w:t xml:space="preserve">všetkých formách prijatej náhrady,</w:t>
      </w:r>
    </w:p>
    <w:p w:rsidR="00000000" w:rsidDel="00000000" w:rsidP="00000000" w:rsidRDefault="00000000" w:rsidRPr="00000000">
      <w:pPr>
        <w:numPr>
          <w:ilvl w:val="0"/>
          <w:numId w:val="6"/>
        </w:numPr>
        <w:spacing w:after="0" w:before="0" w:line="240" w:lineRule="auto"/>
        <w:ind w:left="1276" w:hanging="567"/>
        <w:jc w:val="both"/>
        <w:rPr>
          <w:rFonts w:ascii="Arial" w:cs="Arial" w:eastAsia="Arial" w:hAnsi="Arial"/>
          <w:b w:val="0"/>
          <w:sz w:val="18"/>
        </w:rPr>
      </w:pPr>
      <w:r w:rsidDel="00000000" w:rsidR="00000000" w:rsidRPr="00000000">
        <w:rPr>
          <w:b w:val="0"/>
          <w:sz w:val="18"/>
          <w:vertAlign w:val="baseline"/>
          <w:rtl w:val="0"/>
        </w:rPr>
        <w:t xml:space="preserve">účtovných zásadách použitých pri prideľovaní nákladov a výnosov,</w:t>
      </w:r>
    </w:p>
    <w:p w:rsidR="00000000" w:rsidDel="00000000" w:rsidP="00000000" w:rsidRDefault="00000000" w:rsidRPr="00000000">
      <w:pPr>
        <w:numPr>
          <w:ilvl w:val="0"/>
          <w:numId w:val="6"/>
        </w:numPr>
        <w:spacing w:after="0" w:before="0" w:line="240" w:lineRule="auto"/>
        <w:ind w:left="1276" w:hanging="567"/>
        <w:jc w:val="both"/>
        <w:rPr>
          <w:rFonts w:ascii="Arial" w:cs="Arial" w:eastAsia="Arial" w:hAnsi="Arial"/>
          <w:b w:val="0"/>
          <w:sz w:val="18"/>
        </w:rPr>
      </w:pPr>
      <w:r w:rsidDel="00000000" w:rsidR="00000000" w:rsidRPr="00000000">
        <w:rPr>
          <w:b w:val="0"/>
          <w:sz w:val="18"/>
          <w:vertAlign w:val="baseline"/>
          <w:rtl w:val="0"/>
        </w:rPr>
        <w:t xml:space="preserve">všetkých druhoch činností účtovnej jednotky.</w:t>
      </w:r>
    </w:p>
    <w:p w:rsidR="00000000" w:rsidDel="00000000" w:rsidP="00000000" w:rsidRDefault="00000000" w:rsidRPr="00000000">
      <w:pPr>
        <w:spacing w:after="0" w:before="0" w:line="240" w:lineRule="auto"/>
        <w:ind w:firstLine="709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0" w:before="0" w:line="240" w:lineRule="auto"/>
        <w:contextualSpacing w:val="0"/>
        <w:jc w:val="right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0" w:before="0" w:line="240" w:lineRule="auto"/>
        <w:contextualSpacing w:val="0"/>
      </w:pPr>
      <w:r w:rsidDel="00000000" w:rsidR="00000000" w:rsidRPr="00000000">
        <w:rPr>
          <w:b w:val="0"/>
          <w:sz w:val="18"/>
          <w:vertAlign w:val="baseline"/>
          <w:rtl w:val="0"/>
        </w:rPr>
        <w:t xml:space="preserve">Údaje v poznámkach sú uvádzané za bežne účtovné obdobie. Sumy sú uvádzané v celých eurách.</w:t>
      </w:r>
    </w:p>
    <w:p w:rsidR="00000000" w:rsidDel="00000000" w:rsidP="00000000" w:rsidRDefault="00000000" w:rsidRPr="00000000">
      <w:pPr>
        <w:spacing w:after="0" w:before="0" w:line="240" w:lineRule="auto"/>
        <w:contextualSpacing w:val="0"/>
      </w:pPr>
      <w:r w:rsidDel="00000000" w:rsidR="00000000" w:rsidRPr="00000000">
        <w:rPr>
          <w:b w:val="0"/>
          <w:sz w:val="18"/>
          <w:vertAlign w:val="baseline"/>
          <w:rtl w:val="0"/>
        </w:rPr>
        <w:t xml:space="preserve">ÚJ - účtovná jednotka</w:t>
      </w:r>
    </w:p>
    <w:p w:rsidR="00000000" w:rsidDel="00000000" w:rsidP="00000000" w:rsidRDefault="00000000" w:rsidRPr="00000000">
      <w:pPr>
        <w:spacing w:after="0" w:before="0" w:line="240" w:lineRule="auto"/>
        <w:contextualSpacing w:val="0"/>
      </w:pPr>
      <w:r w:rsidDel="00000000" w:rsidR="00000000" w:rsidRPr="00000000">
        <w:rPr>
          <w:b w:val="0"/>
          <w:sz w:val="18"/>
          <w:vertAlign w:val="baseline"/>
          <w:rtl w:val="0"/>
        </w:rPr>
        <w:t xml:space="preserve">BO-bežné obdobie</w:t>
      </w:r>
    </w:p>
    <w:sectPr>
      <w:headerReference r:id="rId5" w:type="default"/>
      <w:footerReference r:id="rId6" w:type="default"/>
      <w:pgSz w:h="16840.0" w:w="11907.0"/>
      <w:pgMar w:bottom="1418" w:top="1418" w:left="1021" w:right="141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font w:name="Times New Roman"/>
  <w:font w:name="Georgia"/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p w:rsidR="00000000" w:rsidDel="00000000" w:rsidP="00000000" w:rsidRDefault="00000000" w:rsidRPr="00000000">
    <w:pPr>
      <w:tabs>
        <w:tab w:val="center" w:pos="4536"/>
        <w:tab w:val="right" w:pos="9072"/>
      </w:tabs>
      <w:spacing w:after="0" w:before="0" w:line="240" w:lineRule="auto"/>
      <w:contextualSpacing w:val="0"/>
      <w:jc w:val="center"/>
    </w:pPr>
    <w:r w:rsidDel="00000000" w:rsidR="00000000" w:rsidRPr="00000000">
      <w:rPr>
        <w:rtl w:val="0"/>
      </w:rPr>
    </w:r>
  </w:p>
  <w:p w:rsidR="00000000" w:rsidDel="00000000" w:rsidP="00000000" w:rsidRDefault="00000000" w:rsidRPr="00000000">
    <w:pPr>
      <w:tabs>
        <w:tab w:val="center" w:pos="4536"/>
        <w:tab w:val="right" w:pos="9072"/>
      </w:tabs>
      <w:spacing w:after="567" w:before="0" w:line="240" w:lineRule="auto"/>
      <w:contextualSpacing w:val="0"/>
      <w:jc w:val="right"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p w:rsidR="00000000" w:rsidDel="00000000" w:rsidP="00000000" w:rsidRDefault="00000000" w:rsidRPr="00000000">
    <w:pPr>
      <w:keepNext w:val="0"/>
      <w:keepLines w:val="0"/>
      <w:widowControl w:val="0"/>
      <w:spacing w:after="0" w:before="0" w:line="276" w:lineRule="auto"/>
      <w:ind w:left="0" w:right="0" w:firstLine="0"/>
      <w:contextualSpacing w:val="0"/>
      <w:jc w:val="left"/>
    </w:pPr>
    <w:r w:rsidDel="00000000" w:rsidR="00000000" w:rsidRPr="00000000">
      <w:rPr>
        <w:rtl w:val="0"/>
      </w:rPr>
    </w:r>
  </w:p>
  <w:tbl>
    <w:tblPr>
      <w:tblStyle w:val="Table17"/>
      <w:bidiVisual w:val="0"/>
      <w:tblW w:w="10311.0" w:type="dxa"/>
      <w:jc w:val="left"/>
      <w:tblInd w:w="-15.0" w:type="dxa"/>
      <w:tblLayout w:type="fixed"/>
      <w:tblLook w:val="000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  <w:tblGridChange w:id="0">
        <w:tblGrid>
          <w:gridCol w:w="2710"/>
          <w:gridCol w:w="707"/>
          <w:gridCol w:w="351"/>
          <w:gridCol w:w="346"/>
          <w:gridCol w:w="346"/>
          <w:gridCol w:w="346"/>
          <w:gridCol w:w="346"/>
          <w:gridCol w:w="346"/>
          <w:gridCol w:w="346"/>
          <w:gridCol w:w="346"/>
          <w:gridCol w:w="681"/>
          <w:gridCol w:w="344"/>
          <w:gridCol w:w="344"/>
          <w:gridCol w:w="344"/>
          <w:gridCol w:w="344"/>
          <w:gridCol w:w="344"/>
          <w:gridCol w:w="344"/>
          <w:gridCol w:w="344"/>
          <w:gridCol w:w="344"/>
          <w:gridCol w:w="344"/>
          <w:gridCol w:w="344"/>
        </w:tblGrid>
      </w:tblGridChange>
    </w:tblGrid>
    <w:tr>
      <w:trPr>
        <w:trHeight w:val="320" w:hRule="atLeast"/>
      </w:trPr>
      <w:tc>
        <w:tcPr>
          <w:tcBorders>
            <w:top w:color="000000" w:space="0" w:sz="4" w:val="single"/>
            <w:left w:color="000000" w:space="0" w:sz="4" w:val="single"/>
            <w:bottom w:color="000000" w:space="0" w:sz="4" w:val="single"/>
            <w:right w:color="000000" w:space="0" w:sz="4" w:val="single"/>
          </w:tcBorders>
        </w:tcPr>
        <w:p w:rsidR="00000000" w:rsidDel="00000000" w:rsidP="00000000" w:rsidRDefault="00000000" w:rsidRPr="00000000">
          <w:pPr>
            <w:spacing w:after="0" w:before="567" w:line="240" w:lineRule="auto"/>
            <w:contextualSpacing w:val="0"/>
          </w:pPr>
          <w:r w:rsidDel="00000000" w:rsidR="00000000" w:rsidRPr="00000000">
            <w:rPr>
              <w:rFonts w:ascii="Times New Roman" w:cs="Times New Roman" w:eastAsia="Times New Roman" w:hAnsi="Times New Roman"/>
              <w:sz w:val="24"/>
              <w:rtl w:val="0"/>
            </w:rPr>
            <w:t xml:space="preserve">Poznamky Úč MÚJ 3 - 01</w:t>
          </w:r>
          <w:r w:rsidDel="00000000" w:rsidR="00000000" w:rsidRPr="00000000">
            <w:rPr>
              <w:rtl w:val="0"/>
            </w:rPr>
          </w:r>
        </w:p>
      </w:tc>
      <w:tc>
        <w:tcPr>
          <w:tcBorders>
            <w:left w:color="000000" w:space="0" w:sz="4" w:val="single"/>
            <w:right w:color="000000" w:space="0" w:sz="4" w:val="single"/>
          </w:tcBorders>
        </w:tcPr>
        <w:p w:rsidR="00000000" w:rsidDel="00000000" w:rsidP="00000000" w:rsidRDefault="00000000" w:rsidRPr="00000000">
          <w:pPr>
            <w:spacing w:after="0" w:before="567" w:line="240" w:lineRule="auto"/>
            <w:contextualSpacing w:val="0"/>
          </w:pPr>
          <w:r w:rsidDel="00000000" w:rsidR="00000000" w:rsidRPr="00000000">
            <w:rPr>
              <w:rFonts w:ascii="Times New Roman" w:cs="Times New Roman" w:eastAsia="Times New Roman" w:hAnsi="Times New Roman"/>
              <w:b w:val="0"/>
              <w:color w:val="000000"/>
              <w:sz w:val="24"/>
              <w:vertAlign w:val="baseline"/>
              <w:rtl w:val="0"/>
            </w:rPr>
            <w:t xml:space="preserve">  IČO</w:t>
          </w:r>
        </w:p>
      </w:tc>
      <w:tc>
        <w:tcPr>
          <w:tcBorders>
            <w:top w:color="000000" w:space="0" w:sz="4" w:val="single"/>
            <w:left w:color="000000" w:space="0" w:sz="4" w:val="single"/>
            <w:bottom w:color="000000" w:space="0" w:sz="4" w:val="single"/>
            <w:right w:color="000000" w:space="0" w:sz="4" w:val="single"/>
          </w:tcBorders>
        </w:tcPr>
        <w:p w:rsidR="00000000" w:rsidDel="00000000" w:rsidP="00000000" w:rsidRDefault="00000000" w:rsidRPr="00000000">
          <w:pPr>
            <w:spacing w:after="0" w:before="567" w:line="240" w:lineRule="auto"/>
            <w:contextualSpacing w:val="0"/>
          </w:pPr>
          <w:r w:rsidDel="00000000" w:rsidR="00000000" w:rsidRPr="00000000">
            <w:rPr>
              <w:rFonts w:ascii="Times New Roman" w:cs="Times New Roman" w:eastAsia="Times New Roman" w:hAnsi="Times New Roman"/>
              <w:b w:val="1"/>
              <w:sz w:val="24"/>
              <w:rtl w:val="0"/>
            </w:rPr>
            <w:t xml:space="preserve">3</w:t>
          </w:r>
          <w:r w:rsidDel="00000000" w:rsidR="00000000" w:rsidRPr="00000000">
            <w:rPr>
              <w:rtl w:val="0"/>
            </w:rPr>
          </w:r>
        </w:p>
      </w:tc>
      <w:tc>
        <w:tcPr>
          <w:tcBorders>
            <w:top w:color="000000" w:space="0" w:sz="4" w:val="single"/>
            <w:left w:color="000000" w:space="0" w:sz="4" w:val="single"/>
            <w:bottom w:color="000000" w:space="0" w:sz="4" w:val="single"/>
            <w:right w:color="000000" w:space="0" w:sz="4" w:val="single"/>
          </w:tcBorders>
        </w:tcPr>
        <w:p w:rsidR="00000000" w:rsidDel="00000000" w:rsidP="00000000" w:rsidRDefault="00000000" w:rsidRPr="00000000">
          <w:pPr>
            <w:spacing w:after="0" w:before="567" w:line="240" w:lineRule="auto"/>
            <w:contextualSpacing w:val="0"/>
          </w:pPr>
          <w:r w:rsidDel="00000000" w:rsidR="00000000" w:rsidRPr="00000000">
            <w:rPr>
              <w:rFonts w:ascii="Times New Roman" w:cs="Times New Roman" w:eastAsia="Times New Roman" w:hAnsi="Times New Roman"/>
              <w:b w:val="1"/>
              <w:sz w:val="24"/>
              <w:rtl w:val="0"/>
            </w:rPr>
            <w:t xml:space="preserve">6</w:t>
          </w:r>
          <w:r w:rsidDel="00000000" w:rsidR="00000000" w:rsidRPr="00000000">
            <w:rPr>
              <w:rtl w:val="0"/>
            </w:rPr>
          </w:r>
        </w:p>
      </w:tc>
      <w:tc>
        <w:tcPr>
          <w:tcBorders>
            <w:top w:color="000000" w:space="0" w:sz="4" w:val="single"/>
            <w:left w:color="000000" w:space="0" w:sz="4" w:val="single"/>
            <w:bottom w:color="000000" w:space="0" w:sz="4" w:val="single"/>
            <w:right w:color="000000" w:space="0" w:sz="4" w:val="single"/>
          </w:tcBorders>
        </w:tcPr>
        <w:p w:rsidR="00000000" w:rsidDel="00000000" w:rsidP="00000000" w:rsidRDefault="00000000" w:rsidRPr="00000000">
          <w:pPr>
            <w:spacing w:after="0" w:before="567" w:line="240" w:lineRule="auto"/>
            <w:contextualSpacing w:val="0"/>
          </w:pPr>
          <w:r w:rsidDel="00000000" w:rsidR="00000000" w:rsidRPr="00000000">
            <w:rPr>
              <w:rFonts w:ascii="Times New Roman" w:cs="Times New Roman" w:eastAsia="Times New Roman" w:hAnsi="Times New Roman"/>
              <w:b w:val="1"/>
              <w:sz w:val="24"/>
              <w:rtl w:val="0"/>
            </w:rPr>
            <w:t xml:space="preserve">2</w:t>
          </w:r>
          <w:r w:rsidDel="00000000" w:rsidR="00000000" w:rsidRPr="00000000">
            <w:rPr>
              <w:rtl w:val="0"/>
            </w:rPr>
          </w:r>
        </w:p>
      </w:tc>
      <w:tc>
        <w:tcPr>
          <w:tcBorders>
            <w:top w:color="000000" w:space="0" w:sz="4" w:val="single"/>
            <w:left w:color="000000" w:space="0" w:sz="4" w:val="single"/>
            <w:bottom w:color="000000" w:space="0" w:sz="4" w:val="single"/>
            <w:right w:color="000000" w:space="0" w:sz="4" w:val="single"/>
          </w:tcBorders>
        </w:tcPr>
        <w:p w:rsidR="00000000" w:rsidDel="00000000" w:rsidP="00000000" w:rsidRDefault="00000000" w:rsidRPr="00000000">
          <w:pPr>
            <w:spacing w:after="0" w:before="567" w:line="240" w:lineRule="auto"/>
            <w:contextualSpacing w:val="0"/>
          </w:pPr>
          <w:r w:rsidDel="00000000" w:rsidR="00000000" w:rsidRPr="00000000">
            <w:rPr>
              <w:rFonts w:ascii="Times New Roman" w:cs="Times New Roman" w:eastAsia="Times New Roman" w:hAnsi="Times New Roman"/>
              <w:b w:val="1"/>
              <w:sz w:val="24"/>
              <w:rtl w:val="0"/>
            </w:rPr>
            <w:t xml:space="preserve">1</w:t>
          </w:r>
          <w:r w:rsidDel="00000000" w:rsidR="00000000" w:rsidRPr="00000000">
            <w:rPr>
              <w:rtl w:val="0"/>
            </w:rPr>
          </w:r>
        </w:p>
      </w:tc>
      <w:tc>
        <w:tcPr>
          <w:tcBorders>
            <w:top w:color="000000" w:space="0" w:sz="4" w:val="single"/>
            <w:left w:color="000000" w:space="0" w:sz="4" w:val="single"/>
            <w:bottom w:color="000000" w:space="0" w:sz="4" w:val="single"/>
            <w:right w:color="000000" w:space="0" w:sz="4" w:val="single"/>
          </w:tcBorders>
        </w:tcPr>
        <w:p w:rsidR="00000000" w:rsidDel="00000000" w:rsidP="00000000" w:rsidRDefault="00000000" w:rsidRPr="00000000">
          <w:pPr>
            <w:spacing w:after="0" w:before="567" w:line="240" w:lineRule="auto"/>
            <w:contextualSpacing w:val="0"/>
          </w:pPr>
          <w:r w:rsidDel="00000000" w:rsidR="00000000" w:rsidRPr="00000000">
            <w:rPr>
              <w:rFonts w:ascii="Times New Roman" w:cs="Times New Roman" w:eastAsia="Times New Roman" w:hAnsi="Times New Roman"/>
              <w:b w:val="1"/>
              <w:sz w:val="24"/>
              <w:rtl w:val="0"/>
            </w:rPr>
            <w:t xml:space="preserve">0</w:t>
          </w:r>
          <w:r w:rsidDel="00000000" w:rsidR="00000000" w:rsidRPr="00000000">
            <w:rPr>
              <w:rtl w:val="0"/>
            </w:rPr>
          </w:r>
        </w:p>
      </w:tc>
      <w:tc>
        <w:tcPr>
          <w:tcBorders>
            <w:top w:color="000000" w:space="0" w:sz="4" w:val="single"/>
            <w:left w:color="000000" w:space="0" w:sz="4" w:val="single"/>
            <w:bottom w:color="000000" w:space="0" w:sz="4" w:val="single"/>
            <w:right w:color="000000" w:space="0" w:sz="4" w:val="single"/>
          </w:tcBorders>
        </w:tcPr>
        <w:p w:rsidR="00000000" w:rsidDel="00000000" w:rsidP="00000000" w:rsidRDefault="00000000" w:rsidRPr="00000000">
          <w:pPr>
            <w:spacing w:after="0" w:before="567" w:line="240" w:lineRule="auto"/>
            <w:contextualSpacing w:val="0"/>
          </w:pPr>
          <w:r w:rsidDel="00000000" w:rsidR="00000000" w:rsidRPr="00000000">
            <w:rPr>
              <w:rFonts w:ascii="Times New Roman" w:cs="Times New Roman" w:eastAsia="Times New Roman" w:hAnsi="Times New Roman"/>
              <w:b w:val="1"/>
              <w:sz w:val="24"/>
              <w:rtl w:val="0"/>
            </w:rPr>
            <w:t xml:space="preserve">8</w:t>
          </w:r>
          <w:r w:rsidDel="00000000" w:rsidR="00000000" w:rsidRPr="00000000">
            <w:rPr>
              <w:rtl w:val="0"/>
            </w:rPr>
          </w:r>
        </w:p>
      </w:tc>
      <w:tc>
        <w:tcPr>
          <w:tcBorders>
            <w:top w:color="000000" w:space="0" w:sz="4" w:val="single"/>
            <w:left w:color="000000" w:space="0" w:sz="4" w:val="single"/>
            <w:bottom w:color="000000" w:space="0" w:sz="4" w:val="single"/>
            <w:right w:color="000000" w:space="0" w:sz="4" w:val="single"/>
          </w:tcBorders>
        </w:tcPr>
        <w:p w:rsidR="00000000" w:rsidDel="00000000" w:rsidP="00000000" w:rsidRDefault="00000000" w:rsidRPr="00000000">
          <w:pPr>
            <w:spacing w:after="0" w:before="567" w:line="240" w:lineRule="auto"/>
            <w:contextualSpacing w:val="0"/>
          </w:pPr>
          <w:r w:rsidDel="00000000" w:rsidR="00000000" w:rsidRPr="00000000">
            <w:rPr>
              <w:rFonts w:ascii="Times New Roman" w:cs="Times New Roman" w:eastAsia="Times New Roman" w:hAnsi="Times New Roman"/>
              <w:b w:val="1"/>
              <w:sz w:val="24"/>
              <w:rtl w:val="0"/>
            </w:rPr>
            <w:t xml:space="preserve">6</w:t>
          </w:r>
          <w:r w:rsidDel="00000000" w:rsidR="00000000" w:rsidRPr="00000000">
            <w:rPr>
              <w:rtl w:val="0"/>
            </w:rPr>
          </w:r>
        </w:p>
      </w:tc>
      <w:tc>
        <w:tcPr>
          <w:tcBorders>
            <w:top w:color="000000" w:space="0" w:sz="4" w:val="single"/>
            <w:left w:color="000000" w:space="0" w:sz="4" w:val="single"/>
            <w:bottom w:color="000000" w:space="0" w:sz="4" w:val="single"/>
            <w:right w:color="000000" w:space="0" w:sz="4" w:val="single"/>
          </w:tcBorders>
        </w:tcPr>
        <w:p w:rsidR="00000000" w:rsidDel="00000000" w:rsidP="00000000" w:rsidRDefault="00000000" w:rsidRPr="00000000">
          <w:pPr>
            <w:spacing w:after="0" w:before="567" w:line="240" w:lineRule="auto"/>
            <w:contextualSpacing w:val="0"/>
          </w:pPr>
          <w:r w:rsidDel="00000000" w:rsidR="00000000" w:rsidRPr="00000000">
            <w:rPr>
              <w:rFonts w:ascii="Times New Roman" w:cs="Times New Roman" w:eastAsia="Times New Roman" w:hAnsi="Times New Roman"/>
              <w:b w:val="1"/>
              <w:sz w:val="24"/>
              <w:rtl w:val="0"/>
            </w:rPr>
            <w:t xml:space="preserve">2</w:t>
          </w:r>
          <w:r w:rsidDel="00000000" w:rsidR="00000000" w:rsidRPr="00000000">
            <w:rPr>
              <w:rtl w:val="0"/>
            </w:rPr>
          </w:r>
        </w:p>
      </w:tc>
      <w:tc>
        <w:tcPr>
          <w:tcBorders>
            <w:top w:color="000000" w:space="0" w:sz="0" w:val="nil"/>
            <w:left w:color="000000" w:space="0" w:sz="4" w:val="single"/>
            <w:bottom w:color="000000" w:space="0" w:sz="0" w:val="nil"/>
            <w:right w:color="000000" w:space="0" w:sz="0" w:val="nil"/>
          </w:tcBorders>
        </w:tcPr>
        <w:p w:rsidR="00000000" w:rsidDel="00000000" w:rsidP="00000000" w:rsidRDefault="00000000" w:rsidRPr="00000000">
          <w:pPr>
            <w:spacing w:after="0" w:before="567" w:line="240" w:lineRule="auto"/>
            <w:contextualSpacing w:val="0"/>
          </w:pPr>
          <w:r w:rsidDel="00000000" w:rsidR="00000000" w:rsidRPr="00000000">
            <w:rPr>
              <w:rFonts w:ascii="Times New Roman" w:cs="Times New Roman" w:eastAsia="Times New Roman" w:hAnsi="Times New Roman"/>
              <w:b w:val="0"/>
              <w:color w:val="000000"/>
              <w:sz w:val="24"/>
              <w:vertAlign w:val="baseline"/>
              <w:rtl w:val="0"/>
            </w:rPr>
            <w:t xml:space="preserve">DIČ</w:t>
          </w:r>
        </w:p>
      </w:tc>
      <w:tc>
        <w:tcPr>
          <w:tcBorders>
            <w:top w:color="000000" w:space="0" w:sz="4" w:val="single"/>
            <w:left w:color="000000" w:space="0" w:sz="4" w:val="single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>
          <w:pPr>
            <w:spacing w:after="0" w:before="567" w:line="240" w:lineRule="auto"/>
            <w:contextualSpacing w:val="0"/>
            <w:jc w:val="center"/>
          </w:pPr>
          <w:r w:rsidDel="00000000" w:rsidR="00000000" w:rsidRPr="00000000">
            <w:rPr>
              <w:rFonts w:ascii="Times New Roman" w:cs="Times New Roman" w:eastAsia="Times New Roman" w:hAnsi="Times New Roman"/>
              <w:b w:val="1"/>
              <w:sz w:val="24"/>
              <w:rtl w:val="0"/>
            </w:rPr>
            <w:t xml:space="preserve">2</w:t>
          </w:r>
          <w:r w:rsidDel="00000000" w:rsidR="00000000" w:rsidRPr="00000000">
            <w:rPr>
              <w:rFonts w:ascii="Times New Roman" w:cs="Times New Roman" w:eastAsia="Times New Roman" w:hAnsi="Times New Roman"/>
              <w:b w:val="1"/>
              <w:sz w:val="24"/>
              <w:vertAlign w:val="baseline"/>
              <w:rtl w:val="0"/>
            </w:rPr>
            <w:t xml:space="preserve"> </w:t>
          </w:r>
        </w:p>
      </w:tc>
      <w:tc>
        <w:tcPr>
          <w:tcBorders>
            <w:top w:color="000000" w:space="0" w:sz="4" w:val="single"/>
            <w:left w:color="000000" w:space="0" w:sz="0" w:val="nil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>
          <w:pPr>
            <w:spacing w:after="0" w:before="567" w:line="240" w:lineRule="auto"/>
            <w:contextualSpacing w:val="0"/>
            <w:jc w:val="center"/>
          </w:pPr>
          <w:r w:rsidDel="00000000" w:rsidR="00000000" w:rsidRPr="00000000">
            <w:rPr>
              <w:rFonts w:ascii="Times New Roman" w:cs="Times New Roman" w:eastAsia="Times New Roman" w:hAnsi="Times New Roman"/>
              <w:b w:val="1"/>
              <w:sz w:val="24"/>
              <w:rtl w:val="0"/>
            </w:rPr>
            <w:t xml:space="preserve">0</w:t>
          </w:r>
          <w:r w:rsidDel="00000000" w:rsidR="00000000" w:rsidRPr="00000000">
            <w:rPr>
              <w:rFonts w:ascii="Times New Roman" w:cs="Times New Roman" w:eastAsia="Times New Roman" w:hAnsi="Times New Roman"/>
              <w:b w:val="1"/>
              <w:sz w:val="24"/>
              <w:vertAlign w:val="baseline"/>
              <w:rtl w:val="0"/>
            </w:rPr>
            <w:t xml:space="preserve"> </w:t>
          </w:r>
        </w:p>
      </w:tc>
      <w:tc>
        <w:tcPr>
          <w:tcBorders>
            <w:top w:color="000000" w:space="0" w:sz="4" w:val="single"/>
            <w:left w:color="000000" w:space="0" w:sz="0" w:val="nil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>
          <w:pPr>
            <w:spacing w:after="0" w:before="567" w:line="240" w:lineRule="auto"/>
            <w:contextualSpacing w:val="0"/>
            <w:jc w:val="center"/>
          </w:pPr>
          <w:r w:rsidDel="00000000" w:rsidR="00000000" w:rsidRPr="00000000">
            <w:rPr>
              <w:rFonts w:ascii="Times New Roman" w:cs="Times New Roman" w:eastAsia="Times New Roman" w:hAnsi="Times New Roman"/>
              <w:b w:val="1"/>
              <w:sz w:val="24"/>
              <w:rtl w:val="0"/>
            </w:rPr>
            <w:t xml:space="preserve">2</w:t>
          </w:r>
          <w:r w:rsidDel="00000000" w:rsidR="00000000" w:rsidRPr="00000000">
            <w:rPr>
              <w:rFonts w:ascii="Times New Roman" w:cs="Times New Roman" w:eastAsia="Times New Roman" w:hAnsi="Times New Roman"/>
              <w:b w:val="1"/>
              <w:sz w:val="24"/>
              <w:vertAlign w:val="baseline"/>
              <w:rtl w:val="0"/>
            </w:rPr>
            <w:t xml:space="preserve"> </w:t>
          </w:r>
        </w:p>
      </w:tc>
      <w:tc>
        <w:tcPr>
          <w:tcBorders>
            <w:top w:color="000000" w:space="0" w:sz="4" w:val="single"/>
            <w:left w:color="000000" w:space="0" w:sz="0" w:val="nil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>
          <w:pPr>
            <w:spacing w:after="0" w:before="567" w:line="240" w:lineRule="auto"/>
            <w:contextualSpacing w:val="0"/>
            <w:jc w:val="center"/>
          </w:pPr>
          <w:r w:rsidDel="00000000" w:rsidR="00000000" w:rsidRPr="00000000">
            <w:rPr>
              <w:rFonts w:ascii="Times New Roman" w:cs="Times New Roman" w:eastAsia="Times New Roman" w:hAnsi="Times New Roman"/>
              <w:b w:val="1"/>
              <w:sz w:val="24"/>
              <w:rtl w:val="0"/>
            </w:rPr>
            <w:t xml:space="preserve">0</w:t>
          </w:r>
          <w:r w:rsidDel="00000000" w:rsidR="00000000" w:rsidRPr="00000000">
            <w:rPr>
              <w:rFonts w:ascii="Times New Roman" w:cs="Times New Roman" w:eastAsia="Times New Roman" w:hAnsi="Times New Roman"/>
              <w:b w:val="1"/>
              <w:sz w:val="24"/>
              <w:vertAlign w:val="baseline"/>
              <w:rtl w:val="0"/>
            </w:rPr>
            <w:t xml:space="preserve"> </w:t>
          </w:r>
        </w:p>
      </w:tc>
      <w:tc>
        <w:tcPr>
          <w:tcBorders>
            <w:top w:color="000000" w:space="0" w:sz="4" w:val="single"/>
            <w:left w:color="000000" w:space="0" w:sz="0" w:val="nil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>
          <w:pPr>
            <w:spacing w:after="0" w:before="567" w:line="240" w:lineRule="auto"/>
            <w:contextualSpacing w:val="0"/>
            <w:jc w:val="center"/>
          </w:pPr>
          <w:r w:rsidDel="00000000" w:rsidR="00000000" w:rsidRPr="00000000">
            <w:rPr>
              <w:rFonts w:ascii="Times New Roman" w:cs="Times New Roman" w:eastAsia="Times New Roman" w:hAnsi="Times New Roman"/>
              <w:b w:val="1"/>
              <w:sz w:val="24"/>
              <w:rtl w:val="0"/>
            </w:rPr>
            <w:t xml:space="preserve">0</w:t>
          </w:r>
          <w:r w:rsidDel="00000000" w:rsidR="00000000" w:rsidRPr="00000000">
            <w:rPr>
              <w:rFonts w:ascii="Times New Roman" w:cs="Times New Roman" w:eastAsia="Times New Roman" w:hAnsi="Times New Roman"/>
              <w:b w:val="1"/>
              <w:sz w:val="24"/>
              <w:vertAlign w:val="baseline"/>
              <w:rtl w:val="0"/>
            </w:rPr>
            <w:t xml:space="preserve"> </w:t>
          </w:r>
        </w:p>
      </w:tc>
      <w:tc>
        <w:tcPr>
          <w:tcBorders>
            <w:top w:color="000000" w:space="0" w:sz="4" w:val="single"/>
            <w:left w:color="000000" w:space="0" w:sz="0" w:val="nil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>
          <w:pPr>
            <w:spacing w:after="0" w:before="567" w:line="240" w:lineRule="auto"/>
            <w:contextualSpacing w:val="0"/>
            <w:jc w:val="center"/>
          </w:pPr>
          <w:r w:rsidDel="00000000" w:rsidR="00000000" w:rsidRPr="00000000">
            <w:rPr>
              <w:rFonts w:ascii="Times New Roman" w:cs="Times New Roman" w:eastAsia="Times New Roman" w:hAnsi="Times New Roman"/>
              <w:b w:val="1"/>
              <w:sz w:val="24"/>
              <w:rtl w:val="0"/>
            </w:rPr>
            <w:t xml:space="preserve">3</w:t>
          </w:r>
          <w:r w:rsidDel="00000000" w:rsidR="00000000" w:rsidRPr="00000000">
            <w:rPr>
              <w:rFonts w:ascii="Times New Roman" w:cs="Times New Roman" w:eastAsia="Times New Roman" w:hAnsi="Times New Roman"/>
              <w:b w:val="1"/>
              <w:sz w:val="24"/>
              <w:vertAlign w:val="baseline"/>
              <w:rtl w:val="0"/>
            </w:rPr>
            <w:t xml:space="preserve"> </w:t>
          </w:r>
        </w:p>
      </w:tc>
      <w:tc>
        <w:tcPr>
          <w:tcBorders>
            <w:top w:color="000000" w:space="0" w:sz="4" w:val="single"/>
            <w:left w:color="000000" w:space="0" w:sz="0" w:val="nil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>
          <w:pPr>
            <w:spacing w:after="0" w:before="567" w:line="240" w:lineRule="auto"/>
            <w:contextualSpacing w:val="0"/>
            <w:jc w:val="center"/>
          </w:pPr>
          <w:r w:rsidDel="00000000" w:rsidR="00000000" w:rsidRPr="00000000">
            <w:rPr>
              <w:rFonts w:ascii="Times New Roman" w:cs="Times New Roman" w:eastAsia="Times New Roman" w:hAnsi="Times New Roman"/>
              <w:b w:val="1"/>
              <w:sz w:val="24"/>
              <w:rtl w:val="0"/>
            </w:rPr>
            <w:t xml:space="preserve">4</w:t>
          </w:r>
          <w:r w:rsidDel="00000000" w:rsidR="00000000" w:rsidRPr="00000000">
            <w:rPr>
              <w:rFonts w:ascii="Times New Roman" w:cs="Times New Roman" w:eastAsia="Times New Roman" w:hAnsi="Times New Roman"/>
              <w:b w:val="1"/>
              <w:sz w:val="24"/>
              <w:vertAlign w:val="baseline"/>
              <w:rtl w:val="0"/>
            </w:rPr>
            <w:t xml:space="preserve"> </w:t>
          </w:r>
        </w:p>
      </w:tc>
      <w:tc>
        <w:tcPr>
          <w:tcBorders>
            <w:top w:color="000000" w:space="0" w:sz="4" w:val="single"/>
            <w:left w:color="000000" w:space="0" w:sz="0" w:val="nil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>
          <w:pPr>
            <w:spacing w:after="0" w:before="567" w:line="240" w:lineRule="auto"/>
            <w:contextualSpacing w:val="0"/>
            <w:jc w:val="center"/>
          </w:pPr>
          <w:r w:rsidDel="00000000" w:rsidR="00000000" w:rsidRPr="00000000">
            <w:rPr>
              <w:rFonts w:ascii="Times New Roman" w:cs="Times New Roman" w:eastAsia="Times New Roman" w:hAnsi="Times New Roman"/>
              <w:b w:val="1"/>
              <w:sz w:val="24"/>
              <w:rtl w:val="0"/>
            </w:rPr>
            <w:t xml:space="preserve">8</w:t>
          </w:r>
          <w:r w:rsidDel="00000000" w:rsidR="00000000" w:rsidRPr="00000000">
            <w:rPr>
              <w:rFonts w:ascii="Times New Roman" w:cs="Times New Roman" w:eastAsia="Times New Roman" w:hAnsi="Times New Roman"/>
              <w:b w:val="1"/>
              <w:sz w:val="24"/>
              <w:vertAlign w:val="baseline"/>
              <w:rtl w:val="0"/>
            </w:rPr>
            <w:t xml:space="preserve"> </w:t>
          </w:r>
        </w:p>
      </w:tc>
      <w:tc>
        <w:tcPr>
          <w:tcBorders>
            <w:top w:color="000000" w:space="0" w:sz="4" w:val="single"/>
            <w:left w:color="000000" w:space="0" w:sz="0" w:val="nil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>
          <w:pPr>
            <w:spacing w:after="0" w:before="567" w:line="240" w:lineRule="auto"/>
            <w:contextualSpacing w:val="0"/>
            <w:jc w:val="center"/>
          </w:pPr>
          <w:r w:rsidDel="00000000" w:rsidR="00000000" w:rsidRPr="00000000">
            <w:rPr>
              <w:rFonts w:ascii="Times New Roman" w:cs="Times New Roman" w:eastAsia="Times New Roman" w:hAnsi="Times New Roman"/>
              <w:b w:val="1"/>
              <w:sz w:val="24"/>
              <w:rtl w:val="0"/>
            </w:rPr>
            <w:t xml:space="preserve">8</w:t>
          </w:r>
          <w:r w:rsidDel="00000000" w:rsidR="00000000" w:rsidRPr="00000000">
            <w:rPr>
              <w:rFonts w:ascii="Times New Roman" w:cs="Times New Roman" w:eastAsia="Times New Roman" w:hAnsi="Times New Roman"/>
              <w:b w:val="1"/>
              <w:sz w:val="24"/>
              <w:vertAlign w:val="baseline"/>
              <w:rtl w:val="0"/>
            </w:rPr>
            <w:t xml:space="preserve"> </w:t>
          </w:r>
        </w:p>
      </w:tc>
      <w:tc>
        <w:tcPr>
          <w:tcBorders>
            <w:top w:color="000000" w:space="0" w:sz="4" w:val="single"/>
            <w:left w:color="000000" w:space="0" w:sz="0" w:val="nil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>
          <w:pPr>
            <w:spacing w:after="0" w:before="567" w:line="240" w:lineRule="auto"/>
            <w:contextualSpacing w:val="0"/>
            <w:jc w:val="center"/>
          </w:pPr>
          <w:r w:rsidDel="00000000" w:rsidR="00000000" w:rsidRPr="00000000">
            <w:rPr>
              <w:rFonts w:ascii="Times New Roman" w:cs="Times New Roman" w:eastAsia="Times New Roman" w:hAnsi="Times New Roman"/>
              <w:b w:val="1"/>
              <w:sz w:val="24"/>
              <w:rtl w:val="0"/>
            </w:rPr>
            <w:t xml:space="preserve">5</w:t>
          </w:r>
          <w:r w:rsidDel="00000000" w:rsidR="00000000" w:rsidRPr="00000000">
            <w:rPr>
              <w:rFonts w:ascii="Times New Roman" w:cs="Times New Roman" w:eastAsia="Times New Roman" w:hAnsi="Times New Roman"/>
              <w:b w:val="1"/>
              <w:sz w:val="24"/>
              <w:vertAlign w:val="baseline"/>
              <w:rtl w:val="0"/>
            </w:rPr>
            <w:t xml:space="preserve"> </w:t>
          </w:r>
        </w:p>
      </w:tc>
    </w:tr>
  </w:tbl>
  <w:p w:rsidR="00000000" w:rsidDel="00000000" w:rsidP="00000000" w:rsidRDefault="00000000" w:rsidRPr="00000000">
    <w:pPr>
      <w:tabs>
        <w:tab w:val="center" w:pos="4703"/>
        <w:tab w:val="right" w:pos="9406"/>
      </w:tabs>
      <w:spacing w:after="0" w:before="567" w:line="240" w:lineRule="auto"/>
      <w:contextualSpacing w:val="0"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abstractNum w:abstractNumId="1">
    <w:lvl w:ilvl="0">
      <w:start w:val="1"/>
      <w:numFmt w:val="decimal"/>
      <w:lvlText w:val="(%1)"/>
      <w:lvlJc w:val="left"/>
      <w:pPr>
        <w:ind w:left="1481" w:firstLine="1121"/>
      </w:pPr>
      <w:rPr>
        <w:rFonts w:ascii="Times New Roman" w:cs="Times New Roman" w:eastAsia="Times New Roman" w:hAnsi="Times New Roman"/>
        <w:b w:val="0"/>
        <w:i w:val="0"/>
        <w:sz w:val="20"/>
        <w:vertAlign w:val="baseline"/>
      </w:rPr>
    </w:lvl>
    <w:lvl w:ilvl="1">
      <w:start w:val="1"/>
      <w:numFmt w:val="lowerLetter"/>
      <w:lvlText w:val="%2."/>
      <w:lvlJc w:val="left"/>
      <w:pPr>
        <w:ind w:left="2201" w:firstLine="1841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921" w:firstLine="2741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641" w:firstLine="3281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4361" w:firstLine="4001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5081" w:firstLine="4901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801" w:firstLine="5441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521" w:firstLine="6161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7241" w:firstLine="7061"/>
      </w:pPr>
      <w:rPr>
        <w:vertAlign w:val="baseline"/>
      </w:rPr>
    </w:lvl>
  </w:abstractNum>
  <w:abstractNum w:abstractNumId="2">
    <w:lvl w:ilvl="0">
      <w:start w:val="1"/>
      <w:numFmt w:val="decimal"/>
      <w:lvlText w:val="%1."/>
      <w:lvlJc w:val="left"/>
      <w:pPr>
        <w:ind w:left="2561" w:firstLine="2201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3281" w:firstLine="2921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4001" w:firstLine="3821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4721" w:firstLine="4361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5441" w:firstLine="5081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6161" w:firstLine="5981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6881" w:firstLine="6521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7601" w:firstLine="7241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8321" w:firstLine="8141"/>
      </w:pPr>
      <w:rPr>
        <w:vertAlign w:val="baseline"/>
      </w:rPr>
    </w:lvl>
  </w:abstractNum>
  <w:abstractNum w:abstractNumId="3">
    <w:lvl w:ilvl="0">
      <w:start w:val="2"/>
      <w:numFmt w:val="decimal"/>
      <w:lvlText w:val="%1a."/>
      <w:lvlJc w:val="left"/>
      <w:pPr>
        <w:ind w:left="2510" w:firstLine="215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firstLine="19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414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firstLine="6300"/>
      </w:pPr>
      <w:rPr>
        <w:vertAlign w:val="baseline"/>
      </w:rPr>
    </w:lvl>
  </w:abstractNum>
  <w:abstractNum w:abstractNumId="4">
    <w:lvl w:ilvl="0">
      <w:start w:val="1"/>
      <w:numFmt w:val="lowerLetter"/>
      <w:lvlText w:val="%1)"/>
      <w:lvlJc w:val="left"/>
      <w:pPr>
        <w:ind w:left="1841" w:firstLine="1481"/>
      </w:pPr>
      <w:rPr>
        <w:rFonts w:ascii="Times New Roman" w:cs="Times New Roman" w:eastAsia="Times New Roman" w:hAnsi="Times New Roman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firstLine="19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414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firstLine="6300"/>
      </w:pPr>
      <w:rPr>
        <w:vertAlign w:val="baseline"/>
      </w:rPr>
    </w:lvl>
  </w:abstractNum>
  <w:abstractNum w:abstractNumId="5">
    <w:lvl w:ilvl="0">
      <w:start w:val="2"/>
      <w:numFmt w:val="decimal"/>
      <w:lvlText w:val="%1b."/>
      <w:lvlJc w:val="left"/>
      <w:pPr>
        <w:ind w:left="2510" w:firstLine="215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firstLine="19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414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firstLine="6300"/>
      </w:pPr>
      <w:rPr>
        <w:vertAlign w:val="baseline"/>
      </w:rPr>
    </w:lvl>
  </w:abstractNum>
  <w:abstractNum w:abstractNumId="6">
    <w:lvl w:ilvl="0">
      <w:start w:val="1"/>
      <w:numFmt w:val="lowerLetter"/>
      <w:lvlText w:val="%1)"/>
      <w:lvlJc w:val="left"/>
      <w:pPr>
        <w:ind w:left="1440" w:firstLine="1080"/>
      </w:pPr>
      <w:rPr>
        <w:rFonts w:ascii="Times New Roman" w:cs="Times New Roman" w:eastAsia="Times New Roman" w:hAnsi="Times New Roman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2160" w:firstLine="180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880" w:firstLine="270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600" w:firstLine="324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4320" w:firstLine="39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5040" w:firstLine="486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760" w:firstLine="540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480" w:firstLine="612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7200" w:firstLine="7020"/>
      </w:pPr>
      <w:rPr>
        <w:vertAlign w:val="baseline"/>
      </w:rPr>
    </w:lvl>
  </w:abstractNum>
  <w:abstractNum w:abstractNumId="7">
    <w:lvl w:ilvl="0">
      <w:start w:val="1"/>
      <w:numFmt w:val="decimal"/>
      <w:lvlText w:val="(%1)"/>
      <w:lvlJc w:val="left"/>
      <w:pPr>
        <w:ind w:left="1481" w:firstLine="1121"/>
      </w:pPr>
      <w:rPr>
        <w:rFonts w:ascii="Times New Roman" w:cs="Times New Roman" w:eastAsia="Times New Roman" w:hAnsi="Times New Roman"/>
        <w:b w:val="0"/>
        <w:i w:val="0"/>
        <w:sz w:val="20"/>
        <w:vertAlign w:val="baseli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firstLine="19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414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firstLine="6300"/>
      </w:pPr>
      <w:rPr>
        <w:vertAlign w:val="baseline"/>
      </w:rPr>
    </w:lvl>
  </w:abstractNum>
  <w:abstractNum w:abstractNumId="8">
    <w:lvl w:ilvl="0">
      <w:start w:val="1"/>
      <w:numFmt w:val="decimal"/>
      <w:lvlText w:val="(%1)"/>
      <w:lvlJc w:val="left"/>
      <w:pPr>
        <w:ind w:left="3479" w:firstLine="3119"/>
      </w:pPr>
      <w:rPr>
        <w:rFonts w:ascii="Times New Roman" w:cs="Times New Roman" w:eastAsia="Times New Roman" w:hAnsi="Times New Roman"/>
        <w:b w:val="0"/>
        <w:i w:val="0"/>
        <w:sz w:val="20"/>
        <w:vertAlign w:val="baseli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firstLine="19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414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firstLine="6300"/>
      </w:pPr>
      <w:rPr>
        <w:vertAlign w:val="baseli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isplayBackgroundShape w:val="1"/>
  <w:defaultTabStop w:val="720"/>
  <w:compat>
    <w:compatSetting w:val="14" w:name="compatibilityMode" w:uri="http://schemas.microsoft.com/office/word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ocDefaults>
    <w:rPrDefault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u w:val="none"/>
        <w:vertAlign w:val="baseline"/>
      </w:rPr>
    </w:rPrDefault>
    <w:pPrDefault>
      <w:pPr>
        <w:keepNext w:val="0"/>
        <w:keepLines w:val="0"/>
        <w:widowControl w:val="1"/>
        <w:spacing w:after="0" w:before="0" w:line="276" w:lineRule="auto"/>
        <w:ind w:left="0" w:right="0" w:firstLine="0"/>
        <w:jc w:val="left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  <w:contextualSpacing w:val="1"/>
    </w:pPr>
    <w:rPr>
      <w:b w:val="1"/>
      <w:sz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  <w:contextualSpacing w:val="1"/>
    </w:pPr>
    <w:rPr>
      <w:b w:val="1"/>
      <w:sz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  <w:contextualSpacing w:val="1"/>
    </w:pPr>
    <w:rPr>
      <w:b w:val="1"/>
      <w:sz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  <w:contextualSpacing w:val="1"/>
    </w:pPr>
    <w:rPr>
      <w:b w:val="1"/>
      <w:sz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  <w:contextualSpacing w:val="1"/>
    </w:pPr>
    <w:rPr>
      <w:b w:val="1"/>
      <w:sz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  <w:contextualSpacing w:val="1"/>
    </w:pPr>
    <w:rPr>
      <w:b w:val="1"/>
      <w:sz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  <w:contextualSpacing w:val="1"/>
    </w:pPr>
    <w:rPr>
      <w:b w:val="1"/>
      <w:sz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  <w:contextualSpacing w:val="1"/>
    </w:pPr>
    <w:rPr>
      <w:rFonts w:ascii="Georgia" w:cs="Georgia" w:eastAsia="Georgia" w:hAnsi="Georgia"/>
      <w:i w:val="1"/>
      <w:color w:val="666666"/>
      <w:sz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  <w:tblStylePr w:type="band1Horz"/>
    <w:tblStylePr w:type="band1Vert"/>
    <w:tblStylePr w:type="band2Horz"/>
    <w:tblStylePr w:type="band2Vert"/>
    <w:tblStylePr w:type="firstCol"/>
    <w:tblStylePr w:type="firstRow"/>
    <w:tblStylePr w:type="lastCol"/>
    <w:tblStylePr w:type="lastRow"/>
    <w:tblStylePr w:type="neCell"/>
    <w:tblStylePr w:type="nwCell"/>
    <w:tblStylePr w:type="seCell"/>
    <w:tblStylePr w:type="swCell"/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  <w:tblStylePr w:type="band1Horz"/>
    <w:tblStylePr w:type="band1Vert"/>
    <w:tblStylePr w:type="band2Horz"/>
    <w:tblStylePr w:type="band2Vert"/>
    <w:tblStylePr w:type="firstCol"/>
    <w:tblStylePr w:type="firstRow"/>
    <w:tblStylePr w:type="lastCol"/>
    <w:tblStylePr w:type="lastRow"/>
    <w:tblStylePr w:type="neCell"/>
    <w:tblStylePr w:type="nwCell"/>
    <w:tblStylePr w:type="seCell"/>
    <w:tblStylePr w:type="swCell"/>
  </w:style>
  <w:style w:type="table" w:styleId="Table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  <w:tblStylePr w:type="band1Horz"/>
    <w:tblStylePr w:type="band1Vert"/>
    <w:tblStylePr w:type="band2Horz"/>
    <w:tblStylePr w:type="band2Vert"/>
    <w:tblStylePr w:type="firstCol"/>
    <w:tblStylePr w:type="firstRow"/>
    <w:tblStylePr w:type="lastCol"/>
    <w:tblStylePr w:type="lastRow"/>
    <w:tblStylePr w:type="neCell"/>
    <w:tblStylePr w:type="nwCell"/>
    <w:tblStylePr w:type="seCell"/>
    <w:tblStylePr w:type="swCell"/>
  </w:style>
  <w:style w:type="table" w:styleId="Table4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  <w:tblStylePr w:type="band1Horz"/>
    <w:tblStylePr w:type="band1Vert"/>
    <w:tblStylePr w:type="band2Horz"/>
    <w:tblStylePr w:type="band2Vert"/>
    <w:tblStylePr w:type="firstCol"/>
    <w:tblStylePr w:type="firstRow"/>
    <w:tblStylePr w:type="lastCol"/>
    <w:tblStylePr w:type="lastRow"/>
    <w:tblStylePr w:type="neCell"/>
    <w:tblStylePr w:type="nwCell"/>
    <w:tblStylePr w:type="seCell"/>
    <w:tblStylePr w:type="swCell"/>
  </w:style>
  <w:style w:type="table" w:styleId="Table5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  <w:tblStylePr w:type="band1Horz"/>
    <w:tblStylePr w:type="band1Vert"/>
    <w:tblStylePr w:type="band2Horz"/>
    <w:tblStylePr w:type="band2Vert"/>
    <w:tblStylePr w:type="firstCol"/>
    <w:tblStylePr w:type="firstRow"/>
    <w:tblStylePr w:type="lastCol"/>
    <w:tblStylePr w:type="lastRow"/>
    <w:tblStylePr w:type="neCell"/>
    <w:tblStylePr w:type="nwCell"/>
    <w:tblStylePr w:type="seCell"/>
    <w:tblStylePr w:type="swCell"/>
  </w:style>
  <w:style w:type="table" w:styleId="Table6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  <w:tblStylePr w:type="band1Horz"/>
    <w:tblStylePr w:type="band1Vert"/>
    <w:tblStylePr w:type="band2Horz"/>
    <w:tblStylePr w:type="band2Vert"/>
    <w:tblStylePr w:type="firstCol"/>
    <w:tblStylePr w:type="firstRow"/>
    <w:tblStylePr w:type="lastCol"/>
    <w:tblStylePr w:type="lastRow"/>
    <w:tblStylePr w:type="neCell"/>
    <w:tblStylePr w:type="nwCell"/>
    <w:tblStylePr w:type="seCell"/>
    <w:tblStylePr w:type="swCell"/>
  </w:style>
  <w:style w:type="table" w:styleId="Table7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  <w:tblStylePr w:type="band1Horz"/>
    <w:tblStylePr w:type="band1Vert"/>
    <w:tblStylePr w:type="band2Horz"/>
    <w:tblStylePr w:type="band2Vert"/>
    <w:tblStylePr w:type="firstCol"/>
    <w:tblStylePr w:type="firstRow"/>
    <w:tblStylePr w:type="lastCol"/>
    <w:tblStylePr w:type="lastRow"/>
    <w:tblStylePr w:type="neCell"/>
    <w:tblStylePr w:type="nwCell"/>
    <w:tblStylePr w:type="seCell"/>
    <w:tblStylePr w:type="swCell"/>
  </w:style>
  <w:style w:type="table" w:styleId="Table8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  <w:tblStylePr w:type="band1Horz"/>
    <w:tblStylePr w:type="band1Vert"/>
    <w:tblStylePr w:type="band2Horz"/>
    <w:tblStylePr w:type="band2Vert"/>
    <w:tblStylePr w:type="firstCol"/>
    <w:tblStylePr w:type="firstRow"/>
    <w:tblStylePr w:type="lastCol"/>
    <w:tblStylePr w:type="lastRow"/>
    <w:tblStylePr w:type="neCell"/>
    <w:tblStylePr w:type="nwCell"/>
    <w:tblStylePr w:type="seCell"/>
    <w:tblStylePr w:type="swCell"/>
  </w:style>
  <w:style w:type="table" w:styleId="Table9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  <w:tblStylePr w:type="band1Horz"/>
    <w:tblStylePr w:type="band1Vert"/>
    <w:tblStylePr w:type="band2Horz"/>
    <w:tblStylePr w:type="band2Vert"/>
    <w:tblStylePr w:type="firstCol"/>
    <w:tblStylePr w:type="firstRow"/>
    <w:tblStylePr w:type="lastCol"/>
    <w:tblStylePr w:type="lastRow"/>
    <w:tblStylePr w:type="neCell"/>
    <w:tblStylePr w:type="nwCell"/>
    <w:tblStylePr w:type="seCell"/>
    <w:tblStylePr w:type="swCell"/>
  </w:style>
  <w:style w:type="table" w:styleId="Table10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  <w:tblStylePr w:type="band1Horz"/>
    <w:tblStylePr w:type="band1Vert"/>
    <w:tblStylePr w:type="band2Horz"/>
    <w:tblStylePr w:type="band2Vert"/>
    <w:tblStylePr w:type="firstCol"/>
    <w:tblStylePr w:type="firstRow"/>
    <w:tblStylePr w:type="lastCol"/>
    <w:tblStylePr w:type="lastRow"/>
    <w:tblStylePr w:type="neCell"/>
    <w:tblStylePr w:type="nwCell"/>
    <w:tblStylePr w:type="seCell"/>
    <w:tblStylePr w:type="swCell"/>
  </w:style>
  <w:style w:type="table" w:styleId="Table1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  <w:tblStylePr w:type="band1Horz"/>
    <w:tblStylePr w:type="band1Vert"/>
    <w:tblStylePr w:type="band2Horz"/>
    <w:tblStylePr w:type="band2Vert"/>
    <w:tblStylePr w:type="firstCol"/>
    <w:tblStylePr w:type="firstRow"/>
    <w:tblStylePr w:type="lastCol"/>
    <w:tblStylePr w:type="lastRow"/>
    <w:tblStylePr w:type="neCell"/>
    <w:tblStylePr w:type="nwCell"/>
    <w:tblStylePr w:type="seCell"/>
    <w:tblStylePr w:type="swCell"/>
  </w:style>
  <w:style w:type="table" w:styleId="Table1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  <w:tblStylePr w:type="band1Horz"/>
    <w:tblStylePr w:type="band1Vert"/>
    <w:tblStylePr w:type="band2Horz"/>
    <w:tblStylePr w:type="band2Vert"/>
    <w:tblStylePr w:type="firstCol"/>
    <w:tblStylePr w:type="firstRow"/>
    <w:tblStylePr w:type="lastCol"/>
    <w:tblStylePr w:type="lastRow"/>
    <w:tblStylePr w:type="neCell"/>
    <w:tblStylePr w:type="nwCell"/>
    <w:tblStylePr w:type="seCell"/>
    <w:tblStylePr w:type="swCell"/>
  </w:style>
  <w:style w:type="table" w:styleId="Table1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  <w:tblStylePr w:type="band1Horz"/>
    <w:tblStylePr w:type="band1Vert"/>
    <w:tblStylePr w:type="band2Horz"/>
    <w:tblStylePr w:type="band2Vert"/>
    <w:tblStylePr w:type="firstCol"/>
    <w:tblStylePr w:type="firstRow"/>
    <w:tblStylePr w:type="lastCol"/>
    <w:tblStylePr w:type="lastRow"/>
    <w:tblStylePr w:type="neCell"/>
    <w:tblStylePr w:type="nwCell"/>
    <w:tblStylePr w:type="seCell"/>
    <w:tblStylePr w:type="swCell"/>
  </w:style>
  <w:style w:type="table" w:styleId="Table14">
    <w:basedOn w:val="TableNormal"/>
    <w:tblPr>
      <w:tblStyleRowBandSize w:val="1"/>
      <w:tblStyleColBandSize w:val="1"/>
      <w:tblCellMar/>
    </w:tblPr>
    <w:tblStylePr w:type="band1Horz"/>
    <w:tblStylePr w:type="band1Vert"/>
    <w:tblStylePr w:type="band2Horz"/>
    <w:tblStylePr w:type="band2Vert"/>
    <w:tblStylePr w:type="firstCol"/>
    <w:tblStylePr w:type="firstRow"/>
    <w:tblStylePr w:type="lastCol"/>
    <w:tblStylePr w:type="lastRow"/>
    <w:tblStylePr w:type="neCell"/>
    <w:tblStylePr w:type="nwCell"/>
    <w:tblStylePr w:type="seCell"/>
    <w:tblStylePr w:type="swCell"/>
  </w:style>
  <w:style w:type="table" w:styleId="Table15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  <w:tblStylePr w:type="band1Horz"/>
    <w:tblStylePr w:type="band1Vert"/>
    <w:tblStylePr w:type="band2Horz"/>
    <w:tblStylePr w:type="band2Vert"/>
    <w:tblStylePr w:type="firstCol"/>
    <w:tblStylePr w:type="firstRow"/>
    <w:tblStylePr w:type="lastCol"/>
    <w:tblStylePr w:type="lastRow"/>
    <w:tblStylePr w:type="neCell"/>
    <w:tblStylePr w:type="nwCell"/>
    <w:tblStylePr w:type="seCell"/>
    <w:tblStylePr w:type="swCell"/>
  </w:style>
  <w:style w:type="table" w:styleId="Table16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  <w:tblStylePr w:type="band1Horz"/>
    <w:tblStylePr w:type="band1Vert"/>
    <w:tblStylePr w:type="band2Horz"/>
    <w:tblStylePr w:type="band2Vert"/>
    <w:tblStylePr w:type="firstCol"/>
    <w:tblStylePr w:type="firstRow"/>
    <w:tblStylePr w:type="lastCol"/>
    <w:tblStylePr w:type="lastRow"/>
    <w:tblStylePr w:type="neCell"/>
    <w:tblStylePr w:type="nwCell"/>
    <w:tblStylePr w:type="seCell"/>
    <w:tblStylePr w:type="swCell"/>
  </w:style>
  <w:style w:type="table" w:styleId="Table17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  <w:tblStylePr w:type="band1Horz"/>
    <w:tblStylePr w:type="band1Vert"/>
    <w:tblStylePr w:type="band2Horz"/>
    <w:tblStylePr w:type="band2Vert"/>
    <w:tblStylePr w:type="firstCol"/>
    <w:tblStylePr w:type="firstRow"/>
    <w:tblStylePr w:type="lastCol"/>
    <w:tblStylePr w:type="lastRow"/>
    <w:tblStylePr w:type="neCell"/>
    <w:tblStylePr w:type="nwCell"/>
    <w:tblStylePr w:type="seCell"/>
    <w:tblStylePr w:type="swCell"/>
  </w:style>
</w:styles>
</file>

<file path=word/_rels/document.xml.rels><?xml version="1.0" encoding="UTF-8" standalone="yes"?><Relationships xmlns="http://schemas.openxmlformats.org/package/2006/relationships"><Relationship Id="rId2" Type="http://schemas.openxmlformats.org/officeDocument/2006/relationships/fontTable" Target="fontTable.xml"/><Relationship Id="rId1" Type="http://schemas.openxmlformats.org/officeDocument/2006/relationships/settings" Target="settings.xml"/><Relationship Id="rId4" Type="http://schemas.openxmlformats.org/officeDocument/2006/relationships/styles" Target="styles.xml"/><Relationship Id="rId3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/Relationships>
</file>