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303" w:rsidRDefault="00BE7303">
      <w:pPr>
        <w:pStyle w:val="normal0"/>
        <w:spacing w:before="2"/>
      </w:pPr>
    </w:p>
    <w:p w:rsidR="00BE7303" w:rsidRDefault="00E835E0">
      <w:pPr>
        <w:pStyle w:val="normal0"/>
        <w:spacing w:after="120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2014</w:t>
      </w:r>
    </w:p>
    <w:p w:rsidR="00BE7303" w:rsidRDefault="00E835E0">
      <w:pPr>
        <w:pStyle w:val="normal0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BE7303" w:rsidRDefault="00E835E0">
      <w:pPr>
        <w:pStyle w:val="normal0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BE7303" w:rsidRDefault="00BE7303">
      <w:pPr>
        <w:pStyle w:val="normal0"/>
        <w:spacing w:before="7"/>
        <w:jc w:val="both"/>
      </w:pPr>
    </w:p>
    <w:p w:rsidR="00BE7303" w:rsidRDefault="00E835E0">
      <w:pPr>
        <w:pStyle w:val="Heading1"/>
        <w:spacing w:before="69"/>
        <w:ind w:right="836"/>
        <w:jc w:val="center"/>
      </w:pPr>
      <w:r>
        <w:rPr>
          <w:rFonts w:ascii="Arial" w:eastAsia="Arial" w:hAnsi="Arial" w:cs="Arial"/>
          <w:sz w:val="22"/>
        </w:rPr>
        <w:t>Článok I</w:t>
      </w:r>
    </w:p>
    <w:p w:rsidR="00BE7303" w:rsidRDefault="00E835E0">
      <w:pPr>
        <w:pStyle w:val="normal0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:rsidR="00BE7303" w:rsidRDefault="00BE7303">
      <w:pPr>
        <w:pStyle w:val="normal0"/>
        <w:spacing w:before="7"/>
        <w:jc w:val="both"/>
      </w:pPr>
    </w:p>
    <w:p w:rsidR="00BE7303" w:rsidRDefault="00E835E0">
      <w:pPr>
        <w:pStyle w:val="normal0"/>
        <w:tabs>
          <w:tab w:val="left" w:pos="808"/>
        </w:tabs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BE7303" w:rsidRDefault="00BE7303">
      <w:pPr>
        <w:pStyle w:val="normal0"/>
        <w:jc w:val="both"/>
      </w:pPr>
    </w:p>
    <w:tbl>
      <w:tblPr>
        <w:tblStyle w:val="a"/>
        <w:bidiVisual/>
        <w:tblW w:w="949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95"/>
        <w:gridCol w:w="2997"/>
      </w:tblGrid>
      <w:tr w:rsidR="007708D2" w:rsidTr="007708D2">
        <w:tc>
          <w:tcPr>
            <w:tcW w:w="6495" w:type="dxa"/>
          </w:tcPr>
          <w:p w:rsidR="007708D2" w:rsidRPr="004C1012" w:rsidRDefault="004C1012" w:rsidP="004C1012">
            <w:pPr>
              <w:pStyle w:val="normal0"/>
              <w:contextualSpacing w:val="0"/>
              <w:rPr>
                <w:rFonts w:ascii="Arial" w:eastAsia="Arial" w:hAnsi="Arial" w:cs="Arial"/>
                <w:color w:val="FF0000"/>
              </w:rPr>
            </w:pPr>
            <w:r w:rsidRPr="004C1012">
              <w:rPr>
                <w:rFonts w:ascii="Arial" w:eastAsia="Arial" w:hAnsi="Arial" w:cs="Arial"/>
                <w:color w:val="FF0000"/>
              </w:rPr>
              <w:t>eventim sk, s.r.o.</w:t>
            </w:r>
          </w:p>
        </w:tc>
        <w:tc>
          <w:tcPr>
            <w:tcW w:w="2997" w:type="dxa"/>
          </w:tcPr>
          <w:p w:rsidR="007708D2" w:rsidRDefault="007708D2" w:rsidP="005F5FB1">
            <w:pPr>
              <w:pStyle w:val="normal0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</w:tr>
      <w:tr w:rsidR="007708D2" w:rsidTr="007708D2">
        <w:tc>
          <w:tcPr>
            <w:tcW w:w="6495" w:type="dxa"/>
          </w:tcPr>
          <w:p w:rsidR="007708D2" w:rsidRPr="004C1012" w:rsidRDefault="004C1012" w:rsidP="004C1012">
            <w:pPr>
              <w:pStyle w:val="normal0"/>
              <w:contextualSpacing w:val="0"/>
              <w:rPr>
                <w:rFonts w:ascii="Arial" w:eastAsia="Arial" w:hAnsi="Arial" w:cs="Arial"/>
                <w:color w:val="FF0000"/>
              </w:rPr>
            </w:pPr>
            <w:r w:rsidRPr="004C1012">
              <w:rPr>
                <w:rFonts w:ascii="Arial" w:eastAsia="Arial" w:hAnsi="Arial" w:cs="Arial"/>
                <w:color w:val="FF0000"/>
              </w:rPr>
              <w:t>35 867 922</w:t>
            </w:r>
          </w:p>
        </w:tc>
        <w:tc>
          <w:tcPr>
            <w:tcW w:w="2997" w:type="dxa"/>
          </w:tcPr>
          <w:p w:rsidR="007708D2" w:rsidRDefault="007708D2" w:rsidP="005F5FB1">
            <w:pPr>
              <w:pStyle w:val="normal0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</w:tr>
      <w:tr w:rsidR="007708D2" w:rsidTr="007708D2">
        <w:tc>
          <w:tcPr>
            <w:tcW w:w="6495" w:type="dxa"/>
          </w:tcPr>
          <w:p w:rsidR="007708D2" w:rsidRPr="004C1012" w:rsidRDefault="004C1012" w:rsidP="004C1012">
            <w:pPr>
              <w:pStyle w:val="normal0"/>
              <w:contextualSpacing w:val="0"/>
              <w:rPr>
                <w:rFonts w:ascii="Arial" w:eastAsia="Arial" w:hAnsi="Arial" w:cs="Arial"/>
                <w:color w:val="FF0000"/>
              </w:rPr>
            </w:pPr>
            <w:r w:rsidRPr="004C1012">
              <w:rPr>
                <w:rFonts w:ascii="Arial" w:eastAsia="Arial" w:hAnsi="Arial" w:cs="Arial"/>
                <w:color w:val="FF0000"/>
              </w:rPr>
              <w:t>Ul. 29. augusta 5, 811 08  Bratislava</w:t>
            </w:r>
          </w:p>
        </w:tc>
        <w:tc>
          <w:tcPr>
            <w:tcW w:w="2997" w:type="dxa"/>
          </w:tcPr>
          <w:p w:rsidR="007708D2" w:rsidRDefault="007708D2" w:rsidP="005F5FB1">
            <w:pPr>
              <w:pStyle w:val="normal0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</w:tr>
    </w:tbl>
    <w:p w:rsidR="00BE7303" w:rsidRDefault="00BE7303">
      <w:pPr>
        <w:pStyle w:val="normal0"/>
        <w:jc w:val="both"/>
      </w:pPr>
    </w:p>
    <w:p w:rsidR="00BE7303" w:rsidRDefault="00BE7303">
      <w:pPr>
        <w:pStyle w:val="normal0"/>
        <w:jc w:val="both"/>
      </w:pPr>
    </w:p>
    <w:p w:rsidR="00BE7303" w:rsidRDefault="00E835E0">
      <w:pPr>
        <w:pStyle w:val="normal0"/>
        <w:tabs>
          <w:tab w:val="left" w:pos="808"/>
        </w:tabs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Údaje o konsolidovanom celku</w:t>
      </w:r>
      <w:r>
        <w:rPr>
          <w:rFonts w:ascii="Arial" w:eastAsia="Arial" w:hAnsi="Arial" w:cs="Arial"/>
        </w:rPr>
        <w:t xml:space="preserve"> - obchodné meno a sídlo konsolidujúcej účtovnej jednotky:</w:t>
      </w:r>
    </w:p>
    <w:p w:rsidR="00BE7303" w:rsidRDefault="00BE7303">
      <w:pPr>
        <w:pStyle w:val="normal0"/>
        <w:tabs>
          <w:tab w:val="left" w:pos="808"/>
        </w:tabs>
      </w:pPr>
    </w:p>
    <w:p w:rsidR="0097643A" w:rsidRDefault="00E835E0">
      <w:pPr>
        <w:pStyle w:val="normal0"/>
        <w:tabs>
          <w:tab w:val="left" w:pos="808"/>
        </w:tabs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="005F5FB1">
        <w:rPr>
          <w:rFonts w:ascii="Arial" w:eastAsia="Arial" w:hAnsi="Arial" w:cs="Arial"/>
          <w:color w:val="FF0000"/>
        </w:rPr>
        <w:t xml:space="preserve">100 % spoločníkom spoločnosti je materská spoločnosť </w:t>
      </w:r>
      <w:r w:rsidR="005F5FB1" w:rsidRPr="005F5FB1">
        <w:rPr>
          <w:rFonts w:ascii="Arial" w:eastAsia="Arial" w:hAnsi="Arial" w:cs="Arial"/>
          <w:color w:val="FF0000"/>
        </w:rPr>
        <w:t>Ticket Express, Gesellschaft zur Herstellung und zum Vertrieb elektronischer Eintrittskarten GmbH</w:t>
      </w:r>
      <w:r w:rsidR="005F5FB1">
        <w:rPr>
          <w:rFonts w:ascii="Arial" w:eastAsia="Arial" w:hAnsi="Arial" w:cs="Arial"/>
          <w:color w:val="FF0000"/>
        </w:rPr>
        <w:t xml:space="preserve">, </w:t>
      </w:r>
    </w:p>
    <w:p w:rsidR="00BE7303" w:rsidRPr="005F5FB1" w:rsidRDefault="005F5FB1">
      <w:pPr>
        <w:pStyle w:val="normal0"/>
        <w:tabs>
          <w:tab w:val="left" w:pos="808"/>
        </w:tabs>
        <w:rPr>
          <w:rFonts w:ascii="Arial" w:eastAsia="Arial" w:hAnsi="Arial" w:cs="Arial"/>
          <w:color w:val="FF0000"/>
        </w:rPr>
      </w:pPr>
      <w:r w:rsidRPr="005F5FB1">
        <w:rPr>
          <w:rFonts w:ascii="Arial" w:eastAsia="Arial" w:hAnsi="Arial" w:cs="Arial"/>
          <w:color w:val="FF0000"/>
        </w:rPr>
        <w:t>Heumuhlgasse 11, Viedeň 1040, Rakúsko</w:t>
      </w:r>
    </w:p>
    <w:p w:rsidR="00BE7303" w:rsidRDefault="00BE7303">
      <w:pPr>
        <w:pStyle w:val="normal0"/>
        <w:tabs>
          <w:tab w:val="left" w:pos="808"/>
        </w:tabs>
      </w:pPr>
    </w:p>
    <w:p w:rsidR="00BE7303" w:rsidRDefault="00BE7303">
      <w:pPr>
        <w:pStyle w:val="normal0"/>
        <w:tabs>
          <w:tab w:val="left" w:pos="808"/>
        </w:tabs>
      </w:pPr>
    </w:p>
    <w:p w:rsidR="00BE7303" w:rsidRDefault="00E835E0">
      <w:pPr>
        <w:pStyle w:val="normal0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</w:p>
    <w:p w:rsidR="00BE7303" w:rsidRDefault="00BE7303">
      <w:pPr>
        <w:pStyle w:val="normal0"/>
        <w:jc w:val="both"/>
      </w:pPr>
    </w:p>
    <w:tbl>
      <w:tblPr>
        <w:tblStyle w:val="a0"/>
        <w:bidiVisual/>
        <w:tblW w:w="953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43"/>
        <w:gridCol w:w="2095"/>
        <w:gridCol w:w="3299"/>
      </w:tblGrid>
      <w:tr w:rsidR="00BE7303">
        <w:tc>
          <w:tcPr>
            <w:tcW w:w="4143" w:type="dxa"/>
          </w:tcPr>
          <w:p w:rsidR="00BE7303" w:rsidRDefault="007708D2">
            <w:pPr>
              <w:pStyle w:val="normal0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  <w:tc>
          <w:tcPr>
            <w:tcW w:w="2095" w:type="dxa"/>
          </w:tcPr>
          <w:p w:rsidR="00BE7303" w:rsidRDefault="00E835E0">
            <w:pPr>
              <w:pStyle w:val="normal0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BE7303" w:rsidRDefault="00E835E0">
            <w:pPr>
              <w:pStyle w:val="normal0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:rsidR="00BE7303" w:rsidRDefault="007708D2">
            <w:pPr>
              <w:pStyle w:val="normal0"/>
              <w:contextualSpacing w:val="0"/>
              <w:jc w:val="center"/>
            </w:pPr>
            <w:r w:rsidRPr="007708D2">
              <w:rPr>
                <w:rFonts w:ascii="Arial" w:eastAsia="Arial" w:hAnsi="Arial" w:cs="Arial"/>
                <w:b/>
              </w:rPr>
              <w:t>Názov</w:t>
            </w:r>
          </w:p>
        </w:tc>
      </w:tr>
      <w:tr w:rsidR="00BE7303">
        <w:tc>
          <w:tcPr>
            <w:tcW w:w="4143" w:type="dxa"/>
          </w:tcPr>
          <w:p w:rsidR="00BE7303" w:rsidRPr="007708D2" w:rsidRDefault="004C1012" w:rsidP="007708D2">
            <w:pPr>
              <w:pStyle w:val="normal0"/>
              <w:contextualSpacing w:val="0"/>
              <w:jc w:val="center"/>
              <w:rPr>
                <w:color w:val="FF0000"/>
              </w:rPr>
            </w:pPr>
            <w:r w:rsidRPr="004C1012">
              <w:rPr>
                <w:rFonts w:ascii="Arial" w:eastAsia="Arial" w:hAnsi="Arial" w:cs="Arial"/>
                <w:color w:val="FF0000"/>
              </w:rPr>
              <w:t>5</w:t>
            </w:r>
          </w:p>
        </w:tc>
        <w:tc>
          <w:tcPr>
            <w:tcW w:w="2095" w:type="dxa"/>
          </w:tcPr>
          <w:p w:rsidR="00BE7303" w:rsidRDefault="004C1012">
            <w:pPr>
              <w:pStyle w:val="normal0"/>
              <w:contextualSpacing w:val="0"/>
              <w:jc w:val="center"/>
            </w:pPr>
            <w:r>
              <w:rPr>
                <w:rFonts w:ascii="Arial" w:eastAsia="Arial" w:hAnsi="Arial" w:cs="Arial"/>
                <w:color w:val="FF0000"/>
              </w:rPr>
              <w:t>5</w:t>
            </w:r>
          </w:p>
        </w:tc>
        <w:tc>
          <w:tcPr>
            <w:tcW w:w="3299" w:type="dxa"/>
          </w:tcPr>
          <w:p w:rsidR="00BE7303" w:rsidRDefault="007708D2">
            <w:pPr>
              <w:pStyle w:val="normal0"/>
              <w:contextualSpacing w:val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</w:tr>
    </w:tbl>
    <w:p w:rsidR="00BE7303" w:rsidRDefault="00BE7303">
      <w:pPr>
        <w:pStyle w:val="normal0"/>
        <w:jc w:val="both"/>
      </w:pPr>
    </w:p>
    <w:p w:rsidR="00BE7303" w:rsidRDefault="00BE7303">
      <w:pPr>
        <w:pStyle w:val="normal0"/>
        <w:spacing w:before="1"/>
        <w:jc w:val="both"/>
      </w:pPr>
    </w:p>
    <w:p w:rsidR="00BE7303" w:rsidRDefault="00E835E0">
      <w:pPr>
        <w:pStyle w:val="Heading1"/>
        <w:ind w:right="839"/>
        <w:jc w:val="center"/>
      </w:pPr>
      <w:r>
        <w:rPr>
          <w:rFonts w:ascii="Arial" w:eastAsia="Arial" w:hAnsi="Arial" w:cs="Arial"/>
          <w:sz w:val="22"/>
        </w:rPr>
        <w:t>Článok II</w:t>
      </w:r>
    </w:p>
    <w:p w:rsidR="00BE7303" w:rsidRDefault="00E835E0">
      <w:pPr>
        <w:pStyle w:val="normal0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:rsidR="00BE7303" w:rsidRDefault="00BE7303">
      <w:pPr>
        <w:pStyle w:val="normal0"/>
        <w:spacing w:before="11"/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1. Informácia, či je účtovná závierka zostavená za splnenia predpokladu, že účtovná jednotka bude </w:t>
      </w:r>
      <w:r>
        <w:rPr>
          <w:rFonts w:ascii="Arial" w:eastAsia="Arial" w:hAnsi="Arial" w:cs="Arial"/>
          <w:u w:val="single"/>
        </w:rPr>
        <w:t>nepretržite pokračovať</w:t>
      </w:r>
      <w:r>
        <w:rPr>
          <w:rFonts w:ascii="Arial" w:eastAsia="Arial" w:hAnsi="Arial" w:cs="Arial"/>
        </w:rPr>
        <w:t xml:space="preserve"> vo svojej činnosti: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bude nepretržite pokračovať vo svojej činnosti.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oceňovania</w:t>
      </w:r>
      <w:r>
        <w:rPr>
          <w:rFonts w:ascii="Arial" w:eastAsia="Arial" w:hAnsi="Arial" w:cs="Arial"/>
        </w:rPr>
        <w:t xml:space="preserve"> jednotlivých položiek majetku a záväzkov, a to:</w:t>
      </w:r>
    </w:p>
    <w:p w:rsidR="00BE7303" w:rsidRDefault="00BE7303">
      <w:pPr>
        <w:pStyle w:val="normal0"/>
        <w:tabs>
          <w:tab w:val="left" w:pos="808"/>
        </w:tabs>
        <w:jc w:val="both"/>
      </w:pPr>
    </w:p>
    <w:tbl>
      <w:tblPr>
        <w:tblStyle w:val="a1"/>
        <w:bidiVisual/>
        <w:tblW w:w="954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70"/>
        <w:gridCol w:w="4770"/>
      </w:tblGrid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nehmotný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lastRenderedPageBreak/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obstarané kúpou: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vytvorené vlastnou činnosťou: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Kúpené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Krátkodobý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Záväzky vrátane rezerv: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Pôžičky a úvery: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5F5FB1">
            <w:pPr>
              <w:pStyle w:val="normal0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Derivátové operácie:</w:t>
            </w:r>
          </w:p>
        </w:tc>
      </w:tr>
    </w:tbl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3. Spôsob zostavenia </w:t>
      </w:r>
      <w:r>
        <w:rPr>
          <w:rFonts w:ascii="Arial" w:eastAsia="Arial" w:hAnsi="Arial" w:cs="Arial"/>
          <w:u w:val="single"/>
        </w:rPr>
        <w:t>odpisového plánu</w:t>
      </w:r>
      <w:r>
        <w:rPr>
          <w:rFonts w:ascii="Arial" w:eastAsia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E7303" w:rsidRPr="006A0176" w:rsidRDefault="006A0176">
      <w:pPr>
        <w:pStyle w:val="normal0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tab/>
      </w:r>
      <w:r w:rsidRPr="006A0176">
        <w:rPr>
          <w:rFonts w:ascii="Arial" w:eastAsia="Arial" w:hAnsi="Arial" w:cs="Arial"/>
          <w:color w:val="FF0000"/>
        </w:rPr>
        <w:t>Majetok</w:t>
      </w:r>
      <w:r w:rsidRPr="006A0176">
        <w:rPr>
          <w:rFonts w:ascii="Arial" w:eastAsia="Arial" w:hAnsi="Arial" w:cs="Arial"/>
          <w:color w:val="FF0000"/>
        </w:rPr>
        <w:tab/>
      </w:r>
      <w:r>
        <w:rPr>
          <w:rFonts w:ascii="Arial" w:eastAsia="Arial" w:hAnsi="Arial" w:cs="Arial"/>
          <w:color w:val="FF0000"/>
        </w:rPr>
        <w:tab/>
      </w:r>
      <w:r>
        <w:rPr>
          <w:rFonts w:ascii="Arial" w:eastAsia="Arial" w:hAnsi="Arial" w:cs="Arial"/>
          <w:color w:val="FF0000"/>
        </w:rPr>
        <w:tab/>
        <w:t xml:space="preserve">     OC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Metoda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Doba odpisovania</w:t>
      </w:r>
    </w:p>
    <w:p w:rsidR="006A0176" w:rsidRDefault="00DA51EA">
      <w:pPr>
        <w:pStyle w:val="normal0"/>
        <w:tabs>
          <w:tab w:val="left" w:pos="808"/>
        </w:tabs>
        <w:jc w:val="both"/>
      </w:pPr>
      <w:r>
        <w:tab/>
      </w:r>
    </w:p>
    <w:p w:rsidR="00BE7303" w:rsidRDefault="00E835E0">
      <w:pPr>
        <w:pStyle w:val="normal0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="001F0360" w:rsidRPr="006A0176">
        <w:rPr>
          <w:rFonts w:ascii="Arial" w:eastAsia="Arial" w:hAnsi="Arial" w:cs="Arial"/>
          <w:color w:val="FF0000"/>
        </w:rPr>
        <w:t>Software</w:t>
      </w:r>
      <w:r>
        <w:rPr>
          <w:rFonts w:ascii="Arial" w:eastAsia="Arial" w:hAnsi="Arial" w:cs="Arial"/>
          <w:color w:val="FF0000"/>
        </w:rPr>
        <w:t>.</w:t>
      </w:r>
      <w:r w:rsidR="006A0176">
        <w:rPr>
          <w:rFonts w:ascii="Arial" w:eastAsia="Arial" w:hAnsi="Arial" w:cs="Arial"/>
          <w:color w:val="FF0000"/>
        </w:rPr>
        <w:tab/>
      </w:r>
      <w:r w:rsidR="006A0176">
        <w:rPr>
          <w:rFonts w:ascii="Arial" w:eastAsia="Arial" w:hAnsi="Arial" w:cs="Arial"/>
          <w:color w:val="FF0000"/>
        </w:rPr>
        <w:tab/>
      </w:r>
      <w:r w:rsidR="006A0176">
        <w:rPr>
          <w:rFonts w:ascii="Arial" w:eastAsia="Arial" w:hAnsi="Arial" w:cs="Arial"/>
          <w:color w:val="FF0000"/>
        </w:rPr>
        <w:tab/>
        <w:t xml:space="preserve">  8</w:t>
      </w:r>
      <w:r w:rsidR="00DA51EA">
        <w:rPr>
          <w:rFonts w:ascii="Arial" w:eastAsia="Arial" w:hAnsi="Arial" w:cs="Arial"/>
          <w:color w:val="FF0000"/>
        </w:rPr>
        <w:t> </w:t>
      </w:r>
      <w:r w:rsidR="006A0176">
        <w:rPr>
          <w:rFonts w:ascii="Arial" w:eastAsia="Arial" w:hAnsi="Arial" w:cs="Arial"/>
          <w:color w:val="FF0000"/>
        </w:rPr>
        <w:t>364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rovnomerne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4 roky</w:t>
      </w:r>
    </w:p>
    <w:p w:rsidR="006A0176" w:rsidRDefault="006A0176">
      <w:pPr>
        <w:pStyle w:val="normal0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ab/>
        <w:t>Dopravný prostriedok</w:t>
      </w:r>
      <w:r>
        <w:rPr>
          <w:rFonts w:ascii="Arial" w:eastAsia="Arial" w:hAnsi="Arial" w:cs="Arial"/>
          <w:color w:val="FF0000"/>
        </w:rPr>
        <w:tab/>
        <w:t>16</w:t>
      </w:r>
      <w:r w:rsidR="00DA51EA">
        <w:rPr>
          <w:rFonts w:ascii="Arial" w:eastAsia="Arial" w:hAnsi="Arial" w:cs="Arial"/>
          <w:color w:val="FF0000"/>
        </w:rPr>
        <w:t> </w:t>
      </w:r>
      <w:r>
        <w:rPr>
          <w:rFonts w:ascii="Arial" w:eastAsia="Arial" w:hAnsi="Arial" w:cs="Arial"/>
          <w:color w:val="FF0000"/>
        </w:rPr>
        <w:t>886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rovnomerne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4 roky</w:t>
      </w:r>
    </w:p>
    <w:p w:rsidR="006A0176" w:rsidRDefault="006A0176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  <w:color w:val="FF0000"/>
        </w:rPr>
        <w:tab/>
        <w:t>Kancelárske zariadenia</w:t>
      </w:r>
      <w:r>
        <w:rPr>
          <w:rFonts w:ascii="Arial" w:eastAsia="Arial" w:hAnsi="Arial" w:cs="Arial"/>
          <w:color w:val="FF0000"/>
        </w:rPr>
        <w:tab/>
        <w:t xml:space="preserve">  1</w:t>
      </w:r>
      <w:r w:rsidR="00DA51EA">
        <w:rPr>
          <w:rFonts w:ascii="Arial" w:eastAsia="Arial" w:hAnsi="Arial" w:cs="Arial"/>
          <w:color w:val="FF0000"/>
        </w:rPr>
        <w:t> </w:t>
      </w:r>
      <w:r>
        <w:rPr>
          <w:rFonts w:ascii="Arial" w:eastAsia="Arial" w:hAnsi="Arial" w:cs="Arial"/>
          <w:color w:val="FF0000"/>
        </w:rPr>
        <w:t>744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rovnomerne</w:t>
      </w:r>
      <w:r w:rsidR="00DA51EA">
        <w:rPr>
          <w:rFonts w:ascii="Arial" w:eastAsia="Arial" w:hAnsi="Arial" w:cs="Arial"/>
          <w:color w:val="FF0000"/>
        </w:rPr>
        <w:tab/>
      </w:r>
      <w:r w:rsidR="00DA51EA">
        <w:rPr>
          <w:rFonts w:ascii="Arial" w:eastAsia="Arial" w:hAnsi="Arial" w:cs="Arial"/>
          <w:color w:val="FF0000"/>
        </w:rPr>
        <w:tab/>
        <w:t>4 roky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Zmeny účtovných  zásad  a zmeny účtovných  metód</w:t>
      </w:r>
      <w:r>
        <w:rPr>
          <w:rFonts w:ascii="Arial" w:eastAsia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 w:rsidR="001F0360" w:rsidRPr="001F0360">
        <w:rPr>
          <w:rFonts w:ascii="Arial" w:eastAsia="Arial" w:hAnsi="Arial" w:cs="Arial"/>
          <w:color w:val="FF0000"/>
        </w:rPr>
        <w:t>Spoločnosť prešla z</w:t>
      </w:r>
      <w:r w:rsidR="001F0360">
        <w:rPr>
          <w:rFonts w:ascii="Arial" w:eastAsia="Arial" w:hAnsi="Arial" w:cs="Arial"/>
          <w:color w:val="FF0000"/>
        </w:rPr>
        <w:t xml:space="preserve"> obchodného </w:t>
      </w:r>
      <w:r w:rsidR="001F0360" w:rsidRPr="001F0360">
        <w:rPr>
          <w:rFonts w:ascii="Arial" w:eastAsia="Arial" w:hAnsi="Arial" w:cs="Arial"/>
          <w:color w:val="FF0000"/>
        </w:rPr>
        <w:t>modelu</w:t>
      </w:r>
      <w:r w:rsidR="001F0360">
        <w:rPr>
          <w:rFonts w:ascii="Arial" w:eastAsia="Arial" w:hAnsi="Arial" w:cs="Arial"/>
        </w:rPr>
        <w:t xml:space="preserve"> </w:t>
      </w:r>
      <w:r w:rsidR="001F0360">
        <w:rPr>
          <w:rFonts w:ascii="Arial" w:eastAsia="Arial" w:hAnsi="Arial" w:cs="Arial"/>
          <w:color w:val="FF0000"/>
        </w:rPr>
        <w:t>nákup / predaj na model pohľadávky / záväzky. To znamená, že obchoduje v mene a na účet inej osoby.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dotáciách</w:t>
      </w:r>
      <w:r>
        <w:rPr>
          <w:rFonts w:ascii="Arial" w:eastAsia="Arial" w:hAnsi="Arial" w:cs="Arial"/>
        </w:rPr>
        <w:t xml:space="preserve"> a ich oceňovanie v účtovníctve:</w:t>
      </w: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neprijala ani neposkytla </w:t>
      </w:r>
      <w:r w:rsidR="00A87444">
        <w:rPr>
          <w:rFonts w:ascii="Arial" w:eastAsia="Arial" w:hAnsi="Arial" w:cs="Arial"/>
          <w:color w:val="FF0000"/>
        </w:rPr>
        <w:t>v bežnom období</w:t>
      </w:r>
      <w:r>
        <w:rPr>
          <w:rFonts w:ascii="Arial" w:eastAsia="Arial" w:hAnsi="Arial" w:cs="Arial"/>
          <w:color w:val="FF0000"/>
        </w:rPr>
        <w:t xml:space="preserve"> žiadne dotácie.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6. Informácie o účtovaní </w:t>
      </w:r>
      <w:r>
        <w:rPr>
          <w:rFonts w:ascii="Arial" w:eastAsia="Arial" w:hAnsi="Arial" w:cs="Arial"/>
          <w:u w:val="single"/>
        </w:rPr>
        <w:t>významných opráv chýb</w:t>
      </w:r>
      <w:r>
        <w:rPr>
          <w:rFonts w:ascii="Arial" w:eastAsia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E7303" w:rsidRDefault="00BE7303">
      <w:pPr>
        <w:pStyle w:val="normal0"/>
        <w:tabs>
          <w:tab w:val="left" w:pos="808"/>
        </w:tabs>
        <w:jc w:val="both"/>
      </w:pPr>
    </w:p>
    <w:p w:rsidR="00BE7303" w:rsidRDefault="00E835E0">
      <w:pPr>
        <w:pStyle w:val="normal0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významných alebo nevýznamných chybách minulých období.</w:t>
      </w:r>
    </w:p>
    <w:p w:rsidR="00BE7303" w:rsidRDefault="00BE7303">
      <w:pPr>
        <w:pStyle w:val="normal0"/>
        <w:spacing w:before="1"/>
        <w:jc w:val="both"/>
      </w:pPr>
    </w:p>
    <w:p w:rsidR="00BE7303" w:rsidRDefault="00E835E0">
      <w:pPr>
        <w:pStyle w:val="Heading1"/>
        <w:ind w:right="157"/>
        <w:jc w:val="center"/>
      </w:pPr>
      <w:r>
        <w:rPr>
          <w:rFonts w:ascii="Arial" w:eastAsia="Arial" w:hAnsi="Arial" w:cs="Arial"/>
          <w:sz w:val="22"/>
        </w:rPr>
        <w:t>Článok III</w:t>
      </w:r>
    </w:p>
    <w:p w:rsidR="00BE7303" w:rsidRDefault="00E835E0">
      <w:pPr>
        <w:pStyle w:val="normal0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:rsidR="00BE7303" w:rsidRDefault="00BE7303">
      <w:pPr>
        <w:pStyle w:val="normal0"/>
        <w:spacing w:before="11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1. 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rPr>
          <w:rFonts w:ascii="Arial" w:eastAsia="Arial" w:hAnsi="Arial" w:cs="Arial"/>
        </w:rPr>
        <w:t xml:space="preserve">, ktoré majú </w:t>
      </w:r>
      <w:r>
        <w:rPr>
          <w:rFonts w:ascii="Arial" w:eastAsia="Arial" w:hAnsi="Arial" w:cs="Arial"/>
          <w:u w:val="single"/>
        </w:rPr>
        <w:t>výnimočný rozsah alebo výskyt</w:t>
      </w:r>
      <w:r>
        <w:rPr>
          <w:rFonts w:ascii="Arial" w:eastAsia="Arial" w:hAnsi="Arial" w:cs="Arial"/>
        </w:rPr>
        <w:t>, napríklad výnosy z predaja podniku alebo časti podniku, náklady z dôvodu predaja podniku alebo časti podniku, škody z dôvodu živelných pohrôm:</w:t>
      </w: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neúčtovala v bežnom období o nákladoch alebo výnosoch, ktoré by </w:t>
      </w:r>
      <w:r>
        <w:rPr>
          <w:rFonts w:ascii="Arial" w:eastAsia="Arial" w:hAnsi="Arial" w:cs="Arial"/>
          <w:color w:val="FF0000"/>
        </w:rPr>
        <w:lastRenderedPageBreak/>
        <w:t>mali výnimočný vplyv na výsledok hospodárenia.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Informácie o záväzkoch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záväzkov so zostatkovou dobou splatnosti dlhšou ako päť rokov: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zabezpečených záväzkov, opis a spôsoby zabezpečenia záväzkov: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Informácie o vlastných akciách</w:t>
      </w:r>
      <w:r>
        <w:rPr>
          <w:rFonts w:ascii="Arial" w:eastAsia="Arial" w:hAnsi="Arial" w:cs="Arial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A87444" w:rsidRPr="00A87444" w:rsidRDefault="00A87444">
      <w:pPr>
        <w:pStyle w:val="normal0"/>
        <w:tabs>
          <w:tab w:val="left" w:pos="668"/>
        </w:tabs>
        <w:ind w:left="101" w:right="116"/>
        <w:jc w:val="both"/>
        <w:rPr>
          <w:color w:val="FF0000"/>
        </w:rPr>
      </w:pPr>
      <w:r w:rsidRPr="00A87444">
        <w:rPr>
          <w:rFonts w:ascii="Arial" w:eastAsia="Arial" w:hAnsi="Arial" w:cs="Arial"/>
          <w:color w:val="FF0000"/>
        </w:rPr>
        <w:tab/>
        <w:t>Účtovná jednotka nevlastní žiadne vlastné akcie.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Informácie o orgánoch účtovnej jednotky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neposkytla v bežnom období žiadne záruky alebo zabezpečenia členom orgánov.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 xml:space="preserve">Účtovná jednotka </w:t>
      </w:r>
      <w:r w:rsidR="00A70D23">
        <w:rPr>
          <w:rFonts w:ascii="Arial" w:eastAsia="Arial" w:hAnsi="Arial" w:cs="Arial"/>
          <w:color w:val="FF0000"/>
        </w:rPr>
        <w:t>neposkytla v bežnom období žiadne pôžičky členom orgánov</w:t>
      </w:r>
      <w:r w:rsidR="00A87444">
        <w:rPr>
          <w:rFonts w:ascii="Arial" w:eastAsia="Arial" w:hAnsi="Arial" w:cs="Arial"/>
          <w:color w:val="FF0000"/>
        </w:rPr>
        <w:t>.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c) hlavných podmienkach, na základe ktorých im boli záruky alebo iné zabezpečenie a pôžičky poskytnuté; pri pôžičkách sa uvádzajú úrokové sadzby:</w:t>
      </w: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</w:r>
      <w:r w:rsidR="00A70D23">
        <w:rPr>
          <w:rFonts w:ascii="Arial" w:eastAsia="Arial" w:hAnsi="Arial" w:cs="Arial"/>
          <w:color w:val="FF0000"/>
        </w:rPr>
        <w:t>-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povinnostiach</w:t>
      </w:r>
      <w:r>
        <w:rPr>
          <w:rFonts w:ascii="Arial" w:eastAsia="Arial" w:hAnsi="Arial" w:cs="Arial"/>
        </w:rPr>
        <w:t xml:space="preserve"> účtovnej jednotky, a to: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a) celkovej sume </w:t>
      </w:r>
      <w:r>
        <w:rPr>
          <w:rFonts w:ascii="Arial" w:eastAsia="Arial" w:hAnsi="Arial" w:cs="Arial"/>
          <w:u w:val="single"/>
        </w:rPr>
        <w:t>finančných povinností</w:t>
      </w:r>
      <w:r>
        <w:rPr>
          <w:rFonts w:ascii="Arial" w:eastAsia="Arial" w:hAnsi="Arial" w:cs="Arial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</w:t>
      </w:r>
      <w:r>
        <w:rPr>
          <w:rFonts w:ascii="Arial" w:eastAsia="Arial" w:hAnsi="Arial" w:cs="Arial"/>
        </w:rPr>
        <w:lastRenderedPageBreak/>
        <w:t>neboli poskytnuté, finančné povinnosti vyplývajúce z licenčných a koncesionárskych zmlúv s uvedením sumy poplatku za celé zostávajúce obdobie platnosti zmluvy: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bookmarkStart w:id="0" w:name="h.gjdgxs" w:colFirst="0" w:colLast="0"/>
      <w:bookmarkEnd w:id="0"/>
      <w:r>
        <w:rPr>
          <w:rFonts w:ascii="Arial" w:eastAsia="Arial" w:hAnsi="Arial" w:cs="Arial"/>
        </w:rPr>
        <w:t xml:space="preserve">b) celkovej sume významných </w:t>
      </w:r>
      <w:r>
        <w:rPr>
          <w:rFonts w:ascii="Arial" w:eastAsia="Arial" w:hAnsi="Arial" w:cs="Arial"/>
          <w:u w:val="single"/>
        </w:rPr>
        <w:t>podmienených záväzkov</w:t>
      </w:r>
      <w:r>
        <w:rPr>
          <w:rFonts w:ascii="Arial" w:eastAsia="Arial" w:hAnsi="Arial" w:cs="Arial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 významných finančných povinností</w:t>
      </w:r>
      <w:r>
        <w:rPr>
          <w:rFonts w:ascii="Arial" w:eastAsia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  <w:r>
        <w:rPr>
          <w:rFonts w:ascii="Arial" w:eastAsia="Arial" w:hAnsi="Arial" w:cs="Arial"/>
        </w:rPr>
        <w:tab/>
      </w:r>
    </w:p>
    <w:p w:rsidR="001F0360" w:rsidRDefault="001F0360">
      <w:pPr>
        <w:pStyle w:val="normal0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</w:p>
    <w:p w:rsidR="001F0360" w:rsidRPr="006A0176" w:rsidRDefault="001F0360">
      <w:pPr>
        <w:pStyle w:val="normal0"/>
        <w:tabs>
          <w:tab w:val="left" w:pos="668"/>
        </w:tabs>
        <w:ind w:left="101" w:right="116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Pr="006A0176">
        <w:rPr>
          <w:rFonts w:ascii="Arial" w:eastAsia="Arial" w:hAnsi="Arial" w:cs="Arial"/>
          <w:color w:val="FF0000"/>
        </w:rPr>
        <w:t xml:space="preserve">Účtovná jednotka má k 31.12.2014 záväzok voči materskej spoločnosti vo výške </w:t>
      </w:r>
      <w:r w:rsidR="006A0176" w:rsidRPr="006A0176">
        <w:rPr>
          <w:rFonts w:ascii="Arial" w:eastAsia="Arial" w:hAnsi="Arial" w:cs="Arial"/>
          <w:color w:val="FF0000"/>
        </w:rPr>
        <w:t>982 085 EUR</w:t>
      </w:r>
      <w:r w:rsidR="006A0176">
        <w:rPr>
          <w:rFonts w:ascii="Arial" w:eastAsia="Arial" w:hAnsi="Arial" w:cs="Arial"/>
          <w:color w:val="FF0000"/>
        </w:rPr>
        <w:t>.</w:t>
      </w:r>
    </w:p>
    <w:p w:rsidR="006A0176" w:rsidRDefault="006A0176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u w:val="single"/>
        </w:rPr>
        <w:t>opise významných povinností</w:t>
      </w:r>
      <w:r>
        <w:rPr>
          <w:rFonts w:ascii="Arial" w:eastAsia="Arial" w:hAnsi="Arial" w:cs="Arial"/>
        </w:rPr>
        <w:t xml:space="preserve"> účtovnej jednotky vyplývajúcich </w:t>
      </w:r>
      <w:r>
        <w:rPr>
          <w:rFonts w:ascii="Arial" w:eastAsia="Arial" w:hAnsi="Arial" w:cs="Arial"/>
          <w:u w:val="single"/>
        </w:rPr>
        <w:t>z dôchodkových programov</w:t>
      </w:r>
      <w:r>
        <w:rPr>
          <w:rFonts w:ascii="Arial" w:eastAsia="Arial" w:hAnsi="Arial" w:cs="Arial"/>
        </w:rPr>
        <w:t xml:space="preserve"> pre zamestnancov: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0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0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sectPr w:rsidR="00BE7303" w:rsidSect="00BE7303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FB1" w:rsidRDefault="005F5FB1" w:rsidP="00BE7303">
      <w:r>
        <w:separator/>
      </w:r>
    </w:p>
  </w:endnote>
  <w:endnote w:type="continuationSeparator" w:id="0">
    <w:p w:rsidR="005F5FB1" w:rsidRDefault="005F5FB1" w:rsidP="00BE7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B1" w:rsidRDefault="005F5FB1">
    <w:pPr>
      <w:pStyle w:val="normal0"/>
      <w:spacing w:after="6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FB1" w:rsidRDefault="005F5FB1" w:rsidP="00BE7303">
      <w:r>
        <w:separator/>
      </w:r>
    </w:p>
  </w:footnote>
  <w:footnote w:type="continuationSeparator" w:id="0">
    <w:p w:rsidR="005F5FB1" w:rsidRDefault="005F5FB1" w:rsidP="00BE7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B1" w:rsidRDefault="005F5FB1">
    <w:pPr>
      <w:pStyle w:val="normal0"/>
      <w:tabs>
        <w:tab w:val="center" w:pos="4536"/>
        <w:tab w:val="right" w:pos="9072"/>
      </w:tabs>
    </w:pPr>
  </w:p>
  <w:p w:rsidR="005F5FB1" w:rsidRDefault="005F5FB1">
    <w:pPr>
      <w:pStyle w:val="normal0"/>
      <w:tabs>
        <w:tab w:val="center" w:pos="4536"/>
        <w:tab w:val="right" w:pos="9072"/>
      </w:tabs>
    </w:pPr>
  </w:p>
  <w:p w:rsidR="005F5FB1" w:rsidRDefault="005F5FB1">
    <w:pPr>
      <w:pStyle w:val="normal0"/>
      <w:tabs>
        <w:tab w:val="center" w:pos="4536"/>
        <w:tab w:val="right" w:pos="9072"/>
      </w:tabs>
    </w:pPr>
  </w:p>
  <w:p w:rsidR="005F5FB1" w:rsidRDefault="005F5FB1">
    <w:pPr>
      <w:pStyle w:val="normal0"/>
      <w:tabs>
        <w:tab w:val="left" w:pos="2990"/>
        <w:tab w:val="left" w:pos="6348"/>
      </w:tabs>
      <w:ind w:left="-396"/>
      <w:jc w:val="center"/>
    </w:pPr>
    <w:r>
      <w:rPr>
        <w:rFonts w:ascii="Arial" w:eastAsia="Arial" w:hAnsi="Arial" w:cs="Arial"/>
      </w:rPr>
      <w:t>Poznámky Úč MÚJ 3 – 01                           IČO: 35 867 922       DIČ: 202 175 7232</w:t>
    </w:r>
  </w:p>
  <w:p w:rsidR="005F5FB1" w:rsidRDefault="005F5FB1">
    <w:pPr>
      <w:pStyle w:val="normal0"/>
      <w:tabs>
        <w:tab w:val="center" w:pos="4536"/>
        <w:tab w:val="right" w:pos="9072"/>
      </w:tabs>
    </w:pPr>
  </w:p>
  <w:p w:rsidR="005F5FB1" w:rsidRDefault="005F5FB1">
    <w:pPr>
      <w:pStyle w:val="normal0"/>
      <w:tabs>
        <w:tab w:val="center" w:pos="4536"/>
        <w:tab w:val="right" w:pos="90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303"/>
    <w:rsid w:val="001F0360"/>
    <w:rsid w:val="003E6A82"/>
    <w:rsid w:val="004730E7"/>
    <w:rsid w:val="004C1012"/>
    <w:rsid w:val="005F5FB1"/>
    <w:rsid w:val="006A0176"/>
    <w:rsid w:val="007708D2"/>
    <w:rsid w:val="00857F20"/>
    <w:rsid w:val="0097643A"/>
    <w:rsid w:val="00994C58"/>
    <w:rsid w:val="00A51121"/>
    <w:rsid w:val="00A70D23"/>
    <w:rsid w:val="00A87444"/>
    <w:rsid w:val="00BE7303"/>
    <w:rsid w:val="00C51562"/>
    <w:rsid w:val="00D81D51"/>
    <w:rsid w:val="00DA51EA"/>
    <w:rsid w:val="00E601E5"/>
    <w:rsid w:val="00E835E0"/>
    <w:rsid w:val="00F25FA9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FA9"/>
  </w:style>
  <w:style w:type="paragraph" w:styleId="Heading1">
    <w:name w:val="heading 1"/>
    <w:basedOn w:val="normal0"/>
    <w:next w:val="normal0"/>
    <w:rsid w:val="00BE7303"/>
    <w:pPr>
      <w:keepNext/>
      <w:keepLines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Heading2">
    <w:name w:val="heading 2"/>
    <w:basedOn w:val="normal0"/>
    <w:next w:val="normal0"/>
    <w:rsid w:val="00BE7303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rsid w:val="00BE7303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rsid w:val="00BE730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0"/>
    <w:next w:val="normal0"/>
    <w:rsid w:val="00BE7303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rsid w:val="00BE7303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E7303"/>
  </w:style>
  <w:style w:type="table" w:customStyle="1" w:styleId="TableNormal1">
    <w:name w:val="Table Normal1"/>
    <w:rsid w:val="00BE7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BE7303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rsid w:val="00BE73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1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7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F20"/>
  </w:style>
  <w:style w:type="paragraph" w:styleId="Footer">
    <w:name w:val="footer"/>
    <w:basedOn w:val="Normal"/>
    <w:link w:val="Footer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F20"/>
  </w:style>
  <w:style w:type="character" w:customStyle="1" w:styleId="ra">
    <w:name w:val="ra"/>
    <w:basedOn w:val="DefaultParagraphFont"/>
    <w:rsid w:val="005F5FB1"/>
  </w:style>
  <w:style w:type="character" w:customStyle="1" w:styleId="apple-converted-space">
    <w:name w:val="apple-converted-space"/>
    <w:basedOn w:val="DefaultParagraphFont"/>
    <w:rsid w:val="005F5F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Monika</cp:lastModifiedBy>
  <cp:revision>4</cp:revision>
  <dcterms:created xsi:type="dcterms:W3CDTF">2015-03-30T15:49:00Z</dcterms:created>
  <dcterms:modified xsi:type="dcterms:W3CDTF">2015-03-30T15:53:00Z</dcterms:modified>
</cp:coreProperties>
</file>