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bookmarkEnd w:id="0"/>
      <w:r w:rsidRPr="00BF2623">
        <w:t>VŠEOBECNÉ ÚDAJE</w:t>
      </w:r>
    </w:p>
    <w:p w:rsidR="005B54F0" w:rsidRDefault="005B54F0" w:rsidP="0044382A">
      <w:pPr>
        <w:pStyle w:val="Zkladntext"/>
        <w:ind w:left="0"/>
        <w:rPr>
          <w:b/>
          <w:i/>
          <w:color w:val="C00000"/>
          <w:szCs w:val="18"/>
          <w:highlight w:val="yellow"/>
          <w:u w:val="single"/>
        </w:rPr>
      </w:pPr>
    </w:p>
    <w:p w:rsidR="0044382A" w:rsidRPr="00BF2623" w:rsidRDefault="0044382A" w:rsidP="00197CB4">
      <w:pPr>
        <w:pStyle w:val="Zkladntext"/>
        <w:ind w:left="0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="001D242E">
        <w:rPr>
          <w:rStyle w:val="ra"/>
        </w:rPr>
        <w:t>ARCHELON, s.r.o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</w:t>
      </w:r>
      <w:r w:rsidR="008E0608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 xml:space="preserve">:  </w:t>
      </w:r>
      <w:bookmarkStart w:id="1" w:name="_GoBack"/>
      <w:bookmarkEnd w:id="1"/>
      <w:r w:rsidR="001D242E" w:rsidRPr="001D242E">
        <w:rPr>
          <w:rStyle w:val="ra"/>
          <w:rFonts w:ascii="Times New Roman" w:hAnsi="Times New Roman" w:cs="Times New Roman"/>
          <w:sz w:val="18"/>
          <w:szCs w:val="18"/>
        </w:rPr>
        <w:t>Pribinova 30</w:t>
      </w:r>
      <w:r w:rsidR="001D242E">
        <w:rPr>
          <w:rFonts w:ascii="Times New Roman" w:hAnsi="Times New Roman" w:cs="Times New Roman"/>
          <w:b/>
          <w:sz w:val="18"/>
          <w:szCs w:val="18"/>
          <w:lang w:eastAsia="en-US"/>
        </w:rPr>
        <w:t>, 811 09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:rsidR="008F2687" w:rsidRPr="00BF2623" w:rsidRDefault="001D242E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>
        <w:rPr>
          <w:b w:val="0"/>
        </w:rPr>
        <w:t>Spoločnosť nie je súčasťou konsolidovaného celku.</w:t>
      </w:r>
    </w:p>
    <w:p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1D242E">
        <w:rPr>
          <w:b w:val="0"/>
        </w:rPr>
        <w:t>2014  je 1 zamestnanec</w:t>
      </w:r>
      <w:r>
        <w:rPr>
          <w:b w:val="0"/>
        </w:rPr>
        <w:t>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2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bookmarkEnd w:id="2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(goingconcern).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C04058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D242E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197CB4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197CB4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197CB4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obstaraním(VON).</w:t>
            </w:r>
          </w:p>
        </w:tc>
        <w:tc>
          <w:tcPr>
            <w:tcW w:w="523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Pri vyskladnení sa VON rozpúšťajú nasledovne:VON/(PS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lastRenderedPageBreak/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3" w:name="_MON_1481437658"/>
    <w:bookmarkEnd w:id="3"/>
    <w:p w:rsidR="001D54E8" w:rsidRPr="00BF2623" w:rsidRDefault="001D242E" w:rsidP="001D54E8">
      <w:pPr>
        <w:pStyle w:val="Zkladntext"/>
        <w:ind w:left="284"/>
      </w:pPr>
      <w:r w:rsidRPr="00BF2623">
        <w:object w:dxaOrig="8871" w:dyaOrig="147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4pt;height:74.4pt" o:ole="">
            <v:imagedata r:id="rId7" o:title=""/>
          </v:shape>
          <o:OLEObject Type="Embed" ProgID="Excel.Sheet.12" ShapeID="_x0000_i1025" DrawAspect="Content" ObjectID="_1489337581" r:id="rId8"/>
        </w:object>
      </w: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4" w:name="_MON_1481437678"/>
    <w:bookmarkEnd w:id="4"/>
    <w:p w:rsidR="001D54E8" w:rsidRPr="00BF2623" w:rsidRDefault="001D242E" w:rsidP="001D54E8">
      <w:pPr>
        <w:pStyle w:val="Zkladntext"/>
        <w:ind w:left="284"/>
      </w:pPr>
      <w:r w:rsidRPr="00BF2623">
        <w:object w:dxaOrig="8871" w:dyaOrig="1477">
          <v:shape id="_x0000_i1026" type="#_x0000_t75" style="width:443.4pt;height:74.4pt" o:ole="">
            <v:imagedata r:id="rId9" o:title=""/>
          </v:shape>
          <o:OLEObject Type="Embed" ProgID="Excel.Sheet.12" ShapeID="_x0000_i1026" DrawAspect="Content" ObjectID="_1489337582" r:id="rId10"/>
        </w:object>
      </w:r>
    </w:p>
    <w:p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 s</w:t>
      </w:r>
      <w:r w:rsidR="00280D80">
        <w:t> osobitosťami:</w:t>
      </w:r>
    </w:p>
    <w:p w:rsidR="00280D80" w:rsidRDefault="00280D80" w:rsidP="006042CB">
      <w:pPr>
        <w:pStyle w:val="Zkladntext"/>
        <w:numPr>
          <w:ilvl w:val="0"/>
          <w:numId w:val="24"/>
        </w:numPr>
        <w:spacing w:before="120" w:after="120"/>
        <w:ind w:left="851" w:hanging="284"/>
      </w:pPr>
      <w:r>
        <w:t>z titulu prechodu na mikro účtovnú jednotku sa zmenila štruktúra účtovnej závierky, pričom ide o legislatívnu zmenu bez vplyvu na sumy vykázané v účtovnej závierke,</w:t>
      </w:r>
    </w:p>
    <w:p w:rsidR="0052000C" w:rsidRDefault="006042CB" w:rsidP="0052000C">
      <w:pPr>
        <w:pStyle w:val="Zkladntext"/>
        <w:numPr>
          <w:ilvl w:val="0"/>
          <w:numId w:val="24"/>
        </w:numPr>
        <w:ind w:left="284" w:hanging="284"/>
      </w:pPr>
      <w:r>
        <w:t>z dôvodu zmeny legislatívy sa spoločnosť rozhodla</w:t>
      </w:r>
      <w:r w:rsidR="00280D80">
        <w:t xml:space="preserve"> v účtovaní časového rozlíšenia v</w:t>
      </w:r>
      <w:r w:rsidR="001D242E">
        <w:t>ne</w:t>
      </w:r>
      <w:r>
        <w:t>postupovať</w:t>
      </w:r>
      <w:r w:rsidR="00280D80">
        <w:t xml:space="preserve"> zmysle </w:t>
      </w:r>
      <w:r>
        <w:t xml:space="preserve">§ 56 ods. 14 postupov účtovania, na základe ktorého nie je </w:t>
      </w:r>
      <w:r w:rsidR="00280D80">
        <w:t>v mikro</w:t>
      </w:r>
      <w:r>
        <w:t xml:space="preserve">účtovných jednotkách </w:t>
      </w:r>
      <w:r w:rsidR="00280D80">
        <w:t xml:space="preserve">potrebné účtovať na účtoch časového rozlíšenia, ak ide o nevýznamné sumy a účtovné prípady, ktoré sa pravidelne ročne </w:t>
      </w:r>
      <w:r>
        <w:t xml:space="preserve">opakujú. </w:t>
      </w:r>
    </w:p>
    <w:p w:rsidR="001D242E" w:rsidRPr="00BF2623" w:rsidRDefault="001D242E" w:rsidP="001D242E">
      <w:pPr>
        <w:pStyle w:val="Zkladntext"/>
        <w:ind w:left="284"/>
      </w:pPr>
    </w:p>
    <w:p w:rsidR="006E55B3" w:rsidRDefault="006E55B3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835297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835297" w:rsidRPr="00BF2623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:rsidR="00926EC3" w:rsidRDefault="006E55B3" w:rsidP="006E55B3">
      <w:pPr>
        <w:pStyle w:val="Zkladntext"/>
        <w:ind w:left="284"/>
      </w:pPr>
      <w:r w:rsidRPr="00BF2623">
        <w:t xml:space="preserve">V účtovnom období 2014 spoločnosť </w:t>
      </w:r>
      <w:r w:rsidR="001D242E">
        <w:t>ne</w:t>
      </w:r>
      <w:r w:rsidRPr="00BF2623">
        <w:t xml:space="preserve">vykonala </w:t>
      </w:r>
      <w:r w:rsidR="001D242E">
        <w:t xml:space="preserve"> významné opravy chýb minulých období. Vykonala nevýznamnú opravu nákladov budúcich období vo výške 1138 eur. </w:t>
      </w:r>
    </w:p>
    <w:p w:rsidR="001D242E" w:rsidRPr="00BF2623" w:rsidRDefault="001D242E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902975" w:rsidRDefault="00902975" w:rsidP="005E5B2F">
      <w:pPr>
        <w:spacing w:after="0" w:line="240" w:lineRule="auto"/>
        <w:ind w:left="284"/>
        <w:jc w:val="center"/>
      </w:pP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5" w:name="_MON_1452667970"/>
    <w:bookmarkStart w:id="6" w:name="_MON_1447832563"/>
    <w:bookmarkStart w:id="7" w:name="_MON_1452663849"/>
    <w:bookmarkEnd w:id="5"/>
    <w:bookmarkEnd w:id="6"/>
    <w:bookmarkEnd w:id="7"/>
    <w:p w:rsidR="00A5305A" w:rsidRDefault="001D242E" w:rsidP="005E5B2F">
      <w:pPr>
        <w:spacing w:after="0" w:line="240" w:lineRule="auto"/>
        <w:ind w:left="284"/>
        <w:jc w:val="center"/>
      </w:pPr>
      <w:r>
        <w:object w:dxaOrig="6402" w:dyaOrig="2768">
          <v:shape id="_x0000_i1027" type="#_x0000_t75" style="width:319.2pt;height:138.6pt" o:ole="">
            <v:imagedata r:id="rId11" o:title=""/>
          </v:shape>
          <o:OLEObject Type="Embed" ProgID="Excel.Sheet.12" ShapeID="_x0000_i1027" DrawAspect="Content" ObjectID="_1489337583" r:id="rId12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1D54E8" w:rsidRDefault="00902975" w:rsidP="00902975">
      <w:pPr>
        <w:pStyle w:val="Zkladntext"/>
        <w:ind w:left="284"/>
      </w:pPr>
      <w:r w:rsidRPr="00BF2623">
        <w:t xml:space="preserve">Záväzky </w:t>
      </w:r>
      <w:r w:rsidR="001D242E">
        <w:t xml:space="preserve">nie </w:t>
      </w:r>
      <w:r w:rsidRPr="00BF2623">
        <w:t>sú kryté záložným právom</w:t>
      </w:r>
      <w:r w:rsidR="001D242E">
        <w:t xml:space="preserve">. Najvýznamnejšie dlhodobé záväzky vo výške 102 744 eur sú vykázané voči jedinému spoločníkovi. </w:t>
      </w:r>
    </w:p>
    <w:p w:rsidR="001D242E" w:rsidRPr="00BF2623" w:rsidRDefault="001D242E" w:rsidP="00902975">
      <w:pPr>
        <w:pStyle w:val="Zkladntext"/>
        <w:ind w:left="284"/>
      </w:pPr>
    </w:p>
    <w:p w:rsidR="001A3657" w:rsidRPr="00BF2623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bookmarkStart w:id="8" w:name="_MON_1391234801"/>
    <w:bookmarkStart w:id="9" w:name="_MON_1392627576"/>
    <w:bookmarkEnd w:id="8"/>
    <w:bookmarkEnd w:id="9"/>
    <w:p w:rsidR="001D54E8" w:rsidRPr="00BF2623" w:rsidRDefault="001D242E" w:rsidP="001A3657">
      <w:pPr>
        <w:pStyle w:val="Zkladntext"/>
        <w:spacing w:line="360" w:lineRule="auto"/>
        <w:ind w:left="284"/>
      </w:pPr>
      <w:r w:rsidRPr="00BF2623">
        <w:object w:dxaOrig="9083" w:dyaOrig="3715">
          <v:shape id="_x0000_i1028" type="#_x0000_t75" style="width:438.6pt;height:201pt" o:ole="">
            <v:imagedata r:id="rId13" o:title=""/>
          </v:shape>
          <o:OLEObject Type="Embed" ProgID="Excel.Sheet.12" ShapeID="_x0000_i1028" DrawAspect="Content" ObjectID="_1489337584" r:id="rId14"/>
        </w:object>
      </w:r>
    </w:p>
    <w:p w:rsidR="001D242E" w:rsidRPr="00BF2623" w:rsidRDefault="001D242E" w:rsidP="001D242E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Orgánom spoločnosti neboli poskytnuté žiadne záruky ani pôžičky.</w:t>
      </w:r>
    </w:p>
    <w:p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B10223" w:rsidRPr="00BF26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  <w:r w:rsidR="001D242E">
        <w:rPr>
          <w:b/>
          <w:szCs w:val="18"/>
        </w:rPr>
        <w:t xml:space="preserve"> (žiadne)</w:t>
      </w:r>
    </w:p>
    <w:p w:rsidR="00CB2F4E" w:rsidRPr="00BF2623" w:rsidRDefault="00CB2F4E" w:rsidP="00CB2F4E">
      <w:pPr>
        <w:pStyle w:val="Zkladntext"/>
        <w:ind w:left="709"/>
        <w:rPr>
          <w:szCs w:val="18"/>
        </w:rPr>
      </w:pPr>
    </w:p>
    <w:p w:rsidR="00CB2F4E" w:rsidRPr="00BF2623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</w:p>
    <w:p w:rsidR="00CB2F4E" w:rsidRPr="00BF2623" w:rsidRDefault="00CB2F4E" w:rsidP="00661F45">
      <w:pPr>
        <w:pStyle w:val="Zkladntext"/>
        <w:ind w:left="567"/>
        <w:rPr>
          <w:szCs w:val="18"/>
        </w:rPr>
      </w:pPr>
    </w:p>
    <w:p w:rsidR="00CB2F4E" w:rsidRPr="00BF2623" w:rsidRDefault="00CB2F4E" w:rsidP="00CB2F4E">
      <w:pPr>
        <w:pStyle w:val="Zkladntext"/>
        <w:ind w:left="0"/>
        <w:rPr>
          <w:szCs w:val="18"/>
        </w:rPr>
      </w:pPr>
    </w:p>
    <w:p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CB2F4E" w:rsidRPr="00BF2623" w:rsidRDefault="00CB2F4E" w:rsidP="00CB2F4E">
      <w:pPr>
        <w:pStyle w:val="Zkladntext"/>
        <w:ind w:left="567"/>
        <w:rPr>
          <w:szCs w:val="18"/>
        </w:rPr>
      </w:pPr>
    </w:p>
    <w:sectPr w:rsidR="00CB2F4E" w:rsidRPr="00BF2623" w:rsidSect="00414D7C">
      <w:headerReference w:type="default" r:id="rId15"/>
      <w:headerReference w:type="first" r:id="rId16"/>
      <w:footerReference w:type="first" r:id="rId17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481E" w:rsidRDefault="0052481E" w:rsidP="00084EA7">
      <w:pPr>
        <w:spacing w:after="0" w:line="240" w:lineRule="auto"/>
      </w:pPr>
      <w:r>
        <w:separator/>
      </w:r>
    </w:p>
  </w:endnote>
  <w:endnote w:type="continuationSeparator" w:id="1">
    <w:p w:rsidR="0052481E" w:rsidRDefault="0052481E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3452" w:rsidRDefault="0052481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33452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481E" w:rsidRDefault="0052481E" w:rsidP="00084EA7">
      <w:pPr>
        <w:spacing w:after="0" w:line="240" w:lineRule="auto"/>
      </w:pPr>
      <w:r>
        <w:separator/>
      </w:r>
    </w:p>
  </w:footnote>
  <w:footnote w:type="continuationSeparator" w:id="1">
    <w:p w:rsidR="0052481E" w:rsidRDefault="0052481E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:rsidTr="00E02E80">
      <w:trPr>
        <w:trHeight w:val="299"/>
      </w:trPr>
      <w:tc>
        <w:tcPr>
          <w:tcW w:w="2033" w:type="dxa"/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0AE" w:rsidRPr="00E95128" w:rsidRDefault="0052481E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146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360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:rsidTr="005E5851">
      <w:trPr>
        <w:trHeight w:val="299"/>
      </w:trPr>
      <w:tc>
        <w:tcPr>
          <w:tcW w:w="2045" w:type="dxa"/>
          <w:vAlign w:val="center"/>
        </w:tcPr>
        <w:p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50" w:type="dxa"/>
          <w:tcBorders>
            <w:top w:val="nil"/>
            <w:bottom w:val="nil"/>
          </w:tcBorders>
          <w:vAlign w:val="center"/>
        </w:tcPr>
        <w:p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360" w:type="dxa"/>
          <w:vAlign w:val="center"/>
        </w:tcPr>
        <w:p w:rsidR="0019010F" w:rsidRDefault="001D242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6" w:type="dxa"/>
          <w:vAlign w:val="center"/>
        </w:tcPr>
        <w:p w:rsidR="0019010F" w:rsidRDefault="001D242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:rsidR="0019010F" w:rsidRDefault="001D242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6" w:type="dxa"/>
          <w:vAlign w:val="center"/>
        </w:tcPr>
        <w:p w:rsidR="0019010F" w:rsidRDefault="001D242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6" w:type="dxa"/>
          <w:vAlign w:val="center"/>
        </w:tcPr>
        <w:p w:rsidR="0019010F" w:rsidRDefault="001D242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:rsidR="0019010F" w:rsidRDefault="001D242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5" w:type="dxa"/>
          <w:vAlign w:val="center"/>
        </w:tcPr>
        <w:p w:rsidR="0019010F" w:rsidRDefault="001D242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5" w:type="dxa"/>
          <w:vAlign w:val="center"/>
        </w:tcPr>
        <w:p w:rsidR="0019010F" w:rsidRDefault="001D242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946" w:type="dxa"/>
          <w:tcBorders>
            <w:top w:val="nil"/>
            <w:bottom w:val="nil"/>
          </w:tcBorders>
          <w:vAlign w:val="center"/>
        </w:tcPr>
        <w:p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5" w:type="dxa"/>
          <w:vAlign w:val="center"/>
        </w:tcPr>
        <w:p w:rsidR="0019010F" w:rsidRDefault="001D242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1D242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:rsidR="0019010F" w:rsidRDefault="001D242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1D242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5" w:type="dxa"/>
          <w:vAlign w:val="center"/>
        </w:tcPr>
        <w:p w:rsidR="0019010F" w:rsidRDefault="001D242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1D242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5" w:type="dxa"/>
          <w:vAlign w:val="center"/>
        </w:tcPr>
        <w:p w:rsidR="0019010F" w:rsidRDefault="001D242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1D242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:rsidR="0019010F" w:rsidRDefault="001D242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5E585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</w:tr>
  </w:tbl>
  <w:p w:rsidR="00433452" w:rsidRPr="00E95128" w:rsidRDefault="0052481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084EA7"/>
    <w:rsid w:val="00084EA7"/>
    <w:rsid w:val="000B09A0"/>
    <w:rsid w:val="000F697D"/>
    <w:rsid w:val="0016107E"/>
    <w:rsid w:val="0019010F"/>
    <w:rsid w:val="00197CB4"/>
    <w:rsid w:val="001A3657"/>
    <w:rsid w:val="001D086C"/>
    <w:rsid w:val="001D242E"/>
    <w:rsid w:val="001D54E8"/>
    <w:rsid w:val="0022262B"/>
    <w:rsid w:val="00280D80"/>
    <w:rsid w:val="002B5A28"/>
    <w:rsid w:val="002C7D17"/>
    <w:rsid w:val="002D35F1"/>
    <w:rsid w:val="002E24E5"/>
    <w:rsid w:val="002E39FA"/>
    <w:rsid w:val="003426DD"/>
    <w:rsid w:val="0038719D"/>
    <w:rsid w:val="003A259E"/>
    <w:rsid w:val="003B48C0"/>
    <w:rsid w:val="003F6DC4"/>
    <w:rsid w:val="00414D7C"/>
    <w:rsid w:val="004310A7"/>
    <w:rsid w:val="0044382A"/>
    <w:rsid w:val="0052000C"/>
    <w:rsid w:val="0052481E"/>
    <w:rsid w:val="005431E8"/>
    <w:rsid w:val="00566F00"/>
    <w:rsid w:val="005B54F0"/>
    <w:rsid w:val="005E5851"/>
    <w:rsid w:val="005E5B2F"/>
    <w:rsid w:val="005E69C7"/>
    <w:rsid w:val="006042CB"/>
    <w:rsid w:val="0062299D"/>
    <w:rsid w:val="006602CD"/>
    <w:rsid w:val="00661F45"/>
    <w:rsid w:val="00665F5A"/>
    <w:rsid w:val="00684CD1"/>
    <w:rsid w:val="006E03EC"/>
    <w:rsid w:val="006E55B3"/>
    <w:rsid w:val="00710B22"/>
    <w:rsid w:val="007200C5"/>
    <w:rsid w:val="00825747"/>
    <w:rsid w:val="00835297"/>
    <w:rsid w:val="0086115B"/>
    <w:rsid w:val="00886260"/>
    <w:rsid w:val="008E0608"/>
    <w:rsid w:val="008F2687"/>
    <w:rsid w:val="00902975"/>
    <w:rsid w:val="00926EC3"/>
    <w:rsid w:val="009A647F"/>
    <w:rsid w:val="009D032E"/>
    <w:rsid w:val="009F2C5C"/>
    <w:rsid w:val="00A5305A"/>
    <w:rsid w:val="00A63005"/>
    <w:rsid w:val="00AD49C0"/>
    <w:rsid w:val="00B034B1"/>
    <w:rsid w:val="00B10223"/>
    <w:rsid w:val="00B36EFB"/>
    <w:rsid w:val="00BF2623"/>
    <w:rsid w:val="00C62794"/>
    <w:rsid w:val="00CA7936"/>
    <w:rsid w:val="00CB2F4E"/>
    <w:rsid w:val="00CE10F4"/>
    <w:rsid w:val="00D02308"/>
    <w:rsid w:val="00D10577"/>
    <w:rsid w:val="00DA3E01"/>
    <w:rsid w:val="00DB4427"/>
    <w:rsid w:val="00EF09AD"/>
    <w:rsid w:val="00FA66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00C5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E58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E5851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E585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E58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E5851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E585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image" Target="media/image4.emf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package" Target="embeddings/Pracovn__h_rok_programu_Microsoft_Office_Excel2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Pracovn__h_rok_programu_Microsoft_Office_Excel4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895</Words>
  <Characters>5104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8</vt:i4>
      </vt:variant>
    </vt:vector>
  </HeadingPairs>
  <TitlesOfParts>
    <vt:vector size="9" baseType="lpstr">
      <vt:lpstr/>
      <vt:lpstr>I.    VŠEOBECNÉ ÚDAJE</vt:lpstr>
      <vt:lpstr>    Názov právnickej osoby:  ARCHELON, s.r.o  (ďalej len „spoločnosť“)</vt:lpstr>
      <vt:lpstr>    Údaje o konsolidovanom celku</vt:lpstr>
      <vt:lpstr>    Spoločnosť nie je súčasťou konsolidovaného celku.</vt:lpstr>
      <vt:lpstr>    Počet zamestnancov</vt:lpstr>
      <vt:lpstr>    Priemerný prepočítaný počet zamestnancov k 31.12.2014  je 1 zamestnanec.</vt:lpstr>
      <vt:lpstr>II.   Informácie o PRIJATÝCH POSTUPOCH  </vt:lpstr>
      <vt:lpstr>III.   Informácie, KTORÉ VYSVETĽUJÚ a DOPĹŇAJÚ SÚVAHU a VÝKAZ ZISKOV a STrÁT</vt:lpstr>
    </vt:vector>
  </TitlesOfParts>
  <Company>Hewlett-Packard Company</Company>
  <LinksUpToDate>false</LinksUpToDate>
  <CharactersWithSpaces>5988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Atelier</cp:lastModifiedBy>
  <cp:revision>2</cp:revision>
  <cp:lastPrinted>2015-03-22T09:32:00Z</cp:lastPrinted>
  <dcterms:created xsi:type="dcterms:W3CDTF">2015-03-31T18:07:00Z</dcterms:created>
  <dcterms:modified xsi:type="dcterms:W3CDTF">2015-03-31T18:07:00Z</dcterms:modified>
</cp:coreProperties>
</file>