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10"/>
        <w:gridCol w:w="340"/>
        <w:gridCol w:w="340"/>
        <w:gridCol w:w="340"/>
        <w:gridCol w:w="340"/>
      </w:tblGrid>
      <w:tr w:rsidR="00903AD1" w:rsidRPr="00903AD1" w:rsidTr="00903AD1">
        <w:tc>
          <w:tcPr>
            <w:tcW w:w="30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Poznámky (</w:t>
            </w: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Úč</w:t>
            </w:r>
            <w:proofErr w:type="spellEnd"/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single" w:sz="8" w:space="0" w:color="BFBFBF"/>
              <w:left w:val="single" w:sz="4" w:space="0" w:color="BFBFBF"/>
              <w:bottom w:val="single" w:sz="8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right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4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2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1</w:t>
            </w:r>
          </w:p>
        </w:tc>
        <w:tc>
          <w:tcPr>
            <w:tcW w:w="510" w:type="dxa"/>
            <w:tcBorders>
              <w:top w:val="single" w:sz="8" w:space="0" w:color="BFBFBF"/>
              <w:left w:val="single" w:sz="4" w:space="0" w:color="BFBFBF"/>
              <w:bottom w:val="single" w:sz="8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/SID</w:t>
            </w: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4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I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Všeobecné údaje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(1) Zakladateľom účtovnej jednotky je Nemocnica s Poliklinikou – VAŠE ZDRAVIE </w:t>
      </w:r>
      <w:proofErr w:type="spellStart"/>
      <w:r w:rsidRPr="00903AD1">
        <w:rPr>
          <w:rFonts w:ascii="ArialNarrow" w:eastAsiaTheme="minorEastAsia" w:hAnsi="ArialNarrow" w:cs="ArialNarrow"/>
          <w:lang w:eastAsia="sk-SK"/>
        </w:rPr>
        <w:t>n.o</w:t>
      </w:r>
      <w:proofErr w:type="spellEnd"/>
      <w:r w:rsidRPr="00903AD1">
        <w:rPr>
          <w:rFonts w:ascii="ArialNarrow" w:eastAsiaTheme="minorEastAsia" w:hAnsi="ArialNarrow" w:cs="ArialNarrow"/>
          <w:lang w:eastAsia="sk-SK"/>
        </w:rPr>
        <w:t>., Kuzmányho nábrežie 34, 960 01 Zvolen, IČO: 37 954 628. Dátum založenia účtovnej jednotky je 14.11.2005.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(2) Orgány spoločnosti tvoria: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Správna rada: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Jana </w:t>
      </w:r>
      <w:proofErr w:type="spellStart"/>
      <w:r w:rsidRPr="00903AD1">
        <w:rPr>
          <w:rFonts w:ascii="ArialNarrow" w:eastAsiaTheme="minorEastAsia" w:hAnsi="ArialNarrow" w:cs="ArialNarrow"/>
          <w:lang w:eastAsia="sk-SK"/>
        </w:rPr>
        <w:t>Prímusová</w:t>
      </w:r>
      <w:proofErr w:type="spellEnd"/>
      <w:r w:rsidRPr="00903AD1">
        <w:rPr>
          <w:rFonts w:ascii="ArialNarrow" w:eastAsiaTheme="minorEastAsia" w:hAnsi="ArialNarrow" w:cs="ArialNarrow"/>
          <w:lang w:eastAsia="sk-SK"/>
        </w:rPr>
        <w:t xml:space="preserve"> - predseda správnej rady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Ing. Martina Valovičová - člen správnej rady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Natália Valovičová - člen správnej rady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Ing. Erik Valovič - správca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Ing. Radoslav Prímus - revízor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color w:val="FF0000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Iné orgány spoločnosť nemá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sz w:val="14"/>
          <w:szCs w:val="14"/>
          <w:lang w:eastAsia="sk-SK"/>
        </w:rPr>
      </w:pPr>
      <w:r w:rsidRPr="00903AD1">
        <w:rPr>
          <w:rFonts w:ascii="TimesNewRomanPSMT" w:eastAsiaTheme="minorEastAsia" w:hAnsi="TimesNewRomanPSMT" w:cs="TimesNewRomanPSMT"/>
          <w:lang w:eastAsia="sk-SK"/>
        </w:rPr>
        <w:t xml:space="preserve">(3)  </w:t>
      </w:r>
      <w:r w:rsidRPr="00903AD1">
        <w:rPr>
          <w:rFonts w:ascii="ArialMT" w:eastAsiaTheme="minorEastAsia" w:hAnsi="ArialMT" w:cs="ArialMT"/>
          <w:lang w:eastAsia="sk-SK"/>
        </w:rPr>
        <w:t>Účelom nadácie je podpora regionálnych aktivít a ochrana zdravia spočívajúca v nasledovných aktivitách :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Rozvoj a podpora telovýchovy a športu jednotlivcov a skupín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mladých talentovaných športovcov a tímov Slovenska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Rozvoj a ochrana duchovných a kultúrnych hodnôt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Realizácia a ochrana ľudských práv alebo iných humanitných cieľov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Ochrana a tvorba životného prostredia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Zachovanie prírodných hodnôt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Ochrana zdravia, ochrana práv detí a mládeže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Rozvoj vedy a vzdelania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zdravotných, sociálnych a dobročinných akcií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Výpomoc sociálne slabým a odkázaným skupinám obyvateľstva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organizovanie výchovno-vzdelávacích, kultúrnych a športových aktivít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ústavov pre deti a mládež, nemocničných a lekárskych ústavov a zariadení, zariadení pre sociálne odkázaných a starších občanov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školských a predškolských zariadení a zariadení pre rozvoj a vzdelávanie detí a mládeže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kultúrnych, umeleckých a vzdelávacích ustanovizní a inštitútov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vydávanie periodickej a neperiodickej tlače a iných tlačovín zameraných na propagáciu zdravého spôsobu života, na realizáciu a ochranu ľudských práv, na ochranu a tvorbu životného prostredia, zachovanie prírodných a kultúrnych hodnôt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regionálnych aktivít a medzištátnej regionálnej spolupráce, propagácia regiónu na národnej a medzinárodnej úrovni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vyvíjanie osvetovej a edukačnej činnosti v oblasti prevencie a liečby civilizačných chorôb, výživy a komplexného životného štýlu, vrátane boja proti toxikomániám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Ozdravovacie pobyty detí trpiacich alergickými ochoreniami a atypickými ekzémami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lastRenderedPageBreak/>
        <w:t>Pomoc zdravotníckym zariadeniam pri obstarávaní zdravotníckej techniky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Organizovanie charitatívnych akcií za účelom pomoci postihnutým deťom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vzdelávacích a študijných programov pre deti a mládež pre štúdium v Slovenskej republike a zahraničí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rozvoj sociálnej sféry spoločnosti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rozvoj podnikateľského prostredia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Podpora a rozvoj medzinárodných vzťahov, medzištátnej a regionálnej spolupráce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Aktivity zamerané na pomoc zdravotne postihnutým občanom a zdravotníckym zariadeniam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Zriaďovanie a budovanie zdravotníckych zariadení pre deti a dospelých a zariadení s charakterom poskytovania zdravotníckej starostlivosti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Pomoc zdravotníckym zariadeniam pri obstarávaní zdravotníckej techniky</w:t>
      </w:r>
    </w:p>
    <w:p w:rsidR="00903AD1" w:rsidRPr="00903AD1" w:rsidRDefault="00903AD1" w:rsidP="00903AD1">
      <w:pPr>
        <w:widowControl w:val="0"/>
        <w:numPr>
          <w:ilvl w:val="0"/>
          <w:numId w:val="7"/>
        </w:numPr>
        <w:autoSpaceDE w:val="0"/>
        <w:autoSpaceDN w:val="0"/>
        <w:adjustRightInd w:val="0"/>
        <w:spacing w:after="120" w:line="240" w:lineRule="auto"/>
        <w:ind w:right="-6"/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color w:val="222222"/>
          <w:sz w:val="20"/>
          <w:szCs w:val="20"/>
          <w:lang w:eastAsia="sk-SK"/>
        </w:rPr>
        <w:t>Organizovanie charitatívnych akcií za účelom pomoci postihnutým deťom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(4) Účtovná jednotka nemá žiadnych zamestnancov a ani dobrovoľníkov v bežnom účtovnom období, za ktorý sa zostavuje účtovná závierka a ani v predchádzajúcom účtovnom období.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(5) Organizácia nemá v zriaďovateľskej pôsobnosti iné účtovnej jednotky.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(6) Údaje podľa odseku  4 a čl. III a IV  sa uvádzajú v textovej podobe a tabuľkovej podobe.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II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Informácie o účtovných zásadách a účtovných metódach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(1) Účtovná závierka je zostavená za predpokladu, že účtovná jednotka bude nepretržite pokračovať vo svojej činnosti.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(2) Účtovná jednotka nerobila zmeny účtovných zásad a zmeny účtovných metód, ktoré by mali vplyv na finančnú hodnotu majetku, záväzkov, základného imania a výsledku hospodárenia účtovnej jednotky.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(3) Účtovná jednotka nemá majetok  a preto neoceňuje jednotlivé položky majetku a záväzkov.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 (4) Účtovná jednotka nemá majetok a preto nezostavuje odpisový plán pre jednotlivé druhy dlhodobého hmotného majetku  a dlhodobého nehmotného majetku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 (5) Účtovná jednotka neuplatňuje opravné položky alebo rezervy.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III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Informácie, ktoré dopĺňajú a vysvetľujú údaje v súvahe</w:t>
      </w:r>
    </w:p>
    <w:p w:rsidR="00903AD1" w:rsidRPr="00903AD1" w:rsidRDefault="00903AD1" w:rsidP="00903AD1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nevlastní žiadny dlhodobý nehmotný majetok a dlhodobý hmotný majetok za bežné účtovné obdobie,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b) nevytvára oprávky a opravné položky k dlhodobému majetku,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c) neponúka prehľad o zostatkových cenách dlhodobého majetku.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(2)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nevlastný dlhodobý majetok, na ktorý je zriadené záložné právo alebo dlhodobý majetok, pri ktorom má účtovná jednotka obmedzené právo s ním nakladať.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(3)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nemá poistený dlhodobý nehmotný majetok a dlhodobý hmotný majetok.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(4)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nevlastní žiadny dlhodobý finančný majetok za bežné účtovné obdobie.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(5)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nevytvára opravné položky k dlhodobému finančnému majetku a opis dôvodu ich tvorby, zníženia a zúčtovania 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(6)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neúčtuje o významných položkách krátkodobého finančného majetku.</w:t>
      </w:r>
      <w:r w:rsidRPr="00903AD1">
        <w:rPr>
          <w:rFonts w:ascii="ArialNarrow" w:eastAsiaTheme="minorEastAsia" w:hAnsi="ArialNarrow" w:cs="ArialNarrow"/>
          <w:color w:val="FF0000"/>
          <w:lang w:eastAsia="sk-SK"/>
        </w:rPr>
        <w:t xml:space="preserve"> 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(7)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nevytvára opravné položky k zásobám. 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lastRenderedPageBreak/>
        <w:t>(8)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neúčtuje o významných pohľadávkach v nadväznosti na položky súvahy a v členení na pohľadávky za hlavnú nezdaňovanú  činnosť,  zdaňovanú činnosť a podnikateľskú činnosť. 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(9)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neúčtuje o opravných položkách k pohľadávkam. 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(10)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účtuje o krátkodobých pohľadávkach po lehote splatnosti, a to vo výške 165,97 €.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(11)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neúčtuje o významných položkách časového rozlíšenia nákladov budúcich období a príjmov budúcich období.</w:t>
      </w:r>
    </w:p>
    <w:p w:rsidR="00903AD1" w:rsidRPr="00903AD1" w:rsidRDefault="00903AD1" w:rsidP="00903AD1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(12)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Opis a výška zmien vlastných zdrojov krytia neobežného majetku a obežného majetku podľa položiek súvahy za bežné účtovné obdobie, a to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:rsidR="00903AD1" w:rsidRPr="00903AD1" w:rsidRDefault="00903AD1" w:rsidP="00903AD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(13)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</w:t>
      </w:r>
      <w:proofErr w:type="spellStart"/>
      <w:r w:rsidRPr="00903AD1">
        <w:rPr>
          <w:rFonts w:ascii="ArialNarrow" w:eastAsiaTheme="minorEastAsia" w:hAnsi="ArialNarrow" w:cs="ArialNarrow"/>
          <w:lang w:eastAsia="sk-SK"/>
        </w:rPr>
        <w:t>preúčovala</w:t>
      </w:r>
      <w:proofErr w:type="spellEnd"/>
      <w:r w:rsidRPr="00903AD1">
        <w:rPr>
          <w:rFonts w:ascii="ArialNarrow" w:eastAsiaTheme="minorEastAsia" w:hAnsi="ArialNarrow" w:cs="ArialNarrow"/>
          <w:lang w:eastAsia="sk-SK"/>
        </w:rPr>
        <w:t xml:space="preserve"> stratu za príslušné účtovné obdobie na neuhradenú stratu z minulých rokov.</w:t>
      </w:r>
    </w:p>
    <w:p w:rsidR="00903AD1" w:rsidRPr="00903AD1" w:rsidRDefault="00903AD1" w:rsidP="00903AD1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(14)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Opis a výška cudzích zdrojov, a to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a) účtovná jednotka tvorí krátkodobú rezervu na overenie účtovnej závierky,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b) účtovná jednotka neúčtuje o významných položkách na účtoch 325 -  Ostatné záväzky a 379 – Iné záväzky,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c) účtovná jednotka účtuje o záväzkoch do lehoty splatnosti, a to vo výške 590,82 €,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d) účtovná jednotka účtuje o záväzkoch podľa zostatkovej doby splatnosti v členení podľa položiek súvahy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e) účtovná jednotka neúčtuje o záväzkoch  zo sociálneho fondu,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f) účtovná jednotka neúčtuje o bankových úveroch, pôžičkách a návratných finančných výpomociach,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24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g) účtovná jednotka neúčtuje o významných položkách časového rozlíšenia výdavkov budúcich období.</w:t>
      </w:r>
    </w:p>
    <w:p w:rsidR="00903AD1" w:rsidRPr="00903AD1" w:rsidRDefault="00903AD1" w:rsidP="00903AD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(15)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účtuje o významných položkách výnosov budúcich období.</w:t>
      </w:r>
    </w:p>
    <w:p w:rsidR="00903AD1" w:rsidRPr="00903AD1" w:rsidRDefault="00903AD1" w:rsidP="00903AD1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(16)</w:t>
      </w:r>
      <w:r w:rsidRPr="00903AD1">
        <w:rPr>
          <w:rFonts w:ascii="ArialNarrow" w:eastAsiaTheme="minorEastAsia" w:hAnsi="ArialNarrow" w:cs="ArialNarrow"/>
          <w:lang w:eastAsia="sk-SK"/>
        </w:rPr>
        <w:tab/>
        <w:t xml:space="preserve"> Účtovná jednotka neúčtuje o majetku prenajatom formou finančného prenájmu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IV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Informácie, ktoré dopĺňajú a vysvetľujú údaje vo výkaze ziskov a strát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(1) Účtovná jednotka neúčtuje o tržbách za vlastné výkony a tovar,  služieb hlavnej činnosti a podnikateľskej činnosti účtovnej jednotky.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(2) Účtovná jednotka neúčtovala o významných položkách prijatých darov, osobitných výnosov, zákonných poplatkov a iných ostatných výnosov.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(3) Účtovná jednotka</w:t>
      </w:r>
      <w:r>
        <w:rPr>
          <w:rFonts w:ascii="ArialNarrow" w:eastAsiaTheme="minorEastAsia" w:hAnsi="ArialNarrow" w:cs="ArialNarrow"/>
          <w:lang w:eastAsia="sk-SK"/>
        </w:rPr>
        <w:t xml:space="preserve"> dosiahla k 31.12.2014</w:t>
      </w:r>
      <w:r w:rsidRPr="00903AD1">
        <w:rPr>
          <w:rFonts w:ascii="ArialNarrow" w:eastAsiaTheme="minorEastAsia" w:hAnsi="ArialNarrow" w:cs="ArialNarrow"/>
          <w:lang w:eastAsia="sk-SK"/>
        </w:rPr>
        <w:t xml:space="preserve"> stratu </w:t>
      </w:r>
      <w:r>
        <w:rPr>
          <w:rFonts w:ascii="ArialNarrow" w:eastAsiaTheme="minorEastAsia" w:hAnsi="ArialNarrow" w:cs="ArialNarrow"/>
          <w:lang w:eastAsia="sk-SK"/>
        </w:rPr>
        <w:t>vo výške – 2 2</w:t>
      </w:r>
      <w:r w:rsidR="00C339E7">
        <w:rPr>
          <w:rFonts w:ascii="ArialNarrow" w:eastAsiaTheme="minorEastAsia" w:hAnsi="ArialNarrow" w:cs="ArialNarrow"/>
          <w:lang w:eastAsia="sk-SK"/>
        </w:rPr>
        <w:t>39</w:t>
      </w:r>
      <w:r>
        <w:rPr>
          <w:rFonts w:ascii="ArialNarrow" w:eastAsiaTheme="minorEastAsia" w:hAnsi="ArialNarrow" w:cs="ArialNarrow"/>
          <w:lang w:eastAsia="sk-SK"/>
        </w:rPr>
        <w:t>,</w:t>
      </w:r>
      <w:r w:rsidR="00C339E7">
        <w:rPr>
          <w:rFonts w:ascii="ArialNarrow" w:eastAsiaTheme="minorEastAsia" w:hAnsi="ArialNarrow" w:cs="ArialNarrow"/>
          <w:lang w:eastAsia="sk-SK"/>
        </w:rPr>
        <w:t>41</w:t>
      </w:r>
      <w:r w:rsidRPr="00903AD1">
        <w:rPr>
          <w:rFonts w:ascii="ArialNarrow" w:eastAsiaTheme="minorEastAsia" w:hAnsi="ArialNarrow" w:cs="ArialNarrow"/>
          <w:lang w:eastAsia="sk-SK"/>
        </w:rPr>
        <w:t xml:space="preserve"> </w:t>
      </w:r>
      <w:r w:rsidRPr="00903AD1">
        <w:rPr>
          <w:rFonts w:ascii="Arial" w:eastAsiaTheme="minorEastAsia" w:hAnsi="Arial" w:cs="Arial"/>
          <w:lang w:eastAsia="sk-SK"/>
        </w:rPr>
        <w:t>€.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360" w:lineRule="auto"/>
        <w:ind w:right="-6"/>
        <w:jc w:val="both"/>
        <w:rPr>
          <w:rFonts w:ascii="ArialMT" w:eastAsiaTheme="minorEastAsia" w:hAnsi="ArialMT" w:cs="ArialMT"/>
          <w:sz w:val="18"/>
          <w:szCs w:val="18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(4) Účtovná jednotka účtovala významné položky finančných výnosov na účte 665 –-Príspevky z podielu zaplatenej dane</w:t>
      </w:r>
      <w:r>
        <w:rPr>
          <w:rFonts w:ascii="ArialNarrow" w:eastAsiaTheme="minorEastAsia" w:hAnsi="ArialNarrow" w:cs="ArialNarrow"/>
          <w:lang w:eastAsia="sk-SK"/>
        </w:rPr>
        <w:t xml:space="preserve"> a darov od právnických osôb</w:t>
      </w:r>
      <w:r w:rsidRPr="00903AD1">
        <w:rPr>
          <w:rFonts w:ascii="ArialNarrow" w:eastAsiaTheme="minorEastAsia" w:hAnsi="ArialNarrow" w:cs="ArialNarrow"/>
          <w:lang w:eastAsia="sk-SK"/>
        </w:rPr>
        <w:t>, pričom účtovná jednotka na tomto účte účtovala o Príspevkoch z podielu z</w:t>
      </w:r>
      <w:r>
        <w:rPr>
          <w:rFonts w:ascii="ArialNarrow" w:eastAsiaTheme="minorEastAsia" w:hAnsi="ArialNarrow" w:cs="ArialNarrow"/>
          <w:lang w:eastAsia="sk-SK"/>
        </w:rPr>
        <w:t>aplatenej dane, a to v hodnote 110 536,04</w:t>
      </w:r>
      <w:r w:rsidRPr="00903AD1">
        <w:rPr>
          <w:rFonts w:ascii="ArialNarrow" w:eastAsiaTheme="minorEastAsia" w:hAnsi="ArialNarrow" w:cs="ArialNarrow"/>
          <w:lang w:eastAsia="sk-SK"/>
        </w:rPr>
        <w:t xml:space="preserve"> €. 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(5) Účtovná jednotka neúčtuje o významných položkách nákladov, nákladov na ostatné služby, osobitných nákladov a iných ostatných nákladov. 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(6) Účtovná jednotka za bežné účtovné obdobie použila príspevok z podielu zaplatenej dane </w:t>
      </w:r>
      <w:r w:rsidRPr="00903AD1">
        <w:rPr>
          <w:rFonts w:ascii="ArialNarrow" w:eastAsiaTheme="minorEastAsia" w:hAnsi="ArialNarrow" w:cs="ArialNarrow"/>
          <w:lang w:eastAsia="sk-SK"/>
        </w:rPr>
        <w:lastRenderedPageBreak/>
        <w:t>nasledovne: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>Športový klub ZDRAVIE, 101 103€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>Súkromná základná umelecká škola, 2000€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>Adam Húska v </w:t>
      </w:r>
      <w:proofErr w:type="spellStart"/>
      <w:r>
        <w:rPr>
          <w:rFonts w:ascii="ArialNarrow" w:eastAsiaTheme="minorEastAsia" w:hAnsi="ArialNarrow" w:cs="ArialNarrow"/>
          <w:lang w:eastAsia="sk-SK"/>
        </w:rPr>
        <w:t>zast</w:t>
      </w:r>
      <w:proofErr w:type="spellEnd"/>
      <w:r>
        <w:rPr>
          <w:rFonts w:ascii="ArialNarrow" w:eastAsiaTheme="minorEastAsia" w:hAnsi="ArialNarrow" w:cs="ArialNarrow"/>
          <w:lang w:eastAsia="sk-SK"/>
        </w:rPr>
        <w:t xml:space="preserve">. Mgr. </w:t>
      </w:r>
      <w:proofErr w:type="spellStart"/>
      <w:r>
        <w:rPr>
          <w:rFonts w:ascii="ArialNarrow" w:eastAsiaTheme="minorEastAsia" w:hAnsi="ArialNarrow" w:cs="ArialNarrow"/>
          <w:lang w:eastAsia="sk-SK"/>
        </w:rPr>
        <w:t>Rochus</w:t>
      </w:r>
      <w:proofErr w:type="spellEnd"/>
      <w:r>
        <w:rPr>
          <w:rFonts w:ascii="ArialNarrow" w:eastAsiaTheme="minorEastAsia" w:hAnsi="ArialNarrow" w:cs="ArialNarrow"/>
          <w:lang w:eastAsia="sk-SK"/>
        </w:rPr>
        <w:t xml:space="preserve"> Húska, 500€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>Občianske združenie Milan Štefánik, 500€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 xml:space="preserve">Filip </w:t>
      </w:r>
      <w:proofErr w:type="spellStart"/>
      <w:r>
        <w:rPr>
          <w:rFonts w:ascii="ArialNarrow" w:eastAsiaTheme="minorEastAsia" w:hAnsi="ArialNarrow" w:cs="ArialNarrow"/>
          <w:lang w:eastAsia="sk-SK"/>
        </w:rPr>
        <w:t>Mančák</w:t>
      </w:r>
      <w:proofErr w:type="spellEnd"/>
      <w:r>
        <w:rPr>
          <w:rFonts w:ascii="ArialNarrow" w:eastAsiaTheme="minorEastAsia" w:hAnsi="ArialNarrow" w:cs="ArialNarrow"/>
          <w:lang w:eastAsia="sk-SK"/>
        </w:rPr>
        <w:t xml:space="preserve"> v </w:t>
      </w:r>
      <w:proofErr w:type="spellStart"/>
      <w:r>
        <w:rPr>
          <w:rFonts w:ascii="ArialNarrow" w:eastAsiaTheme="minorEastAsia" w:hAnsi="ArialNarrow" w:cs="ArialNarrow"/>
          <w:lang w:eastAsia="sk-SK"/>
        </w:rPr>
        <w:t>zast</w:t>
      </w:r>
      <w:proofErr w:type="spellEnd"/>
      <w:r>
        <w:rPr>
          <w:rFonts w:ascii="ArialNarrow" w:eastAsiaTheme="minorEastAsia" w:hAnsi="ArialNarrow" w:cs="ArialNarrow"/>
          <w:lang w:eastAsia="sk-SK"/>
        </w:rPr>
        <w:t xml:space="preserve">. Ing. Juraj </w:t>
      </w:r>
      <w:proofErr w:type="spellStart"/>
      <w:r>
        <w:rPr>
          <w:rFonts w:ascii="ArialNarrow" w:eastAsiaTheme="minorEastAsia" w:hAnsi="ArialNarrow" w:cs="ArialNarrow"/>
          <w:lang w:eastAsia="sk-SK"/>
        </w:rPr>
        <w:t>Mančák</w:t>
      </w:r>
      <w:proofErr w:type="spellEnd"/>
      <w:r>
        <w:rPr>
          <w:rFonts w:ascii="ArialNarrow" w:eastAsiaTheme="minorEastAsia" w:hAnsi="ArialNarrow" w:cs="ArialNarrow"/>
          <w:lang w:eastAsia="sk-SK"/>
        </w:rPr>
        <w:t>, 240€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>
        <w:rPr>
          <w:rFonts w:ascii="ArialNarrow" w:eastAsiaTheme="minorEastAsia" w:hAnsi="ArialNarrow" w:cs="ArialNarrow"/>
          <w:lang w:eastAsia="sk-SK"/>
        </w:rPr>
        <w:t>6. Základná škola Zvolen, 465,70 €</w:t>
      </w:r>
    </w:p>
    <w:p w:rsid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(7) Účtovná jednotka neúčtovala o významných položkách finančných nákladov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(8) Účtovná jednotka má povinnosť overenia účtovnej závierky audítorom, pričom suma nákladov vyčlenených na o</w:t>
      </w:r>
      <w:r>
        <w:rPr>
          <w:rFonts w:ascii="ArialNarrow" w:eastAsiaTheme="minorEastAsia" w:hAnsi="ArialNarrow" w:cs="ArialNarrow"/>
          <w:lang w:eastAsia="sk-SK"/>
        </w:rPr>
        <w:t>verenie účtovnej závierky je 480</w:t>
      </w:r>
      <w:r w:rsidRPr="00903AD1">
        <w:rPr>
          <w:rFonts w:ascii="ArialNarrow" w:eastAsiaTheme="minorEastAsia" w:hAnsi="ArialNarrow" w:cs="ArialNarrow"/>
          <w:lang w:eastAsia="sk-SK"/>
        </w:rPr>
        <w:t xml:space="preserve"> €.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V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Opis údajov na podsúvahových účtoch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Účtovná jednotka neúčtuje o významných položkách prenajatého majetku, majetku prijatého do úschovy, odpísaných pohľadávkach a prípadných ďalších položkách.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Čl. VI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center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Ďalšie informácie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(1) Účtovná jednotka neúčtuje o aktívach, pod ktorými sa rozumie možný majetok, ktorý vznikol v dôsledku minulých udalostí a ktorého existencia alebo vlastníctvo závisí od toho, či nastane alebo nenastane jedna alebo viac neistých udalostí v budúcnosti, ktorých vznik nezávisí od účtovnej jednotky.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(2) Účtovná jednotka neúčtuje o pasívach vyplývajúcich zo súdnych rozhodnutí, z poskytnutých záruk, zo všeobecne záväzných právnych predpisov, z ručenia podľa jednotlivých druhov ručenia.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before="120"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 (3) Účtovná jednotka neúčtuje o významných položkách ostatných finančných povinností, ktoré sa nesledujú v účtovníctve a neuvádzajú sa v súvahe.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 xml:space="preserve"> (4) Účtovná jednotka nemá v správe alebo vo vlastníctve nehnuteľné kultúrne pamiatky.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lang w:eastAsia="sk-SK"/>
        </w:rPr>
        <w:t>(5) Neexistujú žiadne významné skutočnosti, ktoré nastali medzi dňom, ku ktorému sa zostavuje účtovná závierka a dňom jej zostavenia.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rPr>
          <w:rFonts w:ascii="ArialNarrow" w:eastAsiaTheme="minorEastAsia" w:hAnsi="ArialNarrow" w:cs="ArialNarrow"/>
          <w:b/>
          <w:bCs/>
          <w:lang w:eastAsia="sk-SK"/>
        </w:rPr>
        <w:sectPr w:rsidR="00903AD1" w:rsidRPr="00903AD1">
          <w:pgSz w:w="11900" w:h="16840"/>
          <w:pgMar w:top="851" w:right="851" w:bottom="851" w:left="851" w:header="708" w:footer="708" w:gutter="0"/>
          <w:cols w:space="708"/>
          <w:noEndnote/>
        </w:sect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br w:type="page"/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lastRenderedPageBreak/>
        <w:t>Vzorová tabuľka k čl. I ods.  4 o počte zamestnancov a dobrovoľníkov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4961"/>
        <w:gridCol w:w="2410"/>
        <w:gridCol w:w="2552"/>
      </w:tblGrid>
      <w:tr w:rsidR="00903AD1" w:rsidRPr="00903AD1" w:rsidTr="00903AD1">
        <w:tc>
          <w:tcPr>
            <w:tcW w:w="49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9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9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9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496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 k čl. III ods. 1 o stave a pohybe dlhodobého nehmotného majetku a dlhodobého hmotného majetku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Tabuľka č. 1</w:t>
      </w:r>
    </w:p>
    <w:tbl>
      <w:tblPr>
        <w:tblW w:w="11307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1668"/>
        <w:gridCol w:w="1559"/>
        <w:gridCol w:w="142"/>
        <w:gridCol w:w="850"/>
        <w:gridCol w:w="1418"/>
        <w:gridCol w:w="1417"/>
        <w:gridCol w:w="1559"/>
        <w:gridCol w:w="1701"/>
        <w:gridCol w:w="993"/>
      </w:tblGrid>
      <w:tr w:rsidR="00903AD1" w:rsidRPr="00903AD1" w:rsidTr="00903AD1"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Nehmotné výsledky z vývojovej a obdobnej činnosti</w:t>
            </w: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Softvér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Oceniteľné práva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Ostatný dlhodobý nehmotný majetok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Obstaranie dlhodobého nehmotného majetku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Poskytnuté preddavky na dlhodobý nehmotný majetok</w:t>
            </w: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Prvotné ocenenie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prírastky 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presuny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Oprávky – 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začiatku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Opravné položky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prírastky 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1307" w:type="dxa"/>
            <w:gridSpan w:val="9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Zostatková hodnota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začiatku bežného účtovného obdobia</w:t>
            </w:r>
          </w:p>
        </w:tc>
        <w:tc>
          <w:tcPr>
            <w:tcW w:w="170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66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170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85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Tabuľka č. 2</w:t>
      </w:r>
    </w:p>
    <w:tbl>
      <w:tblPr>
        <w:tblW w:w="15559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1526"/>
        <w:gridCol w:w="992"/>
        <w:gridCol w:w="425"/>
        <w:gridCol w:w="567"/>
        <w:gridCol w:w="993"/>
        <w:gridCol w:w="708"/>
        <w:gridCol w:w="851"/>
        <w:gridCol w:w="1417"/>
        <w:gridCol w:w="1418"/>
        <w:gridCol w:w="1276"/>
        <w:gridCol w:w="1417"/>
        <w:gridCol w:w="1418"/>
        <w:gridCol w:w="1559"/>
        <w:gridCol w:w="992"/>
      </w:tblGrid>
      <w:tr w:rsidR="00903AD1" w:rsidRPr="00903AD1" w:rsidTr="00903AD1"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Pozemky</w:t>
            </w: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Umelecké diela a zbierky</w:t>
            </w: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Stavby</w:t>
            </w: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Samostatné hnuteľné veci a súbory hnuteľných vecí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Dopravné prostriedky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Pestovateľské celky trvalých porastov</w:t>
            </w: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Základné stádo a ťažné zvieratá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Drobný a ostatný dlhodobý hmotný majetok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Obstaranie dlhodobého hmotného majetku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Prvotné </w:t>
            </w: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lastRenderedPageBreak/>
              <w:t>ocenenie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0</w:t>
            </w: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 xml:space="preserve">prírastky 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Oprávky – 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začiatku bežného 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Opravné položky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prírastky 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úbytky 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Stav na konci bežného 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účtovného obdobia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559" w:type="dxa"/>
            <w:gridSpan w:val="14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lastRenderedPageBreak/>
              <w:t>Zostatková hodnota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začiatku bežného účtovného obdobia</w:t>
            </w:r>
          </w:p>
        </w:tc>
        <w:tc>
          <w:tcPr>
            <w:tcW w:w="1417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526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 na konci bežného účtovného obdobia</w:t>
            </w:r>
          </w:p>
        </w:tc>
        <w:tc>
          <w:tcPr>
            <w:tcW w:w="1417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56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4 a 5  o štruktúre a o zmenách jednotlivých položiek dlhodobého finančného majetku</w:t>
      </w:r>
    </w:p>
    <w:tbl>
      <w:tblPr>
        <w:tblW w:w="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903AD1" w:rsidRPr="00903AD1" w:rsidTr="00903AD1"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Podielové cenné papiere a podiely v ovládanej obchodnej spoločnosti</w:t>
            </w: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Dlhové cenné papiere držané do splatnosti</w:t>
            </w: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Pôžičky podnikom v skupine a ostatné pôžičky</w:t>
            </w: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Ostatný dlhodobý finančný majetok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Obstaranie dlhodobého finančného majetku</w:t>
            </w: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Poskytnuté preddavky na dlhodobý finančný  majetok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54" w:type="dxa"/>
            <w:gridSpan w:val="9"/>
            <w:tcBorders>
              <w:top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Prvotné ocenenie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 na začiatku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Presuny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54" w:type="dxa"/>
            <w:gridSpan w:val="9"/>
            <w:tcBorders>
              <w:top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Opravné položky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Prírastky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Úbytky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5254" w:type="dxa"/>
            <w:gridSpan w:val="9"/>
            <w:tcBorders>
              <w:top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lastRenderedPageBreak/>
              <w:t>Zostatková hodnota 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na začiatku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894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Stav na konci bežného účtovného obdobia</w:t>
            </w:r>
          </w:p>
        </w:tc>
        <w:tc>
          <w:tcPr>
            <w:tcW w:w="21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53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30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Vzorová tabuľka k čl. III ods. 4 o štruktúre dlhodobého finančného majetku </w:t>
      </w:r>
    </w:p>
    <w:tbl>
      <w:tblPr>
        <w:tblW w:w="15238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1409"/>
        <w:gridCol w:w="1827"/>
        <w:gridCol w:w="2185"/>
        <w:gridCol w:w="3618"/>
        <w:gridCol w:w="2186"/>
        <w:gridCol w:w="1947"/>
        <w:gridCol w:w="2066"/>
      </w:tblGrid>
      <w:tr w:rsidR="00903AD1" w:rsidRPr="00903AD1" w:rsidTr="00903AD1">
        <w:tc>
          <w:tcPr>
            <w:tcW w:w="1630" w:type="dxa"/>
            <w:vMerge w:val="restar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Podiel účtovnej jednotky na hlasovacích právach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(v %)</w:t>
            </w:r>
          </w:p>
        </w:tc>
        <w:tc>
          <w:tcPr>
            <w:tcW w:w="425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Hodnota vlastného imania ku koncu</w:t>
            </w:r>
          </w:p>
        </w:tc>
        <w:tc>
          <w:tcPr>
            <w:tcW w:w="4678" w:type="dxa"/>
            <w:gridSpan w:val="3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Účtovná hodnota ku koncu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30" w:type="dxa"/>
            <w:vMerge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6" w:type="dxa"/>
            <w:vMerge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551" w:type="dxa"/>
            <w:vMerge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3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63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63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MT" w:eastAsiaTheme="minorEastAsia" w:hAnsi="ArialMT" w:cs="ArialMT"/>
          <w:sz w:val="16"/>
          <w:szCs w:val="16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6 o položkách krátkodobého finančného majetku</w:t>
      </w: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Tabuľka č. 1 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3055"/>
        <w:gridCol w:w="3394"/>
        <w:gridCol w:w="1985"/>
        <w:gridCol w:w="2268"/>
        <w:gridCol w:w="3543"/>
      </w:tblGrid>
      <w:tr w:rsidR="00903AD1" w:rsidRPr="00903AD1" w:rsidTr="00903AD1"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Krátkodobý finančný majetok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Prírastky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Úbytky</w:t>
            </w: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Majetkové cenné papiere na obchodovanie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Dlhové cenné papiere na obchodovanie 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Ostatné realizovateľné cenné papiere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Obstarávanie krátkodobého finančného majetku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305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Krátkodobý finančný majetok spolu</w:t>
            </w:r>
          </w:p>
        </w:tc>
        <w:tc>
          <w:tcPr>
            <w:tcW w:w="3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5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MT" w:eastAsiaTheme="minorEastAsia" w:hAnsi="ArialMT" w:cs="ArialMT"/>
          <w:b/>
          <w:bCs/>
          <w:sz w:val="20"/>
          <w:szCs w:val="20"/>
          <w:lang w:eastAsia="sk-SK"/>
        </w:rPr>
      </w:pPr>
      <w:r w:rsidRPr="00903AD1">
        <w:rPr>
          <w:rFonts w:ascii="ArialMT" w:eastAsiaTheme="minorEastAsia" w:hAnsi="ArialMT" w:cs="ArialMT"/>
          <w:b/>
          <w:bCs/>
          <w:sz w:val="20"/>
          <w:szCs w:val="20"/>
          <w:lang w:eastAsia="sk-SK"/>
        </w:rPr>
        <w:t>Tabuľka č. 2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3819"/>
        <w:gridCol w:w="2914"/>
        <w:gridCol w:w="4252"/>
        <w:gridCol w:w="3260"/>
      </w:tblGrid>
      <w:tr w:rsidR="00903AD1" w:rsidRPr="00903AD1" w:rsidTr="00903AD1">
        <w:tc>
          <w:tcPr>
            <w:tcW w:w="3819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  <w:t>Zvýšenie/ zníženie hodnoty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  <w:t>(+/-)</w:t>
            </w:r>
          </w:p>
        </w:tc>
        <w:tc>
          <w:tcPr>
            <w:tcW w:w="42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</w:pPr>
            <w:r w:rsidRPr="00903AD1">
              <w:rPr>
                <w:rFonts w:ascii="ArialMT" w:eastAsiaTheme="minorEastAsia" w:hAnsi="ArialMT" w:cs="ArialMT"/>
                <w:b/>
                <w:bCs/>
                <w:sz w:val="16"/>
                <w:szCs w:val="16"/>
                <w:lang w:eastAsia="sk-SK"/>
              </w:rPr>
              <w:t>Vplyv ocenenia na vlastné imanie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819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819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819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3819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425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MT" w:eastAsiaTheme="minorEastAsia" w:hAnsi="ArialMT" w:cs="ArialMT"/>
                <w:sz w:val="16"/>
                <w:szCs w:val="16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Vzorová tabuľka k čl. III ods. 7 o vývoji opravných položiek k zásobám 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2197"/>
        <w:gridCol w:w="2551"/>
        <w:gridCol w:w="2410"/>
        <w:gridCol w:w="2126"/>
        <w:gridCol w:w="2268"/>
        <w:gridCol w:w="2693"/>
      </w:tblGrid>
      <w:tr w:rsidR="00903AD1" w:rsidRPr="00903AD1" w:rsidTr="00903AD1"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Druh zásob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Materiál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Nedokončená výroba  a polotovary vlastnej výroby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Výrobky 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Zvieratá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Tovar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Poskytnutý 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preddavok na zásoby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lastRenderedPageBreak/>
              <w:t>Zásoby spolu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9  o vývoji opravných položiek k pohľadávkam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2197"/>
        <w:gridCol w:w="2551"/>
        <w:gridCol w:w="2410"/>
        <w:gridCol w:w="2126"/>
        <w:gridCol w:w="2268"/>
        <w:gridCol w:w="2693"/>
      </w:tblGrid>
      <w:tr w:rsidR="00903AD1" w:rsidRPr="00903AD1" w:rsidTr="00903AD1"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Druh pohľadávok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Zníženie opravnej položky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Zúčtovanie  opravnej položky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Pohľadávky z obchodného styku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Ostatné pohľadávky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Pohľadávky voči účastníkom združení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Iné pohľadávky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19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Pohľadávky spolu</w:t>
            </w:r>
          </w:p>
        </w:tc>
        <w:tc>
          <w:tcPr>
            <w:tcW w:w="25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0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Vzorová tabuľka k čl. III ods. 10  o pohľadávkach do lehoty splatnosti a po lehote splatnosti 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4323"/>
        <w:gridCol w:w="3827"/>
        <w:gridCol w:w="4394"/>
      </w:tblGrid>
      <w:tr w:rsidR="00903AD1" w:rsidRPr="00903AD1" w:rsidTr="00903AD1">
        <w:tc>
          <w:tcPr>
            <w:tcW w:w="4323" w:type="dxa"/>
            <w:vMerge w:val="restar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vMerge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8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              165,97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                 165,97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165,97</w:t>
            </w:r>
          </w:p>
        </w:tc>
        <w:tc>
          <w:tcPr>
            <w:tcW w:w="43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165,97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12 o zmenách vlastných zdrojov krytia neobežného majetku a obežného majetku</w:t>
      </w:r>
      <w:r w:rsidRPr="00903AD1">
        <w:rPr>
          <w:rFonts w:ascii="ArialNarrow" w:eastAsiaTheme="minorEastAsia" w:hAnsi="ArialNarrow" w:cs="ArialNarrow"/>
          <w:lang w:eastAsia="sk-SK"/>
        </w:rPr>
        <w:t xml:space="preserve">    </w:t>
      </w:r>
    </w:p>
    <w:tbl>
      <w:tblPr>
        <w:tblW w:w="14245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2622"/>
        <w:gridCol w:w="2977"/>
        <w:gridCol w:w="2306"/>
        <w:gridCol w:w="1521"/>
        <w:gridCol w:w="1984"/>
        <w:gridCol w:w="2835"/>
      </w:tblGrid>
      <w:tr w:rsidR="00903AD1" w:rsidRPr="00903AD1" w:rsidTr="00903AD1"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ÚO</w:t>
            </w: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4245" w:type="dxa"/>
            <w:gridSpan w:val="6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Imanie a fondy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6638,78</w:t>
            </w: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6638,78</w:t>
            </w: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6638,78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z toho: </w:t>
            </w:r>
          </w:p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nadačné imanie </w:t>
            </w: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v nadácii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vklady zakladateľov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4245" w:type="dxa"/>
            <w:gridSpan w:val="6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Fondy zo zisku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Nevysporiadaný</w:t>
            </w:r>
            <w:proofErr w:type="spellEnd"/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14CB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   -</w:t>
            </w:r>
            <w:r w:rsidR="00914CBC">
              <w:rPr>
                <w:rFonts w:ascii="ArialNarrow" w:eastAsiaTheme="minorEastAsia" w:hAnsi="ArialNarrow" w:cs="ArialNarrow"/>
                <w:lang w:eastAsia="sk-SK"/>
              </w:rPr>
              <w:t>4069,26</w:t>
            </w: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64450E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-</w:t>
            </w:r>
            <w:r w:rsidR="00A5258C">
              <w:rPr>
                <w:rFonts w:ascii="ArialNarrow" w:eastAsiaTheme="minorEastAsia" w:hAnsi="ArialNarrow" w:cs="ArialNarrow"/>
                <w:lang w:eastAsia="sk-SK"/>
              </w:rPr>
              <w:t>5596,56</w:t>
            </w: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14CBC" w:rsidP="00A5258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 xml:space="preserve">        -</w:t>
            </w:r>
            <w:r w:rsidR="00A5258C">
              <w:rPr>
                <w:rFonts w:ascii="ArialNarrow" w:eastAsiaTheme="minorEastAsia" w:hAnsi="ArialNarrow" w:cs="ArialNarrow"/>
                <w:lang w:eastAsia="sk-SK"/>
              </w:rPr>
              <w:t>1527,30</w:t>
            </w: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A5258C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-2239,41</w:t>
            </w: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622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A5258C" w:rsidP="00903AD1">
            <w:pPr>
              <w:widowControl w:val="0"/>
              <w:tabs>
                <w:tab w:val="left" w:pos="465"/>
              </w:tabs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ab/>
              <w:t xml:space="preserve">    1042,22</w:t>
            </w:r>
          </w:p>
        </w:tc>
        <w:tc>
          <w:tcPr>
            <w:tcW w:w="230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8C552F" w:rsidP="00903AD1">
            <w:pPr>
              <w:widowControl w:val="0"/>
              <w:tabs>
                <w:tab w:val="left" w:pos="480"/>
                <w:tab w:val="center" w:pos="1048"/>
              </w:tabs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 -1197,19</w:t>
            </w:r>
            <w:r w:rsidR="00903AD1"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ab/>
            </w:r>
          </w:p>
        </w:tc>
        <w:tc>
          <w:tcPr>
            <w:tcW w:w="152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6638,78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Vzorová tabuľka k čl. III ods. 13 o rozdelení účtovného zisku alebo </w:t>
      </w:r>
      <w:proofErr w:type="spellStart"/>
      <w:r w:rsidRPr="00903AD1">
        <w:rPr>
          <w:rFonts w:ascii="ArialNarrow" w:eastAsiaTheme="minorEastAsia" w:hAnsi="ArialNarrow" w:cs="ArialNarrow"/>
          <w:b/>
          <w:bCs/>
          <w:lang w:eastAsia="sk-SK"/>
        </w:rPr>
        <w:t>vysporiadaní</w:t>
      </w:r>
      <w:proofErr w:type="spellEnd"/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 účtovnej straty</w:t>
      </w:r>
    </w:p>
    <w:tbl>
      <w:tblPr>
        <w:tblW w:w="0" w:type="pct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6487"/>
        <w:gridCol w:w="4963"/>
      </w:tblGrid>
      <w:tr w:rsidR="00903AD1" w:rsidRPr="00903AD1" w:rsidTr="00903AD1"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1450" w:type="dxa"/>
            <w:gridSpan w:val="2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Rozdelenie účtovného zisku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Prevod  do </w:t>
            </w: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nevysporiadaného</w:t>
            </w:r>
            <w:proofErr w:type="spellEnd"/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-1 527,30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1450" w:type="dxa"/>
            <w:gridSpan w:val="2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proofErr w:type="spellStart"/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Vysporiadanie</w:t>
            </w:r>
            <w:proofErr w:type="spellEnd"/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 účtovnej straty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Prevod do </w:t>
            </w: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nevysporiadaného</w:t>
            </w:r>
            <w:proofErr w:type="spellEnd"/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výsledku hospodárenia minulých rokov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-1 527,30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648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Iné </w:t>
            </w:r>
          </w:p>
        </w:tc>
        <w:tc>
          <w:tcPr>
            <w:tcW w:w="49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14 písm. a) o  tvorbe a použití rezerv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2905"/>
        <w:gridCol w:w="2693"/>
        <w:gridCol w:w="1985"/>
        <w:gridCol w:w="1843"/>
        <w:gridCol w:w="2126"/>
        <w:gridCol w:w="2693"/>
      </w:tblGrid>
      <w:tr w:rsidR="00903AD1" w:rsidRPr="00903AD1" w:rsidTr="00903AD1"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Druh rezervy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ÚO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Jednotlivé druhy krátkodobých zákonných rezerv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239,50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479,50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Jednotlivé druhy dlhodobých zákonných rezerv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Zákonné rezervy spolu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Jednotlivé druhy krátkodobých ostatných rezerv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Jednotlivé druhy dlhodobých ostatných rezerv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Ostatné rezervy spolu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2905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Rezervy spolu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239,50</w:t>
            </w:r>
          </w:p>
        </w:tc>
        <w:tc>
          <w:tcPr>
            <w:tcW w:w="19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479,50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14 písm. c) a d) o záväzkoch</w:t>
      </w:r>
    </w:p>
    <w:tbl>
      <w:tblPr>
        <w:tblW w:w="11552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4890"/>
        <w:gridCol w:w="3118"/>
        <w:gridCol w:w="3544"/>
      </w:tblGrid>
      <w:tr w:rsidR="00903AD1" w:rsidRPr="00903AD1" w:rsidTr="00903AD1">
        <w:tc>
          <w:tcPr>
            <w:tcW w:w="4890" w:type="dxa"/>
            <w:vMerge w:val="restart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vMerge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590,82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590,82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590,82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590,82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0</w:t>
            </w: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489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590,82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590,82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14 písm. e) o vývoji sociálneho fondu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4323"/>
        <w:gridCol w:w="3685"/>
        <w:gridCol w:w="3544"/>
      </w:tblGrid>
      <w:tr w:rsidR="00903AD1" w:rsidRPr="00903AD1" w:rsidTr="00903AD1"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Bežné  účtovné obdobie</w:t>
            </w: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Bezprostredne predchádzajúce účtovné  obdobie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4323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54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14 písm. f) o bankových úveroch, pôžičkách a návratných finančných výpomociach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903AD1" w:rsidRPr="00903AD1" w:rsidTr="00903AD1"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Výška úroku v %</w:t>
            </w: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Forma zabezpečenia</w:t>
            </w: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Suma istiny na konci bezprostredne predchádzajúceho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771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15 o významných položkách výnosov budúcich období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3070"/>
        <w:gridCol w:w="3663"/>
        <w:gridCol w:w="2126"/>
        <w:gridCol w:w="2268"/>
        <w:gridCol w:w="3260"/>
      </w:tblGrid>
      <w:tr w:rsidR="00903AD1" w:rsidRPr="00903AD1" w:rsidTr="00903AD1"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lastRenderedPageBreak/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ÚO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grantu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Podielu </w:t>
            </w: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dane+dary</w:t>
            </w:r>
            <w:proofErr w:type="spellEnd"/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9 184,90</w:t>
            </w: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14 912,24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3070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III ods. 16 o majetku prenajatom formou finančného prenájmu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3047"/>
        <w:gridCol w:w="3119"/>
        <w:gridCol w:w="2268"/>
        <w:gridCol w:w="2693"/>
        <w:gridCol w:w="3260"/>
      </w:tblGrid>
      <w:tr w:rsidR="00903AD1" w:rsidRPr="00903AD1" w:rsidTr="00903AD1">
        <w:tc>
          <w:tcPr>
            <w:tcW w:w="304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Finančný náklad</w:t>
            </w: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Stav na konci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4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both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4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304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304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lastRenderedPageBreak/>
              <w:t>viac ako päť rokov</w:t>
            </w:r>
          </w:p>
        </w:tc>
        <w:tc>
          <w:tcPr>
            <w:tcW w:w="311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 xml:space="preserve">Vzorová tabuľka k čl. IV  ods. 6 o účele a výške použitia podielu zaplatenej dane    </w:t>
      </w:r>
    </w:p>
    <w:tbl>
      <w:tblPr>
        <w:tblW w:w="14387" w:type="dxa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8678"/>
        <w:gridCol w:w="3129"/>
        <w:gridCol w:w="2580"/>
      </w:tblGrid>
      <w:tr w:rsidR="00903AD1" w:rsidRPr="00903AD1" w:rsidTr="00903AD1">
        <w:tc>
          <w:tcPr>
            <w:tcW w:w="715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Účel použitia podielu zaplatenej dane</w:t>
            </w:r>
          </w:p>
        </w:tc>
        <w:tc>
          <w:tcPr>
            <w:tcW w:w="396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 xml:space="preserve">Použitá suma </w:t>
            </w: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Použitá suma bežného účtovného obdobia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715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Poskytnuté príspevky iným účtovným jednotkám</w:t>
            </w:r>
          </w:p>
        </w:tc>
        <w:tc>
          <w:tcPr>
            <w:tcW w:w="396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104 808,80</w:t>
            </w: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104 808,80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715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96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7158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969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  <w:tc>
          <w:tcPr>
            <w:tcW w:w="32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1112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Zostatok podielu zaplatenej dane bežného účtovného obdobia</w:t>
            </w:r>
          </w:p>
        </w:tc>
        <w:tc>
          <w:tcPr>
            <w:tcW w:w="3260" w:type="dxa"/>
            <w:gridSpan w:val="2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14 912,24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b/>
          <w:bCs/>
          <w:lang w:eastAsia="sk-SK"/>
        </w:rPr>
      </w:pPr>
      <w:r w:rsidRPr="00903AD1">
        <w:rPr>
          <w:rFonts w:ascii="ArialNarrow" w:eastAsiaTheme="minorEastAsia" w:hAnsi="ArialNarrow" w:cs="ArialNarrow"/>
          <w:b/>
          <w:bCs/>
          <w:lang w:eastAsia="sk-SK"/>
        </w:rPr>
        <w:t>Vzorová tabuľka k čl. IV  ods. 8 o nákladoch vynaložených v súvislosti s auditom účtovnej závierky</w:t>
      </w:r>
    </w:p>
    <w:tbl>
      <w:tblPr>
        <w:tblW w:w="0" w:type="auto"/>
        <w:tblBorders>
          <w:top w:val="single" w:sz="4" w:space="0" w:color="BFBFBF"/>
          <w:left w:val="single" w:sz="4" w:space="0" w:color="BFBFBF"/>
          <w:right w:val="single" w:sz="4" w:space="0" w:color="BFBFBF"/>
        </w:tblBorders>
        <w:tblLayout w:type="fixed"/>
        <w:tblLook w:val="0000"/>
      </w:tblPr>
      <w:tblGrid>
        <w:gridCol w:w="6307"/>
        <w:gridCol w:w="2977"/>
      </w:tblGrid>
      <w:tr w:rsidR="00903AD1" w:rsidRPr="00903AD1" w:rsidTr="00903AD1"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Suma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lang w:eastAsia="sk-SK"/>
              </w:rPr>
            </w:pPr>
            <w:r>
              <w:rPr>
                <w:rFonts w:ascii="ArialNarrow" w:eastAsiaTheme="minorEastAsia" w:hAnsi="ArialNarrow" w:cs="ArialNarrow"/>
                <w:lang w:eastAsia="sk-SK"/>
              </w:rPr>
              <w:t>480</w:t>
            </w: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proofErr w:type="spellStart"/>
            <w:r w:rsidRPr="00903AD1">
              <w:rPr>
                <w:rFonts w:ascii="ArialNarrow" w:eastAsiaTheme="minorEastAsia" w:hAnsi="ArialNarrow" w:cs="ArialNarrow"/>
                <w:lang w:eastAsia="sk-SK"/>
              </w:rPr>
              <w:t>uisťovacie</w:t>
            </w:r>
            <w:proofErr w:type="spellEnd"/>
            <w:r w:rsidRPr="00903AD1">
              <w:rPr>
                <w:rFonts w:ascii="ArialNarrow" w:eastAsiaTheme="minorEastAsia" w:hAnsi="ArialNarrow" w:cs="ArialNarrow"/>
                <w:lang w:eastAsia="sk-SK"/>
              </w:rPr>
              <w:t xml:space="preserve">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lang w:eastAsia="sk-SK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lang w:eastAsia="sk-SK"/>
              </w:rPr>
            </w:pPr>
          </w:p>
        </w:tc>
      </w:tr>
      <w:tr w:rsidR="00903AD1" w:rsidRPr="00903AD1" w:rsidTr="00903AD1">
        <w:tblPrEx>
          <w:tblBorders>
            <w:top w:val="none" w:sz="0" w:space="0" w:color="auto"/>
            <w:bottom w:val="single" w:sz="4" w:space="0" w:color="BFBFBF"/>
          </w:tblBorders>
        </w:tblPrEx>
        <w:tc>
          <w:tcPr>
            <w:tcW w:w="6307" w:type="dxa"/>
            <w:tcBorders>
              <w:top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:rsidR="00903AD1" w:rsidRPr="00903AD1" w:rsidRDefault="00903AD1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 w:rsidRPr="00903AD1"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</w:tcBorders>
            <w:vAlign w:val="center"/>
          </w:tcPr>
          <w:p w:rsidR="00903AD1" w:rsidRPr="00903AD1" w:rsidRDefault="008C552F" w:rsidP="00903AD1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ind w:right="-6"/>
              <w:jc w:val="center"/>
              <w:rPr>
                <w:rFonts w:ascii="ArialNarrow" w:eastAsiaTheme="minorEastAsia" w:hAnsi="ArialNarrow" w:cs="ArialNarrow"/>
                <w:b/>
                <w:bCs/>
                <w:lang w:eastAsia="sk-SK"/>
              </w:rPr>
            </w:pPr>
            <w:r>
              <w:rPr>
                <w:rFonts w:ascii="ArialNarrow" w:eastAsiaTheme="minorEastAsia" w:hAnsi="ArialNarrow" w:cs="ArialNarrow"/>
                <w:b/>
                <w:bCs/>
                <w:lang w:eastAsia="sk-SK"/>
              </w:rPr>
              <w:t>480</w:t>
            </w:r>
          </w:p>
        </w:tc>
      </w:tr>
    </w:tbl>
    <w:p w:rsidR="00903AD1" w:rsidRPr="00903AD1" w:rsidRDefault="00903AD1" w:rsidP="00903AD1">
      <w:pPr>
        <w:widowControl w:val="0"/>
        <w:autoSpaceDE w:val="0"/>
        <w:autoSpaceDN w:val="0"/>
        <w:adjustRightInd w:val="0"/>
        <w:spacing w:after="120" w:line="240" w:lineRule="auto"/>
        <w:ind w:right="-6"/>
        <w:jc w:val="both"/>
        <w:rPr>
          <w:rFonts w:ascii="ArialNarrow" w:eastAsiaTheme="minorEastAsia" w:hAnsi="ArialNarrow" w:cs="ArialNarrow"/>
          <w:lang w:eastAsia="sk-SK"/>
        </w:rPr>
      </w:pPr>
    </w:p>
    <w:p w:rsidR="00E031A5" w:rsidRDefault="00E031A5">
      <w:bookmarkStart w:id="0" w:name="_GoBack"/>
      <w:bookmarkEnd w:id="0"/>
    </w:p>
    <w:sectPr w:rsidR="00E031A5" w:rsidSect="00903AD1">
      <w:pgSz w:w="16840" w:h="11900" w:orient="landscape"/>
      <w:pgMar w:top="851" w:right="851" w:bottom="851" w:left="851" w:header="708" w:footer="708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Narrow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>
    <w:nsid w:val="00000002"/>
    <w:multiLevelType w:val="hybridMultilevel"/>
    <w:tmpl w:val="00000002"/>
    <w:lvl w:ilvl="0" w:tplc="00000065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>
    <w:nsid w:val="00000003"/>
    <w:multiLevelType w:val="hybridMultilevel"/>
    <w:tmpl w:val="00000003"/>
    <w:lvl w:ilvl="0" w:tplc="000000C9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>
    <w:nsid w:val="00000004"/>
    <w:multiLevelType w:val="hybridMultilevel"/>
    <w:tmpl w:val="00000004"/>
    <w:lvl w:ilvl="0" w:tplc="0000012D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>
    <w:nsid w:val="00000005"/>
    <w:multiLevelType w:val="hybridMultilevel"/>
    <w:tmpl w:val="00000005"/>
    <w:lvl w:ilvl="0" w:tplc="00000191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>
    <w:nsid w:val="39844F73"/>
    <w:multiLevelType w:val="hybridMultilevel"/>
    <w:tmpl w:val="32A668FE"/>
    <w:lvl w:ilvl="0" w:tplc="168C5AD0">
      <w:numFmt w:val="bullet"/>
      <w:lvlText w:val=""/>
      <w:lvlJc w:val="left"/>
      <w:pPr>
        <w:ind w:left="720" w:hanging="360"/>
      </w:pPr>
      <w:rPr>
        <w:rFonts w:ascii="Symbol" w:eastAsiaTheme="minorEastAsia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8877231"/>
    <w:multiLevelType w:val="hybridMultilevel"/>
    <w:tmpl w:val="FCA85F86"/>
    <w:lvl w:ilvl="0" w:tplc="21A411E6">
      <w:numFmt w:val="bullet"/>
      <w:lvlText w:val="-"/>
      <w:lvlJc w:val="left"/>
      <w:pPr>
        <w:ind w:left="720" w:hanging="360"/>
      </w:pPr>
      <w:rPr>
        <w:rFonts w:ascii="ArialNarrow" w:eastAsiaTheme="minorEastAsia" w:hAnsi="Arial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3427F0F"/>
    <w:multiLevelType w:val="hybridMultilevel"/>
    <w:tmpl w:val="8842E79C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6"/>
  </w:num>
  <w:num w:numId="7">
    <w:abstractNumId w:val="7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03AD1"/>
    <w:rsid w:val="00372442"/>
    <w:rsid w:val="0064450E"/>
    <w:rsid w:val="008C552F"/>
    <w:rsid w:val="00903AD1"/>
    <w:rsid w:val="00914CBC"/>
    <w:rsid w:val="00A5258C"/>
    <w:rsid w:val="00C339E7"/>
    <w:rsid w:val="00E031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244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03AD1"/>
  </w:style>
  <w:style w:type="paragraph" w:styleId="Textbubliny">
    <w:name w:val="Balloon Text"/>
    <w:basedOn w:val="Normlny"/>
    <w:link w:val="TextbublinyChar"/>
    <w:uiPriority w:val="99"/>
    <w:semiHidden/>
    <w:unhideWhenUsed/>
    <w:rsid w:val="00903AD1"/>
    <w:pPr>
      <w:spacing w:after="0" w:line="240" w:lineRule="auto"/>
    </w:pPr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AD1"/>
    <w:rPr>
      <w:rFonts w:ascii="Tahoma" w:eastAsiaTheme="minorEastAsia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Bezzoznamu1">
    <w:name w:val="Bez zoznamu1"/>
    <w:next w:val="Bezzoznamu"/>
    <w:uiPriority w:val="99"/>
    <w:semiHidden/>
    <w:unhideWhenUsed/>
    <w:rsid w:val="00903AD1"/>
  </w:style>
  <w:style w:type="paragraph" w:styleId="Textbubliny">
    <w:name w:val="Balloon Text"/>
    <w:basedOn w:val="Normlny"/>
    <w:link w:val="TextbublinyChar"/>
    <w:uiPriority w:val="99"/>
    <w:semiHidden/>
    <w:unhideWhenUsed/>
    <w:rsid w:val="00903AD1"/>
    <w:pPr>
      <w:spacing w:after="0" w:line="240" w:lineRule="auto"/>
    </w:pPr>
    <w:rPr>
      <w:rFonts w:ascii="Tahoma" w:eastAsiaTheme="minorEastAsi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3AD1"/>
    <w:rPr>
      <w:rFonts w:ascii="Tahoma" w:eastAsiaTheme="minorEastAsia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16</Pages>
  <Words>3033</Words>
  <Characters>17294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PA</cp:lastModifiedBy>
  <cp:revision>2</cp:revision>
  <dcterms:created xsi:type="dcterms:W3CDTF">2015-05-07T07:27:00Z</dcterms:created>
  <dcterms:modified xsi:type="dcterms:W3CDTF">2015-05-15T09:20:00Z</dcterms:modified>
</cp:coreProperties>
</file>