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3"/>
        <w:gridCol w:w="6237"/>
      </w:tblGrid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C40B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TAMAGA s.r.o.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C40B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47130008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C40B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Pečnianska</w:t>
            </w:r>
            <w:proofErr w:type="spellEnd"/>
            <w:r>
              <w:rPr>
                <w:rFonts w:ascii="Arial" w:hAnsi="Arial" w:cs="Arial"/>
              </w:rPr>
              <w:t xml:space="preserve"> 31, 851 015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A001D" w:rsidRDefault="00CA001D" w:rsidP="00CA001D">
      <w:pPr>
        <w:pStyle w:val="Standard"/>
        <w:rPr>
          <w:rFonts w:ascii="Arial" w:eastAsia="TimesNewRomanPS-BoldMT" w:hAnsi="Arial" w:cs="TimesNewRomanPS-BoldMT"/>
          <w:bCs/>
          <w:sz w:val="20"/>
          <w:szCs w:val="20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>
        <w:rPr>
          <w:rFonts w:ascii="Arial" w:eastAsia="TimesNewRomanPS-BoldMT" w:hAnsi="Arial" w:cs="TimesNewRomanPS-BoldMT"/>
          <w:bCs/>
          <w:sz w:val="20"/>
          <w:szCs w:val="20"/>
        </w:rPr>
        <w:t>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7"/>
        <w:gridCol w:w="2126"/>
        <w:gridCol w:w="2977"/>
      </w:tblGrid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297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174FA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n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Pr="002A0AE4">
        <w:rPr>
          <w:rFonts w:ascii="Arial" w:hAnsi="Arial" w:cs="Arial"/>
          <w:b/>
          <w:sz w:val="22"/>
          <w:szCs w:val="22"/>
          <w:u w:val="single"/>
        </w:rPr>
        <w:t>p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Pr="002A0AE4">
        <w:rPr>
          <w:rFonts w:ascii="Arial" w:hAnsi="Arial" w:cs="Arial"/>
          <w:b/>
          <w:sz w:val="22"/>
          <w:szCs w:val="22"/>
          <w:u w:val="single"/>
        </w:rPr>
        <w:t>ržite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pokr</w:t>
      </w:r>
      <w:r w:rsidRPr="002A0AE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Pr="002A0AE4">
        <w:rPr>
          <w:rFonts w:ascii="Arial" w:hAnsi="Arial" w:cs="Arial"/>
          <w:b/>
          <w:sz w:val="22"/>
          <w:szCs w:val="22"/>
          <w:u w:val="single"/>
        </w:rPr>
        <w:t>v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>.</w:t>
      </w:r>
      <w:r w:rsidR="009174FA">
        <w:rPr>
          <w:rFonts w:ascii="Arial" w:hAnsi="Arial" w:cs="Arial"/>
          <w:sz w:val="22"/>
          <w:szCs w:val="22"/>
        </w:rPr>
        <w:t xml:space="preserve"> 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1"/>
        <w:gridCol w:w="4479"/>
      </w:tblGrid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B73A6" w:rsidRPr="00A55E63" w:rsidRDefault="000B73A6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Dlhodobý majetok nakupovaný sa oceňuje obstarávacou cenou, ktorá zahŕňa cenu obstarania a náklady súvisiace s obstaraním (clo, prepravu, montáž, poistné a pod.)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lastRenderedPageBreak/>
        <w:t xml:space="preserve">Odpisy dlhodobého hmotného majetku sú stanovené vychádzajúc z predpokladanej doby jeho používania a predpokladaného priebehu jeho opotrebenia.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Drobný dlhodobý hmotný majetok, ktorého obstarávacia cena je 1 700 EUR a nižšia, sa odpisuje jednorazovo pri uvedení do používania.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Pozemky sa neodpisujú. 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Predpokladaná doba používania, metóda odpisovania a odpisová sadzba sú uvedené v nasledujúcej tabuľke: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tbl>
      <w:tblPr>
        <w:tblW w:w="9214" w:type="dxa"/>
        <w:tblInd w:w="392" w:type="dxa"/>
        <w:tblCellMar>
          <w:left w:w="10" w:type="dxa"/>
          <w:right w:w="10" w:type="dxa"/>
        </w:tblCellMar>
        <w:tblLook w:val="0000"/>
      </w:tblPr>
      <w:tblGrid>
        <w:gridCol w:w="2551"/>
        <w:gridCol w:w="2410"/>
        <w:gridCol w:w="2268"/>
        <w:gridCol w:w="1985"/>
      </w:tblGrid>
      <w:tr w:rsidR="00CA001D" w:rsidTr="00CA001D">
        <w:tblPrEx>
          <w:tblCellMar>
            <w:top w:w="0" w:type="dxa"/>
            <w:bottom w:w="0" w:type="dxa"/>
          </w:tblCellMar>
        </w:tblPrEx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Predpokladaná doba požívania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Metóda odpisovania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Ročná odpisová sadzba</w:t>
            </w:r>
          </w:p>
        </w:tc>
      </w:tr>
      <w:tr w:rsidR="00CA001D" w:rsidTr="00CA001D">
        <w:tblPrEx>
          <w:tblCellMar>
            <w:top w:w="0" w:type="dxa"/>
            <w:bottom w:w="0" w:type="dxa"/>
          </w:tblCellMar>
        </w:tblPrEx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Stavby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</w:tr>
      <w:tr w:rsidR="00CA001D" w:rsidTr="00CA001D">
        <w:tblPrEx>
          <w:tblCellMar>
            <w:top w:w="0" w:type="dxa"/>
            <w:bottom w:w="0" w:type="dxa"/>
          </w:tblCellMar>
        </w:tblPrEx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16,67-25</w:t>
            </w:r>
          </w:p>
        </w:tc>
      </w:tr>
      <w:tr w:rsidR="00CA001D" w:rsidTr="00CA001D">
        <w:tblPrEx>
          <w:tblCellMar>
            <w:top w:w="0" w:type="dxa"/>
            <w:bottom w:w="0" w:type="dxa"/>
          </w:tblCellMar>
        </w:tblPrEx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Dopravné prostriedky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lineárna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</w:t>
            </w:r>
          </w:p>
        </w:tc>
      </w:tr>
      <w:tr w:rsidR="00CA001D" w:rsidTr="00CA001D">
        <w:tblPrEx>
          <w:tblCellMar>
            <w:top w:w="0" w:type="dxa"/>
            <w:bottom w:w="0" w:type="dxa"/>
          </w:tblCellMar>
        </w:tblPrEx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Drobný nehmotný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rôzna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jednorazový odpis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</w:t>
            </w:r>
          </w:p>
        </w:tc>
      </w:tr>
    </w:tbl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4.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Z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meny účtovných zásad a účtovných metód</w:t>
      </w:r>
    </w:p>
    <w:p w:rsidR="00E53EE1" w:rsidRPr="00A55E63" w:rsidRDefault="00E53EE1" w:rsidP="00E53EE1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zásady boli aplikované v rámci platného zákona o účtovníctve     s osobitosťami: prechod na MÚJ zo zákona.</w:t>
      </w:r>
    </w:p>
    <w:p w:rsidR="00E53EE1" w:rsidRDefault="00E53EE1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5.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Zásoby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6.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Zákazková výroba</w:t>
      </w:r>
    </w:p>
    <w:p w:rsidR="00712EB2" w:rsidRDefault="00712EB2" w:rsidP="00CA001D">
      <w:pPr>
        <w:pStyle w:val="Standard"/>
        <w:jc w:val="both"/>
        <w:rPr>
          <w:rFonts w:ascii="Arial" w:eastAsia="TimesNewRomanPSMT" w:hAnsi="Arial" w:cs="TimesNewRomanPSMT"/>
          <w:b/>
          <w:sz w:val="20"/>
          <w:szCs w:val="20"/>
        </w:rPr>
      </w:pPr>
    </w:p>
    <w:p w:rsidR="00712EB2" w:rsidRDefault="00712EB2" w:rsidP="00CA001D">
      <w:pPr>
        <w:pStyle w:val="Standard"/>
        <w:jc w:val="both"/>
        <w:rPr>
          <w:rFonts w:ascii="Arial" w:eastAsia="TimesNewRomanPSMT" w:hAnsi="Arial" w:cs="TimesNewRomanPSMT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7.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Pohľadávky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8.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Peňažné prostriedky a ceniny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Peňažné prostriedky a ceniny sa oceňujú ich menovitou hodnotou. Zníženie ich hodnoty sa vyjadruje opravnou položkou.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9.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Náklady budúcich období a príjmy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10.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Rezervy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11.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Záväzky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12.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Odložené dane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13.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Výdavky budúcich období a výnosy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14.</w:t>
      </w:r>
      <w:r w:rsidR="00CA001D">
        <w:rPr>
          <w:rFonts w:ascii="Arial" w:hAnsi="Arial"/>
          <w:b/>
          <w:sz w:val="20"/>
          <w:szCs w:val="20"/>
        </w:rPr>
        <w:t xml:space="preserve"> Prenájom (lízing)</w:t>
      </w:r>
    </w:p>
    <w:p w:rsidR="009174FA" w:rsidRPr="009174FA" w:rsidRDefault="009174FA" w:rsidP="00CA001D">
      <w:pPr>
        <w:pStyle w:val="Standard"/>
        <w:autoSpaceDE w:val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15.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D</w:t>
      </w:r>
      <w:r w:rsidR="00CB3E31">
        <w:rPr>
          <w:rFonts w:ascii="Arial" w:eastAsia="TimesNewRomanPS-BoldMT" w:hAnsi="Arial" w:cs="TimesNewRomanPS-BoldMT"/>
          <w:b/>
          <w:bCs/>
          <w:sz w:val="20"/>
          <w:szCs w:val="20"/>
        </w:rPr>
        <w:t>otácie poskytnuté na obstaranie majetku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16.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Majetok a záväzky zabezpečené derivátmi</w:t>
      </w:r>
    </w:p>
    <w:p w:rsidR="00CA001D" w:rsidRDefault="00CA001D" w:rsidP="00712EB2">
      <w:pPr>
        <w:pStyle w:val="Standard"/>
        <w:autoSpaceDE w:val="0"/>
        <w:ind w:left="284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sz w:val="20"/>
          <w:szCs w:val="20"/>
        </w:rPr>
        <w:t>Majetok a záväzky zabezpečené derivátmi sa oceňujú reálnou hodnotou. Zmeny reálnych hodnôt majetku a záväzkov zabezpečených derivátmi sa účtujú bez vplyvu na výsledok hospodárenia, priamo do vlastného imania.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17.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Cudzia mena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E47F64">
      <w:pPr>
        <w:pStyle w:val="Standard"/>
        <w:autoSpaceDE w:val="0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18.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Výnosy</w:t>
      </w:r>
    </w:p>
    <w:p w:rsidR="00CA001D" w:rsidRDefault="00CA001D" w:rsidP="00712EB2">
      <w:pPr>
        <w:pStyle w:val="Standard"/>
        <w:autoSpaceDE w:val="0"/>
        <w:ind w:left="284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sz w:val="20"/>
          <w:szCs w:val="20"/>
        </w:rPr>
        <w:t>Tržby za vlastné výkony a tovar neobsahujú daň z pridanej hodnoty. Sú tiež znížené o zľavy a zrážky (rabaty, bonusy,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skontá, dobropisy a pod.), bez ohľadu na to, či zákazník mal vopred na zľavu nárok, alebo či ide o dodatočne uznanú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zľavu.</w:t>
      </w:r>
    </w:p>
    <w:p w:rsidR="00E47F64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922194" w:rsidRDefault="0092219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b/>
          <w:sz w:val="20"/>
          <w:szCs w:val="20"/>
        </w:rPr>
      </w:pPr>
      <w:r w:rsidRPr="00E47F64">
        <w:rPr>
          <w:rFonts w:ascii="Arial" w:eastAsia="TimesNewRomanPSMT" w:hAnsi="Arial" w:cs="TimesNewRomanPSMT"/>
          <w:b/>
          <w:sz w:val="20"/>
          <w:szCs w:val="20"/>
        </w:rPr>
        <w:t>19.</w:t>
      </w:r>
      <w:r>
        <w:rPr>
          <w:rFonts w:ascii="Arial" w:eastAsia="TimesNewRomanPSMT" w:hAnsi="Arial" w:cs="TimesNewRomanPSMT"/>
          <w:sz w:val="20"/>
          <w:szCs w:val="20"/>
        </w:rPr>
        <w:t xml:space="preserve">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 xml:space="preserve">Oprava významných a nevýznamných chýb minulých účtovných období vykonaných v bežnom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       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>účtovnom období</w:t>
      </w:r>
    </w:p>
    <w:p w:rsidR="00E47F64" w:rsidRPr="001E0E26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       </w:t>
      </w:r>
      <w:r w:rsidR="001E0E26" w:rsidRPr="001E0E26">
        <w:rPr>
          <w:rFonts w:ascii="Arial" w:eastAsia="TimesNewRomanPSMT" w:hAnsi="Arial" w:cs="TimesNewRomanPSMT"/>
          <w:sz w:val="20"/>
          <w:szCs w:val="20"/>
        </w:rPr>
        <w:t>V</w:t>
      </w:r>
      <w:r w:rsidR="001E0E26">
        <w:rPr>
          <w:rFonts w:ascii="Arial" w:eastAsia="TimesNewRomanPSMT" w:hAnsi="Arial" w:cs="TimesNewRomanPSMT"/>
          <w:sz w:val="20"/>
          <w:szCs w:val="20"/>
        </w:rPr>
        <w:t> účtovnom období nebolo účtované o oprave minulých chýb</w:t>
      </w: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2362B0" w:rsidRDefault="002362B0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362B0" w:rsidRPr="00A55E63" w:rsidRDefault="002362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4A5" w:rsidRDefault="00A614A5">
      <w:r>
        <w:separator/>
      </w:r>
    </w:p>
  </w:endnote>
  <w:endnote w:type="continuationSeparator" w:id="0">
    <w:p w:rsidR="00A614A5" w:rsidRDefault="00A614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TimesNewRomanPSMT"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362B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4A5" w:rsidRDefault="00A614A5">
      <w:r>
        <w:separator/>
      </w:r>
    </w:p>
  </w:footnote>
  <w:footnote w:type="continuationSeparator" w:id="0">
    <w:p w:rsidR="00A614A5" w:rsidRDefault="00A614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0BA5">
      <w:rPr>
        <w:rFonts w:ascii="Arial" w:hAnsi="Arial" w:cs="Arial"/>
        <w:sz w:val="22"/>
        <w:szCs w:val="22"/>
        <w:bdr w:val="single" w:sz="4" w:space="0" w:color="auto"/>
      </w:rPr>
      <w:t>47130008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0BA5">
      <w:rPr>
        <w:rFonts w:ascii="Arial" w:hAnsi="Arial" w:cs="Arial"/>
        <w:sz w:val="22"/>
        <w:szCs w:val="22"/>
        <w:bdr w:val="single" w:sz="4" w:space="0" w:color="auto"/>
      </w:rPr>
      <w:t>2023752357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93AD1"/>
    <w:rsid w:val="000B73A6"/>
    <w:rsid w:val="000D4CAF"/>
    <w:rsid w:val="001406AD"/>
    <w:rsid w:val="001E0E26"/>
    <w:rsid w:val="002362B0"/>
    <w:rsid w:val="002401F1"/>
    <w:rsid w:val="002A0AE4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12EB2"/>
    <w:rsid w:val="00845761"/>
    <w:rsid w:val="008771A6"/>
    <w:rsid w:val="00913435"/>
    <w:rsid w:val="00916772"/>
    <w:rsid w:val="009174FA"/>
    <w:rsid w:val="00922194"/>
    <w:rsid w:val="00984170"/>
    <w:rsid w:val="009A27D0"/>
    <w:rsid w:val="009D5C84"/>
    <w:rsid w:val="00A55E63"/>
    <w:rsid w:val="00A614A5"/>
    <w:rsid w:val="00AD42B8"/>
    <w:rsid w:val="00AD6C8A"/>
    <w:rsid w:val="00AD749D"/>
    <w:rsid w:val="00B15261"/>
    <w:rsid w:val="00B15E67"/>
    <w:rsid w:val="00B7440A"/>
    <w:rsid w:val="00C01CB7"/>
    <w:rsid w:val="00C40BA5"/>
    <w:rsid w:val="00CA001D"/>
    <w:rsid w:val="00CB3E31"/>
    <w:rsid w:val="00CC3205"/>
    <w:rsid w:val="00CD545D"/>
    <w:rsid w:val="00E47F64"/>
    <w:rsid w:val="00E53EE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CA001D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296883E5-E2B2-48D0-95D6-A4A39288E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1286</Words>
  <Characters>7336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6</cp:revision>
  <dcterms:created xsi:type="dcterms:W3CDTF">2015-06-05T08:43:00Z</dcterms:created>
  <dcterms:modified xsi:type="dcterms:W3CDTF">2015-06-05T09:53:00Z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