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810000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A. Informácie o obchodnej spoločnosti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1. Založenie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C3CD5" w:rsidRDefault="004C0CF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Obchodná spoločnosť 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494"/>
      </w:tblGrid>
      <w:tr w:rsidR="00BC3CD5" w:rsidRPr="00BC3CD5" w:rsidTr="00BC3CD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287"/>
              <w:gridCol w:w="3119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MYL, s. r. o. </w:t>
                  </w:r>
                </w:p>
              </w:tc>
              <w:tc>
                <w:tcPr>
                  <w:tcW w:w="1650" w:type="pct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C3CD5" w:rsidRPr="00BC3CD5" w:rsidRDefault="00BC3CD5" w:rsidP="00BC3CD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C3CD5" w:rsidRPr="00BC3CD5" w:rsidTr="00BC3C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Krčméryho</w:t>
                  </w:r>
                  <w:proofErr w:type="spellEnd"/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5 </w:t>
                  </w: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Bratislava 811 04 </w:t>
                  </w:r>
                </w:p>
              </w:tc>
              <w:tc>
                <w:tcPr>
                  <w:tcW w:w="1650" w:type="pct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C3CD5" w:rsidRPr="00BC3CD5" w:rsidRDefault="00BC3CD5" w:rsidP="00BC3CD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BC3CD5" w:rsidRPr="00BC3CD5" w:rsidTr="00BC3CD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BC3CD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490"/>
            </w:tblGrid>
            <w:tr w:rsidR="00BC3CD5" w:rsidRPr="00BC3CD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BC3CD5" w:rsidRPr="00BC3CD5" w:rsidRDefault="00BC3CD5" w:rsidP="00BC3CD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BC3CD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44 163 622 </w:t>
                  </w:r>
                </w:p>
              </w:tc>
            </w:tr>
          </w:tbl>
          <w:p w:rsidR="00BC3CD5" w:rsidRPr="00BC3CD5" w:rsidRDefault="00BC3CD5" w:rsidP="00BC3CD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BF7CD2" w:rsidRPr="00BF7CD2" w:rsidRDefault="00BC3CD5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 xml:space="preserve"> </w:t>
      </w:r>
      <w:r>
        <w:rPr>
          <w:rStyle w:val="ra"/>
        </w:rPr>
        <w:t>Spoločnosť bola založená zakladateľskou listinou zo dňa 28.4.2008 v zmysle príslušných ustanovení z. č. 513/1991 Zb. Obchodný zákonník.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, a do Obchodného registra Okresného súdu Bratislava 1 v Bratislave,</w:t>
      </w:r>
      <w:r>
        <w:rPr>
          <w:rFonts w:ascii="Calibri" w:hAnsi="Calibri" w:cs="Calibri"/>
          <w:color w:val="4B4B4B"/>
          <w:sz w:val="24"/>
          <w:szCs w:val="24"/>
        </w:rPr>
        <w:t xml:space="preserve"> 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oddiel S</w:t>
      </w:r>
      <w:r w:rsidR="004C0CF2">
        <w:rPr>
          <w:rFonts w:ascii="Calibri" w:hAnsi="Calibri" w:cs="Calibri"/>
          <w:color w:val="4B4B4B"/>
          <w:sz w:val="24"/>
          <w:szCs w:val="24"/>
        </w:rPr>
        <w:t xml:space="preserve">RO 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, </w:t>
      </w:r>
      <w:r>
        <w:rPr>
          <w:rStyle w:val="tl"/>
        </w:rPr>
        <w:t>Vložka číslo: </w:t>
      </w:r>
      <w:r>
        <w:t xml:space="preserve"> </w:t>
      </w:r>
      <w:r>
        <w:rPr>
          <w:rStyle w:val="ra"/>
        </w:rPr>
        <w:t>52294/B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, bola zapísaná dňa </w:t>
      </w:r>
      <w:r w:rsidR="004C0CF2">
        <w:rPr>
          <w:rFonts w:ascii="Calibri" w:hAnsi="Calibri" w:cs="Calibri"/>
          <w:color w:val="4B4B4B"/>
          <w:sz w:val="24"/>
          <w:szCs w:val="24"/>
        </w:rPr>
        <w:t>15.</w:t>
      </w:r>
      <w:r>
        <w:rPr>
          <w:rFonts w:ascii="Calibri" w:hAnsi="Calibri" w:cs="Calibri"/>
          <w:color w:val="4B4B4B"/>
          <w:sz w:val="24"/>
          <w:szCs w:val="24"/>
        </w:rPr>
        <w:t>05</w:t>
      </w:r>
      <w:r w:rsidR="004C0CF2">
        <w:rPr>
          <w:rFonts w:ascii="Calibri" w:hAnsi="Calibri" w:cs="Calibri"/>
          <w:color w:val="4B4B4B"/>
          <w:sz w:val="24"/>
          <w:szCs w:val="24"/>
        </w:rPr>
        <w:t>.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 xml:space="preserve"> 20</w:t>
      </w:r>
      <w:r>
        <w:rPr>
          <w:rFonts w:ascii="Calibri" w:hAnsi="Calibri" w:cs="Calibri"/>
          <w:color w:val="4B4B4B"/>
          <w:sz w:val="24"/>
          <w:szCs w:val="24"/>
        </w:rPr>
        <w:t>08</w:t>
      </w:r>
      <w:r w:rsidR="00BF7CD2" w:rsidRPr="00BF7CD2">
        <w:rPr>
          <w:rFonts w:ascii="Calibri" w:hAnsi="Calibri" w:cs="Calibri"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2. Hlavné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innosti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Medzi hlavné obchodné činnosti obchodnej spoločnosti patria:</w:t>
      </w:r>
    </w:p>
    <w:p w:rsidR="00BC3CD5" w:rsidRPr="00BC3CD5" w:rsidRDefault="00BC3CD5" w:rsidP="00BC3CD5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Style w:val="ra"/>
          <w:rFonts w:ascii="Calibri" w:hAnsi="Calibri" w:cs="Calibri"/>
          <w:color w:val="4B4B4B"/>
          <w:sz w:val="24"/>
          <w:szCs w:val="24"/>
        </w:rPr>
      </w:pPr>
      <w:r>
        <w:rPr>
          <w:rStyle w:val="ra"/>
        </w:rPr>
        <w:t>sprostredkovateľská činnosť v oblasti služieb v rozsahu verejných kultúrnych podujatí</w:t>
      </w:r>
    </w:p>
    <w:p w:rsidR="00BC3CD5" w:rsidRPr="00BC3CD5" w:rsidRDefault="00BC3CD5" w:rsidP="00BC3CD5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Style w:val="ra"/>
          <w:rFonts w:ascii="Calibri" w:hAnsi="Calibri" w:cs="Calibri"/>
          <w:color w:val="4B4B4B"/>
          <w:sz w:val="24"/>
          <w:szCs w:val="24"/>
        </w:rPr>
      </w:pPr>
      <w:r>
        <w:rPr>
          <w:rStyle w:val="ra"/>
        </w:rPr>
        <w:t>sprostredkovateľská činnosť v oblasti služieb v rozsahu reklamy</w:t>
      </w:r>
    </w:p>
    <w:p w:rsidR="00BC3CD5" w:rsidRPr="00BC3CD5" w:rsidRDefault="00BC3CD5" w:rsidP="00BC3CD5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Style w:val="ra"/>
        </w:rPr>
        <w:t>sprostredkovateľská činnosť v oblasti obchodu</w:t>
      </w:r>
    </w:p>
    <w:p w:rsidR="00BC3CD5" w:rsidRPr="00BF7CD2" w:rsidRDefault="00BC3CD5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3. Po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et zamestnancov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Informácie o počte zamestnancov obchodnej spoločnosti sú uvedené v nasledujúcej tabuľke:</w:t>
      </w:r>
    </w:p>
    <w:p w:rsidR="004C0CF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>
        <w:rPr>
          <w:rFonts w:ascii="Calibri" w:hAnsi="Calibri" w:cs="Calibri"/>
          <w:b/>
          <w:bCs/>
          <w:color w:val="4B4B4B"/>
          <w:sz w:val="24"/>
          <w:szCs w:val="24"/>
        </w:rPr>
        <w:t>Tabuľka č. 1</w:t>
      </w:r>
    </w:p>
    <w:p w:rsidR="00061CCB" w:rsidRPr="00BF7CD2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075"/>
      </w:tblGrid>
      <w:tr w:rsidR="00893F97" w:rsidTr="00893F97">
        <w:trPr>
          <w:trHeight w:val="705"/>
        </w:trPr>
        <w:tc>
          <w:tcPr>
            <w:tcW w:w="9075" w:type="dxa"/>
          </w:tcPr>
          <w:p w:rsidR="00893F97" w:rsidRDefault="00EB7B13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Zamestnanci k 31.12.2014</w:t>
            </w:r>
            <w:r w:rsidR="00893F97"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 xml:space="preserve">     </w:t>
            </w:r>
          </w:p>
          <w:p w:rsidR="00893F97" w:rsidRDefault="00BC3CD5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  <w:t>1</w:t>
            </w: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  <w:tr w:rsidR="00893F97" w:rsidTr="00C04396">
        <w:trPr>
          <w:trHeight w:val="524"/>
        </w:trPr>
        <w:tc>
          <w:tcPr>
            <w:tcW w:w="9075" w:type="dxa"/>
          </w:tcPr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  <w:p w:rsidR="00893F97" w:rsidRDefault="00893F97" w:rsidP="00893F97">
            <w:pPr>
              <w:autoSpaceDE w:val="0"/>
              <w:autoSpaceDN w:val="0"/>
              <w:adjustRightInd w:val="0"/>
              <w:spacing w:after="0" w:line="240" w:lineRule="auto"/>
              <w:ind w:left="-23"/>
              <w:rPr>
                <w:rFonts w:ascii="Calibri" w:hAnsi="Calibri" w:cs="Calibri"/>
                <w:b/>
                <w:bCs/>
                <w:i/>
                <w:iCs/>
                <w:color w:val="4B4B4B"/>
                <w:sz w:val="24"/>
                <w:szCs w:val="24"/>
              </w:rPr>
            </w:pPr>
          </w:p>
        </w:tc>
      </w:tr>
    </w:tbl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4. Neobmedzené ru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enie v inej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jednotke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Obchodná spoločnosť nie je neobmedzene ručiacim spoločníkom v žiadnej spoločnosti.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5. Právne dôvody na zostavenie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obchodnej spoločnos</w:t>
      </w:r>
      <w:r w:rsidR="00EB7B13">
        <w:rPr>
          <w:rFonts w:ascii="Calibri" w:hAnsi="Calibri" w:cs="Calibri"/>
          <w:color w:val="4B4B4B"/>
          <w:sz w:val="24"/>
          <w:szCs w:val="24"/>
        </w:rPr>
        <w:t>ti zostavená k 31. decembru 2014</w:t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zostavená ako riadna účtovná závierka podľa § 17 ods. 6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zákona č. 431/2002 Z. z. o účtovníctve v znení neskorších predpisov.</w:t>
      </w:r>
    </w:p>
    <w:p w:rsidR="00BF7CD2" w:rsidRDefault="00BF7CD2" w:rsidP="00893F97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6. Dátum schválenia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tovnej závierky za predchádzajúce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893F97">
        <w:rPr>
          <w:rFonts w:ascii="Calibri" w:hAnsi="Calibri" w:cs="Calibri"/>
          <w:b/>
          <w:bCs/>
          <w:color w:val="4B4B4B"/>
          <w:sz w:val="24"/>
          <w:szCs w:val="24"/>
        </w:rPr>
        <w:t>tovné obdo</w:t>
      </w:r>
      <w:r w:rsidR="00893F97">
        <w:rPr>
          <w:rFonts w:ascii="Calibri" w:hAnsi="Calibri" w:cs="Calibri"/>
          <w:color w:val="4B4B4B"/>
          <w:sz w:val="24"/>
          <w:szCs w:val="24"/>
        </w:rPr>
        <w:t>bie.</w:t>
      </w:r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B. Informácie o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lenoch štatutárnych, dozorných a iných orgánov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BC3CD5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>
        <w:rPr>
          <w:rFonts w:ascii="Calibri" w:hAnsi="Calibri" w:cs="Calibri"/>
          <w:color w:val="4B4B4B"/>
          <w:sz w:val="24"/>
          <w:szCs w:val="24"/>
        </w:rPr>
        <w:t>Konatelia:  Ivona Krajčovičová</w:t>
      </w:r>
    </w:p>
    <w:p w:rsidR="00893F97" w:rsidRDefault="00893F97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C. Informácie o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níkoch obchodnej spolo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nosti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Štruktúra spoločníkov obch</w:t>
      </w:r>
      <w:r w:rsidR="00EB7B13">
        <w:rPr>
          <w:rFonts w:ascii="Calibri" w:hAnsi="Calibri" w:cs="Calibri"/>
          <w:color w:val="4B4B4B"/>
          <w:sz w:val="24"/>
          <w:szCs w:val="24"/>
        </w:rPr>
        <w:t>odnej spoločnosti k 31. 12. 2014</w:t>
      </w:r>
      <w:r w:rsidR="002835C9">
        <w:rPr>
          <w:rFonts w:ascii="Calibri" w:hAnsi="Calibri" w:cs="Calibri"/>
          <w:color w:val="4B4B4B"/>
          <w:sz w:val="24"/>
          <w:szCs w:val="24"/>
        </w:rPr>
        <w:tab/>
      </w:r>
      <w:r w:rsidRPr="00BF7CD2">
        <w:rPr>
          <w:rFonts w:ascii="Calibri" w:hAnsi="Calibri" w:cs="Calibri"/>
          <w:color w:val="4B4B4B"/>
          <w:sz w:val="24"/>
          <w:szCs w:val="24"/>
        </w:rPr>
        <w:t xml:space="preserve"> je uvedená v nasledujúcom prehľade:</w:t>
      </w: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893F97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. 2 </w:t>
      </w:r>
    </w:p>
    <w:tbl>
      <w:tblPr>
        <w:tblW w:w="9495" w:type="dxa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495"/>
      </w:tblGrid>
      <w:tr w:rsidR="00C04396" w:rsidTr="00C04396">
        <w:trPr>
          <w:trHeight w:val="668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Spoločník                           dátum zmeny               výška podielu                   podiel na hlasovacích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                                           Na ZI                                   právach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C04396" w:rsidTr="00C04396">
        <w:trPr>
          <w:trHeight w:val="796"/>
        </w:trPr>
        <w:tc>
          <w:tcPr>
            <w:tcW w:w="9495" w:type="dxa"/>
          </w:tcPr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BC3CD5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Ivona Krajčovičová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100%    </w:t>
            </w: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6639     </w:t>
            </w:r>
            <w:r w:rsidR="00C04396"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EUR                       100%               </w:t>
            </w: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C04396" w:rsidRDefault="00C04396" w:rsidP="00C04396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C04396" w:rsidRDefault="00C04396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E. Informácie o použitých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zásadách a ú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tovných metódach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Účtovná závierka bola zostavená za predpokladu nepretržitého trvania obchodnej spoločnosti (</w:t>
      </w:r>
      <w:proofErr w:type="spellStart"/>
      <w:r w:rsidRPr="00BF7CD2">
        <w:rPr>
          <w:rFonts w:ascii="Calibri" w:hAnsi="Calibri" w:cs="Calibri"/>
          <w:color w:val="4B4B4B"/>
          <w:sz w:val="24"/>
          <w:szCs w:val="24"/>
        </w:rPr>
        <w:t>goingconcern</w:t>
      </w:r>
      <w:proofErr w:type="spellEnd"/>
      <w:r w:rsidRPr="00BF7CD2">
        <w:rPr>
          <w:rFonts w:ascii="Calibri" w:hAnsi="Calibri" w:cs="Calibri"/>
          <w:color w:val="4B4B4B"/>
          <w:sz w:val="24"/>
          <w:szCs w:val="24"/>
        </w:rPr>
        <w:t>). Základné účtovné metódy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použité pri zostavovaní tejto individuálnej účtovnej závierky sú opísané nižšie. Tieto metódy sa uplatňujú konzistentne počas všetkých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4B4B4B"/>
          <w:sz w:val="24"/>
          <w:szCs w:val="24"/>
        </w:rPr>
      </w:pPr>
      <w:r w:rsidRPr="00BF7CD2">
        <w:rPr>
          <w:rFonts w:ascii="Calibri" w:hAnsi="Calibri" w:cs="Calibri"/>
          <w:color w:val="4B4B4B"/>
          <w:sz w:val="24"/>
          <w:szCs w:val="24"/>
        </w:rPr>
        <w:t>účtovných období, ak nie je uvedené inak.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Návod na doplnenie informácií: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nehmotný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BF7CD2">
        <w:rPr>
          <w:rFonts w:ascii="Times New Roman" w:hAnsi="Times New Roman" w:cs="Times New Roman"/>
          <w:color w:val="000000"/>
          <w:sz w:val="24"/>
          <w:szCs w:val="24"/>
        </w:rPr>
        <w:t>strana 3/5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nehmotný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nehmotného majetku sú úroky z úverov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súvisiacich 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2. Dlhodobý nehmotný majetok vytvorený vlastnou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vlastnými nákladmi. Vlastnými nákladmi sú všetky priame náklady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vynaložené na výrobu alebo inú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nepriame náklady,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ahujú na výrobu a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innos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3. Náklady na výskum sa neaktivujú,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sa do nákladov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obdobia, v ktorom vznikli. Náklady na vývoj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tujú do obdobia,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-Italic" w:hAnsi="Calibri-Italic" w:cs="Calibri-Italic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v ktorom vznikli, ale tie náklady na vývoj, ktoré sa vz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ahujú na jasne definovaný výrobok alebo proces, pri ktorých je možné preukáza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>technickú realizovate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možnos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predaja, spolo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má dostato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né zdroje na dokon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enie projektu, jeho predaj alebo vnútorné využitie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výsledkov sa aktivujú, a to vo výške, ktorá je pravdepodobná, že sa získa spä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z budúcich ekonomických úžitkov.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Do obstarávaného dlhodobého nehmotného majetku sa aktivujú výdavky na vývoj na nový produkt „ABC“. Aktivované náklady na vývoj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odpisujú 5 rokov.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Odpisy dlhodobého nehmotného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používania a predpokladaného priebehu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opotrebenia.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ína v mesiaci zaradenia dlhodobo nehmotného majetku do používania. Nehmotný majetok, ktorého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obstarávacia cena je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2009: 1 660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nižšia, 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 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na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et 518 – Ostatné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služby. Dlhodobý nehmotný majetok, ktorý bol uvedený do používania najneskôr do 28. 2. 2009 v ocenení rovnom alebo nižšom ako 2 400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považuje za dlhodobý nehmotný majetok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>Tabu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b/>
          <w:bCs/>
          <w:color w:val="4B4B4B"/>
          <w:sz w:val="24"/>
          <w:szCs w:val="24"/>
        </w:rPr>
        <w:t xml:space="preserve">ka </w:t>
      </w:r>
      <w:r w:rsidRPr="00BF7CD2">
        <w:rPr>
          <w:rFonts w:ascii="Calibri-Bold" w:hAnsi="Calibri-Bold" w:cs="Calibri-Bold"/>
          <w:b/>
          <w:bCs/>
          <w:color w:val="4B4B4B"/>
          <w:sz w:val="24"/>
          <w:szCs w:val="24"/>
        </w:rPr>
        <w:t>č</w:t>
      </w:r>
      <w:r w:rsidR="00061CCB">
        <w:rPr>
          <w:rFonts w:ascii="Calibri" w:hAnsi="Calibri" w:cs="Calibri"/>
          <w:b/>
          <w:bCs/>
          <w:color w:val="4B4B4B"/>
          <w:sz w:val="24"/>
          <w:szCs w:val="24"/>
        </w:rPr>
        <w:t>. 3</w:t>
      </w: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tbl>
      <w:tblPr>
        <w:tblW w:w="9705" w:type="dxa"/>
        <w:tblInd w:w="1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705"/>
      </w:tblGrid>
      <w:tr w:rsidR="00061CCB" w:rsidTr="00061CCB">
        <w:trPr>
          <w:trHeight w:val="858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            Predpokladaná doba používania                               metóda odpisovania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  <w:tr w:rsidR="00061CCB" w:rsidTr="00061CCB">
        <w:trPr>
          <w:trHeight w:val="885"/>
        </w:trPr>
        <w:tc>
          <w:tcPr>
            <w:tcW w:w="9705" w:type="dxa"/>
          </w:tcPr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>Softwer</w:t>
            </w:r>
            <w:proofErr w:type="spellEnd"/>
            <w:r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  <w:t xml:space="preserve">                              0</w:t>
            </w:r>
          </w:p>
          <w:p w:rsidR="00061CCB" w:rsidRDefault="00061CCB" w:rsidP="00061CCB">
            <w:pPr>
              <w:autoSpaceDE w:val="0"/>
              <w:autoSpaceDN w:val="0"/>
              <w:adjustRightInd w:val="0"/>
              <w:spacing w:after="0" w:line="240" w:lineRule="auto"/>
              <w:ind w:left="-68"/>
              <w:rPr>
                <w:rFonts w:ascii="Calibri" w:hAnsi="Calibri" w:cs="Calibri"/>
                <w:b/>
                <w:bCs/>
                <w:color w:val="4B4B4B"/>
                <w:sz w:val="24"/>
                <w:szCs w:val="24"/>
              </w:rPr>
            </w:pPr>
          </w:p>
        </w:tc>
      </w:tr>
    </w:tbl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061CCB" w:rsidRDefault="00061CCB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C31BA2" w:rsidRPr="00BF7CD2" w:rsidRDefault="00C31BA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Dlhodobý hmotný majetok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b/>
          <w:bCs/>
          <w:i/>
          <w:iCs/>
          <w:color w:val="4B4B4B"/>
          <w:sz w:val="24"/>
          <w:szCs w:val="24"/>
        </w:rPr>
        <w:t>Predpokladaná doba používania Metóda odpisovania</w:t>
      </w:r>
    </w:p>
    <w:p w:rsidR="009D27A9" w:rsidRDefault="009D27A9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1. Dlhodobý hmotný majetok nakupovaný sa oce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obstarávacou cenou, ktorá zah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ŕň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cenu obstarania a náklady súvisiace s obstaraním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(clo, prepravu, montáž, poistné a pod.). Sú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as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ť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ou obstarávacej ceny dlhodobého hmotného majetku sú úroky z úverov súvisiacich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obstaraním majetku, ktoré vznikli do momentu zaradenia majetku do užívania.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2. Do dlhodobého hmotného majetku patrí majetok, ku ktorému má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tovná jednotka vlastnícke právo. 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Ď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alej do dlhodobého hmotného</w:t>
      </w:r>
    </w:p>
    <w:p w:rsidR="00BF7CD2" w:rsidRPr="00BF7CD2" w:rsidRDefault="00EB7B13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>
        <w:rPr>
          <w:rFonts w:ascii="Calibri" w:hAnsi="Calibri" w:cs="Calibri"/>
          <w:i/>
          <w:iCs/>
          <w:color w:val="4B4B4B"/>
          <w:sz w:val="24"/>
          <w:szCs w:val="24"/>
        </w:rPr>
        <w:t>majetku v roku 2014</w:t>
      </w:r>
      <w:r w:rsidR="00BF7CD2"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 bol zaradený nehnute</w:t>
      </w:r>
      <w:r w:rsidR="00BF7CD2"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="00BF7CD2" w:rsidRPr="00BF7CD2">
        <w:rPr>
          <w:rFonts w:ascii="Calibri" w:hAnsi="Calibri" w:cs="Calibri"/>
          <w:i/>
          <w:iCs/>
          <w:color w:val="4B4B4B"/>
          <w:sz w:val="24"/>
          <w:szCs w:val="24"/>
        </w:rPr>
        <w:t>ný majetok, ktorý ú</w:t>
      </w:r>
      <w:r w:rsidR="00BF7CD2"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="00BF7CD2" w:rsidRPr="00BF7CD2">
        <w:rPr>
          <w:rFonts w:ascii="Calibri" w:hAnsi="Calibri" w:cs="Calibri"/>
          <w:i/>
          <w:iCs/>
          <w:color w:val="4B4B4B"/>
          <w:sz w:val="24"/>
          <w:szCs w:val="24"/>
        </w:rPr>
        <w:t>tovná jednotka užíva, ale vlastnícke právo nadobudne až povolením vkladu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do katastra nehnute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3. Odpisy dlhodobého hmotného majetku sú stanovené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predpokladanej doby jeho používania a predpokladaného priebehu jeho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opotrebovania. Odpisova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ť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sa za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ne v mesiaci zaradenia dlhodobého hmotného majetku do používania. O dlhodobom hmotnom majetku,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lastRenderedPageBreak/>
        <w:t xml:space="preserve">ktorého obstarávacia cena je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 xml:space="preserve">€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(do 28. 2. 2009 : 996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) a zárove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s dobou použite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nosti dlhšou ako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jeden rok, sa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tuje ako o zásobách. Pozemky, umelecké diela a zbierky sa neodpisujú. Dlhodobý hmotný majetok vrátane technického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 xml:space="preserve">zhodnotenia, ktorý bol uvedený do používania do 28. 2. 2009 v ocenení rovnom alebo nižšom ako 1 700 </w:t>
      </w:r>
      <w:r w:rsidRPr="00BF7CD2">
        <w:rPr>
          <w:rFonts w:ascii="Times New Roman" w:hAnsi="Times New Roman" w:cs="Times New Roman"/>
          <w:i/>
          <w:iCs/>
          <w:color w:val="4B4B4B"/>
          <w:sz w:val="24"/>
          <w:szCs w:val="24"/>
        </w:rPr>
        <w:t>€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, sa považuje za dlhodobý hmotný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majetok aj po tomto dátume a pokra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uje sa v jeho odpisovaní.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4. Alternatívne sa vypracuje tabu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ka pod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ľ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a jednotlivého dlhodobého hmotného majetku so stanovenou metódou odpisovania a ro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nou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odpisovou sadzbou.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5. Odhadovaná doba životnosti a odpisový plán sú prehodnotené na konci každého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tovného obdobia.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6. V prípade zníženia úžitkovej hodnoty dlhodobého majetku zisteného pri inventarizácii, pokia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ľ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 zistená úžitková hodnota dlhodobého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majetku výrazne nižšia ako jeho ocenenie v ú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tovníctve po odpo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>č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ítaní oprávok, je k dlhodobému majetku vytvorená opravná položka na</w:t>
      </w:r>
    </w:p>
    <w:p w:rsidR="00BF7CD2" w:rsidRPr="00BF7CD2" w:rsidRDefault="00BF7CD2" w:rsidP="00BF7CD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i/>
          <w:iCs/>
          <w:color w:val="4B4B4B"/>
          <w:sz w:val="24"/>
          <w:szCs w:val="24"/>
        </w:rPr>
      </w:pP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úrove</w:t>
      </w:r>
      <w:r w:rsidRPr="00BF7CD2">
        <w:rPr>
          <w:rFonts w:ascii="Calibri-Italic" w:hAnsi="Calibri-Italic" w:cs="Calibri-Italic"/>
          <w:i/>
          <w:iCs/>
          <w:color w:val="4B4B4B"/>
          <w:sz w:val="24"/>
          <w:szCs w:val="24"/>
        </w:rPr>
        <w:t xml:space="preserve">ň </w:t>
      </w:r>
      <w:r w:rsidRPr="00BF7CD2">
        <w:rPr>
          <w:rFonts w:ascii="Calibri" w:hAnsi="Calibri" w:cs="Calibri"/>
          <w:i/>
          <w:iCs/>
          <w:color w:val="4B4B4B"/>
          <w:sz w:val="24"/>
          <w:szCs w:val="24"/>
        </w:rPr>
        <w:t>jeho zistenej úžitkovej hodnoty.</w:t>
      </w:r>
      <w:bookmarkStart w:id="0" w:name="_GoBack"/>
      <w:bookmarkEnd w:id="0"/>
    </w:p>
    <w:sectPr w:rsidR="00BF7CD2" w:rsidRPr="00BF7CD2" w:rsidSect="00D877FE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-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-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857DC6"/>
    <w:multiLevelType w:val="hybridMultilevel"/>
    <w:tmpl w:val="77B4B124"/>
    <w:lvl w:ilvl="0" w:tplc="6752344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F703A"/>
    <w:rsid w:val="00061CCB"/>
    <w:rsid w:val="002835C9"/>
    <w:rsid w:val="003F25BF"/>
    <w:rsid w:val="004C0CF2"/>
    <w:rsid w:val="005F5BCB"/>
    <w:rsid w:val="005F703A"/>
    <w:rsid w:val="0062513B"/>
    <w:rsid w:val="00890322"/>
    <w:rsid w:val="00893F97"/>
    <w:rsid w:val="009D27A9"/>
    <w:rsid w:val="00AD463E"/>
    <w:rsid w:val="00B065FA"/>
    <w:rsid w:val="00BC3CD5"/>
    <w:rsid w:val="00BF7CD2"/>
    <w:rsid w:val="00C04396"/>
    <w:rsid w:val="00C31BA2"/>
    <w:rsid w:val="00E032F3"/>
    <w:rsid w:val="00E77B24"/>
    <w:rsid w:val="00EB7B13"/>
    <w:rsid w:val="00F775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5BC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  <w:style w:type="character" w:customStyle="1" w:styleId="ra">
    <w:name w:val="ra"/>
    <w:basedOn w:val="Predvolenpsmoodseku"/>
    <w:rsid w:val="00BC3CD5"/>
  </w:style>
  <w:style w:type="character" w:customStyle="1" w:styleId="tl">
    <w:name w:val="tl"/>
    <w:basedOn w:val="Predvolenpsmoodseku"/>
    <w:rsid w:val="00BC3CD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C0CF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470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963</Words>
  <Characters>5492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YNNA</dc:creator>
  <cp:keywords/>
  <dc:description/>
  <cp:lastModifiedBy>a</cp:lastModifiedBy>
  <cp:revision>3</cp:revision>
  <dcterms:created xsi:type="dcterms:W3CDTF">2015-06-11T21:32:00Z</dcterms:created>
  <dcterms:modified xsi:type="dcterms:W3CDTF">2015-06-11T21:33:00Z</dcterms:modified>
</cp:coreProperties>
</file>