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D0" w:rsidRDefault="00EE19D0" w:rsidP="009770B6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B62C43" w:rsidRDefault="00B62C43" w:rsidP="009770B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B62C43" w:rsidRPr="00896D4F" w:rsidRDefault="00B62C43" w:rsidP="005A0D0C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Všeobecné údaje</w:t>
      </w:r>
    </w:p>
    <w:p w:rsidR="00AF596B" w:rsidRPr="00896D4F" w:rsidRDefault="00AF596B" w:rsidP="005A0D0C">
      <w:pPr>
        <w:pStyle w:val="Default"/>
        <w:jc w:val="center"/>
        <w:rPr>
          <w:color w:val="auto"/>
          <w:sz w:val="23"/>
          <w:szCs w:val="23"/>
        </w:rPr>
      </w:pPr>
    </w:p>
    <w:p w:rsidR="00B62C43" w:rsidRPr="00896D4F" w:rsidRDefault="00B62C43" w:rsidP="00AF596B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F596B" w:rsidRPr="00896D4F" w:rsidRDefault="00AF596B" w:rsidP="00103580">
      <w:pPr>
        <w:pStyle w:val="Default"/>
        <w:ind w:left="426" w:firstLine="708"/>
        <w:rPr>
          <w:color w:val="auto"/>
          <w:sz w:val="23"/>
          <w:szCs w:val="23"/>
        </w:rPr>
      </w:pPr>
    </w:p>
    <w:p w:rsidR="00103580" w:rsidRPr="00896D4F" w:rsidRDefault="000010C4" w:rsidP="00103580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B&amp;M Procar, s. r. o</w:t>
      </w:r>
      <w:r w:rsidR="00775F90" w:rsidRPr="00896D4F">
        <w:rPr>
          <w:b/>
          <w:i/>
          <w:color w:val="auto"/>
          <w:sz w:val="23"/>
          <w:szCs w:val="23"/>
        </w:rPr>
        <w:t>.</w:t>
      </w:r>
      <w:r w:rsidR="00103580" w:rsidRPr="00896D4F">
        <w:rPr>
          <w:b/>
          <w:i/>
          <w:color w:val="auto"/>
          <w:sz w:val="23"/>
          <w:szCs w:val="23"/>
        </w:rPr>
        <w:t xml:space="preserve">, </w:t>
      </w:r>
      <w:r w:rsidR="00775F90" w:rsidRPr="00896D4F">
        <w:rPr>
          <w:b/>
          <w:i/>
          <w:color w:val="auto"/>
          <w:sz w:val="23"/>
          <w:szCs w:val="23"/>
        </w:rPr>
        <w:t>Dorastenecká 14, 831 07</w:t>
      </w:r>
      <w:r w:rsidR="00103580" w:rsidRPr="00896D4F">
        <w:rPr>
          <w:b/>
          <w:i/>
          <w:color w:val="auto"/>
          <w:sz w:val="23"/>
          <w:szCs w:val="23"/>
        </w:rPr>
        <w:t xml:space="preserve"> Bratislava</w:t>
      </w:r>
    </w:p>
    <w:p w:rsidR="00AF596B" w:rsidRPr="00896D4F" w:rsidRDefault="00AF596B" w:rsidP="00103580">
      <w:pPr>
        <w:pStyle w:val="Default"/>
        <w:rPr>
          <w:color w:val="auto"/>
          <w:sz w:val="23"/>
          <w:szCs w:val="23"/>
        </w:rPr>
      </w:pPr>
    </w:p>
    <w:p w:rsidR="00B62C43" w:rsidRPr="00896D4F" w:rsidRDefault="00AF596B" w:rsidP="00103580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 </w:t>
      </w:r>
      <w:r w:rsidR="00B62C43" w:rsidRPr="00896D4F">
        <w:rPr>
          <w:color w:val="auto"/>
          <w:sz w:val="23"/>
          <w:szCs w:val="23"/>
        </w:rPr>
        <w:t>Údaje o konsolidovanom celku, a</w:t>
      </w:r>
      <w:r w:rsidR="00EE19D0" w:rsidRPr="00896D4F">
        <w:rPr>
          <w:color w:val="auto"/>
          <w:sz w:val="23"/>
          <w:szCs w:val="23"/>
        </w:rPr>
        <w:t> </w:t>
      </w:r>
      <w:r w:rsidR="00B62C43" w:rsidRPr="00896D4F">
        <w:rPr>
          <w:color w:val="auto"/>
          <w:sz w:val="23"/>
          <w:szCs w:val="23"/>
        </w:rPr>
        <w:t xml:space="preserve">to </w:t>
      </w:r>
    </w:p>
    <w:p w:rsidR="00B62C43" w:rsidRPr="00896D4F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62C43" w:rsidRPr="00896D4F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údaj, či účtovná jednotka je materskou účtovnou jednotkou a údaj, či je oslobodená od povinnosti zostaviť konsolidovanú účtovnú závierku a konsolidovanú výročnú správu podľa § 22 zákona, pričo</w:t>
      </w:r>
      <w:r w:rsidR="00103580" w:rsidRPr="00896D4F">
        <w:rPr>
          <w:color w:val="auto"/>
          <w:sz w:val="23"/>
          <w:szCs w:val="23"/>
        </w:rPr>
        <w:t>m sa uvádzajú</w:t>
      </w:r>
    </w:p>
    <w:p w:rsidR="00B62C43" w:rsidRPr="00896D4F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pri oslobodení podľa § 22 ods. 8 zákona obchodné meno a sídlo materskej účtovnej jednotky zostavujúcej konsolidovanú účtovnú závierku podľa osobitných predpisov,4) </w:t>
      </w:r>
    </w:p>
    <w:p w:rsidR="00103580" w:rsidRPr="00896D4F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103580" w:rsidRPr="00896D4F" w:rsidRDefault="00103580" w:rsidP="00103580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  <w:r w:rsidRPr="00896D4F">
        <w:rPr>
          <w:rFonts w:ascii="Times New Roman" w:hAnsi="Times New Roman" w:cs="Times New Roman"/>
          <w:b/>
          <w:i/>
          <w:sz w:val="23"/>
          <w:szCs w:val="23"/>
        </w:rPr>
        <w:t>Spoločnosť nie je súčasťou konsolidovaného celku.</w:t>
      </w:r>
    </w:p>
    <w:p w:rsidR="00103580" w:rsidRPr="00896D4F" w:rsidRDefault="00103580" w:rsidP="00103580">
      <w:pPr>
        <w:pStyle w:val="Default"/>
        <w:jc w:val="both"/>
        <w:rPr>
          <w:color w:val="auto"/>
          <w:sz w:val="23"/>
          <w:szCs w:val="23"/>
        </w:rPr>
      </w:pPr>
    </w:p>
    <w:p w:rsidR="00103580" w:rsidRPr="00896D4F" w:rsidRDefault="00103580" w:rsidP="00EC0EDE">
      <w:pPr>
        <w:pStyle w:val="Default"/>
        <w:numPr>
          <w:ilvl w:val="0"/>
          <w:numId w:val="1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Priemerný prepočítaný počet zamestnancov.</w:t>
      </w:r>
    </w:p>
    <w:p w:rsidR="00103580" w:rsidRPr="00896D4F" w:rsidRDefault="00103580" w:rsidP="00103580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nemá zamestnancov.</w:t>
      </w:r>
    </w:p>
    <w:p w:rsidR="005A0D0C" w:rsidRPr="00896D4F" w:rsidRDefault="005A0D0C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5A0D0C">
      <w:pPr>
        <w:pStyle w:val="Default"/>
        <w:jc w:val="center"/>
        <w:rPr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Čl. II</w:t>
      </w:r>
    </w:p>
    <w:p w:rsidR="00103580" w:rsidRPr="00896D4F" w:rsidRDefault="00B62C43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Informácie o prijatých postupoch</w:t>
      </w:r>
    </w:p>
    <w:p w:rsidR="00103580" w:rsidRPr="00896D4F" w:rsidRDefault="00103580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A70BF5" w:rsidRPr="00896D4F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70BF5" w:rsidRPr="00896D4F" w:rsidRDefault="00A70BF5" w:rsidP="00A70BF5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 xml:space="preserve">Účtovná závierka je zostavená za predpokladu, že účtovná jednotka bude nepretržite pokračovať vo svojej činnosti. </w:t>
      </w:r>
    </w:p>
    <w:p w:rsidR="00A70BF5" w:rsidRPr="00896D4F" w:rsidRDefault="00A70BF5" w:rsidP="00A70BF5">
      <w:pPr>
        <w:pStyle w:val="Default"/>
        <w:ind w:left="426"/>
        <w:jc w:val="both"/>
        <w:rPr>
          <w:bCs/>
          <w:color w:val="auto"/>
          <w:sz w:val="23"/>
          <w:szCs w:val="23"/>
        </w:rPr>
      </w:pPr>
    </w:p>
    <w:p w:rsidR="00B62C43" w:rsidRPr="00896D4F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EC0EDE" w:rsidRPr="00896D4F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dlhodobého nehmotného majetku, dlhodobého hmotného </w:t>
      </w:r>
      <w:r w:rsidR="00A70BF5" w:rsidRPr="00896D4F">
        <w:rPr>
          <w:color w:val="auto"/>
          <w:sz w:val="23"/>
          <w:szCs w:val="23"/>
        </w:rPr>
        <w:t xml:space="preserve">majetku a dlhodobého finančného </w:t>
      </w:r>
      <w:r w:rsidRPr="00896D4F">
        <w:rPr>
          <w:color w:val="auto"/>
          <w:sz w:val="23"/>
          <w:szCs w:val="23"/>
        </w:rPr>
        <w:t xml:space="preserve">majetku, </w:t>
      </w:r>
    </w:p>
    <w:p w:rsidR="00A70BF5" w:rsidRPr="00896D4F" w:rsidRDefault="00EC0EDE" w:rsidP="00A70BF5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neeviduje taký majetok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EC0EDE" w:rsidRPr="00896D4F" w:rsidRDefault="00EC0EDE" w:rsidP="00A70BF5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EC0EDE" w:rsidRPr="00896D4F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nemá zásoby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A70BF5" w:rsidRPr="00896D4F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pohľadávok, </w:t>
      </w:r>
    </w:p>
    <w:p w:rsidR="00A70BF5" w:rsidRPr="00896D4F" w:rsidRDefault="00EC0EDE" w:rsidP="00A70BF5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  <w:r w:rsidRPr="00896D4F">
        <w:rPr>
          <w:rFonts w:ascii="Times New Roman" w:hAnsi="Times New Roman" w:cs="Times New Roman"/>
          <w:b/>
          <w:i/>
          <w:sz w:val="23"/>
          <w:szCs w:val="23"/>
        </w:rPr>
        <w:t>S</w:t>
      </w:r>
      <w:r w:rsidR="00A70BF5" w:rsidRPr="00896D4F">
        <w:rPr>
          <w:rFonts w:ascii="Times New Roman" w:hAnsi="Times New Roman" w:cs="Times New Roman"/>
          <w:b/>
          <w:i/>
          <w:sz w:val="23"/>
          <w:szCs w:val="23"/>
        </w:rPr>
        <w:t xml:space="preserve">poločnosť </w:t>
      </w:r>
      <w:r w:rsidR="00C66444" w:rsidRPr="00896D4F">
        <w:rPr>
          <w:rFonts w:ascii="Times New Roman" w:hAnsi="Times New Roman" w:cs="Times New Roman"/>
          <w:b/>
          <w:i/>
          <w:sz w:val="23"/>
          <w:szCs w:val="23"/>
        </w:rPr>
        <w:t>ne</w:t>
      </w:r>
      <w:r w:rsidR="00A70BF5" w:rsidRPr="00896D4F">
        <w:rPr>
          <w:rFonts w:ascii="Times New Roman" w:hAnsi="Times New Roman" w:cs="Times New Roman"/>
          <w:b/>
          <w:i/>
          <w:color w:val="auto"/>
          <w:sz w:val="23"/>
          <w:szCs w:val="23"/>
        </w:rPr>
        <w:t xml:space="preserve">oceňovala </w:t>
      </w:r>
      <w:r w:rsidR="00C66444" w:rsidRPr="00896D4F">
        <w:rPr>
          <w:rFonts w:ascii="Times New Roman" w:hAnsi="Times New Roman" w:cs="Times New Roman"/>
          <w:b/>
          <w:i/>
          <w:color w:val="auto"/>
          <w:sz w:val="23"/>
          <w:szCs w:val="23"/>
        </w:rPr>
        <w:t>pohľadávky.</w:t>
      </w:r>
    </w:p>
    <w:p w:rsidR="00A70BF5" w:rsidRPr="00896D4F" w:rsidRDefault="00A70BF5" w:rsidP="00A70BF5">
      <w:pPr>
        <w:jc w:val="both"/>
        <w:rPr>
          <w:rFonts w:ascii="Times New Roman" w:hAnsi="Times New Roman" w:cs="Times New Roman"/>
          <w:b/>
          <w:i/>
          <w:sz w:val="23"/>
          <w:szCs w:val="23"/>
        </w:rPr>
      </w:pPr>
    </w:p>
    <w:p w:rsidR="00B62C43" w:rsidRPr="00896D4F" w:rsidRDefault="00B62C43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krátkodobého finančného majetku, 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oceňovala krátkodobý finančný majetok menovitou hodnotou</w:t>
      </w:r>
      <w:r w:rsidR="00EE19D0" w:rsidRPr="00896D4F">
        <w:rPr>
          <w:b/>
          <w:i/>
          <w:color w:val="auto"/>
          <w:sz w:val="23"/>
          <w:szCs w:val="23"/>
        </w:rPr>
        <w:t>.</w:t>
      </w:r>
      <w:r w:rsidR="00C66444" w:rsidRPr="00896D4F">
        <w:rPr>
          <w:b/>
          <w:i/>
          <w:color w:val="auto"/>
          <w:sz w:val="23"/>
          <w:szCs w:val="23"/>
        </w:rPr>
        <w:t xml:space="preserve"> Zníženie ich hodnoty sa vyjadruje opravnou položkou.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EC0EDE" w:rsidRPr="00896D4F" w:rsidRDefault="00EC0EDE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záväzkov vrátane rezerv, dlhopisov, pôžičiek a úverov,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oceňovala takýto majetok menovitou hodnotou pri ich vzniku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EC0EDE" w:rsidRPr="00896D4F" w:rsidRDefault="00EC0EDE" w:rsidP="00EC0EDE">
      <w:pPr>
        <w:pStyle w:val="Default"/>
        <w:spacing w:after="27"/>
        <w:rPr>
          <w:color w:val="auto"/>
          <w:sz w:val="23"/>
          <w:szCs w:val="23"/>
        </w:rPr>
      </w:pPr>
    </w:p>
    <w:p w:rsidR="00EC0EDE" w:rsidRPr="00896D4F" w:rsidRDefault="00EC0EDE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derivátových operácií.</w:t>
      </w:r>
    </w:p>
    <w:p w:rsidR="00EC0EDE" w:rsidRPr="00896D4F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nevlastní uvedený majetok</w:t>
      </w:r>
      <w:r w:rsidR="00EE19D0" w:rsidRPr="00896D4F">
        <w:rPr>
          <w:b/>
          <w:i/>
          <w:color w:val="auto"/>
          <w:sz w:val="23"/>
          <w:szCs w:val="23"/>
        </w:rPr>
        <w:t>.</w:t>
      </w:r>
    </w:p>
    <w:p w:rsidR="005A0D0C" w:rsidRPr="00896D4F" w:rsidRDefault="0024089C" w:rsidP="00B62C43">
      <w:pPr>
        <w:pStyle w:val="Default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lastRenderedPageBreak/>
        <w:t xml:space="preserve"> </w:t>
      </w:r>
    </w:p>
    <w:p w:rsidR="005A0D0C" w:rsidRPr="00896D4F" w:rsidRDefault="005A0D0C" w:rsidP="0024089C">
      <w:pPr>
        <w:pStyle w:val="Default"/>
        <w:jc w:val="center"/>
        <w:rPr>
          <w:color w:val="auto"/>
          <w:sz w:val="23"/>
          <w:szCs w:val="23"/>
        </w:rPr>
      </w:pPr>
    </w:p>
    <w:p w:rsidR="00EE19D0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580" w:rsidRPr="00896D4F" w:rsidRDefault="00E87629" w:rsidP="00B62C43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Spoločnosť nevlastní odpisovaný majetok</w:t>
      </w:r>
      <w:r w:rsidR="00EE19D0" w:rsidRPr="00896D4F">
        <w:rPr>
          <w:b/>
          <w:i/>
          <w:color w:val="auto"/>
          <w:sz w:val="23"/>
          <w:szCs w:val="23"/>
        </w:rPr>
        <w:t xml:space="preserve">. </w:t>
      </w:r>
    </w:p>
    <w:p w:rsidR="005430B9" w:rsidRPr="00896D4F" w:rsidRDefault="005430B9" w:rsidP="00B62C43">
      <w:pPr>
        <w:pStyle w:val="Default"/>
        <w:rPr>
          <w:b/>
          <w:i/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E87629" w:rsidRPr="00896D4F" w:rsidRDefault="00C66444" w:rsidP="00896D4F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Účtovné metódy a zásady boli aplikované v rámci platného zákona o účtovníctve počas celého účtovného obdobia, s osobitosťami:</w:t>
      </w:r>
    </w:p>
    <w:p w:rsidR="00C66444" w:rsidRPr="00896D4F" w:rsidRDefault="00C66444" w:rsidP="00E87629">
      <w:pPr>
        <w:pStyle w:val="Default"/>
        <w:rPr>
          <w:b/>
          <w:i/>
          <w:color w:val="auto"/>
          <w:sz w:val="23"/>
          <w:szCs w:val="23"/>
        </w:rPr>
      </w:pPr>
    </w:p>
    <w:p w:rsidR="00C66444" w:rsidRPr="00896D4F" w:rsidRDefault="00C66444" w:rsidP="00896D4F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 xml:space="preserve">Účtovná jednotka sa od 1.1.2014 stala mikro účtovnou jednotkou. V roku 2014 aplikovala postupy účtovania a metódy oceňovania pre mikro účtovné jednotky. Z dôvodu prechodu na mikro účtovnú jednotku sa zmenila aj štruktúra účtovnej závierky. </w:t>
      </w:r>
    </w:p>
    <w:p w:rsidR="00E87629" w:rsidRPr="00896D4F" w:rsidRDefault="002E783F" w:rsidP="00B62C43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Účtovná jednotka časovo nerozlišovala nevýznamné sumy a účtovné prípad, ktoré sa pravidelne ročne opakujú.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dotáciách a ich oceňovanie v účtovníctve. </w:t>
      </w:r>
    </w:p>
    <w:p w:rsidR="00B62C43" w:rsidRPr="00896D4F" w:rsidRDefault="00E87629" w:rsidP="00B62C43">
      <w:pPr>
        <w:pStyle w:val="Default"/>
        <w:rPr>
          <w:b/>
          <w:i/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 xml:space="preserve">Spoločnosti </w:t>
      </w:r>
      <w:r w:rsidR="00254C33" w:rsidRPr="00896D4F">
        <w:rPr>
          <w:b/>
          <w:i/>
          <w:color w:val="auto"/>
          <w:sz w:val="23"/>
          <w:szCs w:val="23"/>
        </w:rPr>
        <w:t xml:space="preserve">nemá </w:t>
      </w:r>
      <w:r w:rsidRPr="00896D4F">
        <w:rPr>
          <w:b/>
          <w:i/>
          <w:color w:val="auto"/>
          <w:sz w:val="23"/>
          <w:szCs w:val="23"/>
        </w:rPr>
        <w:t>poskytnuté dotácie.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B62C43" w:rsidRPr="00896D4F" w:rsidRDefault="00B62C43" w:rsidP="00E87629">
      <w:pPr>
        <w:pStyle w:val="Default"/>
        <w:jc w:val="center"/>
        <w:rPr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Čl. III</w:t>
      </w:r>
    </w:p>
    <w:p w:rsidR="00B62C43" w:rsidRPr="00896D4F" w:rsidRDefault="00B62C43" w:rsidP="00E87629">
      <w:pPr>
        <w:pStyle w:val="Default"/>
        <w:jc w:val="center"/>
        <w:rPr>
          <w:b/>
          <w:bCs/>
          <w:color w:val="auto"/>
          <w:sz w:val="23"/>
          <w:szCs w:val="23"/>
        </w:rPr>
      </w:pPr>
      <w:r w:rsidRPr="00896D4F"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E87629" w:rsidRPr="00896D4F">
        <w:rPr>
          <w:b/>
          <w:bCs/>
          <w:color w:val="auto"/>
          <w:sz w:val="23"/>
          <w:szCs w:val="23"/>
        </w:rPr>
        <w:t> </w:t>
      </w:r>
      <w:r w:rsidRPr="00896D4F">
        <w:rPr>
          <w:b/>
          <w:bCs/>
          <w:color w:val="auto"/>
          <w:sz w:val="23"/>
          <w:szCs w:val="23"/>
        </w:rPr>
        <w:t>strát</w:t>
      </w:r>
    </w:p>
    <w:p w:rsidR="00E87629" w:rsidRPr="00896D4F" w:rsidRDefault="00E87629" w:rsidP="00E87629">
      <w:pPr>
        <w:pStyle w:val="Default"/>
        <w:jc w:val="center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7"/>
        </w:numPr>
        <w:ind w:left="426" w:hanging="42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Pr="00896D4F" w:rsidRDefault="00B62C43" w:rsidP="00254C33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Informácie o záväzkoch, a to </w:t>
      </w:r>
    </w:p>
    <w:p w:rsidR="00B62C43" w:rsidRPr="00896D4F" w:rsidRDefault="00B62C43" w:rsidP="00254C3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záväzkov so zostatkovou dobou splatnosti dlhšou ako päť rokov, </w:t>
      </w:r>
    </w:p>
    <w:p w:rsidR="00B62C43" w:rsidRPr="00896D4F" w:rsidRDefault="00B62C43" w:rsidP="00B62C4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254C33" w:rsidRPr="00896D4F" w:rsidRDefault="00B62C43" w:rsidP="00254C33">
      <w:pPr>
        <w:pStyle w:val="Default"/>
        <w:numPr>
          <w:ilvl w:val="0"/>
          <w:numId w:val="7"/>
        </w:numPr>
        <w:spacing w:after="28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Informácie o vlastných akciách, a</w:t>
      </w:r>
      <w:r w:rsidR="00254C33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B62C43" w:rsidRPr="00896D4F" w:rsidRDefault="00B62C43" w:rsidP="00254C3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dôvode nadobudnutia vlastných akcií počas účtovného obdobia, </w:t>
      </w:r>
    </w:p>
    <w:p w:rsidR="00B62C43" w:rsidRPr="00896D4F" w:rsidRDefault="00B62C43" w:rsidP="00B62C4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informáciách, ktorými sú </w:t>
      </w:r>
    </w:p>
    <w:p w:rsidR="00254C33" w:rsidRPr="00896D4F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62C43" w:rsidRPr="00896D4F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2C43" w:rsidRPr="00896D4F" w:rsidRDefault="00B62C43" w:rsidP="00254C33">
      <w:pPr>
        <w:pStyle w:val="Default"/>
        <w:numPr>
          <w:ilvl w:val="0"/>
          <w:numId w:val="9"/>
        </w:numPr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</w:p>
    <w:p w:rsidR="00A80874" w:rsidRPr="00896D4F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lastRenderedPageBreak/>
        <w:t>Informácie o orgánoch účtovnej jednotky, a</w:t>
      </w:r>
      <w:r w:rsidR="00A80874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B62C43" w:rsidRPr="00896D4F" w:rsidRDefault="00B62C43" w:rsidP="00A80874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62C43" w:rsidRPr="00896D4F" w:rsidRDefault="00B62C43" w:rsidP="00B62C43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pôžičkách poskytnutých členom štatutárneho orgánu, dozorného orgánu a iného orgánu účtovnej jednotky a to </w:t>
      </w:r>
    </w:p>
    <w:p w:rsidR="00B62C43" w:rsidRPr="00896D4F" w:rsidRDefault="00B62C43" w:rsidP="00A80874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poskytnutých pôžičiek k poslednému dňu účtovného obdobia v členení za jednotlivé orgány, </w:t>
      </w:r>
    </w:p>
    <w:p w:rsidR="00B62C43" w:rsidRPr="00896D4F" w:rsidRDefault="00B62C43" w:rsidP="00B62C43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splatených pôžičiek k poslednému dňu účtovného obdobia v členení za jednotlivé orgány, </w:t>
      </w:r>
    </w:p>
    <w:p w:rsidR="00B62C43" w:rsidRPr="00896D4F" w:rsidRDefault="00B62C43" w:rsidP="00E87629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A80874" w:rsidRPr="00896D4F" w:rsidRDefault="00B62C43" w:rsidP="00A80874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hlavných podmienkach, na základe ktorých im boli záruky alebo iné zabezpečenie a pôžičky poskytnuté; pri pôžičkách sa uvádzajú úrokové sadzby,</w:t>
      </w:r>
    </w:p>
    <w:p w:rsidR="00B62C43" w:rsidRPr="00896D4F" w:rsidRDefault="00B62C43" w:rsidP="00B62C43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B62C43">
      <w:pPr>
        <w:pStyle w:val="Default"/>
        <w:rPr>
          <w:color w:val="auto"/>
          <w:sz w:val="23"/>
          <w:szCs w:val="23"/>
        </w:rPr>
      </w:pPr>
    </w:p>
    <w:p w:rsidR="00A80874" w:rsidRPr="00896D4F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Informácie o povinnostiach účtovnej jednotky, a</w:t>
      </w:r>
      <w:r w:rsidR="00A80874" w:rsidRPr="00896D4F">
        <w:rPr>
          <w:color w:val="auto"/>
          <w:sz w:val="23"/>
          <w:szCs w:val="23"/>
        </w:rPr>
        <w:t> </w:t>
      </w:r>
      <w:r w:rsidRPr="00896D4F">
        <w:rPr>
          <w:color w:val="auto"/>
          <w:sz w:val="23"/>
          <w:szCs w:val="23"/>
        </w:rPr>
        <w:t>to</w:t>
      </w:r>
    </w:p>
    <w:p w:rsidR="00A80874" w:rsidRPr="00896D4F" w:rsidRDefault="00B62C43" w:rsidP="00A80874">
      <w:pPr>
        <w:pStyle w:val="Default"/>
        <w:numPr>
          <w:ilvl w:val="0"/>
          <w:numId w:val="13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54D35" w:rsidRPr="00896D4F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významných podmienených záväzkov, ktorými sa rozumie</w:t>
      </w:r>
    </w:p>
    <w:p w:rsidR="00B62C43" w:rsidRPr="00896D4F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62C43" w:rsidRPr="00896D4F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existujúca povinnosť, ktorá vznikla ako dôsledok minulej udalosti, ale ktorá sa nevykazuje v súvahe, pretože </w:t>
      </w:r>
    </w:p>
    <w:p w:rsidR="00A80874" w:rsidRPr="00896D4F" w:rsidRDefault="00A80874" w:rsidP="00D54D35">
      <w:pPr>
        <w:pStyle w:val="Default"/>
        <w:spacing w:after="27"/>
        <w:ind w:left="1560" w:hanging="414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2a. </w:t>
      </w:r>
      <w:r w:rsidR="00B62C43" w:rsidRPr="00896D4F">
        <w:rPr>
          <w:color w:val="auto"/>
          <w:sz w:val="23"/>
          <w:szCs w:val="23"/>
        </w:rPr>
        <w:t xml:space="preserve">nie je pravdepodobné, že na splnenie tejto povinnosti bude potrebný úbytok </w:t>
      </w:r>
      <w:r w:rsidRPr="00896D4F">
        <w:rPr>
          <w:color w:val="auto"/>
          <w:sz w:val="23"/>
          <w:szCs w:val="23"/>
        </w:rPr>
        <w:t xml:space="preserve">      </w:t>
      </w:r>
      <w:r w:rsidR="00B62C43" w:rsidRPr="00896D4F">
        <w:rPr>
          <w:color w:val="auto"/>
          <w:sz w:val="23"/>
          <w:szCs w:val="23"/>
        </w:rPr>
        <w:t>ekonomických úžitkov, alebo</w:t>
      </w:r>
    </w:p>
    <w:p w:rsidR="00D54D35" w:rsidRPr="00896D4F" w:rsidRDefault="00A80874" w:rsidP="00D54D35">
      <w:pPr>
        <w:pStyle w:val="Default"/>
        <w:spacing w:after="27"/>
        <w:ind w:left="1146"/>
        <w:jc w:val="both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2.b </w:t>
      </w:r>
      <w:r w:rsidR="00B62C43" w:rsidRPr="00896D4F">
        <w:rPr>
          <w:color w:val="auto"/>
          <w:sz w:val="23"/>
          <w:szCs w:val="23"/>
        </w:rPr>
        <w:t xml:space="preserve">  výška tejto povinnosti sa nedá spoľahlivo oceniť, </w:t>
      </w:r>
    </w:p>
    <w:p w:rsidR="00D54D35" w:rsidRPr="00896D4F" w:rsidRDefault="00D54D35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opise významných finančných povinností a významných podmienených záväzkov,</w:t>
      </w:r>
    </w:p>
    <w:p w:rsidR="00D54D35" w:rsidRPr="00896D4F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>celkovej sume významných finančných povinností a významných podmienených záväzkoch voči dcérskej účtovnej jednotke a účtovnej jednotke s podstatným vplyvom,</w:t>
      </w:r>
    </w:p>
    <w:p w:rsidR="00B62C43" w:rsidRPr="00896D4F" w:rsidRDefault="00B62C43" w:rsidP="00B62C43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896D4F">
        <w:rPr>
          <w:color w:val="auto"/>
          <w:sz w:val="23"/>
          <w:szCs w:val="23"/>
        </w:rPr>
        <w:t xml:space="preserve">opise významných povinností účtovnej jednotky vyplývajúcich z dôchodkových programov pre zamestnancov. 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  <w:r w:rsidRPr="00896D4F">
        <w:rPr>
          <w:b/>
          <w:i/>
          <w:color w:val="auto"/>
          <w:sz w:val="23"/>
          <w:szCs w:val="23"/>
        </w:rPr>
        <w:t>Netýka sa spoločnosti.</w:t>
      </w:r>
    </w:p>
    <w:p w:rsidR="00E87629" w:rsidRPr="00896D4F" w:rsidRDefault="00E87629" w:rsidP="00E87629">
      <w:pPr>
        <w:pStyle w:val="Default"/>
        <w:rPr>
          <w:color w:val="auto"/>
          <w:sz w:val="23"/>
          <w:szCs w:val="23"/>
        </w:rPr>
      </w:pPr>
    </w:p>
    <w:p w:rsidR="00E87629" w:rsidRPr="00896D4F" w:rsidRDefault="00E87629">
      <w:pPr>
        <w:rPr>
          <w:rFonts w:ascii="Times New Roman" w:hAnsi="Times New Roman" w:cs="Times New Roman"/>
          <w:sz w:val="23"/>
          <w:szCs w:val="23"/>
        </w:rPr>
      </w:pPr>
    </w:p>
    <w:p w:rsidR="002E700D" w:rsidRPr="00896D4F" w:rsidRDefault="002E700D">
      <w:pPr>
        <w:rPr>
          <w:rFonts w:ascii="Times New Roman" w:hAnsi="Times New Roman" w:cs="Times New Roman"/>
          <w:sz w:val="23"/>
          <w:szCs w:val="23"/>
        </w:rPr>
      </w:pPr>
    </w:p>
    <w:p w:rsidR="002E700D" w:rsidRPr="00896D4F" w:rsidRDefault="002E700D">
      <w:pPr>
        <w:rPr>
          <w:rFonts w:ascii="Times New Roman" w:hAnsi="Times New Roman" w:cs="Times New Roman"/>
          <w:sz w:val="23"/>
          <w:szCs w:val="23"/>
        </w:rPr>
      </w:pPr>
    </w:p>
    <w:p w:rsidR="002E700D" w:rsidRPr="00896D4F" w:rsidRDefault="002E700D">
      <w:pPr>
        <w:rPr>
          <w:rFonts w:ascii="Times New Roman" w:hAnsi="Times New Roman" w:cs="Times New Roman"/>
          <w:sz w:val="23"/>
          <w:szCs w:val="23"/>
        </w:rPr>
      </w:pPr>
      <w:bookmarkStart w:id="0" w:name="_GoBack"/>
      <w:bookmarkEnd w:id="0"/>
    </w:p>
    <w:p w:rsidR="002E700D" w:rsidRDefault="002E700D"/>
    <w:p w:rsidR="002E700D" w:rsidRDefault="002E700D"/>
    <w:p w:rsidR="002E700D" w:rsidRDefault="002E700D"/>
    <w:p w:rsidR="002E700D" w:rsidRDefault="002E700D">
      <w:r>
        <w:t>______________________________________________________________________________________</w:t>
      </w:r>
    </w:p>
    <w:p w:rsidR="002E700D" w:rsidRDefault="002E700D"/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 xml:space="preserve"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sectPr w:rsidR="002E700D" w:rsidRPr="002E700D" w:rsidSect="008F76E5">
      <w:headerReference w:type="default" r:id="rId8"/>
      <w:footerReference w:type="default" r:id="rId9"/>
      <w:pgSz w:w="11906" w:h="17340"/>
      <w:pgMar w:top="992" w:right="1134" w:bottom="851" w:left="1134" w:header="567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C9D" w:rsidRDefault="00F31C9D" w:rsidP="0024089C">
      <w:r>
        <w:separator/>
      </w:r>
    </w:p>
  </w:endnote>
  <w:endnote w:type="continuationSeparator" w:id="0">
    <w:p w:rsidR="00F31C9D" w:rsidRDefault="00F31C9D" w:rsidP="0024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3856044"/>
      <w:docPartObj>
        <w:docPartGallery w:val="Page Numbers (Bottom of Page)"/>
        <w:docPartUnique/>
      </w:docPartObj>
    </w:sdtPr>
    <w:sdtEndPr/>
    <w:sdtContent>
      <w:p w:rsidR="0024089C" w:rsidRDefault="002408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6D4F">
          <w:rPr>
            <w:noProof/>
          </w:rPr>
          <w:t>3</w:t>
        </w:r>
        <w:r>
          <w:fldChar w:fldCharType="end"/>
        </w:r>
      </w:p>
    </w:sdtContent>
  </w:sdt>
  <w:p w:rsidR="0024089C" w:rsidRDefault="002408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C9D" w:rsidRDefault="00F31C9D" w:rsidP="0024089C">
      <w:r>
        <w:separator/>
      </w:r>
    </w:p>
  </w:footnote>
  <w:footnote w:type="continuationSeparator" w:id="0">
    <w:p w:rsidR="00F31C9D" w:rsidRDefault="00F31C9D" w:rsidP="00240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97C" w:rsidRDefault="000C297C">
    <w:pPr>
      <w:pStyle w:val="Hlavika"/>
    </w:pPr>
    <w:r>
      <w:t xml:space="preserve"> </w:t>
    </w:r>
  </w:p>
  <w:tbl>
    <w:tblPr>
      <w:tblStyle w:val="Mriekatabuky"/>
      <w:tblW w:w="0" w:type="auto"/>
      <w:tblInd w:w="-459" w:type="dxa"/>
      <w:tblLook w:val="04A0" w:firstRow="1" w:lastRow="0" w:firstColumn="1" w:lastColumn="0" w:noHBand="0" w:noVBand="1"/>
    </w:tblPr>
    <w:tblGrid>
      <w:gridCol w:w="3013"/>
      <w:gridCol w:w="632"/>
      <w:gridCol w:w="336"/>
      <w:gridCol w:w="336"/>
      <w:gridCol w:w="336"/>
      <w:gridCol w:w="336"/>
      <w:gridCol w:w="336"/>
      <w:gridCol w:w="336"/>
      <w:gridCol w:w="336"/>
      <w:gridCol w:w="336"/>
      <w:gridCol w:w="6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76E5" w:rsidTr="00EE19D0">
      <w:trPr>
        <w:trHeight w:val="456"/>
      </w:trPr>
      <w:tc>
        <w:tcPr>
          <w:tcW w:w="3013" w:type="dxa"/>
          <w:tcBorders>
            <w:right w:val="single" w:sz="4" w:space="0" w:color="auto"/>
          </w:tcBorders>
          <w:vAlign w:val="center"/>
        </w:tcPr>
        <w:p w:rsidR="009770B6" w:rsidRPr="008F76E5" w:rsidRDefault="009770B6" w:rsidP="008F76E5">
          <w:pPr>
            <w:pStyle w:val="Hlavika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>Poznámky Úč MÚJ 3 – 01</w:t>
          </w:r>
        </w:p>
      </w:tc>
      <w:tc>
        <w:tcPr>
          <w:tcW w:w="63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770B6" w:rsidRPr="009770B6" w:rsidRDefault="009770B6">
          <w:pPr>
            <w:pStyle w:val="Hlavika"/>
            <w:rPr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  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                                            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IČO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6</w:t>
          </w:r>
        </w:p>
      </w:tc>
      <w:tc>
        <w:tcPr>
          <w:tcW w:w="0" w:type="auto"/>
          <w:vAlign w:val="center"/>
        </w:tcPr>
        <w:p w:rsidR="009770B6" w:rsidRPr="00EE19D0" w:rsidRDefault="00383340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9770B6" w:rsidRPr="009770B6" w:rsidRDefault="009770B6">
          <w:pPr>
            <w:pStyle w:val="Hlavika"/>
            <w:rPr>
              <w:rFonts w:ascii="Times New Roman" w:hAnsi="Times New Roman" w:cs="Times New Roman"/>
              <w:b/>
              <w:sz w:val="22"/>
              <w:szCs w:val="22"/>
            </w:rPr>
          </w:pPr>
          <w:r>
            <w:rPr>
              <w:sz w:val="22"/>
              <w:szCs w:val="22"/>
            </w:rPr>
            <w:t xml:space="preserve">    </w:t>
          </w:r>
          <w:r w:rsidR="00EE19D0">
            <w:rPr>
              <w:sz w:val="22"/>
              <w:szCs w:val="22"/>
            </w:rPr>
            <w:t xml:space="preserve">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9770B6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EE19D0"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8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0010C4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7</w:t>
          </w:r>
        </w:p>
      </w:tc>
    </w:tr>
  </w:tbl>
  <w:p w:rsidR="0024089C" w:rsidRDefault="002408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76128"/>
    <w:multiLevelType w:val="hybridMultilevel"/>
    <w:tmpl w:val="0358900C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8EF3403"/>
    <w:multiLevelType w:val="hybridMultilevel"/>
    <w:tmpl w:val="288848C0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BB362B"/>
    <w:multiLevelType w:val="hybridMultilevel"/>
    <w:tmpl w:val="E194AF0C"/>
    <w:lvl w:ilvl="0" w:tplc="849E1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713029"/>
    <w:multiLevelType w:val="hybridMultilevel"/>
    <w:tmpl w:val="304C29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DE6459"/>
    <w:multiLevelType w:val="hybridMultilevel"/>
    <w:tmpl w:val="89B096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89457B"/>
    <w:multiLevelType w:val="hybridMultilevel"/>
    <w:tmpl w:val="64F4392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84A340C"/>
    <w:multiLevelType w:val="hybridMultilevel"/>
    <w:tmpl w:val="C622AD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2B4E53"/>
    <w:multiLevelType w:val="hybridMultilevel"/>
    <w:tmpl w:val="87B0D2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7F6C0D"/>
    <w:multiLevelType w:val="hybridMultilevel"/>
    <w:tmpl w:val="1F24FF4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6590558"/>
    <w:multiLevelType w:val="hybridMultilevel"/>
    <w:tmpl w:val="4DAC1E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E751B1"/>
    <w:multiLevelType w:val="hybridMultilevel"/>
    <w:tmpl w:val="84C28A0A"/>
    <w:lvl w:ilvl="0" w:tplc="E69EFFC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60B67BF8"/>
    <w:multiLevelType w:val="hybridMultilevel"/>
    <w:tmpl w:val="8A9030F6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EF2EAE"/>
    <w:multiLevelType w:val="hybridMultilevel"/>
    <w:tmpl w:val="7910E386"/>
    <w:lvl w:ilvl="0" w:tplc="004EEDC0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69C31C5A"/>
    <w:multiLevelType w:val="hybridMultilevel"/>
    <w:tmpl w:val="F87EACD4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B663B7"/>
    <w:multiLevelType w:val="hybridMultilevel"/>
    <w:tmpl w:val="834453A0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>
    <w:nsid w:val="6D6B6990"/>
    <w:multiLevelType w:val="hybridMultilevel"/>
    <w:tmpl w:val="F9363616"/>
    <w:lvl w:ilvl="0" w:tplc="9E00D84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6">
    <w:nsid w:val="7A9A33E1"/>
    <w:multiLevelType w:val="hybridMultilevel"/>
    <w:tmpl w:val="EBA81B3A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3"/>
  </w:num>
  <w:num w:numId="5">
    <w:abstractNumId w:val="1"/>
  </w:num>
  <w:num w:numId="6">
    <w:abstractNumId w:val="15"/>
  </w:num>
  <w:num w:numId="7">
    <w:abstractNumId w:val="2"/>
  </w:num>
  <w:num w:numId="8">
    <w:abstractNumId w:val="7"/>
  </w:num>
  <w:num w:numId="9">
    <w:abstractNumId w:val="4"/>
  </w:num>
  <w:num w:numId="10">
    <w:abstractNumId w:val="8"/>
  </w:num>
  <w:num w:numId="11">
    <w:abstractNumId w:val="3"/>
  </w:num>
  <w:num w:numId="12">
    <w:abstractNumId w:val="5"/>
  </w:num>
  <w:num w:numId="13">
    <w:abstractNumId w:val="10"/>
  </w:num>
  <w:num w:numId="14">
    <w:abstractNumId w:val="12"/>
  </w:num>
  <w:num w:numId="15">
    <w:abstractNumId w:val="6"/>
  </w:num>
  <w:num w:numId="16">
    <w:abstractNumId w:val="16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gutterAtTop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43"/>
    <w:rsid w:val="000010C4"/>
    <w:rsid w:val="000C297C"/>
    <w:rsid w:val="00103580"/>
    <w:rsid w:val="00105E19"/>
    <w:rsid w:val="0024089C"/>
    <w:rsid w:val="00254C33"/>
    <w:rsid w:val="002E700D"/>
    <w:rsid w:val="002E783F"/>
    <w:rsid w:val="003359FF"/>
    <w:rsid w:val="003362D2"/>
    <w:rsid w:val="00383340"/>
    <w:rsid w:val="003B224A"/>
    <w:rsid w:val="004350AE"/>
    <w:rsid w:val="00485EE9"/>
    <w:rsid w:val="004B1452"/>
    <w:rsid w:val="004B4C26"/>
    <w:rsid w:val="00525BFF"/>
    <w:rsid w:val="005430B9"/>
    <w:rsid w:val="005A0D0C"/>
    <w:rsid w:val="00615787"/>
    <w:rsid w:val="00657C61"/>
    <w:rsid w:val="00775F90"/>
    <w:rsid w:val="007A4EE7"/>
    <w:rsid w:val="00896D4F"/>
    <w:rsid w:val="008F76E5"/>
    <w:rsid w:val="009610CC"/>
    <w:rsid w:val="009770B6"/>
    <w:rsid w:val="00A70BF5"/>
    <w:rsid w:val="00A80874"/>
    <w:rsid w:val="00AF596B"/>
    <w:rsid w:val="00B62C43"/>
    <w:rsid w:val="00C317AE"/>
    <w:rsid w:val="00C63EEA"/>
    <w:rsid w:val="00C66444"/>
    <w:rsid w:val="00D54D35"/>
    <w:rsid w:val="00D87593"/>
    <w:rsid w:val="00E53AFE"/>
    <w:rsid w:val="00E6036F"/>
    <w:rsid w:val="00E86EE7"/>
    <w:rsid w:val="00E87629"/>
    <w:rsid w:val="00EC0EDE"/>
    <w:rsid w:val="00ED24B2"/>
    <w:rsid w:val="00EE19D0"/>
    <w:rsid w:val="00F24D7D"/>
    <w:rsid w:val="00F31C9D"/>
    <w:rsid w:val="00F5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38334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3833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 Ježo</dc:creator>
  <cp:lastModifiedBy>PC</cp:lastModifiedBy>
  <cp:revision>3</cp:revision>
  <dcterms:created xsi:type="dcterms:W3CDTF">2015-06-13T11:45:00Z</dcterms:created>
  <dcterms:modified xsi:type="dcterms:W3CDTF">2015-06-13T11:53:00Z</dcterms:modified>
</cp:coreProperties>
</file>