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page" w:tblpX="1" w:tblpY="-1410"/>
        <w:tblW w:w="12935" w:type="dxa"/>
        <w:tblCellMar>
          <w:left w:w="70" w:type="dxa"/>
          <w:right w:w="70" w:type="dxa"/>
        </w:tblCellMar>
        <w:tblLook w:val="00A0"/>
      </w:tblPr>
      <w:tblGrid>
        <w:gridCol w:w="374"/>
        <w:gridCol w:w="12561"/>
      </w:tblGrid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E51FE0" w:rsidRDefault="0017088C" w:rsidP="00E51FE0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Default="0017088C" w:rsidP="00E51FE0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  <w:p w:rsidR="0017088C" w:rsidRDefault="0017088C" w:rsidP="002A673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 xml:space="preserve">Obec </w:t>
            </w:r>
            <w:r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Nižná Slaná</w:t>
            </w: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,</w:t>
            </w:r>
            <w:r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 xml:space="preserve"> Námestie SNP 54, </w:t>
            </w: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 xml:space="preserve"> </w:t>
            </w:r>
          </w:p>
          <w:p w:rsidR="0017088C" w:rsidRDefault="0017088C" w:rsidP="002A673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  <w:r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049 23 Nižná Slaná</w:t>
            </w:r>
          </w:p>
          <w:p w:rsidR="0017088C" w:rsidRPr="002A6737" w:rsidRDefault="0017088C" w:rsidP="002A673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  <w:r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 xml:space="preserve"> </w:t>
            </w: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 xml:space="preserve">IČO: </w:t>
            </w:r>
            <w:r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00328596</w:t>
            </w:r>
          </w:p>
          <w:p w:rsidR="0017088C" w:rsidRDefault="0017088C" w:rsidP="002A673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sk-SK"/>
              </w:rPr>
            </w:pPr>
          </w:p>
          <w:p w:rsidR="0017088C" w:rsidRPr="002A6737" w:rsidRDefault="0017088C" w:rsidP="002A673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sk-SK"/>
              </w:rPr>
            </w:pPr>
            <w:bookmarkStart w:id="0" w:name="_GoBack"/>
            <w:bookmarkEnd w:id="0"/>
          </w:p>
          <w:p w:rsidR="0017088C" w:rsidRPr="002A6737" w:rsidRDefault="0017088C" w:rsidP="002A6737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Poznámky konsolidovanej účtovnej závierky</w:t>
            </w:r>
          </w:p>
          <w:p w:rsidR="0017088C" w:rsidRPr="002A6737" w:rsidRDefault="0017088C" w:rsidP="002A6737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účtovnej jednotky verejnej správy</w:t>
            </w:r>
          </w:p>
          <w:p w:rsidR="0017088C" w:rsidRPr="002A6737" w:rsidRDefault="0017088C" w:rsidP="002A6737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k 31.12.201</w:t>
            </w:r>
            <w:r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>4</w:t>
            </w:r>
            <w:r w:rsidRPr="002A6737">
              <w:rPr>
                <w:rFonts w:ascii="Times New Roman" w:hAnsi="Times New Roman"/>
                <w:b/>
                <w:sz w:val="32"/>
                <w:szCs w:val="32"/>
                <w:lang w:eastAsia="sk-SK"/>
              </w:rPr>
              <w:t xml:space="preserve"> – textová časť</w:t>
            </w:r>
          </w:p>
          <w:p w:rsidR="0017088C" w:rsidRPr="002A6737" w:rsidRDefault="0017088C" w:rsidP="002A6737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sk-SK"/>
              </w:rPr>
            </w:pPr>
          </w:p>
          <w:p w:rsidR="0017088C" w:rsidRPr="00E51FE0" w:rsidRDefault="0017088C" w:rsidP="00E51FE0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Čl. I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Všeobecné údaje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99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(1)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Názov konsolidujúcej účtovnej jednotky verejnej správy a sídlo konsolidujúcej účtovnej jednotky verejnej správy, dátum jej vzniku, názvy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a sídla konsolidovaných účtovných jednotiek verejnej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správy s uvedením vplyvu a podielu na základnom imaní týchto účtovných jednotiek, hlasovacích právach alebo inom spôsobe ovládania.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Obec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Nižná Slaná, Námestie SNP 54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 049 2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3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Nižná Slaná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 dátum vzniku 01.01.1991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Z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Š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 MŠ Nižná Slaná ul. Letná 14,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049 2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3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Nižná Slaná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  konsolidovaný podiel:  100 %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17088C" w:rsidRPr="0065410A" w:rsidTr="000B2D87">
        <w:trPr>
          <w:trHeight w:val="66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(2)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Priemerný počet zamestnancov počas účtovného obdobia konsolidovaného celku verejnej správy  ku dňu, ku ktorému sa zostavuje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konsolidovaná účtovná závierka účtovnej jednotky verejnej správy, z toho počet vedúcich zamestnancov.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6B495B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Priemerný počet zamestnancov k 31.12.2014: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43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6B495B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Počet vedúcich zamestnancov k 31.12.2014: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3</w:t>
            </w:r>
          </w:p>
        </w:tc>
      </w:tr>
      <w:tr w:rsidR="0017088C" w:rsidRPr="0065410A" w:rsidTr="000B2D87">
        <w:trPr>
          <w:trHeight w:val="132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(3)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Názov konsolidujúcej účtovnej jednotky verejnej správy a sídlo konsolidujúcej účtovnej jednotky verejnej správy, ktorá zostavuje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konsolidovanú účtovnú závierku  za tú skupinu účtovných jednotiek konsolidovaného celku verejnej správy, ktorého súčasťou je aj 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vykazujúca účtovná jednotka; uvádza sa aj názov konsolidujúcej účtovnej jednotky verejnej správy  a sídlo účtovnej jednotky, ktorá je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bezprostredne konsolidujúcou účtovnou jednotkou.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Obec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Nižná Slaná, Námestie SNP 54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 049 2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3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Nižná Slaná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, dátum vzniku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23.-24.11.1990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ZŠ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s MŠ  Letná 14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 049 2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3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Nižná Slaná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  konsolidovaný podiel:  100 %</w:t>
            </w:r>
          </w:p>
        </w:tc>
      </w:tr>
      <w:tr w:rsidR="0017088C" w:rsidRPr="0065410A" w:rsidTr="000B2D87">
        <w:trPr>
          <w:trHeight w:val="66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(4)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Názvy  a sídla účtovných jednotiek, v ktorých má konsolidujúca účtovná jednotka podiely,  ktoré nespĺňajú podmienky na zahrnutie 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do konsolidovaného celku verejnej správy s odôvodnením tohto nezahrnutia.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Neeviduje sa 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</w:tc>
      </w:tr>
      <w:tr w:rsidR="0017088C" w:rsidRPr="0065410A" w:rsidTr="000B2D87">
        <w:trPr>
          <w:trHeight w:val="99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(5)</w:t>
            </w:r>
          </w:p>
          <w:p w:rsidR="0017088C" w:rsidRPr="0065410A" w:rsidRDefault="0017088C" w:rsidP="00825A5A">
            <w:pPr>
              <w:rPr>
                <w:lang w:eastAsia="sk-SK"/>
              </w:rPr>
            </w:pPr>
          </w:p>
          <w:p w:rsidR="0017088C" w:rsidRPr="0065410A" w:rsidRDefault="0017088C" w:rsidP="00F5670C">
            <w:pPr>
              <w:rPr>
                <w:lang w:eastAsia="sk-SK"/>
              </w:rPr>
            </w:pPr>
            <w:r w:rsidRPr="0065410A">
              <w:rPr>
                <w:lang w:eastAsia="sk-SK"/>
              </w:rPr>
              <w:t>(</w:t>
            </w:r>
            <w:r w:rsidRPr="0065410A">
              <w:rPr>
                <w:rFonts w:ascii="Arial Narrow" w:hAnsi="Arial Narrow"/>
                <w:lang w:eastAsia="sk-SK"/>
              </w:rPr>
              <w:t>6</w:t>
            </w:r>
            <w:r w:rsidRPr="0065410A">
              <w:rPr>
                <w:lang w:eastAsia="sk-SK"/>
              </w:rPr>
              <w:t xml:space="preserve">) 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Výška podielov na výsledku hospodárenia konsolidovaných účtovných jednotiek verejnej správy, ktoré konsolidujúca účtovná jednotka ovláda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alebo vykonáva v nich podstatný vplyv, nadobudnuté  konsolidujúcou účtovnou jednotkou verejnej správy v priebehu účtovného obdobia.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Neeviduje sa 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Informácia o zmenách v konsolidovanom celku, napríklad dátum zmeny a dôvod zmeny.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V konsolidovanom celku v roku 2014  nenastali žiadne zmeny.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</w:tc>
      </w:tr>
      <w:tr w:rsidR="0017088C" w:rsidRPr="0065410A" w:rsidTr="000B2D87">
        <w:trPr>
          <w:trHeight w:val="66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825A5A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(7)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Dosiahnutý kladný výsledok hospodárenia alebo záporný výsledok hospodárenia z dôvodu predaja majetku medzi účtovnými jednotkami 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konsolidovaného celku verejnej správy, osobitne za jednotlivé účtovné jednotky.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Neeviduje sa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825A5A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(8)</w:t>
            </w: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Metódy oceňovania použité pri ocenení jednotlivých položiek konsolidovanej účtovnej závierky účtovnej jednotky verejnej správy.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Účtovná závierka je zostavená za predpokladu nepretržitého pokračovania účtovnej jednotky vo svojej činnosti.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Účtovná jednotka nezmenila účtovné metódy, účtovné zásady oproti predchádzajúcemu účtovnému obdobiu.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Dlhodobý majetok nakupovaný sa oceňuje obstarávacou cenou.  Obstarávacia cena zahŕňa cenu, za ktorú sa majetok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obstaral a náklady súvisiace s jeho obstaraním: dopravné a montáž. Súčasťou obstarávacej ceny nie sú úroky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a realizované kurzové rozdiely. Dlhodobý majetok vytvorený vlastnou činnosťou sa oceňuje vlastnými nákladmi: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priame náklady vynaložené na výrobu alebo inú činnosť a časť nepriamych nákladov, ktoré sa vzťahujú na výrobu alebo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inú činnosť.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  <w:r w:rsidRPr="0065410A">
              <w:rPr>
                <w:b/>
              </w:rPr>
              <w:t xml:space="preserve">Dlhodobý   majetok   získaný   darovaním   alebo   delimitáciou   sa   oceňuje  reprodukčnou   obstarávacou cenou.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  <w:r w:rsidRPr="0065410A">
              <w:rPr>
                <w:b/>
              </w:rPr>
              <w:t xml:space="preserve">Dlhodobý    majetok   nadobudnutý    bezodplatným    prevodom    pri     splynutí,   zlúčení,   rozdelení   alebo pri prevode         </w:t>
            </w:r>
          </w:p>
        </w:tc>
      </w:tr>
      <w:tr w:rsidR="0017088C" w:rsidRPr="0065410A" w:rsidTr="000B2D87">
        <w:trPr>
          <w:trHeight w:val="66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  <w:r w:rsidRPr="0065410A">
              <w:rPr>
                <w:b/>
              </w:rPr>
              <w:t>správy sa oceňuje cenou, v ktorej sa doteraz viedol  v účtovníctve.  Ak cenu nie je možné zistiť, oceňuje sa reprodukčnou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  <w:r w:rsidRPr="0065410A">
              <w:rPr>
                <w:b/>
              </w:rPr>
              <w:t>obstarávacou cenou.  Dlhodobý finančný majetok sa oceňuje obstarávacou cenou.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b/>
              </w:rPr>
            </w:pPr>
            <w:r w:rsidRPr="0065410A">
              <w:rPr>
                <w:b/>
              </w:rPr>
              <w:t xml:space="preserve">Nakupované zásoby sa oceňujú obstarávacou cenou. Obstarávacia cena zahŕňa  cenu, za ktorú sa zásoby obstarali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a náklady súvisiace s ich obstaraním. Zásoby vytvorené vlastnou činnosťou sa oceňujú vlastnými nákladmi.  Zásoby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získané darovaním alebo delimitáciu sa oceňujú reprodukčnou obstarávacou cenou  (napr. určenou v darovacej zmluve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alebo určenou komisiou pre oceňovanie).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Pohľadávky pri ich vzniku sa oceňujú ich menovitou hodnotou.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Peňažné prostriedky a ceniny sa oceňujú ich menovitou hodnotou.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Pri účtovaní nákladov  a príjmov  sa uplatňuje zásada časového rozlíšenia. Náklady budúcich období a príjmy budúcich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období sa vykazujú vo výške, ktorá je potrebná na dodržanie zásady vecnej a časovej súvislosti s účtovným obdobím.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Záväzky pri ich vzniku sa oceňujú menovitou hodnotou. Ak sa pri inventarizácii zistí, že suma záväzkov je iná ako ich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výška v účtovníctve, uvedú sa záväzky v účtovníctve a v účtovnej závierke v tomto zistenom ocenení.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Rezervy sú záväzky s neistým časovým vymedzením alebo výškou. Tvoria sa na základe zásady opatrnosti, t.z. tvoria sa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na krytie známych rizík alebo strát. Oceňujú sa v očakávanej výške záväzku.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Pri účtovaní výdavkov a výnosov sa uplatňuje zásada časového rozlíšenia. Výdavky budúcich období a výnosy budúcich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období sa vykazujú vo výške, ktorá je potrebná na dodržanie zásady vecnej a časovej súvislosti s účtovným obdobím.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Majetok obstaraný z transferov sa oceňuje obstarávacou cenou.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Majetok obstaraný formou finančného a operatívneho leasingu sa oceňuje obstarávacou cenou.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Majetok a záväzky vyjadrené v cudzej mene sa prepočítavajú na eurá referenčným výmenným kurzom určeným a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vyhláseným Európskou centrálnou bankou alebo Národnou bankou Slovenska v deň predchádzajúci dňu uskutočnenia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účtovného prípadu alebo v iný deň, ak to ustanovuje osobitný predpis a v deň ku ktorému  sa zostavuje účtovná závierka. 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V účtovnej závierke sú vykázané s prepočtom podľa kurzu platného ku dňu, ku ktorému sa zostavuje.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Účtovná jednotka nie je platiteľom dane z pridanej hodnoty.  V prípadoch, keď dodávatelia   sú platiteľmi DPH,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fakturovaná DPH je súčasťou ocenenia dlhodobého majetku, zásob, nákladov.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Odpisy dlhodobého nehmotného majetku a dlhodobého hmotného majetku sú stanovené tak, že</w:t>
            </w:r>
            <w:r w:rsidRPr="0065410A">
              <w:rPr>
                <w:rFonts w:ascii="Arial Narrow" w:hAnsi="Arial Narrow" w:cs="Arial"/>
                <w:b/>
                <w:bCs/>
                <w:i/>
                <w:iCs/>
                <w:lang w:eastAsia="sk-SK"/>
              </w:rPr>
              <w:t xml:space="preserve"> </w:t>
            </w: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sa vychádza  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z predpokladanej doby jeho užívania a predpokladaného priebehu jeho  opotrebenia. Odpisovať sa začína odo dňa jeho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contextualSpacing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zaradenia do používania. Účtovné odpisy sa nezaokrúhľujú na celé eurá. Metóda odpisovania sa používa lineárna.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Predpokladaná doba užívania a odpisové sadzby sú stanovené takto: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     Odpisová skupina                            Doba odpisovania v rokoch                                             Ročná odpisová sadzba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1                                                                4                                                                                     25 %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2                                                                6                                                                                     16,66%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3                                                              12                                                                                     8,33%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4                                                              20                                                                                     5%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Drobný nehmotný majetok od 0 € do 2400,- €, ktorý podľa rozhodnutia účtovnej jednotky nie je dlhodobým nehmotným 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majetkom sa účtuje pri obstaraní do nákladov na účet 518 - ostatné služby.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Drobný hmotný majetok od 0 € do 1700,- €, ktorý podľa rozhodnutia účtovnej jednotky nie je dlhodobým hmotným majetkom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sa účtuje ako zásoby.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AA088A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Čl. II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metódach a postupoch konsolidácie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07B42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407B42">
            <w:pPr>
              <w:pStyle w:val="NoSpacing"/>
              <w:jc w:val="center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lang w:eastAsia="sk-SK"/>
              </w:rPr>
            </w:pPr>
            <w:r w:rsidRPr="0065410A">
              <w:rPr>
                <w:rFonts w:ascii="Arial Narrow" w:hAnsi="Arial Narrow" w:cs="Arial"/>
                <w:lang w:eastAsia="sk-SK"/>
              </w:rPr>
              <w:t>Majetok a postupy konsolidácie, pričom sa uvádza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>Obec ovláda rozpočtovú organizáciu vo svojej zriaďovateľskej pôsobnosti, do konsolidovanej účtovnej závierky zahrnula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lang w:eastAsia="sk-SK"/>
              </w:rPr>
              <w:t xml:space="preserve"> základnú školu.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a) pri metóde  úplnej konsolidácie a  metóde podielovej konsolidácie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1. použitá metóda konsolidácie kapitálu,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Obec má jednu rozpočtovú organizáciu, použila metódu úplnej konsolidácie.  Obec nemá obchodné podiely v dcérskej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účtovnej jednotke. Obec nemá obchodné podiely v spoločnej účtovnej jednotke. Obec nemá obchodné podiely 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pridruženej účtovnej jednotke.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2. odôvodnenie súčasného použitia oboch metód konsolidácie kapitálu (§ 5 a 6)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súlade s opatrením bola použitá metóda úplnej konsolidácie u rozpočtovej organizácii.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3. deň,  ku ktorému sa vykonáva prvá konsolidácia kapitálu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 1.1.2009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lang w:eastAsia="sk-SK"/>
              </w:rPr>
            </w:pPr>
            <w:r w:rsidRPr="0065410A">
              <w:rPr>
                <w:rFonts w:ascii="Arial Narrow" w:hAnsi="Arial Narrow" w:cs="Arial"/>
                <w:lang w:eastAsia="sk-SK"/>
              </w:rPr>
              <w:t>4. informácie o aktivácii goodwillu, jeho odpisovaní, vysporiadaní s kapitálovými fondmi alebo fondmi tvorenými zo ziskov alebo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lang w:eastAsia="sk-SK"/>
              </w:rPr>
            </w:pPr>
            <w:r w:rsidRPr="0065410A">
              <w:rPr>
                <w:rFonts w:ascii="Arial Narrow" w:hAnsi="Arial Narrow" w:cs="Arial"/>
                <w:lang w:eastAsia="sk-SK"/>
              </w:rPr>
              <w:t>o vzájomnom vysporiadaní goodwillu a záporného goodwillu,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Pri prvej konsolidácii goodwil ani záporný goodwil nevznikol.</w:t>
            </w:r>
          </w:p>
        </w:tc>
      </w:tr>
      <w:tr w:rsidR="0017088C" w:rsidRPr="0065410A" w:rsidTr="000B2D87">
        <w:trPr>
          <w:trHeight w:val="66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5. informácia o vysporiadaní záporného goodwillu s nepriaznivými výsledkami hospodárenia dcérskej spoločnosti, s kapitálovými fondmi </w:t>
            </w:r>
          </w:p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alebo fondmi tvorenými zo zisku alebo o vzájomnom vysporiadaní goodwillu a záporného   goodwillu,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Pri prvej konsolidácii goodwil ani záporný goodwil nevznikol.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6. odôvodnenie neuskutočnenia konsolidácie medzivýsledku,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konsolidačnom poli medzivýsledok nevznikol.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7. členenie podielov iných účtovných jednotiek,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konsolidačnom poli nemajú podiely iné účtovné jednotky.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b) pri metóde  vlastného imania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820A97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nemá obchodné podiely v pridruženej účtovnej jednotke. Metóda vlastného imania nebola použitá.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Čl. III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 údajoch aktív a pasív</w:t>
            </w:r>
          </w:p>
        </w:tc>
      </w:tr>
      <w:tr w:rsidR="0017088C" w:rsidRPr="0065410A" w:rsidTr="000B2D87">
        <w:trPr>
          <w:trHeight w:val="255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Obsahuje informácie významných položiek aktív a pasív za bežné účtovné obdobie a bezprostredne predchádzajúce účtovné obdobie o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a) konsolidovanom celku verejnej správy,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konsolidovanom celku sú súčasťou prílohy k poznámkam v tabuľke č. 1.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b) prehľade o pohybe vlastného imania,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o pohybe vlastného imania konsolidovaného celku je uvedený v prílohe k poznámkam v tabuľke č. 12.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c) prehľade o pohybe rezerv,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Prehľad  rezerv konsolidovaného celku v členení na zákonné a ostatné, dlhodobé a krátkodobé je uvedený v prílohe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 poznámkam v tabuľke č. 13 a 14.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d) prehľade o pohybe dlhodobého majetku,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o pohybe dlhodobého nehmotného a dlhodobého hmotného majetku je uvedený v prílohe k poznámkam v tab. č. 2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e) dlhodobom  finančnom  majetku,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Detailnejšie informácie o dlhodobom finančnom majetku vykázanom v konsolidovanej účtovnej závierke sú uvedené v prílohe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8E3F7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 poznámkam v tabuľke č. 4.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f) zásobách,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A67BFA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eviduje zásoby materiálu v celkovej hodnote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1086,34 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€. Obec neeviduje opravné položky k zásobám.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g) transferoch,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E06366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transferoch jednotlivých účtovných jednotiek konsolidovaného celku sú uvedené v tabuľke č. 18.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h) dlhodobých  pohľadávkach,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 neeviduje dlhodobé pohľadávky.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i) krátkodobých  pohľadávkach,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A67BFA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eviduje krátkodobé pohľadávky z daňových a nedaňových príjmov vo výške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65 793,71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,  €.  Informácie o dobe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splatnosti pohľadávok sú uvedené v prílohe k poznámkam v tabuľke č. 9.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j) finančných  účtoch,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E1A22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Zostatky na finančných účtoch konsolidovanej účtovnej jednotky k 31. 12. 2014 boli vo výške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69 354,42</w:t>
            </w: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€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k) poskytnutých  finančných výpomociach,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E1A22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neposkytla v roku 2014 finančnú výpomoc.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l) časovom  rozlíšení na strane aktív,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tabuľke č. 10 a tabuľke č. 11 prílohy k poznámkam sú uvedené významné položky časového rozlíšenia aktív.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m) dlhodobých záväzkoch,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Prehľad záväzkov  z hľadiska ich splatnosti je uvedený v prílohe k poznámkam v tabuľke č. 15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n) krátkodobých  záväzkoch,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Prehľad záväzkov  z hľadiska ich splatnosti je uvedený v prílohe k poznámkam v tabuľke č. 15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o) vydaných  dlhopisoch,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4B7DC2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nevydala v roku 2014 dlhopisy.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p) bankových úveroch a návratných výpomociach,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 bankových úveroch sú uvedené v prílohe k poznámkam v tabuľke č. 16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q) časovom  rozlíšení na strane pasív,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prílohe k poznámkam v tabuľke č. 17 a 18 sú uvedené významné položky časového rozlíšenia pasív.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E06366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r) predaji  zásob v účtovných jednotkách zahrnutých do konsolidovaného celku verejnej správy, 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Nebol uskutočnený.</w:t>
            </w:r>
          </w:p>
        </w:tc>
      </w:tr>
      <w:tr w:rsidR="0017088C" w:rsidRPr="0065410A" w:rsidTr="000B2D87">
        <w:trPr>
          <w:trHeight w:val="330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s) ďalších potrebných údajoch. 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7088C" w:rsidRPr="0065410A" w:rsidRDefault="0017088C" w:rsidP="00B22186">
            <w:pPr>
              <w:pStyle w:val="NoSpacing"/>
              <w:spacing w:line="276" w:lineRule="auto"/>
              <w:jc w:val="center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Čl. IX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jc w:val="center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Informácie o nákladoch a výnosoch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jc w:val="center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(1) Informácie o významných položkách nákladov a výnosov konsolidovaného celku za bežné účtovné obdobie a bezprostredne 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     predchádzajúce účtovné obdobie.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V tabuľkách č. 19, 20, 21 je uvedené detailné členenie vybraných položiek nákladov konsolidovaného celku. 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V tabuľke č. 22 je uvedené  detailné členenie vybraných položiek výnosov konsolidovaného celku.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 </w:t>
            </w: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(2) Popis a výška nákladov voči audítorovi alebo audítorskej spoločnosti v členení na: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a) overenie účtovnej závierky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Náklady na overenie účtovnej závierky boli vo výške </w:t>
            </w: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796,80</w:t>
            </w: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 €.  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b) uisťovacie audítorské služby s výnimkou overenia účtovnej závierky,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Náklady na uisťovacie audítorské služby s výnimkou overenia ÚZ v konsolidovanom celku neboli účtované.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c) súvisiace audítorské služby,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Náklady na audítorské služby v konsolidovanom celku neboli účtované.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>d) daňové poradenstvo,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Náklady na daňové poradenstvo v konsolidovanom celku neboli účtované.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color w:val="000000"/>
                <w:lang w:eastAsia="sk-SK"/>
              </w:rPr>
              <w:t xml:space="preserve">e) ostatné neaudítorské služby. 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 w:rsidRPr="0065410A">
              <w:rPr>
                <w:rFonts w:ascii="Arial Narrow" w:hAnsi="Arial Narrow" w:cs="Arial"/>
                <w:b/>
                <w:color w:val="000000"/>
                <w:lang w:eastAsia="sk-SK"/>
              </w:rPr>
              <w:t>Náklady na ostatné neaudítorské služby v konsolidovanom celku neboli účtované.</w:t>
            </w:r>
          </w:p>
          <w:p w:rsidR="0017088C" w:rsidRPr="0065410A" w:rsidRDefault="0017088C" w:rsidP="00B22186">
            <w:pPr>
              <w:pStyle w:val="NoSpacing"/>
              <w:spacing w:line="276" w:lineRule="auto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</w:tr>
      <w:tr w:rsidR="0017088C" w:rsidRPr="0065410A" w:rsidTr="000B2D87">
        <w:trPr>
          <w:trHeight w:val="255"/>
        </w:trPr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  <w:tc>
          <w:tcPr>
            <w:tcW w:w="1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7088C" w:rsidRPr="0065410A" w:rsidRDefault="0017088C" w:rsidP="000B7F8C">
            <w:pPr>
              <w:pStyle w:val="NoSpacing"/>
              <w:rPr>
                <w:lang w:eastAsia="sk-SK"/>
              </w:rPr>
            </w:pPr>
          </w:p>
        </w:tc>
      </w:tr>
    </w:tbl>
    <w:p w:rsidR="0017088C" w:rsidRDefault="0017088C" w:rsidP="000B7F8C">
      <w:pPr>
        <w:pStyle w:val="NoSpacing"/>
      </w:pPr>
    </w:p>
    <w:p w:rsidR="0017088C" w:rsidRDefault="0017088C" w:rsidP="000B7F8C">
      <w:pPr>
        <w:pStyle w:val="NoSpacing"/>
      </w:pPr>
    </w:p>
    <w:p w:rsidR="0017088C" w:rsidRDefault="0017088C" w:rsidP="000B7F8C">
      <w:pPr>
        <w:pStyle w:val="NoSpacing"/>
      </w:pPr>
    </w:p>
    <w:p w:rsidR="0017088C" w:rsidRDefault="0017088C" w:rsidP="009D1E28">
      <w:pPr>
        <w:pStyle w:val="NoSpacing"/>
      </w:pPr>
    </w:p>
    <w:p w:rsidR="0017088C" w:rsidRPr="000B7F8C" w:rsidRDefault="0017088C" w:rsidP="009D1E28">
      <w:pPr>
        <w:pStyle w:val="NoSpacing"/>
      </w:pPr>
    </w:p>
    <w:sectPr w:rsidR="0017088C" w:rsidRPr="000B7F8C" w:rsidSect="00EE7C3C">
      <w:footerReference w:type="default" r:id="rId6"/>
      <w:pgSz w:w="11906" w:h="16838"/>
      <w:pgMar w:top="1418" w:right="1701" w:bottom="1134" w:left="192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88C" w:rsidRDefault="0017088C" w:rsidP="00311D10">
      <w:pPr>
        <w:spacing w:after="0" w:line="240" w:lineRule="auto"/>
      </w:pPr>
      <w:r>
        <w:separator/>
      </w:r>
    </w:p>
  </w:endnote>
  <w:endnote w:type="continuationSeparator" w:id="0">
    <w:p w:rsidR="0017088C" w:rsidRDefault="0017088C" w:rsidP="00311D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088C" w:rsidRDefault="0017088C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17088C" w:rsidRDefault="0017088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88C" w:rsidRDefault="0017088C" w:rsidP="00311D10">
      <w:pPr>
        <w:spacing w:after="0" w:line="240" w:lineRule="auto"/>
      </w:pPr>
      <w:r>
        <w:separator/>
      </w:r>
    </w:p>
  </w:footnote>
  <w:footnote w:type="continuationSeparator" w:id="0">
    <w:p w:rsidR="0017088C" w:rsidRDefault="0017088C" w:rsidP="00311D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51FE0"/>
    <w:rsid w:val="000053A6"/>
    <w:rsid w:val="000356D1"/>
    <w:rsid w:val="000B2D87"/>
    <w:rsid w:val="000B7F8C"/>
    <w:rsid w:val="000E1A22"/>
    <w:rsid w:val="001157E5"/>
    <w:rsid w:val="0017088C"/>
    <w:rsid w:val="0020128F"/>
    <w:rsid w:val="00273175"/>
    <w:rsid w:val="00282E65"/>
    <w:rsid w:val="002A6737"/>
    <w:rsid w:val="002D61F7"/>
    <w:rsid w:val="00311D10"/>
    <w:rsid w:val="00407B42"/>
    <w:rsid w:val="004B7DC2"/>
    <w:rsid w:val="00626BDD"/>
    <w:rsid w:val="00633D51"/>
    <w:rsid w:val="0065410A"/>
    <w:rsid w:val="006B495B"/>
    <w:rsid w:val="006E5552"/>
    <w:rsid w:val="00820A97"/>
    <w:rsid w:val="00822CAE"/>
    <w:rsid w:val="00825A5A"/>
    <w:rsid w:val="008B18E4"/>
    <w:rsid w:val="008E3F7C"/>
    <w:rsid w:val="0096257D"/>
    <w:rsid w:val="009D1E28"/>
    <w:rsid w:val="009E48F4"/>
    <w:rsid w:val="00A67BFA"/>
    <w:rsid w:val="00A97301"/>
    <w:rsid w:val="00AA088A"/>
    <w:rsid w:val="00B144AB"/>
    <w:rsid w:val="00B22186"/>
    <w:rsid w:val="00D5674A"/>
    <w:rsid w:val="00E06366"/>
    <w:rsid w:val="00E51FE0"/>
    <w:rsid w:val="00EE7C3C"/>
    <w:rsid w:val="00F56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56D1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B7F8C"/>
    <w:rPr>
      <w:lang w:eastAsia="en-US"/>
    </w:rPr>
  </w:style>
  <w:style w:type="paragraph" w:styleId="Header">
    <w:name w:val="header"/>
    <w:basedOn w:val="Normal"/>
    <w:link w:val="HeaderChar"/>
    <w:uiPriority w:val="99"/>
    <w:rsid w:val="00311D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11D10"/>
    <w:rPr>
      <w:rFonts w:cs="Times New Roman"/>
    </w:rPr>
  </w:style>
  <w:style w:type="paragraph" w:styleId="Footer">
    <w:name w:val="footer"/>
    <w:basedOn w:val="Normal"/>
    <w:link w:val="FooterChar"/>
    <w:uiPriority w:val="99"/>
    <w:rsid w:val="00311D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11D10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EE7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E7C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11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187</TotalTime>
  <Pages>5</Pages>
  <Words>1970</Words>
  <Characters>11233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 rejdova</dc:creator>
  <cp:keywords/>
  <dc:description/>
  <cp:lastModifiedBy>Michal</cp:lastModifiedBy>
  <cp:revision>21</cp:revision>
  <cp:lastPrinted>2015-06-11T10:07:00Z</cp:lastPrinted>
  <dcterms:created xsi:type="dcterms:W3CDTF">2014-06-18T15:30:00Z</dcterms:created>
  <dcterms:modified xsi:type="dcterms:W3CDTF">2015-06-11T17:34:00Z</dcterms:modified>
</cp:coreProperties>
</file>