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Standard"/>
        <w:rPr/>
      </w:pPr>
      <w:r>
        <w:rPr/>
      </w:r>
    </w:p>
    <w:p>
      <w:pPr>
        <w:pStyle w:val="Standard"/>
        <w:jc w:val="center"/>
        <w:rPr>
          <w:b/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Poznámky konsolidovanej účtovnej závierky obce Sučany</w:t>
      </w:r>
    </w:p>
    <w:p>
      <w:pPr>
        <w:pStyle w:val="Standard"/>
        <w:jc w:val="center"/>
        <w:rPr/>
      </w:pPr>
      <w:r>
        <w:rPr>
          <w:b/>
          <w:color w:val="000000"/>
          <w:sz w:val="28"/>
          <w:szCs w:val="28"/>
        </w:rPr>
        <w:t xml:space="preserve">zostavenej k 31. decembru </w:t>
      </w:r>
      <w:r>
        <w:rPr>
          <w:b/>
          <w:iCs/>
          <w:color w:val="000000"/>
          <w:sz w:val="28"/>
          <w:szCs w:val="28"/>
        </w:rPr>
        <w:t>2014</w:t>
      </w:r>
    </w:p>
    <w:p>
      <w:pPr>
        <w:pStyle w:val="Standard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</w:p>
    <w:p>
      <w:pPr>
        <w:pStyle w:val="Standard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</w:p>
    <w:p>
      <w:pPr>
        <w:pStyle w:val="Standard"/>
        <w:jc w:val="center"/>
        <w:rPr>
          <w:b/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I</w:t>
      </w:r>
    </w:p>
    <w:p>
      <w:pPr>
        <w:pStyle w:val="Standard"/>
        <w:jc w:val="center"/>
        <w:rPr>
          <w:b/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Všeobecné údaje</w:t>
      </w:r>
    </w:p>
    <w:p>
      <w:pPr>
        <w:pStyle w:val="Standard"/>
        <w:jc w:val="center"/>
        <w:rPr>
          <w:b/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</w:r>
    </w:p>
    <w:p>
      <w:pPr>
        <w:pStyle w:val="Standard"/>
        <w:numPr>
          <w:ilvl w:val="0"/>
          <w:numId w:val="10"/>
        </w:numPr>
        <w:spacing w:before="120" w:after="0"/>
        <w:rPr>
          <w:b/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Identifikačné údaje o konsolidujúcej účtovnej jednotke</w:t>
      </w:r>
    </w:p>
    <w:p>
      <w:pPr>
        <w:pStyle w:val="Standard"/>
        <w:rPr>
          <w:b/>
          <w:b/>
          <w:i/>
          <w:i/>
          <w:color w:val="000000"/>
          <w:sz w:val="18"/>
          <w:szCs w:val="18"/>
        </w:rPr>
      </w:pPr>
      <w:r>
        <w:rPr>
          <w:b/>
          <w:i/>
          <w:color w:val="000000"/>
          <w:sz w:val="18"/>
          <w:szCs w:val="18"/>
        </w:rPr>
      </w:r>
    </w:p>
    <w:tbl>
      <w:tblPr>
        <w:tblW w:w="10130" w:type="dxa"/>
        <w:jc w:val="left"/>
        <w:tblInd w:w="191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  <w:tblLook w:val="0000"/>
      </w:tblPr>
      <w:tblGrid>
        <w:gridCol w:w="4781"/>
        <w:gridCol w:w="5348"/>
      </w:tblGrid>
      <w:tr>
        <w:trPr/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Standard"/>
              <w:spacing w:before="60" w:after="6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Názov konsolidujúcej účtovnej jednotky</w:t>
            </w:r>
          </w:p>
        </w:tc>
        <w:tc>
          <w:tcPr>
            <w:tcW w:w="53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Standard"/>
              <w:spacing w:before="60" w:after="6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Obec Sučany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Standard"/>
              <w:spacing w:before="60" w:after="6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IČO</w:t>
            </w:r>
          </w:p>
        </w:tc>
        <w:tc>
          <w:tcPr>
            <w:tcW w:w="53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Standard"/>
              <w:spacing w:before="60" w:after="6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00316938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Standard"/>
              <w:spacing w:before="60" w:after="6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Sídlo konsolidujúcej účtovnej jednotky</w:t>
            </w:r>
          </w:p>
        </w:tc>
        <w:tc>
          <w:tcPr>
            <w:tcW w:w="53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Standard"/>
              <w:spacing w:before="60" w:after="6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Námestie SNP 31, 038 52 Sučany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Standard"/>
              <w:spacing w:before="60" w:after="6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Dátum založenia, vzniku konsolidujúcej účtovnej jednotky</w:t>
            </w:r>
          </w:p>
        </w:tc>
        <w:tc>
          <w:tcPr>
            <w:tcW w:w="53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Standard"/>
              <w:spacing w:before="60" w:after="6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24.11.1990</w:t>
            </w:r>
          </w:p>
        </w:tc>
      </w:tr>
    </w:tbl>
    <w:p>
      <w:pPr>
        <w:pStyle w:val="Standard"/>
        <w:spacing w:before="120" w:after="120"/>
        <w:jc w:val="both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  <w:t xml:space="preserve">Konsolidovaná účtovná závierka konsolidovaného celku obce Sučany bola zostavená v súlade so zákonom </w:t>
        <w:br/>
        <w:t>č. 431/2002 Z. z. o účtovníctve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</w:t>
      </w:r>
    </w:p>
    <w:p>
      <w:pPr>
        <w:pStyle w:val="Standard"/>
        <w:spacing w:before="120" w:after="120"/>
        <w:jc w:val="both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</w:r>
    </w:p>
    <w:p>
      <w:pPr>
        <w:pStyle w:val="Standard"/>
        <w:numPr>
          <w:ilvl w:val="0"/>
          <w:numId w:val="6"/>
        </w:numPr>
        <w:spacing w:before="120" w:after="120"/>
        <w:jc w:val="both"/>
        <w:rPr>
          <w:b/>
          <w:b/>
          <w:bCs/>
          <w:i/>
          <w:i/>
          <w:color w:val="000000"/>
          <w:sz w:val="22"/>
          <w:szCs w:val="22"/>
        </w:rPr>
      </w:pPr>
      <w:r>
        <w:rPr>
          <w:b/>
          <w:bCs/>
          <w:i/>
          <w:color w:val="000000"/>
          <w:sz w:val="22"/>
          <w:szCs w:val="22"/>
        </w:rPr>
        <w:t>Informácie o hlavných predstaviteľoch konsolidujúcej účtovnej jednotky</w:t>
      </w:r>
    </w:p>
    <w:tbl>
      <w:tblPr>
        <w:tblW w:w="10115" w:type="dxa"/>
        <w:jc w:val="left"/>
        <w:tblInd w:w="191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  <w:tblLook w:val="0000"/>
      </w:tblPr>
      <w:tblGrid>
        <w:gridCol w:w="4780"/>
        <w:gridCol w:w="5334"/>
      </w:tblGrid>
      <w:tr>
        <w:trPr>
          <w:trHeight w:val="287" w:hRule="atLeast"/>
        </w:trPr>
        <w:tc>
          <w:tcPr>
            <w:tcW w:w="4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Standard"/>
              <w:spacing w:before="60" w:after="6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Starosta obce (meno a priezvisko)</w:t>
            </w:r>
          </w:p>
        </w:tc>
        <w:tc>
          <w:tcPr>
            <w:tcW w:w="53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rPr>
                <w:color w:val="FF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JUDr. Jozef Petráš, CSc  do 15.12.2014</w:t>
            </w:r>
          </w:p>
          <w:p>
            <w:pPr>
              <w:pStyle w:val="Standard"/>
              <w:spacing w:before="60" w:after="60"/>
              <w:jc w:val="both"/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Ing. Vladimír Plžik  od 15.12.2014</w:t>
            </w:r>
          </w:p>
        </w:tc>
      </w:tr>
      <w:tr>
        <w:trPr/>
        <w:tc>
          <w:tcPr>
            <w:tcW w:w="4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Standard"/>
              <w:spacing w:before="60" w:after="6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Zástupca starostu (meno a priezvisko)</w:t>
            </w:r>
          </w:p>
        </w:tc>
        <w:tc>
          <w:tcPr>
            <w:tcW w:w="53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Standard"/>
              <w:spacing w:before="60" w:after="60"/>
              <w:jc w:val="both"/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Ing. Peter Belica</w:t>
            </w:r>
          </w:p>
        </w:tc>
      </w:tr>
      <w:tr>
        <w:trPr>
          <w:trHeight w:val="263" w:hRule="atLeast"/>
        </w:trPr>
        <w:tc>
          <w:tcPr>
            <w:tcW w:w="4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Standard"/>
              <w:spacing w:before="60" w:after="6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Prednosta obecného úradu</w:t>
            </w:r>
          </w:p>
        </w:tc>
        <w:tc>
          <w:tcPr>
            <w:tcW w:w="53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Standard"/>
              <w:spacing w:before="60" w:after="6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Mgr. Vladimír Olbert</w:t>
            </w:r>
          </w:p>
        </w:tc>
      </w:tr>
      <w:tr>
        <w:trPr>
          <w:trHeight w:val="355" w:hRule="atLeast"/>
        </w:trPr>
        <w:tc>
          <w:tcPr>
            <w:tcW w:w="4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Standard"/>
              <w:spacing w:before="60" w:after="6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Hlavný kontrolór obce</w:t>
            </w:r>
          </w:p>
        </w:tc>
        <w:tc>
          <w:tcPr>
            <w:tcW w:w="53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Standard"/>
              <w:spacing w:before="60" w:after="60"/>
              <w:jc w:val="both"/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 xml:space="preserve">Ing. Vladimír Plžik do 15.12.2014, </w:t>
            </w:r>
            <w:r>
              <w:rPr>
                <w:color w:val="000000"/>
                <w:sz w:val="22"/>
                <w:szCs w:val="22"/>
              </w:rPr>
              <w:t>Mgr. Lenka Orelová od</w:t>
            </w:r>
            <w:r>
              <w:rPr>
                <w:color w:val="000000"/>
                <w:sz w:val="22"/>
                <w:szCs w:val="22"/>
                <w:shd w:fill="auto" w:val="clear"/>
              </w:rPr>
              <w:t xml:space="preserve"> </w:t>
            </w:r>
            <w:r>
              <w:rPr>
                <w:color w:val="000000"/>
                <w:sz w:val="22"/>
                <w:szCs w:val="22"/>
                <w:shd w:fill="auto" w:val="clear"/>
              </w:rPr>
              <w:t>1.3.2015</w:t>
            </w:r>
          </w:p>
        </w:tc>
      </w:tr>
    </w:tbl>
    <w:p>
      <w:pPr>
        <w:pStyle w:val="Standard"/>
        <w:numPr>
          <w:ilvl w:val="0"/>
          <w:numId w:val="6"/>
        </w:numPr>
        <w:spacing w:lineRule="auto" w:line="360" w:before="120" w:after="120"/>
        <w:jc w:val="both"/>
        <w:rPr>
          <w:b/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Informácie o konsolidovanom celku</w:t>
      </w:r>
    </w:p>
    <w:p>
      <w:pPr>
        <w:pStyle w:val="Standard"/>
        <w:spacing w:before="120" w:after="120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Identifikačné údaje všetkých účtovných jednotiek konsolidovaného celku obce Sučany sú uvedené v tabuľkovej časti (tabuľka  č. 1) poznámok konsolidovanej účtovnej závierky.</w:t>
      </w:r>
    </w:p>
    <w:p>
      <w:pPr>
        <w:pStyle w:val="Standard"/>
        <w:spacing w:before="120" w:after="1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</w:r>
    </w:p>
    <w:p>
      <w:pPr>
        <w:pStyle w:val="Standard"/>
        <w:spacing w:before="120" w:after="0"/>
        <w:jc w:val="both"/>
        <w:rPr>
          <w:b/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3. 1. Identifikačné údaje o konsolidovaných účtovných jednotkách – rozpočtových organizáciách</w:t>
      </w:r>
    </w:p>
    <w:p>
      <w:pPr>
        <w:pStyle w:val="Standard"/>
        <w:spacing w:before="0" w:after="120"/>
        <w:jc w:val="both"/>
        <w:rPr/>
      </w:pPr>
      <w:r>
        <w:rPr>
          <w:b/>
          <w:color w:val="000000"/>
          <w:sz w:val="22"/>
          <w:szCs w:val="22"/>
        </w:rPr>
        <w:t xml:space="preserve">        </w:t>
      </w:r>
      <w:r>
        <w:rPr>
          <w:color w:val="000000"/>
          <w:sz w:val="22"/>
          <w:szCs w:val="22"/>
        </w:rPr>
        <w:t>v zriaďovateľskej pôsobnosti konsolidujúcej účtovnej jednotky</w:t>
      </w:r>
    </w:p>
    <w:tbl>
      <w:tblPr>
        <w:tblW w:w="10145" w:type="dxa"/>
        <w:jc w:val="left"/>
        <w:tblInd w:w="1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60" w:type="dxa"/>
          <w:bottom w:w="0" w:type="dxa"/>
          <w:right w:w="70" w:type="dxa"/>
        </w:tblCellMar>
        <w:tblLook w:val="0000"/>
      </w:tblPr>
      <w:tblGrid>
        <w:gridCol w:w="2713"/>
        <w:gridCol w:w="4502"/>
        <w:gridCol w:w="1041"/>
        <w:gridCol w:w="1888"/>
      </w:tblGrid>
      <w:tr>
        <w:trPr>
          <w:trHeight w:val="510" w:hRule="atLeast"/>
        </w:trPr>
        <w:tc>
          <w:tcPr>
            <w:tcW w:w="27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jc w:val="center"/>
              <w:rPr>
                <w:b/>
                <w:b/>
                <w:bCs/>
                <w:color w:val="000000"/>
                <w:sz w:val="22"/>
                <w:szCs w:val="22"/>
                <w:lang w:eastAsia="cs-CZ"/>
              </w:rPr>
            </w:pPr>
            <w:r>
              <w:rPr>
                <w:b/>
                <w:bCs/>
                <w:color w:val="000000"/>
                <w:sz w:val="22"/>
                <w:szCs w:val="22"/>
                <w:lang w:eastAsia="cs-CZ"/>
              </w:rPr>
              <w:t>Názov konsolidovanej účtovnej jednotky</w:t>
            </w:r>
          </w:p>
        </w:tc>
        <w:tc>
          <w:tcPr>
            <w:tcW w:w="45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jc w:val="center"/>
              <w:rPr>
                <w:b/>
                <w:b/>
                <w:bCs/>
                <w:color w:val="000000"/>
                <w:sz w:val="22"/>
                <w:szCs w:val="22"/>
                <w:lang w:eastAsia="cs-CZ"/>
              </w:rPr>
            </w:pPr>
            <w:r>
              <w:rPr>
                <w:b/>
                <w:bCs/>
                <w:color w:val="000000"/>
                <w:sz w:val="22"/>
                <w:szCs w:val="22"/>
                <w:lang w:eastAsia="cs-CZ"/>
              </w:rPr>
              <w:t>Sídlo</w:t>
            </w:r>
          </w:p>
        </w:tc>
        <w:tc>
          <w:tcPr>
            <w:tcW w:w="10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jc w:val="center"/>
              <w:rPr>
                <w:b/>
                <w:b/>
                <w:bCs/>
                <w:color w:val="000000"/>
                <w:sz w:val="22"/>
                <w:szCs w:val="22"/>
                <w:lang w:eastAsia="cs-CZ"/>
              </w:rPr>
            </w:pPr>
            <w:r>
              <w:rPr>
                <w:b/>
                <w:bCs/>
                <w:color w:val="000000"/>
                <w:sz w:val="22"/>
                <w:szCs w:val="22"/>
                <w:lang w:eastAsia="cs-CZ"/>
              </w:rPr>
              <w:t>IČO</w:t>
            </w:r>
          </w:p>
        </w:tc>
        <w:tc>
          <w:tcPr>
            <w:tcW w:w="18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jc w:val="center"/>
              <w:rPr>
                <w:b/>
                <w:b/>
                <w:bCs/>
                <w:color w:val="000000"/>
                <w:sz w:val="22"/>
                <w:szCs w:val="22"/>
                <w:lang w:eastAsia="cs-CZ"/>
              </w:rPr>
            </w:pPr>
            <w:r>
              <w:rPr>
                <w:b/>
                <w:bCs/>
                <w:color w:val="000000"/>
                <w:sz w:val="22"/>
                <w:szCs w:val="22"/>
                <w:lang w:eastAsia="cs-CZ"/>
              </w:rPr>
              <w:t>Dátum založenia</w:t>
            </w:r>
          </w:p>
        </w:tc>
      </w:tr>
      <w:tr>
        <w:trPr>
          <w:trHeight w:val="300" w:hRule="atLeast"/>
        </w:trPr>
        <w:tc>
          <w:tcPr>
            <w:tcW w:w="27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rPr>
                <w:color w:val="000000"/>
                <w:sz w:val="22"/>
                <w:szCs w:val="22"/>
                <w:lang w:eastAsia="cs-CZ"/>
              </w:rPr>
            </w:pPr>
            <w:r>
              <w:rPr>
                <w:color w:val="000000"/>
                <w:sz w:val="22"/>
                <w:szCs w:val="22"/>
                <w:lang w:eastAsia="cs-CZ"/>
              </w:rPr>
              <w:t>Obec Sučany</w:t>
            </w:r>
          </w:p>
        </w:tc>
        <w:tc>
          <w:tcPr>
            <w:tcW w:w="45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rPr>
                <w:color w:val="000000"/>
                <w:sz w:val="22"/>
                <w:szCs w:val="22"/>
                <w:lang w:eastAsia="cs-CZ"/>
              </w:rPr>
            </w:pPr>
            <w:r>
              <w:rPr>
                <w:color w:val="000000"/>
                <w:sz w:val="22"/>
                <w:szCs w:val="22"/>
                <w:lang w:eastAsia="cs-CZ"/>
              </w:rPr>
              <w:t>Námestie SNP 31, 038 52 Sučany</w:t>
            </w:r>
          </w:p>
        </w:tc>
        <w:tc>
          <w:tcPr>
            <w:tcW w:w="10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jc w:val="center"/>
              <w:rPr>
                <w:color w:val="000000"/>
                <w:sz w:val="22"/>
                <w:szCs w:val="22"/>
                <w:lang w:eastAsia="cs-CZ"/>
              </w:rPr>
            </w:pPr>
            <w:r>
              <w:rPr>
                <w:color w:val="000000"/>
                <w:sz w:val="22"/>
                <w:szCs w:val="22"/>
                <w:lang w:eastAsia="cs-CZ"/>
              </w:rPr>
              <w:t>00316938</w:t>
            </w:r>
          </w:p>
        </w:tc>
        <w:tc>
          <w:tcPr>
            <w:tcW w:w="18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jc w:val="center"/>
              <w:rPr>
                <w:color w:val="000000"/>
                <w:sz w:val="22"/>
                <w:szCs w:val="22"/>
                <w:lang w:eastAsia="cs-CZ"/>
              </w:rPr>
            </w:pPr>
            <w:r>
              <w:rPr>
                <w:color w:val="000000"/>
                <w:sz w:val="22"/>
                <w:szCs w:val="22"/>
                <w:lang w:eastAsia="cs-CZ"/>
              </w:rPr>
              <w:t>24.11.1990</w:t>
            </w:r>
          </w:p>
        </w:tc>
      </w:tr>
      <w:tr>
        <w:trPr>
          <w:trHeight w:val="300" w:hRule="atLeast"/>
        </w:trPr>
        <w:tc>
          <w:tcPr>
            <w:tcW w:w="27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rPr>
                <w:color w:val="000000"/>
                <w:sz w:val="22"/>
                <w:szCs w:val="22"/>
                <w:lang w:eastAsia="cs-CZ"/>
              </w:rPr>
            </w:pPr>
            <w:r>
              <w:rPr>
                <w:color w:val="000000"/>
                <w:sz w:val="22"/>
                <w:szCs w:val="22"/>
                <w:lang w:eastAsia="cs-CZ"/>
              </w:rPr>
              <w:t>Základná škola SNP Sučany</w:t>
            </w:r>
          </w:p>
        </w:tc>
        <w:tc>
          <w:tcPr>
            <w:tcW w:w="45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rPr>
                <w:color w:val="000000"/>
                <w:sz w:val="22"/>
                <w:szCs w:val="22"/>
                <w:lang w:eastAsia="cs-CZ"/>
              </w:rPr>
            </w:pPr>
            <w:r>
              <w:rPr>
                <w:color w:val="000000"/>
                <w:sz w:val="22"/>
                <w:szCs w:val="22"/>
                <w:lang w:eastAsia="cs-CZ"/>
              </w:rPr>
              <w:t>Partizánska 13, 038 52 Sučany</w:t>
            </w:r>
          </w:p>
        </w:tc>
        <w:tc>
          <w:tcPr>
            <w:tcW w:w="10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jc w:val="center"/>
              <w:rPr>
                <w:color w:val="000000"/>
                <w:sz w:val="22"/>
                <w:szCs w:val="22"/>
                <w:lang w:eastAsia="cs-CZ"/>
              </w:rPr>
            </w:pPr>
            <w:r>
              <w:rPr>
                <w:color w:val="000000"/>
                <w:sz w:val="22"/>
                <w:szCs w:val="22"/>
                <w:lang w:eastAsia="cs-CZ"/>
              </w:rPr>
              <w:t>37812157</w:t>
            </w:r>
          </w:p>
        </w:tc>
        <w:tc>
          <w:tcPr>
            <w:tcW w:w="18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jc w:val="center"/>
              <w:rPr/>
            </w:pPr>
            <w:r>
              <w:rPr>
                <w:color w:val="000000"/>
                <w:sz w:val="22"/>
                <w:szCs w:val="22"/>
                <w:lang w:eastAsia="cs-CZ"/>
              </w:rPr>
              <w:t>01.07.2002</w:t>
            </w:r>
          </w:p>
        </w:tc>
      </w:tr>
    </w:tbl>
    <w:p>
      <w:pPr>
        <w:pStyle w:val="Standard"/>
        <w:spacing w:before="120" w:after="120"/>
        <w:rPr/>
      </w:pPr>
      <w:r>
        <w:rPr/>
      </w:r>
    </w:p>
    <w:p>
      <w:pPr>
        <w:pStyle w:val="Standard"/>
        <w:numPr>
          <w:ilvl w:val="0"/>
          <w:numId w:val="6"/>
        </w:numPr>
        <w:spacing w:before="120" w:after="120"/>
        <w:rPr>
          <w:b/>
          <w:b/>
          <w:sz w:val="22"/>
          <w:szCs w:val="22"/>
        </w:rPr>
      </w:pPr>
      <w:r>
        <w:rPr>
          <w:b/>
          <w:sz w:val="22"/>
          <w:szCs w:val="22"/>
        </w:rPr>
        <w:t>Zmena konsolidovaného celku</w:t>
      </w:r>
    </w:p>
    <w:p>
      <w:pPr>
        <w:pStyle w:val="Standard"/>
        <w:spacing w:before="120" w:after="120"/>
        <w:jc w:val="both"/>
        <w:rPr/>
      </w:pPr>
      <w:r>
        <w:rPr>
          <w:sz w:val="22"/>
          <w:szCs w:val="22"/>
        </w:rPr>
        <w:t xml:space="preserve">V priebehu účtovného obdobia od 1. januára 2014 do 31. decembra 2014 </w:t>
      </w:r>
      <w:r>
        <w:rPr>
          <w:color w:val="000000"/>
          <w:sz w:val="22"/>
          <w:szCs w:val="22"/>
        </w:rPr>
        <w:t>nedošlo</w:t>
      </w:r>
      <w:r>
        <w:rPr>
          <w:sz w:val="22"/>
          <w:szCs w:val="22"/>
        </w:rPr>
        <w:t xml:space="preserve"> k  zmenám v štruktúre konsolidovaného celku názov Obec Sučany, Námestie SNP 32, 038 51 Sučany.</w:t>
      </w:r>
    </w:p>
    <w:p>
      <w:pPr>
        <w:pStyle w:val="Standard"/>
        <w:spacing w:before="120" w:after="120"/>
        <w:rPr>
          <w:rFonts w:ascii="Arial" w:hAnsi="Arial" w:cs="Arial"/>
          <w:i/>
          <w:i/>
          <w:color w:val="FF0000"/>
          <w:sz w:val="22"/>
          <w:szCs w:val="22"/>
        </w:rPr>
      </w:pPr>
      <w:r>
        <w:rPr>
          <w:rFonts w:cs="Arial" w:ascii="Arial" w:hAnsi="Arial"/>
          <w:i/>
          <w:color w:val="FF0000"/>
          <w:sz w:val="22"/>
          <w:szCs w:val="22"/>
        </w:rPr>
      </w:r>
    </w:p>
    <w:p>
      <w:pPr>
        <w:pStyle w:val="Standard"/>
        <w:numPr>
          <w:ilvl w:val="0"/>
          <w:numId w:val="6"/>
        </w:numPr>
        <w:rPr>
          <w:b/>
          <w:b/>
          <w:sz w:val="22"/>
          <w:szCs w:val="22"/>
        </w:rPr>
      </w:pPr>
      <w:r>
        <w:rPr>
          <w:b/>
          <w:sz w:val="22"/>
          <w:szCs w:val="22"/>
        </w:rPr>
        <w:t>Informácie o zamestnancoch konsolidovaného celku</w:t>
      </w:r>
    </w:p>
    <w:p>
      <w:pPr>
        <w:pStyle w:val="Standard"/>
        <w:rPr>
          <w:b/>
          <w:b/>
          <w:i/>
          <w:i/>
          <w:sz w:val="22"/>
          <w:szCs w:val="22"/>
        </w:rPr>
      </w:pPr>
      <w:r>
        <w:rPr>
          <w:b/>
          <w:i/>
          <w:sz w:val="22"/>
          <w:szCs w:val="22"/>
        </w:rPr>
      </w:r>
    </w:p>
    <w:tbl>
      <w:tblPr>
        <w:tblW w:w="10041" w:type="dxa"/>
        <w:jc w:val="left"/>
        <w:tblInd w:w="11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60" w:type="dxa"/>
          <w:bottom w:w="0" w:type="dxa"/>
          <w:right w:w="70" w:type="dxa"/>
        </w:tblCellMar>
        <w:tblLook w:val="0000"/>
      </w:tblPr>
      <w:tblGrid>
        <w:gridCol w:w="5573"/>
        <w:gridCol w:w="2208"/>
        <w:gridCol w:w="2260"/>
      </w:tblGrid>
      <w:tr>
        <w:trPr>
          <w:trHeight w:val="270" w:hRule="atLeast"/>
        </w:trPr>
        <w:tc>
          <w:tcPr>
            <w:tcW w:w="55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Odstave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Názov položky</w:t>
            </w:r>
          </w:p>
        </w:tc>
        <w:tc>
          <w:tcPr>
            <w:tcW w:w="22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Odstavec"/>
              <w:rPr/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2014</w:t>
            </w:r>
          </w:p>
        </w:tc>
        <w:tc>
          <w:tcPr>
            <w:tcW w:w="2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Odstavec"/>
              <w:rPr/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2013</w:t>
            </w:r>
          </w:p>
        </w:tc>
      </w:tr>
      <w:tr>
        <w:trPr>
          <w:trHeight w:val="270" w:hRule="atLeast"/>
        </w:trPr>
        <w:tc>
          <w:tcPr>
            <w:tcW w:w="55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Odstave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Priemerný počet zamestnancov konsolidovaného celku počas účtovného obdobia</w:t>
            </w:r>
          </w:p>
        </w:tc>
        <w:tc>
          <w:tcPr>
            <w:tcW w:w="22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Odstave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98</w:t>
            </w:r>
          </w:p>
        </w:tc>
        <w:tc>
          <w:tcPr>
            <w:tcW w:w="2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Odstavec"/>
              <w:rPr/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98</w:t>
            </w:r>
          </w:p>
        </w:tc>
      </w:tr>
      <w:tr>
        <w:trPr>
          <w:trHeight w:val="270" w:hRule="atLeast"/>
        </w:trPr>
        <w:tc>
          <w:tcPr>
            <w:tcW w:w="55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Odstave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z toho počet vedúcich zamestnancov</w:t>
            </w:r>
          </w:p>
        </w:tc>
        <w:tc>
          <w:tcPr>
            <w:tcW w:w="22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Odstave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7</w:t>
            </w:r>
          </w:p>
        </w:tc>
        <w:tc>
          <w:tcPr>
            <w:tcW w:w="2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Odstave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7</w:t>
            </w:r>
          </w:p>
        </w:tc>
      </w:tr>
    </w:tbl>
    <w:p>
      <w:pPr>
        <w:pStyle w:val="Standard"/>
        <w:spacing w:before="120" w:after="120"/>
        <w:rPr/>
      </w:pPr>
      <w:r>
        <w:rPr/>
      </w:r>
    </w:p>
    <w:p>
      <w:pPr>
        <w:pStyle w:val="Nadpis2"/>
        <w:numPr>
          <w:ilvl w:val="0"/>
          <w:numId w:val="11"/>
        </w:numPr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Informácie o výsledku hospodárenia z dôvodu predaja majetku medzi účtovnými   jednotkami konsolidovaného celku</w:t>
      </w:r>
    </w:p>
    <w:p>
      <w:pPr>
        <w:pStyle w:val="Standard"/>
        <w:spacing w:before="120" w:after="0"/>
        <w:ind w:left="426" w:hanging="0"/>
        <w:jc w:val="both"/>
        <w:rPr/>
      </w:pPr>
      <w:r>
        <w:rPr>
          <w:sz w:val="22"/>
          <w:szCs w:val="22"/>
        </w:rPr>
        <w:t>V priebehu účtovného obdobia roku 2014 sa medzi účtovnými jednotkami konsolidovaného celku obce Sučany neuskutočnil nákup resp. predaj majetku.</w:t>
      </w:r>
    </w:p>
    <w:p>
      <w:pPr>
        <w:pStyle w:val="Standard"/>
        <w:spacing w:before="120" w:after="120"/>
        <w:jc w:val="both"/>
        <w:rPr>
          <w:b/>
          <w:b/>
          <w:i/>
          <w:i/>
          <w:sz w:val="22"/>
          <w:szCs w:val="22"/>
        </w:rPr>
      </w:pPr>
      <w:r>
        <w:rPr>
          <w:b/>
          <w:i/>
          <w:sz w:val="22"/>
          <w:szCs w:val="22"/>
        </w:rPr>
      </w:r>
    </w:p>
    <w:p>
      <w:pPr>
        <w:pStyle w:val="Nadpis2"/>
        <w:numPr>
          <w:ilvl w:val="0"/>
          <w:numId w:val="1"/>
        </w:numPr>
        <w:rPr/>
      </w:pPr>
      <w:r>
        <w:rPr/>
        <w:t>Informácie o účtovných zásadách a účtovných metódach</w:t>
      </w:r>
    </w:p>
    <w:p>
      <w:pPr>
        <w:pStyle w:val="Abc"/>
        <w:numPr>
          <w:ilvl w:val="0"/>
          <w:numId w:val="12"/>
        </w:numPr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Dlhodobý nehmotný a dlhodobý hmotný majetok</w:t>
      </w:r>
    </w:p>
    <w:p>
      <w:pPr>
        <w:pStyle w:val="Odstavec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Dlhodobý majetok obstaraný kúpou sa oceňuje obstarávacou cenou, ktorá zahrňuje cenu obstarania a náklady súvisiace s obstaraním (clo, prepravu, montáž, poistné a pod.). Súčasťou obstarávacej ceny dlhodobého hmotného a nehmotného majetku  nie sú úroky z úverov. Zľava z ceny, ktorú poskytol dodávateľ k majetku sa účtuje ako zníženie nákladov na predaný alebo spotrebovaný majetok.</w:t>
      </w:r>
    </w:p>
    <w:p>
      <w:pPr>
        <w:pStyle w:val="Standard"/>
        <w:tabs>
          <w:tab w:val="left" w:pos="1080" w:leader="none"/>
        </w:tabs>
        <w:ind w:left="540" w:hanging="540"/>
        <w:jc w:val="both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Odstavec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Hodnota obstarávaného dlhodobého hmotného majetku, ktorý sa používa, sa trvalo zníži o oprávky, ktoré zodpovedajú výške opotrebenia majetku.</w:t>
      </w:r>
    </w:p>
    <w:p>
      <w:pPr>
        <w:pStyle w:val="Odstavec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</w:r>
    </w:p>
    <w:p>
      <w:pPr>
        <w:pStyle w:val="Odstavec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O opravných položkách sa účtuje v prípade prechodného zníženia hodnoty majetku ku dňu, ku ktorému sa zostavuje účtovná závierka.</w:t>
      </w:r>
    </w:p>
    <w:p>
      <w:pPr>
        <w:pStyle w:val="Odstavec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</w:r>
    </w:p>
    <w:p>
      <w:pPr>
        <w:pStyle w:val="Odstavec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Dlhodobý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>
      <w:pPr>
        <w:pStyle w:val="Odstavec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</w:r>
    </w:p>
    <w:p>
      <w:pPr>
        <w:pStyle w:val="Odstavec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 xml:space="preserve">Dlhodobý majetok nadobudnutý bezodplatným prevodom pri splynutí, zlúčení, rozdelení alebo pri prevode správy sa oceňuje cenou, v ktorej sa doteraz viedol v účtovníctve. Ak cenu nie je možné zistiť, oceňuje sa  </w:t>
      </w:r>
    </w:p>
    <w:p>
      <w:pPr>
        <w:pStyle w:val="Odstavec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reprodukčnou obstarávacou cenou. Dlhodobý nehmotný a hmotný majetok obstaraný iným spôsobom (napr. bezodplatne nadobudnutý majetok, delimitovaný, novo zistený majetok pri inventarizácii) sa oceňuje reprodukčnou obstarávacou cenou, t.j. cenou, za ktorú by sa majetok obstaral v čase, keď sa o ňom účtuje.</w:t>
      </w:r>
    </w:p>
    <w:p>
      <w:pPr>
        <w:pStyle w:val="Odstavec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</w:r>
    </w:p>
    <w:p>
      <w:pPr>
        <w:pStyle w:val="Odstavec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</w:p>
    <w:p>
      <w:pPr>
        <w:pStyle w:val="Odstavec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ab/>
        <w:tab/>
      </w:r>
    </w:p>
    <w:p>
      <w:pPr>
        <w:pStyle w:val="Abc"/>
        <w:numPr>
          <w:ilvl w:val="0"/>
          <w:numId w:val="3"/>
        </w:numPr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Dlhodobý finančný majetok</w:t>
      </w:r>
    </w:p>
    <w:p>
      <w:pPr>
        <w:pStyle w:val="Odstavec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Finančné investície, cenné papiere a majetkové účasti sa oceňujú obstarávacou cenou, vrátane nákladov súvisiacich s obstaraním (provízie maklérom, poplatky burze).</w:t>
      </w:r>
    </w:p>
    <w:p>
      <w:pPr>
        <w:pStyle w:val="Odstavec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</w:r>
    </w:p>
    <w:p>
      <w:pPr>
        <w:pStyle w:val="Abc"/>
        <w:numPr>
          <w:ilvl w:val="0"/>
          <w:numId w:val="3"/>
        </w:numPr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Zásoby</w:t>
      </w:r>
    </w:p>
    <w:p>
      <w:pPr>
        <w:pStyle w:val="Abc"/>
        <w:numPr>
          <w:ilvl w:val="0"/>
          <w:numId w:val="0"/>
        </w:numPr>
        <w:rPr>
          <w:rFonts w:ascii="Times New Roman" w:hAnsi="Times New Roman" w:cs="Times New Roman"/>
          <w:b w:val="false"/>
          <w:b w:val="false"/>
          <w:sz w:val="22"/>
          <w:szCs w:val="22"/>
        </w:rPr>
      </w:pPr>
      <w:r>
        <w:rPr>
          <w:rFonts w:cs="Times New Roman" w:ascii="Times New Roman" w:hAnsi="Times New Roman"/>
          <w:b w:val="false"/>
          <w:sz w:val="22"/>
          <w:szCs w:val="22"/>
        </w:rPr>
        <w:t>Zásoby nakupované sa oceňujú obstarávacou cenou, ktorá zahrňuje cenu obstarania a náklady súvisiace s obstaraním (clo, dovoznú prirážku, prepravu, poistné, provízie, skonto a pod.). Úroky z cudzích zdrojov nie sú súčasťou obstarávacej ceny. Nakupované zásoby sú oceňované váženým aritmetickým priemerom z obstarávacích cien.</w:t>
      </w:r>
    </w:p>
    <w:p>
      <w:pPr>
        <w:pStyle w:val="Abc"/>
        <w:numPr>
          <w:ilvl w:val="0"/>
          <w:numId w:val="0"/>
        </w:numPr>
        <w:rPr>
          <w:rFonts w:ascii="Times New Roman" w:hAnsi="Times New Roman" w:cs="Times New Roman"/>
          <w:b w:val="false"/>
          <w:b w:val="false"/>
          <w:sz w:val="22"/>
          <w:szCs w:val="22"/>
        </w:rPr>
      </w:pPr>
      <w:r>
        <w:rPr>
          <w:rFonts w:cs="Times New Roman" w:ascii="Times New Roman" w:hAnsi="Times New Roman"/>
          <w:b w:val="false"/>
          <w:sz w:val="22"/>
          <w:szCs w:val="22"/>
        </w:rPr>
        <w:t>Zásoby vytvorené vlastnou činnosťou sa oceňujú vlastnými nákladmi.</w:t>
      </w:r>
    </w:p>
    <w:p>
      <w:pPr>
        <w:pStyle w:val="Abc"/>
        <w:numPr>
          <w:ilvl w:val="0"/>
          <w:numId w:val="0"/>
        </w:numPr>
        <w:rPr/>
      </w:pPr>
      <w:r>
        <w:rPr>
          <w:rFonts w:cs="Times New Roman" w:ascii="Times New Roman" w:hAnsi="Times New Roman"/>
          <w:b w:val="false"/>
          <w:sz w:val="22"/>
          <w:szCs w:val="22"/>
        </w:rPr>
        <w:t>Toto ocenenie sa upravuje o zníženie</w:t>
      </w:r>
      <w:r>
        <w:rPr>
          <w:rFonts w:cs="Times New Roman" w:ascii="Times New Roman" w:hAnsi="Times New Roman"/>
          <w:sz w:val="22"/>
          <w:szCs w:val="22"/>
        </w:rPr>
        <w:t xml:space="preserve"> hodnoty zásob.</w:t>
      </w:r>
    </w:p>
    <w:p>
      <w:pPr>
        <w:pStyle w:val="Abc"/>
        <w:numPr>
          <w:ilvl w:val="0"/>
          <w:numId w:val="3"/>
        </w:numPr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Pohľadávky</w:t>
      </w:r>
    </w:p>
    <w:p>
      <w:pPr>
        <w:pStyle w:val="Odstavec"/>
        <w:rPr/>
      </w:pPr>
      <w:r>
        <w:rPr/>
        <w:t>Pohľadávky pri ich vzniku sa oceňujú menovitou hodnotou. Pohľadávky pri odplatnom nadobudnutí alebo pohľadávky nadobudnuté vkladom do základného imania sa oceňujú obstarávacou cenou, t.j. vrátane nákladov súvisiacich s obstaraním.</w:t>
      </w:r>
    </w:p>
    <w:p>
      <w:pPr>
        <w:pStyle w:val="Odstavec"/>
        <w:rPr/>
      </w:pPr>
      <w:r>
        <w:rPr/>
      </w:r>
    </w:p>
    <w:p>
      <w:pPr>
        <w:pStyle w:val="Odstavec"/>
        <w:rPr/>
      </w:pPr>
      <w:r>
        <w:rPr/>
        <w:t>Opravná položka sa vytvára napr. k pohľadávkam po splatnosti a nedobytným pohľadávkam, kde existuje riziko nevymožiteľnosti pohľadávok.</w:t>
      </w:r>
    </w:p>
    <w:p>
      <w:pPr>
        <w:pStyle w:val="Odstavec"/>
        <w:rPr>
          <w:color w:val="00B050"/>
        </w:rPr>
      </w:pPr>
      <w:r>
        <w:rPr>
          <w:color w:val="00B050"/>
        </w:rPr>
      </w:r>
    </w:p>
    <w:p>
      <w:pPr>
        <w:pStyle w:val="Abc"/>
        <w:numPr>
          <w:ilvl w:val="0"/>
          <w:numId w:val="3"/>
        </w:numPr>
        <w:rPr/>
      </w:pPr>
      <w:r>
        <w:rPr/>
        <w:t>Finančné účty</w:t>
      </w:r>
    </w:p>
    <w:p>
      <w:pPr>
        <w:pStyle w:val="Odstavec"/>
        <w:rPr/>
      </w:pPr>
      <w:r>
        <w:rPr/>
        <w:t>Peňažné prostriedky a ceniny sa oceňujú menovitou hodnotou.</w:t>
      </w:r>
    </w:p>
    <w:p>
      <w:pPr>
        <w:pStyle w:val="Odstavec"/>
        <w:rPr/>
      </w:pPr>
      <w:r>
        <w:rPr/>
      </w:r>
    </w:p>
    <w:p>
      <w:pPr>
        <w:pStyle w:val="Abc"/>
        <w:numPr>
          <w:ilvl w:val="0"/>
          <w:numId w:val="3"/>
        </w:numPr>
        <w:rPr/>
      </w:pPr>
      <w:r>
        <w:rPr/>
        <w:t>Náklady budúcich období a príjmy budúcich období</w:t>
      </w:r>
    </w:p>
    <w:p>
      <w:pPr>
        <w:pStyle w:val="Odstavec"/>
        <w:rPr/>
      </w:pPr>
      <w:r>
        <w:rPr/>
        <w:t>Náklady budúcich období a príjmy budúcich období sú vykázané vo výške, ktorá je potrebná na dodržanie zásady vecnej a časovej súvislosti s účtovným obdobím.</w:t>
      </w:r>
    </w:p>
    <w:p>
      <w:pPr>
        <w:pStyle w:val="Odstavec"/>
        <w:rPr/>
      </w:pPr>
      <w:r>
        <w:rPr/>
      </w:r>
    </w:p>
    <w:p>
      <w:pPr>
        <w:pStyle w:val="Abc"/>
        <w:numPr>
          <w:ilvl w:val="0"/>
          <w:numId w:val="3"/>
        </w:numPr>
        <w:rPr/>
      </w:pPr>
      <w:r>
        <w:rPr/>
        <w:t>Rezervy</w:t>
      </w:r>
    </w:p>
    <w:p>
      <w:pPr>
        <w:pStyle w:val="Odstavec"/>
        <w:rPr/>
      </w:pPr>
      <w:r>
        <w:rPr/>
        <w:t>Rezervy sú záväzky s neurčitým časovým vymedzením alebo výškou a oceňujú sa v očakávanej výške záväzku. V účtovnej závierke sa tvorili rezervy najmä na nevyfakturované dodávky a služby, mzdy za dovolenku zamestnancov vrátane sociálneho a zdravotného poistenia, súdne spory a podobne.</w:t>
      </w:r>
    </w:p>
    <w:p>
      <w:pPr>
        <w:pStyle w:val="Odstavec"/>
        <w:rPr/>
      </w:pPr>
      <w:r>
        <w:rPr/>
      </w:r>
    </w:p>
    <w:p>
      <w:pPr>
        <w:pStyle w:val="Abc"/>
        <w:numPr>
          <w:ilvl w:val="0"/>
          <w:numId w:val="3"/>
        </w:numPr>
        <w:rPr/>
      </w:pPr>
      <w:r>
        <w:rPr/>
        <w:t>Záväzky</w:t>
      </w:r>
    </w:p>
    <w:p>
      <w:pPr>
        <w:pStyle w:val="Odstavec"/>
        <w:rPr/>
      </w:pPr>
      <w:r>
        <w:rPr/>
        <w:t>Záväzky sa pri ich vzniku oceňujú menovitou hodnotou a pri ich prevzatí sa oceňujú obstarávacou cenou.</w:t>
      </w:r>
    </w:p>
    <w:p>
      <w:pPr>
        <w:pStyle w:val="Odstavec"/>
        <w:rPr/>
      </w:pPr>
      <w:r>
        <w:rPr/>
        <w:t>Ak sa pri inventarizácii zistí, že suma záväzkov je iná ako ich výška v účtovníctve, uvedú sa záväzky v účtovníctve a v účtovnej závierke v tomto zistenom ocenení.</w:t>
      </w:r>
    </w:p>
    <w:p>
      <w:pPr>
        <w:pStyle w:val="Odstavec"/>
        <w:rPr/>
      </w:pPr>
      <w:r>
        <w:rPr/>
      </w:r>
    </w:p>
    <w:p>
      <w:pPr>
        <w:pStyle w:val="Abc"/>
        <w:numPr>
          <w:ilvl w:val="0"/>
          <w:numId w:val="3"/>
        </w:numPr>
        <w:rPr/>
      </w:pPr>
      <w:r>
        <w:rPr/>
        <w:t>Výdavky budúcich období a výnosy budúcich období</w:t>
      </w:r>
    </w:p>
    <w:p>
      <w:pPr>
        <w:pStyle w:val="Odstavec"/>
        <w:rPr/>
      </w:pPr>
      <w:r>
        <w:rPr/>
        <w:t>Výdavky budúcich období a výnosy budúcich období sú vykázané vo výške, ktorá je potrebná na dodržanie zásady vecnej a časovej súvislosti s účtovným obdobím.</w:t>
      </w:r>
    </w:p>
    <w:p>
      <w:pPr>
        <w:pStyle w:val="Odstavec"/>
        <w:rPr/>
      </w:pPr>
      <w:r>
        <w:rPr/>
      </w:r>
    </w:p>
    <w:p>
      <w:pPr>
        <w:pStyle w:val="Abc"/>
        <w:numPr>
          <w:ilvl w:val="0"/>
          <w:numId w:val="3"/>
        </w:numPr>
        <w:rPr/>
      </w:pPr>
      <w:r>
        <w:rPr/>
        <w:t>Cudzia mena</w:t>
      </w:r>
    </w:p>
    <w:p>
      <w:pPr>
        <w:pStyle w:val="Odstavec"/>
        <w:rPr/>
      </w:pPr>
      <w:r>
        <w:rPr/>
        <w:t>Majetok a záväzky vyjadrené v cudzej mene sa prepočítavajú na slovenskú menu euro referenčným výmenným kurzom určeným a vyhláseným Európskou centrálnou bankou alebo Národnou bankou Slovenska v deň predchádzajúci dňu uskutočnenia účtovného prípadu alebo v iný deň, ak to ustanovuje osobitný predpis, resp. v deň, ku ktorému sa zostavuje účtovná závierka.</w:t>
      </w:r>
    </w:p>
    <w:p>
      <w:pPr>
        <w:pStyle w:val="Odstavec"/>
        <w:rPr/>
      </w:pPr>
      <w:r>
        <w:rPr/>
      </w:r>
    </w:p>
    <w:p>
      <w:pPr>
        <w:pStyle w:val="Textbody"/>
        <w:numPr>
          <w:ilvl w:val="0"/>
          <w:numId w:val="13"/>
        </w:numPr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  <w:t>Zásady pre vykazovanie transferov.</w:t>
      </w:r>
    </w:p>
    <w:p>
      <w:pPr>
        <w:pStyle w:val="Textbody"/>
        <w:ind w:left="0" w:hanging="0"/>
        <w:rPr>
          <w:rFonts w:ascii="Arial" w:hAnsi="Arial" w:cs="Arial"/>
        </w:rPr>
      </w:pPr>
      <w:r>
        <w:rPr>
          <w:rFonts w:cs="Arial" w:ascii="Arial" w:hAnsi="Arial"/>
        </w:rPr>
        <w:t>O nároku na dotácie zo štátneho rozpočtu sa účtuje, ak je takmer isté, že sa splnia všetky podmienky súvisiace s dotáciou a súčasne, že sa dotácia poskytne.</w:t>
      </w:r>
    </w:p>
    <w:p>
      <w:pPr>
        <w:pStyle w:val="Textbody"/>
        <w:ind w:left="0" w:hanging="0"/>
        <w:rPr/>
      </w:pPr>
      <w:r>
        <w:rPr>
          <w:rFonts w:cs="Arial" w:ascii="Arial" w:hAnsi="Arial"/>
          <w:b/>
        </w:rPr>
        <w:t>Bežný transfer</w:t>
      </w:r>
      <w:r>
        <w:rPr>
          <w:rFonts w:cs="Arial" w:ascii="Arial" w:hAnsi="Arial"/>
        </w:rPr>
        <w:t xml:space="preserve"> od </w:t>
      </w:r>
      <w:r>
        <w:rPr>
          <w:rFonts w:cs="Arial" w:ascii="Arial" w:hAnsi="Arial"/>
          <w:u w:val="single"/>
        </w:rPr>
        <w:t>cudzích subjektov</w:t>
      </w:r>
      <w:r>
        <w:rPr>
          <w:rFonts w:cs="Arial" w:ascii="Arial" w:hAnsi="Arial"/>
        </w:rPr>
        <w:t xml:space="preserve"> - sa  zúčtuje do výnosov  vo vecnej a časovej súvislosti s nákladmi.</w:t>
      </w:r>
    </w:p>
    <w:p>
      <w:pPr>
        <w:pStyle w:val="Textbody"/>
        <w:ind w:left="0" w:hanging="0"/>
        <w:rPr/>
      </w:pPr>
      <w:r>
        <w:rPr>
          <w:rFonts w:cs="Arial" w:ascii="Arial" w:hAnsi="Arial"/>
          <w:b/>
        </w:rPr>
        <w:t>Bežný transfer</w:t>
      </w:r>
      <w:r>
        <w:rPr>
          <w:rFonts w:cs="Arial" w:ascii="Arial" w:hAnsi="Arial"/>
        </w:rPr>
        <w:t xml:space="preserve"> od </w:t>
      </w:r>
      <w:r>
        <w:rPr>
          <w:rFonts w:cs="Arial" w:ascii="Arial" w:hAnsi="Arial"/>
          <w:u w:val="single"/>
        </w:rPr>
        <w:t>zriaďovateľa</w:t>
      </w:r>
      <w:r>
        <w:rPr>
          <w:rFonts w:cs="Arial" w:ascii="Arial" w:hAnsi="Arial"/>
        </w:rPr>
        <w:t xml:space="preserve"> - sa  zúčtuje do výnosov  vo vecnej a časovej súvislosti s výdavkami.</w:t>
      </w:r>
    </w:p>
    <w:p>
      <w:pPr>
        <w:pStyle w:val="Textbody"/>
        <w:ind w:left="0" w:hanging="0"/>
        <w:rPr/>
      </w:pPr>
      <w:r>
        <w:rPr>
          <w:rFonts w:cs="Arial" w:ascii="Arial" w:hAnsi="Arial"/>
          <w:b/>
        </w:rPr>
        <w:t>Kapitálový transfer</w:t>
      </w:r>
      <w:r>
        <w:rPr>
          <w:rFonts w:cs="Arial" w:ascii="Arial" w:hAnsi="Arial"/>
        </w:rPr>
        <w:t xml:space="preserve"> od </w:t>
      </w:r>
      <w:r>
        <w:rPr>
          <w:rFonts w:cs="Arial" w:ascii="Arial" w:hAnsi="Arial"/>
          <w:u w:val="single"/>
        </w:rPr>
        <w:t>cudzích subjektov</w:t>
      </w:r>
      <w:r>
        <w:rPr>
          <w:rFonts w:cs="Arial" w:ascii="Arial" w:hAnsi="Arial"/>
        </w:rPr>
        <w:t xml:space="preserve"> - sa  zúčtuje do výnosov  vo vecnej a časovej súvislosti s nákladmi (napr. s odpismi, s opravnou položkou, so zostatkovou hodnotou vyradeného dlhodobého majetku).</w:t>
      </w:r>
    </w:p>
    <w:p>
      <w:pPr>
        <w:pStyle w:val="Textbody"/>
        <w:ind w:left="0" w:hanging="0"/>
        <w:rPr/>
      </w:pPr>
      <w:r>
        <w:rPr>
          <w:rFonts w:cs="Arial" w:ascii="Arial" w:hAnsi="Arial"/>
          <w:b/>
        </w:rPr>
        <w:t>Kapitálový transfer</w:t>
      </w:r>
      <w:r>
        <w:rPr>
          <w:rFonts w:cs="Arial" w:ascii="Arial" w:hAnsi="Arial"/>
        </w:rPr>
        <w:t xml:space="preserve"> od </w:t>
      </w:r>
      <w:r>
        <w:rPr>
          <w:rFonts w:cs="Arial" w:ascii="Arial" w:hAnsi="Arial"/>
          <w:u w:val="single"/>
        </w:rPr>
        <w:t>zriaďovateľa</w:t>
      </w:r>
      <w:r>
        <w:rPr>
          <w:rFonts w:cs="Arial" w:ascii="Arial" w:hAnsi="Arial"/>
        </w:rPr>
        <w:t xml:space="preserve"> - sa  zúčtuje do výnosov  vo vecnej a časovej súvislosti s nákladmi (napr. s odpismi, s opravnou položkou, so zostatkovou hodnotou vyradeného dlhodobého majetku).</w:t>
      </w:r>
    </w:p>
    <w:p>
      <w:pPr>
        <w:pStyle w:val="Odstavec"/>
        <w:rPr/>
      </w:pPr>
      <w:r>
        <w:rPr/>
      </w:r>
    </w:p>
    <w:p>
      <w:pPr>
        <w:pStyle w:val="Abc"/>
        <w:numPr>
          <w:ilvl w:val="0"/>
          <w:numId w:val="14"/>
        </w:numPr>
        <w:rPr/>
      </w:pPr>
      <w:r>
        <w:rPr/>
        <w:t>Výnosy</w:t>
      </w:r>
    </w:p>
    <w:p>
      <w:pPr>
        <w:pStyle w:val="Odstavec"/>
        <w:rPr/>
      </w:pPr>
      <w:r>
        <w:rPr/>
        <w:t>Tržby za vlastné výkony a tovar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</w:r>
    </w:p>
    <w:p>
      <w:pPr>
        <w:pStyle w:val="Odstavec"/>
        <w:rPr/>
      </w:pPr>
      <w:r>
        <w:rPr/>
      </w:r>
    </w:p>
    <w:p>
      <w:pPr>
        <w:pStyle w:val="Odstavec"/>
        <w:rPr/>
      </w:pPr>
      <w:r>
        <w:rPr/>
        <w:t>O výnosoch z  poplatkov sa účtuje v časovej a vecnej súvislosti s vyrubením poplatkov (ak je účtovná jednotka výbercom poplatkov).</w:t>
      </w:r>
    </w:p>
    <w:p>
      <w:pPr>
        <w:pStyle w:val="Standard"/>
        <w:spacing w:before="120" w:after="12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Standard"/>
        <w:spacing w:before="120" w:after="12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Standard"/>
        <w:jc w:val="center"/>
        <w:rPr>
          <w:rFonts w:ascii="Arial" w:hAnsi="Arial" w:cs="Arial"/>
          <w:b/>
          <w:b/>
          <w:sz w:val="24"/>
          <w:szCs w:val="24"/>
        </w:rPr>
      </w:pPr>
      <w:r>
        <w:rPr>
          <w:rFonts w:cs="Arial" w:ascii="Arial" w:hAnsi="Arial"/>
          <w:b/>
          <w:sz w:val="24"/>
          <w:szCs w:val="24"/>
        </w:rPr>
        <w:t>Čl. II</w:t>
      </w:r>
    </w:p>
    <w:p>
      <w:pPr>
        <w:pStyle w:val="Standard"/>
        <w:jc w:val="center"/>
        <w:rPr>
          <w:rFonts w:ascii="Arial" w:hAnsi="Arial" w:cs="Arial"/>
          <w:b/>
          <w:b/>
          <w:sz w:val="24"/>
          <w:szCs w:val="24"/>
        </w:rPr>
      </w:pPr>
      <w:r>
        <w:rPr>
          <w:rFonts w:cs="Arial" w:ascii="Arial" w:hAnsi="Arial"/>
          <w:b/>
          <w:sz w:val="24"/>
          <w:szCs w:val="24"/>
        </w:rPr>
        <w:t>Informácie o metódach a postupoch konsolidácie</w:t>
      </w:r>
    </w:p>
    <w:p>
      <w:pPr>
        <w:pStyle w:val="Standard"/>
        <w:jc w:val="both"/>
        <w:rPr>
          <w:rFonts w:ascii="Arial" w:hAnsi="Arial" w:cs="Arial"/>
          <w:b/>
          <w:b/>
          <w:sz w:val="24"/>
          <w:szCs w:val="24"/>
        </w:rPr>
      </w:pPr>
      <w:r>
        <w:rPr>
          <w:rFonts w:cs="Arial" w:ascii="Arial" w:hAnsi="Arial"/>
          <w:b/>
          <w:sz w:val="24"/>
          <w:szCs w:val="24"/>
        </w:rPr>
      </w:r>
    </w:p>
    <w:p>
      <w:pPr>
        <w:pStyle w:val="Standard"/>
        <w:numPr>
          <w:ilvl w:val="0"/>
          <w:numId w:val="15"/>
        </w:numPr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  <w:t>Informácie o použitých metódach konsolidácie</w:t>
      </w:r>
    </w:p>
    <w:p>
      <w:pPr>
        <w:pStyle w:val="Standard"/>
        <w:jc w:val="both"/>
        <w:rPr>
          <w:rFonts w:ascii="Arial" w:hAnsi="Arial" w:cs="Arial"/>
          <w:b/>
          <w:b/>
          <w:i/>
          <w:i/>
          <w:sz w:val="22"/>
          <w:szCs w:val="22"/>
        </w:rPr>
      </w:pPr>
      <w:r>
        <w:rPr>
          <w:rFonts w:cs="Arial" w:ascii="Arial" w:hAnsi="Arial"/>
          <w:b/>
          <w:i/>
          <w:sz w:val="22"/>
          <w:szCs w:val="22"/>
        </w:rPr>
      </w:r>
    </w:p>
    <w:p>
      <w:pPr>
        <w:pStyle w:val="Standard"/>
        <w:jc w:val="both"/>
        <w:rPr>
          <w:rFonts w:ascii="Arial" w:hAnsi="Arial" w:cs="Arial"/>
        </w:rPr>
      </w:pPr>
      <w:r>
        <w:rPr>
          <w:rFonts w:cs="Arial" w:ascii="Arial" w:hAnsi="Arial"/>
        </w:rPr>
        <w:t>Účtovné jednotky konsolidovaného celku obce Sučany boli zahrnuté do konsolidovanej účtovnej závierky metódou konsolidácie uvedenou v nasledujúcom prehľade:</w:t>
      </w:r>
    </w:p>
    <w:p>
      <w:pPr>
        <w:pStyle w:val="Standard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976" w:type="dxa"/>
        <w:jc w:val="left"/>
        <w:tblInd w:w="-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  <w:tblLook w:val="0000"/>
      </w:tblPr>
      <w:tblGrid>
        <w:gridCol w:w="5436"/>
        <w:gridCol w:w="1301"/>
        <w:gridCol w:w="1561"/>
        <w:gridCol w:w="1677"/>
      </w:tblGrid>
      <w:tr>
        <w:trPr/>
        <w:tc>
          <w:tcPr>
            <w:tcW w:w="54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Standard"/>
              <w:jc w:val="center"/>
              <w:rPr>
                <w:rFonts w:ascii="Arial" w:hAnsi="Arial" w:cs="Arial"/>
                <w:i/>
                <w:i/>
                <w:sz w:val="18"/>
                <w:szCs w:val="18"/>
              </w:rPr>
            </w:pPr>
            <w:r>
              <w:rPr>
                <w:rFonts w:cs="Arial" w:ascii="Arial" w:hAnsi="Arial"/>
                <w:i/>
                <w:sz w:val="18"/>
                <w:szCs w:val="18"/>
              </w:rPr>
              <w:t>Názov resp. obchodné meno</w:t>
            </w:r>
          </w:p>
          <w:p>
            <w:pPr>
              <w:pStyle w:val="Standard"/>
              <w:jc w:val="center"/>
              <w:rPr>
                <w:rFonts w:ascii="Arial" w:hAnsi="Arial" w:cs="Arial"/>
                <w:i/>
                <w:i/>
                <w:sz w:val="18"/>
                <w:szCs w:val="18"/>
              </w:rPr>
            </w:pPr>
            <w:r>
              <w:rPr>
                <w:rFonts w:cs="Arial" w:ascii="Arial" w:hAnsi="Arial"/>
                <w:i/>
                <w:sz w:val="18"/>
                <w:szCs w:val="18"/>
              </w:rPr>
              <w:t>konsolidovanej účtovnej jednotky</w:t>
            </w:r>
          </w:p>
        </w:tc>
        <w:tc>
          <w:tcPr>
            <w:tcW w:w="1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Standard"/>
              <w:jc w:val="center"/>
              <w:rPr>
                <w:rFonts w:ascii="Arial" w:hAnsi="Arial" w:cs="Arial"/>
                <w:i/>
                <w:i/>
                <w:sz w:val="18"/>
                <w:szCs w:val="18"/>
              </w:rPr>
            </w:pPr>
            <w:r>
              <w:rPr>
                <w:rFonts w:cs="Arial" w:ascii="Arial" w:hAnsi="Arial"/>
                <w:i/>
                <w:sz w:val="18"/>
                <w:szCs w:val="18"/>
              </w:rPr>
              <w:t>Metóda</w:t>
            </w:r>
          </w:p>
          <w:p>
            <w:pPr>
              <w:pStyle w:val="Standard"/>
              <w:jc w:val="center"/>
              <w:rPr>
                <w:rFonts w:ascii="Arial" w:hAnsi="Arial" w:cs="Arial"/>
                <w:i/>
                <w:i/>
                <w:sz w:val="18"/>
                <w:szCs w:val="18"/>
              </w:rPr>
            </w:pPr>
            <w:r>
              <w:rPr>
                <w:rFonts w:cs="Arial" w:ascii="Arial" w:hAnsi="Arial"/>
                <w:i/>
                <w:sz w:val="18"/>
                <w:szCs w:val="18"/>
              </w:rPr>
              <w:t>úplnej konsolidácie</w:t>
            </w:r>
          </w:p>
        </w:tc>
        <w:tc>
          <w:tcPr>
            <w:tcW w:w="15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Standard"/>
              <w:jc w:val="center"/>
              <w:rPr>
                <w:rFonts w:ascii="Arial" w:hAnsi="Arial" w:cs="Arial"/>
                <w:i/>
                <w:i/>
                <w:sz w:val="18"/>
                <w:szCs w:val="18"/>
              </w:rPr>
            </w:pPr>
            <w:r>
              <w:rPr>
                <w:rFonts w:cs="Arial" w:ascii="Arial" w:hAnsi="Arial"/>
                <w:i/>
                <w:sz w:val="18"/>
                <w:szCs w:val="18"/>
              </w:rPr>
              <w:t>Metóda</w:t>
            </w:r>
          </w:p>
          <w:p>
            <w:pPr>
              <w:pStyle w:val="Standard"/>
              <w:jc w:val="center"/>
              <w:rPr>
                <w:rFonts w:ascii="Arial" w:hAnsi="Arial" w:cs="Arial"/>
                <w:i/>
                <w:i/>
                <w:sz w:val="18"/>
                <w:szCs w:val="18"/>
              </w:rPr>
            </w:pPr>
            <w:r>
              <w:rPr>
                <w:rFonts w:cs="Arial" w:ascii="Arial" w:hAnsi="Arial"/>
                <w:i/>
                <w:sz w:val="18"/>
                <w:szCs w:val="18"/>
              </w:rPr>
              <w:t>podielovej konsolidácie</w:t>
            </w:r>
          </w:p>
        </w:tc>
        <w:tc>
          <w:tcPr>
            <w:tcW w:w="16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Standard"/>
              <w:jc w:val="center"/>
              <w:rPr>
                <w:rFonts w:ascii="Arial" w:hAnsi="Arial" w:cs="Arial"/>
                <w:i/>
                <w:i/>
                <w:sz w:val="18"/>
                <w:szCs w:val="18"/>
              </w:rPr>
            </w:pPr>
            <w:r>
              <w:rPr>
                <w:rFonts w:cs="Arial" w:ascii="Arial" w:hAnsi="Arial"/>
                <w:i/>
                <w:sz w:val="18"/>
                <w:szCs w:val="18"/>
              </w:rPr>
              <w:t>Metóda</w:t>
            </w:r>
          </w:p>
          <w:p>
            <w:pPr>
              <w:pStyle w:val="Standard"/>
              <w:jc w:val="center"/>
              <w:rPr>
                <w:rFonts w:ascii="Arial" w:hAnsi="Arial" w:cs="Arial"/>
                <w:i/>
                <w:i/>
                <w:sz w:val="18"/>
                <w:szCs w:val="18"/>
              </w:rPr>
            </w:pPr>
            <w:r>
              <w:rPr>
                <w:rFonts w:cs="Arial" w:ascii="Arial" w:hAnsi="Arial"/>
                <w:i/>
                <w:sz w:val="18"/>
                <w:szCs w:val="18"/>
              </w:rPr>
              <w:t>vlastného imania</w:t>
            </w:r>
          </w:p>
        </w:tc>
      </w:tr>
      <w:tr>
        <w:trPr/>
        <w:tc>
          <w:tcPr>
            <w:tcW w:w="54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Standard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cs="Arial" w:ascii="Arial" w:hAnsi="Arial"/>
                <w:sz w:val="18"/>
                <w:szCs w:val="18"/>
                <w:lang w:eastAsia="cs-CZ"/>
              </w:rPr>
              <w:t>Obec Sučany</w:t>
            </w:r>
          </w:p>
        </w:tc>
        <w:tc>
          <w:tcPr>
            <w:tcW w:w="1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Standard"/>
              <w:spacing w:lineRule="auto" w:line="36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áno</w:t>
            </w:r>
          </w:p>
        </w:tc>
        <w:tc>
          <w:tcPr>
            <w:tcW w:w="15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Standard"/>
              <w:spacing w:lineRule="auto" w:line="360"/>
              <w:rPr>
                <w:rFonts w:ascii="Arial" w:hAnsi="Arial" w:cs="Arial"/>
                <w:color w:val="C00000"/>
                <w:sz w:val="18"/>
                <w:szCs w:val="18"/>
              </w:rPr>
            </w:pPr>
            <w:r>
              <w:rPr>
                <w:rFonts w:cs="Arial" w:ascii="Arial" w:hAnsi="Arial"/>
                <w:color w:val="C00000"/>
                <w:sz w:val="18"/>
                <w:szCs w:val="18"/>
              </w:rPr>
            </w:r>
          </w:p>
        </w:tc>
        <w:tc>
          <w:tcPr>
            <w:tcW w:w="16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Standard"/>
              <w:spacing w:lineRule="auto" w:line="360"/>
              <w:rPr>
                <w:rFonts w:ascii="Arial" w:hAnsi="Arial" w:cs="Arial"/>
                <w:color w:val="C00000"/>
                <w:sz w:val="18"/>
                <w:szCs w:val="18"/>
              </w:rPr>
            </w:pPr>
            <w:r>
              <w:rPr>
                <w:rFonts w:cs="Arial" w:ascii="Arial" w:hAnsi="Arial"/>
                <w:color w:val="C00000"/>
                <w:sz w:val="18"/>
                <w:szCs w:val="18"/>
              </w:rPr>
            </w:r>
          </w:p>
        </w:tc>
      </w:tr>
      <w:tr>
        <w:trPr/>
        <w:tc>
          <w:tcPr>
            <w:tcW w:w="54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Standard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cs="Arial" w:ascii="Arial" w:hAnsi="Arial"/>
                <w:sz w:val="18"/>
                <w:szCs w:val="18"/>
                <w:lang w:eastAsia="cs-CZ"/>
              </w:rPr>
              <w:t>Základná škola SNP Sučany</w:t>
            </w:r>
          </w:p>
        </w:tc>
        <w:tc>
          <w:tcPr>
            <w:tcW w:w="1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Standard"/>
              <w:spacing w:lineRule="auto" w:line="36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áno</w:t>
            </w:r>
          </w:p>
        </w:tc>
        <w:tc>
          <w:tcPr>
            <w:tcW w:w="15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Standard"/>
              <w:spacing w:lineRule="auto" w:line="360"/>
              <w:rPr>
                <w:rFonts w:ascii="Arial" w:hAnsi="Arial" w:cs="Arial"/>
                <w:color w:val="C00000"/>
                <w:sz w:val="18"/>
                <w:szCs w:val="18"/>
              </w:rPr>
            </w:pPr>
            <w:r>
              <w:rPr>
                <w:rFonts w:cs="Arial" w:ascii="Arial" w:hAnsi="Arial"/>
                <w:color w:val="C00000"/>
                <w:sz w:val="18"/>
                <w:szCs w:val="18"/>
              </w:rPr>
            </w:r>
          </w:p>
        </w:tc>
        <w:tc>
          <w:tcPr>
            <w:tcW w:w="16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Standard"/>
              <w:spacing w:lineRule="auto" w:line="360"/>
              <w:rPr>
                <w:rFonts w:ascii="Arial" w:hAnsi="Arial" w:cs="Arial"/>
                <w:color w:val="C00000"/>
                <w:sz w:val="18"/>
                <w:szCs w:val="18"/>
              </w:rPr>
            </w:pPr>
            <w:r>
              <w:rPr>
                <w:rFonts w:cs="Arial" w:ascii="Arial" w:hAnsi="Arial"/>
                <w:color w:val="C00000"/>
                <w:sz w:val="18"/>
                <w:szCs w:val="18"/>
              </w:rPr>
            </w:r>
          </w:p>
        </w:tc>
      </w:tr>
    </w:tbl>
    <w:p>
      <w:pPr>
        <w:pStyle w:val="Standard"/>
        <w:spacing w:before="120" w:after="60"/>
        <w:jc w:val="both"/>
        <w:rPr>
          <w:rFonts w:ascii="Arial" w:hAnsi="Arial" w:cs="Arial"/>
          <w:i/>
          <w:i/>
          <w:color w:val="000000"/>
        </w:rPr>
      </w:pPr>
      <w:r>
        <w:rPr>
          <w:rFonts w:cs="Arial" w:ascii="Arial" w:hAnsi="Arial"/>
          <w:i/>
          <w:color w:val="000000"/>
        </w:rPr>
        <w:t>Metóda úplnej konsolidácie bola použitá pri dcérskej účtovnej jednotke.</w:t>
      </w:r>
    </w:p>
    <w:p>
      <w:pPr>
        <w:pStyle w:val="Standard"/>
        <w:jc w:val="both"/>
        <w:rPr>
          <w:b/>
          <w:b/>
          <w:sz w:val="16"/>
          <w:szCs w:val="16"/>
        </w:rPr>
      </w:pPr>
      <w:r>
        <w:rPr>
          <w:b/>
          <w:sz w:val="16"/>
          <w:szCs w:val="16"/>
        </w:rPr>
        <w:t xml:space="preserve">   </w:t>
      </w:r>
    </w:p>
    <w:p>
      <w:pPr>
        <w:pStyle w:val="Standard"/>
        <w:jc w:val="both"/>
        <w:rPr>
          <w:rFonts w:ascii="Arial" w:hAnsi="Arial" w:cs="Arial"/>
          <w:i/>
          <w:i/>
          <w:color w:val="C00000"/>
        </w:rPr>
      </w:pPr>
      <w:r>
        <w:rPr>
          <w:rFonts w:cs="Arial" w:ascii="Arial" w:hAnsi="Arial"/>
          <w:i/>
          <w:color w:val="C00000"/>
        </w:rPr>
      </w:r>
    </w:p>
    <w:p>
      <w:pPr>
        <w:pStyle w:val="Standard"/>
        <w:spacing w:before="0" w:after="60"/>
        <w:rPr>
          <w:rFonts w:ascii="Arial" w:hAnsi="Arial" w:cs="Arial"/>
          <w:b/>
          <w:b/>
          <w:i/>
          <w:i/>
        </w:rPr>
      </w:pPr>
      <w:r>
        <w:rPr>
          <w:rFonts w:cs="Arial" w:ascii="Arial" w:hAnsi="Arial"/>
          <w:b/>
          <w:i/>
        </w:rPr>
        <w:t>Moment prvej konsolidácie kapitálu :</w:t>
      </w:r>
    </w:p>
    <w:p>
      <w:pPr>
        <w:pStyle w:val="Standard"/>
        <w:numPr>
          <w:ilvl w:val="0"/>
          <w:numId w:val="16"/>
        </w:numPr>
        <w:tabs>
          <w:tab w:val="left" w:pos="2008" w:leader="none"/>
        </w:tabs>
        <w:ind w:left="1441" w:hanging="1157"/>
        <w:rPr>
          <w:rFonts w:ascii="Arial" w:hAnsi="Arial" w:cs="Arial"/>
        </w:rPr>
      </w:pPr>
      <w:r>
        <w:rPr>
          <w:rFonts w:cs="Arial" w:ascii="Arial" w:hAnsi="Arial"/>
        </w:rPr>
        <w:t>Pri rozpočtových organizáciách je to deň ich zriadenia.</w:t>
      </w:r>
    </w:p>
    <w:p>
      <w:pPr>
        <w:pStyle w:val="Standard"/>
        <w:tabs>
          <w:tab w:val="left" w:pos="2008" w:leader="none"/>
        </w:tabs>
        <w:ind w:left="1441" w:hanging="0"/>
        <w:rPr>
          <w:rFonts w:ascii="Arial" w:hAnsi="Arial" w:cs="Arial"/>
        </w:rPr>
      </w:pPr>
      <w:r>
        <w:rPr>
          <w:rFonts w:cs="Arial" w:ascii="Arial" w:hAnsi="Arial"/>
        </w:rPr>
        <w:t>.</w:t>
      </w:r>
    </w:p>
    <w:p>
      <w:pPr>
        <w:pStyle w:val="ListParagraph"/>
        <w:widowControl/>
        <w:numPr>
          <w:ilvl w:val="0"/>
          <w:numId w:val="17"/>
        </w:numPr>
        <w:spacing w:lineRule="auto" w:line="360" w:before="60" w:after="0"/>
        <w:ind w:left="0" w:hanging="360"/>
        <w:contextualSpacing/>
        <w:jc w:val="both"/>
        <w:rPr>
          <w:rFonts w:ascii="Arial" w:hAnsi="Arial" w:eastAsia="Times New Roman" w:cs="Arial"/>
          <w:b/>
          <w:b/>
          <w:vanish/>
          <w:sz w:val="22"/>
          <w:szCs w:val="22"/>
          <w:lang w:bidi="ar-SA"/>
        </w:rPr>
      </w:pPr>
      <w:r>
        <w:rPr>
          <w:rFonts w:eastAsia="Times New Roman" w:cs="Arial" w:ascii="Arial" w:hAnsi="Arial"/>
          <w:b/>
          <w:vanish/>
          <w:sz w:val="22"/>
          <w:szCs w:val="22"/>
          <w:lang w:bidi="ar-SA"/>
        </w:rPr>
      </w:r>
    </w:p>
    <w:p>
      <w:pPr>
        <w:pStyle w:val="Standard"/>
        <w:numPr>
          <w:ilvl w:val="0"/>
          <w:numId w:val="17"/>
        </w:numPr>
        <w:spacing w:lineRule="auto" w:line="360" w:before="60" w:after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  <w:t>Goodwill/záporný goodwil</w:t>
      </w:r>
    </w:p>
    <w:p>
      <w:pPr>
        <w:pStyle w:val="Standard"/>
        <w:spacing w:lineRule="auto" w:line="360" w:before="60" w:after="0"/>
        <w:jc w:val="both"/>
        <w:rPr>
          <w:rFonts w:ascii="Arial" w:hAnsi="Arial" w:cs="Arial"/>
        </w:rPr>
      </w:pPr>
      <w:r>
        <w:rPr>
          <w:rFonts w:cs="Arial" w:ascii="Arial" w:hAnsi="Arial"/>
        </w:rPr>
        <w:t>Goodwille v konsolidovanej účtovnej jednotke nevznikol.</w:t>
      </w:r>
    </w:p>
    <w:p>
      <w:pPr>
        <w:pStyle w:val="Standard"/>
        <w:numPr>
          <w:ilvl w:val="0"/>
          <w:numId w:val="8"/>
        </w:numPr>
        <w:spacing w:lineRule="auto" w:line="360" w:before="60" w:after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  <w:t>Konsolidácia medzivýsledku</w:t>
      </w:r>
    </w:p>
    <w:p>
      <w:pPr>
        <w:pStyle w:val="Standard"/>
        <w:spacing w:before="60" w:after="0"/>
        <w:jc w:val="both"/>
        <w:rPr>
          <w:rFonts w:ascii="Arial" w:hAnsi="Arial" w:cs="Arial"/>
        </w:rPr>
      </w:pPr>
      <w:r>
        <w:rPr>
          <w:rFonts w:cs="Arial" w:ascii="Arial" w:hAnsi="Arial"/>
        </w:rPr>
        <w:t>Konsolidácia medzivýsledku na úrovni obce nebola vykonaná, nakoľko nebol realizovaný žiadny predaj majetku a zásob medzi účtovnými jednotkami KC.</w:t>
      </w:r>
    </w:p>
    <w:p>
      <w:pPr>
        <w:pStyle w:val="Standard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</w:r>
    </w:p>
    <w:p>
      <w:pPr>
        <w:pStyle w:val="Standard"/>
        <w:jc w:val="center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</w:r>
    </w:p>
    <w:p>
      <w:pPr>
        <w:pStyle w:val="Standard"/>
        <w:jc w:val="center"/>
        <w:rPr>
          <w:rFonts w:ascii="Arial" w:hAnsi="Arial" w:cs="Arial"/>
          <w:b/>
          <w:b/>
          <w:sz w:val="24"/>
          <w:szCs w:val="24"/>
        </w:rPr>
      </w:pPr>
      <w:r>
        <w:rPr>
          <w:rFonts w:cs="Arial" w:ascii="Arial" w:hAnsi="Arial"/>
          <w:b/>
          <w:sz w:val="24"/>
          <w:szCs w:val="24"/>
        </w:rPr>
        <w:t>Čl. III</w:t>
      </w:r>
    </w:p>
    <w:p>
      <w:pPr>
        <w:pStyle w:val="Standard"/>
        <w:spacing w:lineRule="auto" w:line="360"/>
        <w:jc w:val="center"/>
        <w:rPr>
          <w:rFonts w:ascii="Arial" w:hAnsi="Arial" w:cs="Arial"/>
          <w:b/>
          <w:b/>
          <w:sz w:val="24"/>
          <w:szCs w:val="24"/>
        </w:rPr>
      </w:pPr>
      <w:r>
        <w:rPr>
          <w:rFonts w:cs="Arial" w:ascii="Arial" w:hAnsi="Arial"/>
          <w:b/>
          <w:sz w:val="24"/>
          <w:szCs w:val="24"/>
        </w:rPr>
        <w:t>Informácie o údajoch aktív a pasív</w:t>
      </w:r>
    </w:p>
    <w:p>
      <w:pPr>
        <w:pStyle w:val="Standard"/>
        <w:spacing w:lineRule="auto" w:line="360"/>
        <w:jc w:val="center"/>
        <w:rPr>
          <w:rFonts w:ascii="Arial" w:hAnsi="Arial" w:cs="Arial"/>
          <w:b/>
          <w:b/>
          <w:sz w:val="24"/>
          <w:szCs w:val="24"/>
        </w:rPr>
      </w:pPr>
      <w:r>
        <w:rPr>
          <w:rFonts w:cs="Arial" w:ascii="Arial" w:hAnsi="Arial"/>
          <w:b/>
          <w:sz w:val="24"/>
          <w:szCs w:val="24"/>
        </w:rPr>
      </w:r>
    </w:p>
    <w:p>
      <w:pPr>
        <w:pStyle w:val="Standard"/>
        <w:numPr>
          <w:ilvl w:val="0"/>
          <w:numId w:val="18"/>
        </w:numPr>
        <w:spacing w:before="0" w:after="60"/>
        <w:rPr/>
      </w:pPr>
      <w:r>
        <w:rPr>
          <w:rFonts w:cs="Arial" w:ascii="Arial" w:hAnsi="Arial"/>
          <w:b/>
          <w:sz w:val="22"/>
          <w:szCs w:val="22"/>
        </w:rPr>
        <w:t>Údaje o konsolidovanom celku</w:t>
      </w:r>
    </w:p>
    <w:p>
      <w:pPr>
        <w:pStyle w:val="Standard"/>
        <w:spacing w:before="120" w:after="120"/>
        <w:jc w:val="both"/>
        <w:rPr/>
      </w:pPr>
      <w:r>
        <w:rPr>
          <w:rFonts w:cs="Arial" w:ascii="Arial" w:hAnsi="Arial"/>
          <w:iCs/>
        </w:rPr>
        <w:t xml:space="preserve">Konsolidovaný celok obce Sučany .zahŕňa jednu rozpočtovú organizáciu – Základná škola SNP Sučany. Identifikačné údaje o účtovnej jednotke konsolidovaného celku sú uvedené v tabuľkovej časti </w:t>
      </w:r>
      <w:r>
        <w:rPr>
          <w:rFonts w:cs="Arial" w:ascii="Arial" w:hAnsi="Arial"/>
          <w:iCs/>
          <w:color w:val="0000CC"/>
        </w:rPr>
        <w:t>(tabuľka č. 1).</w:t>
      </w:r>
    </w:p>
    <w:p>
      <w:pPr>
        <w:pStyle w:val="Standard"/>
        <w:numPr>
          <w:ilvl w:val="0"/>
          <w:numId w:val="2"/>
        </w:numPr>
        <w:spacing w:before="120" w:after="120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  <w:t>Prehľad o pohybe dlhodobého majetku</w:t>
      </w:r>
    </w:p>
    <w:p>
      <w:pPr>
        <w:pStyle w:val="Odstavec"/>
        <w:rPr/>
      </w:pPr>
      <w:r>
        <w:rPr>
          <w:b/>
        </w:rPr>
        <w:t>a</w:t>
      </w:r>
      <w:r>
        <w:rPr>
          <w:b/>
          <w:u w:val="single"/>
        </w:rPr>
        <w:t>) Prehľad o pohybe dlhodobého nehmotného a dlhodobého hmotného majetku</w:t>
      </w:r>
      <w:r>
        <w:rPr/>
        <w:t xml:space="preserve"> od 1. januára 2013 do 31. decembra 2014 je uvedený  v tabuľkovej časti  konsolidovaných poznámok </w:t>
      </w:r>
      <w:r>
        <w:rPr>
          <w:color w:val="0000CC"/>
        </w:rPr>
        <w:t>(tabuľka č. 2).</w:t>
      </w:r>
    </w:p>
    <w:p>
      <w:pPr>
        <w:pStyle w:val="Odstavec"/>
        <w:rPr/>
      </w:pPr>
      <w:r>
        <w:rPr/>
      </w:r>
    </w:p>
    <w:p>
      <w:pPr>
        <w:pStyle w:val="Odstavec"/>
        <w:rPr/>
      </w:pPr>
      <w:r>
        <w:rPr>
          <w:b/>
        </w:rPr>
        <w:t>Najvýznamnejší prírastok</w:t>
      </w:r>
      <w:r>
        <w:rPr/>
        <w:t xml:space="preserve"> dlhodobého majetku  je zaradenie traktoru CASE v hodnote 45 000,- € a rodinného domu v sume 20 176,- €.</w:t>
      </w:r>
    </w:p>
    <w:p>
      <w:pPr>
        <w:pStyle w:val="Odstavec"/>
        <w:rPr/>
      </w:pPr>
      <w:r>
        <w:rPr/>
      </w:r>
    </w:p>
    <w:p>
      <w:pPr>
        <w:pStyle w:val="Odstavec"/>
        <w:rPr/>
      </w:pPr>
      <w:r>
        <w:rPr>
          <w:b/>
        </w:rPr>
        <w:t>Najvýznamnejší úbytok</w:t>
      </w:r>
      <w:r>
        <w:rPr/>
        <w:t xml:space="preserve"> dlhodobého majetku bol v súvislosti s predajom budovy Praktik v sume 120 281,29 €.</w:t>
      </w:r>
    </w:p>
    <w:p>
      <w:pPr>
        <w:pStyle w:val="Standard"/>
        <w:spacing w:before="60" w:after="0"/>
        <w:jc w:val="both"/>
        <w:rPr/>
      </w:pPr>
      <w:r>
        <w:rPr>
          <w:rFonts w:cs="Arial" w:ascii="Arial" w:hAnsi="Arial"/>
          <w:b/>
        </w:rPr>
        <w:t>b</w:t>
      </w:r>
      <w:r>
        <w:rPr>
          <w:rFonts w:cs="Arial" w:ascii="Arial" w:hAnsi="Arial"/>
          <w:b/>
          <w:u w:val="single"/>
        </w:rPr>
        <w:t>) spôsob a výška poistenia dlhodobého nehmotného a hmotného majetku</w:t>
      </w:r>
    </w:p>
    <w:p>
      <w:pPr>
        <w:pStyle w:val="Standard"/>
        <w:spacing w:before="60" w:after="0"/>
        <w:jc w:val="both"/>
        <w:rPr>
          <w:rFonts w:ascii="Arial" w:hAnsi="Arial" w:cs="Arial"/>
          <w:b/>
          <w:b/>
          <w:u w:val="single"/>
        </w:rPr>
      </w:pPr>
      <w:r>
        <w:rPr>
          <w:rFonts w:cs="Arial" w:ascii="Arial" w:hAnsi="Arial"/>
          <w:b/>
          <w:u w:val="single"/>
        </w:rPr>
      </w:r>
    </w:p>
    <w:p>
      <w:pPr>
        <w:pStyle w:val="Standard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Majetok obce a ňou zriadenej rozpočtovej organizácie je poistený na základe poistných zmlúv v Komunálnej  poisťovni a to v zmysle poistných zmlúv /vrátane ZŠ a MŠ všetky budovy vo vlastníctve obce, ako i hnuteľný majetok a pokladničná hotovosť/. </w:t>
      </w:r>
      <w:r>
        <w:rPr>
          <w:rFonts w:cs="Arial" w:ascii="Arial" w:hAnsi="Arial"/>
          <w:b/>
        </w:rPr>
        <w:t xml:space="preserve"> </w:t>
      </w:r>
      <w:r>
        <w:rPr>
          <w:rFonts w:cs="Arial" w:ascii="Arial" w:hAnsi="Arial"/>
        </w:rPr>
        <w:t>Majetok je poistený nasledovne:</w:t>
      </w:r>
    </w:p>
    <w:p>
      <w:pPr>
        <w:pStyle w:val="Standard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Standard"/>
        <w:jc w:val="both"/>
        <w:rPr/>
      </w:pPr>
      <w:r>
        <w:rPr/>
      </w:r>
    </w:p>
    <w:p>
      <w:pPr>
        <w:pStyle w:val="Standard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Standard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709" w:type="dxa"/>
        <w:jc w:val="left"/>
        <w:tblInd w:w="-4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  <w:tblLook w:val="0000"/>
      </w:tblPr>
      <w:tblGrid>
        <w:gridCol w:w="3683"/>
        <w:gridCol w:w="3402"/>
        <w:gridCol w:w="2624"/>
      </w:tblGrid>
      <w:tr>
        <w:trPr/>
        <w:tc>
          <w:tcPr>
            <w:tcW w:w="36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FFFFFF" w:val="clear"/>
            <w:tcMar>
              <w:left w:w="98" w:type="dxa"/>
            </w:tcMar>
          </w:tcPr>
          <w:p>
            <w:pPr>
              <w:pStyle w:val="Standard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Druh poisteného majetku</w:t>
            </w:r>
          </w:p>
        </w:tc>
        <w:tc>
          <w:tcPr>
            <w:tcW w:w="34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FFFFFF" w:val="clear"/>
            <w:tcMar>
              <w:left w:w="98" w:type="dxa"/>
            </w:tcMar>
          </w:tcPr>
          <w:p>
            <w:pPr>
              <w:pStyle w:val="Standard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Spôsob poistenia</w:t>
            </w:r>
          </w:p>
        </w:tc>
        <w:tc>
          <w:tcPr>
            <w:tcW w:w="2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FFFFF" w:val="clear"/>
            <w:tcMar>
              <w:left w:w="98" w:type="dxa"/>
            </w:tcMar>
          </w:tcPr>
          <w:p>
            <w:pPr>
              <w:pStyle w:val="Standard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Výška poistenia</w:t>
            </w:r>
          </w:p>
        </w:tc>
      </w:tr>
      <w:tr>
        <w:trPr/>
        <w:tc>
          <w:tcPr>
            <w:tcW w:w="36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FFFFFF" w:val="clear"/>
            <w:tcMar>
              <w:left w:w="98" w:type="dxa"/>
            </w:tcMar>
          </w:tcPr>
          <w:p>
            <w:pPr>
              <w:pStyle w:val="Standard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Súbor hnuteľných veci - živel</w:t>
            </w:r>
          </w:p>
        </w:tc>
        <w:tc>
          <w:tcPr>
            <w:tcW w:w="34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FFFFFF" w:val="clear"/>
            <w:tcMar>
              <w:left w:w="98" w:type="dxa"/>
            </w:tcMar>
          </w:tcPr>
          <w:p>
            <w:pPr>
              <w:pStyle w:val="Standard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Proti požiaru, ostatný živel celý, vodovodné škody,</w:t>
            </w:r>
          </w:p>
        </w:tc>
        <w:tc>
          <w:tcPr>
            <w:tcW w:w="2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FFFFF" w:val="clear"/>
            <w:tcMar>
              <w:left w:w="98" w:type="dxa"/>
            </w:tcMar>
          </w:tcPr>
          <w:p>
            <w:pPr>
              <w:pStyle w:val="Standard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710,- €</w:t>
            </w:r>
          </w:p>
        </w:tc>
      </w:tr>
      <w:tr>
        <w:trPr/>
        <w:tc>
          <w:tcPr>
            <w:tcW w:w="36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FFFFFF" w:val="clear"/>
            <w:tcMar>
              <w:left w:w="98" w:type="dxa"/>
            </w:tcMar>
          </w:tcPr>
          <w:p>
            <w:pPr>
              <w:pStyle w:val="Standard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Súbor hnuteľných vecí – krádež na prvé riziko</w:t>
            </w:r>
          </w:p>
        </w:tc>
        <w:tc>
          <w:tcPr>
            <w:tcW w:w="34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FFFFFF" w:val="clear"/>
            <w:tcMar>
              <w:left w:w="98" w:type="dxa"/>
            </w:tcMar>
          </w:tcPr>
          <w:p>
            <w:pPr>
              <w:pStyle w:val="Standard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Krádež na prvé riziko, krádež vlámaním</w:t>
            </w:r>
          </w:p>
        </w:tc>
        <w:tc>
          <w:tcPr>
            <w:tcW w:w="2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FFFFF" w:val="clear"/>
            <w:tcMar>
              <w:left w:w="98" w:type="dxa"/>
            </w:tcMar>
          </w:tcPr>
          <w:p>
            <w:pPr>
              <w:pStyle w:val="Standard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40,- €</w:t>
            </w:r>
          </w:p>
        </w:tc>
      </w:tr>
      <w:tr>
        <w:trPr/>
        <w:tc>
          <w:tcPr>
            <w:tcW w:w="36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FFFFFF" w:val="clear"/>
            <w:tcMar>
              <w:left w:w="98" w:type="dxa"/>
            </w:tcMar>
          </w:tcPr>
          <w:p>
            <w:pPr>
              <w:pStyle w:val="Standard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Vandalizmus</w:t>
            </w:r>
          </w:p>
        </w:tc>
        <w:tc>
          <w:tcPr>
            <w:tcW w:w="34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FFFFFF" w:val="clear"/>
            <w:tcMar>
              <w:left w:w="98" w:type="dxa"/>
            </w:tcMar>
          </w:tcPr>
          <w:p>
            <w:pPr>
              <w:pStyle w:val="Standard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Poistenie na prvé riziko, úmysel</w:t>
            </w:r>
          </w:p>
        </w:tc>
        <w:tc>
          <w:tcPr>
            <w:tcW w:w="2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FFFFF" w:val="clear"/>
            <w:tcMar>
              <w:left w:w="98" w:type="dxa"/>
            </w:tcMar>
          </w:tcPr>
          <w:p>
            <w:pPr>
              <w:pStyle w:val="Standard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17,- €</w:t>
            </w:r>
          </w:p>
        </w:tc>
      </w:tr>
      <w:tr>
        <w:trPr/>
        <w:tc>
          <w:tcPr>
            <w:tcW w:w="36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FFFFFF" w:val="clear"/>
            <w:tcMar>
              <w:left w:w="98" w:type="dxa"/>
            </w:tcMar>
          </w:tcPr>
          <w:p>
            <w:pPr>
              <w:pStyle w:val="Standard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Jednotlivo určené veci – živel</w:t>
            </w:r>
          </w:p>
          <w:p>
            <w:pPr>
              <w:pStyle w:val="Standard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Obecný bezdrôtový rozhlas, ústredňa a zosilovač</w:t>
            </w:r>
          </w:p>
        </w:tc>
        <w:tc>
          <w:tcPr>
            <w:tcW w:w="34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FFFFFF" w:val="clear"/>
            <w:tcMar>
              <w:left w:w="98" w:type="dxa"/>
            </w:tcMar>
          </w:tcPr>
          <w:p>
            <w:pPr>
              <w:pStyle w:val="Standard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Proti požiaru, ostatný živel celý, vodovodné škody,</w:t>
            </w:r>
          </w:p>
        </w:tc>
        <w:tc>
          <w:tcPr>
            <w:tcW w:w="2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FFFFF" w:val="clear"/>
            <w:tcMar>
              <w:left w:w="98" w:type="dxa"/>
            </w:tcMar>
          </w:tcPr>
          <w:p>
            <w:pPr>
              <w:pStyle w:val="Standard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80,- €</w:t>
            </w:r>
          </w:p>
        </w:tc>
      </w:tr>
      <w:tr>
        <w:trPr/>
        <w:tc>
          <w:tcPr>
            <w:tcW w:w="36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FFFFFF" w:val="clear"/>
            <w:tcMar>
              <w:left w:w="98" w:type="dxa"/>
            </w:tcMar>
          </w:tcPr>
          <w:p>
            <w:pPr>
              <w:pStyle w:val="Standard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Jednotlivo určené veci - krádež</w:t>
            </w:r>
          </w:p>
        </w:tc>
        <w:tc>
          <w:tcPr>
            <w:tcW w:w="34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FFFFFF" w:val="clear"/>
            <w:tcMar>
              <w:left w:w="98" w:type="dxa"/>
            </w:tcMar>
          </w:tcPr>
          <w:p>
            <w:pPr>
              <w:pStyle w:val="Standard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Krádež vlámaním</w:t>
            </w:r>
          </w:p>
        </w:tc>
        <w:tc>
          <w:tcPr>
            <w:tcW w:w="2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FFFFF" w:val="clear"/>
            <w:tcMar>
              <w:left w:w="98" w:type="dxa"/>
            </w:tcMar>
          </w:tcPr>
          <w:p>
            <w:pPr>
              <w:pStyle w:val="Standard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130,- €</w:t>
            </w:r>
          </w:p>
        </w:tc>
      </w:tr>
      <w:tr>
        <w:trPr/>
        <w:tc>
          <w:tcPr>
            <w:tcW w:w="36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FFFFFF" w:val="clear"/>
            <w:tcMar>
              <w:left w:w="98" w:type="dxa"/>
            </w:tcMar>
          </w:tcPr>
          <w:p>
            <w:pPr>
              <w:pStyle w:val="Standard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Vandalizmus</w:t>
            </w:r>
          </w:p>
        </w:tc>
        <w:tc>
          <w:tcPr>
            <w:tcW w:w="34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FFFFFF" w:val="clear"/>
            <w:tcMar>
              <w:left w:w="98" w:type="dxa"/>
            </w:tcMar>
          </w:tcPr>
          <w:p>
            <w:pPr>
              <w:pStyle w:val="Standard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Poistenie na prvé riziko, úmysel</w:t>
            </w:r>
          </w:p>
        </w:tc>
        <w:tc>
          <w:tcPr>
            <w:tcW w:w="2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FFFFF" w:val="clear"/>
            <w:tcMar>
              <w:left w:w="98" w:type="dxa"/>
            </w:tcMar>
          </w:tcPr>
          <w:p>
            <w:pPr>
              <w:pStyle w:val="Standard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17,- €</w:t>
            </w:r>
          </w:p>
        </w:tc>
      </w:tr>
      <w:tr>
        <w:trPr/>
        <w:tc>
          <w:tcPr>
            <w:tcW w:w="36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FFFFFF" w:val="clear"/>
            <w:tcMar>
              <w:left w:w="98" w:type="dxa"/>
            </w:tcMar>
          </w:tcPr>
          <w:p>
            <w:pPr>
              <w:pStyle w:val="Standard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Jednotlivo určené veci- vežové hodiny s elektron. zariadením</w:t>
            </w:r>
          </w:p>
        </w:tc>
        <w:tc>
          <w:tcPr>
            <w:tcW w:w="34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FFFFFF" w:val="clear"/>
            <w:tcMar>
              <w:left w:w="98" w:type="dxa"/>
            </w:tcMar>
          </w:tcPr>
          <w:p>
            <w:pPr>
              <w:pStyle w:val="Standard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Proti požiaru, ostatný živel celý, vodovodné škody, vodovodné škody,</w:t>
            </w:r>
          </w:p>
        </w:tc>
        <w:tc>
          <w:tcPr>
            <w:tcW w:w="2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FFFFF" w:val="clear"/>
            <w:tcMar>
              <w:left w:w="98" w:type="dxa"/>
            </w:tcMar>
          </w:tcPr>
          <w:p>
            <w:pPr>
              <w:pStyle w:val="Standard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17,- €</w:t>
            </w:r>
          </w:p>
        </w:tc>
      </w:tr>
      <w:tr>
        <w:trPr/>
        <w:tc>
          <w:tcPr>
            <w:tcW w:w="36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FFFFFF" w:val="clear"/>
            <w:tcMar>
              <w:left w:w="98" w:type="dxa"/>
            </w:tcMar>
          </w:tcPr>
          <w:p>
            <w:pPr>
              <w:pStyle w:val="Standard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Vandalizmus</w:t>
            </w:r>
          </w:p>
        </w:tc>
        <w:tc>
          <w:tcPr>
            <w:tcW w:w="34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FFFFFF" w:val="clear"/>
            <w:tcMar>
              <w:left w:w="98" w:type="dxa"/>
            </w:tcMar>
          </w:tcPr>
          <w:p>
            <w:pPr>
              <w:pStyle w:val="Standard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Poistenie na prvé riziko, úmysel</w:t>
            </w:r>
          </w:p>
        </w:tc>
        <w:tc>
          <w:tcPr>
            <w:tcW w:w="2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FFFFF" w:val="clear"/>
            <w:tcMar>
              <w:left w:w="98" w:type="dxa"/>
            </w:tcMar>
          </w:tcPr>
          <w:p>
            <w:pPr>
              <w:pStyle w:val="Standard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17,- €</w:t>
            </w:r>
          </w:p>
        </w:tc>
      </w:tr>
      <w:tr>
        <w:trPr/>
        <w:tc>
          <w:tcPr>
            <w:tcW w:w="36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FFFFFF" w:val="clear"/>
            <w:tcMar>
              <w:left w:w="98" w:type="dxa"/>
            </w:tcMar>
          </w:tcPr>
          <w:p>
            <w:pPr>
              <w:pStyle w:val="Standard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Živelné poistenie stavieb</w:t>
            </w:r>
          </w:p>
        </w:tc>
        <w:tc>
          <w:tcPr>
            <w:tcW w:w="34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FFFFFF" w:val="clear"/>
            <w:tcMar>
              <w:left w:w="98" w:type="dxa"/>
            </w:tcMar>
          </w:tcPr>
          <w:p>
            <w:pPr>
              <w:pStyle w:val="Standard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Proti požiaru, ostatný živel celý, vodovodné škody, náraz DP, poškodenie skla, úmysel, poškodenie</w:t>
            </w:r>
          </w:p>
        </w:tc>
        <w:tc>
          <w:tcPr>
            <w:tcW w:w="2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FFFFF" w:val="clear"/>
            <w:tcMar>
              <w:left w:w="98" w:type="dxa"/>
            </w:tcMar>
          </w:tcPr>
          <w:p>
            <w:pPr>
              <w:pStyle w:val="Standard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1 206,13 €</w:t>
            </w:r>
          </w:p>
        </w:tc>
      </w:tr>
      <w:tr>
        <w:trPr/>
        <w:tc>
          <w:tcPr>
            <w:tcW w:w="36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FFFFFF" w:val="clear"/>
            <w:tcMar>
              <w:left w:w="98" w:type="dxa"/>
            </w:tcMar>
          </w:tcPr>
          <w:p>
            <w:pPr>
              <w:pStyle w:val="Standard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Poistenie všeobecnej zodpovednosti za škodu</w:t>
            </w:r>
          </w:p>
        </w:tc>
        <w:tc>
          <w:tcPr>
            <w:tcW w:w="34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FFFFFF" w:val="clear"/>
            <w:tcMar>
              <w:left w:w="98" w:type="dxa"/>
            </w:tcMar>
          </w:tcPr>
          <w:p>
            <w:pPr>
              <w:pStyle w:val="Standard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  <w:tc>
          <w:tcPr>
            <w:tcW w:w="2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FFFFF" w:val="clear"/>
            <w:tcMar>
              <w:left w:w="98" w:type="dxa"/>
            </w:tcMar>
          </w:tcPr>
          <w:p>
            <w:pPr>
              <w:pStyle w:val="Standard"/>
              <w:rPr/>
            </w:pPr>
            <w:r>
              <w:rPr>
                <w:rFonts w:cs="Arial" w:ascii="Arial" w:hAnsi="Arial"/>
              </w:rPr>
              <w:t>152,- €</w:t>
            </w:r>
          </w:p>
          <w:p>
            <w:pPr>
              <w:pStyle w:val="Standard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</w:tr>
    </w:tbl>
    <w:p>
      <w:pPr>
        <w:pStyle w:val="Standard"/>
        <w:spacing w:before="60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Odstavec"/>
        <w:rPr>
          <w:i/>
          <w:i/>
        </w:rPr>
      </w:pPr>
      <w:r>
        <w:rPr/>
        <w:t>Dlhodobý  hmotný majetok je poistený pre prípad škôd spôsobených krádežou a živelnou pohromou až do výšky 5 152 264,00 €</w:t>
      </w:r>
      <w:r>
        <w:rPr>
          <w:i/>
        </w:rPr>
        <w:t>.</w:t>
      </w:r>
    </w:p>
    <w:p>
      <w:pPr>
        <w:pStyle w:val="Odstavec"/>
        <w:rPr/>
      </w:pPr>
      <w:r>
        <w:rPr/>
      </w:r>
    </w:p>
    <w:p>
      <w:pPr>
        <w:pStyle w:val="Standard"/>
        <w:spacing w:before="120" w:after="0"/>
        <w:jc w:val="both"/>
        <w:rPr/>
      </w:pPr>
      <w:r>
        <w:rPr>
          <w:rFonts w:cs="Arial" w:ascii="Arial" w:hAnsi="Arial"/>
          <w:b/>
        </w:rPr>
        <w:t xml:space="preserve">c) </w:t>
      </w:r>
      <w:r>
        <w:rPr>
          <w:rFonts w:cs="Arial" w:ascii="Arial" w:hAnsi="Arial"/>
          <w:b/>
          <w:u w:val="single"/>
        </w:rPr>
        <w:t>zriadenie záložného práva na dlhodobý nehmotný majetok a dlhodobý hmotný majetok</w:t>
      </w:r>
    </w:p>
    <w:p>
      <w:pPr>
        <w:pStyle w:val="Odstavec"/>
        <w:rPr>
          <w:b/>
          <w:b/>
        </w:rPr>
      </w:pPr>
      <w:r>
        <w:rPr>
          <w:b/>
        </w:rPr>
      </w:r>
    </w:p>
    <w:p>
      <w:pPr>
        <w:pStyle w:val="Pismenka"/>
        <w:ind w:left="0" w:hanging="0"/>
        <w:rPr>
          <w:rFonts w:ascii="Arial" w:hAnsi="Arial" w:cs="Arial"/>
          <w:b w:val="false"/>
          <w:b w:val="false"/>
        </w:rPr>
      </w:pPr>
      <w:r>
        <w:rPr>
          <w:rFonts w:cs="Arial" w:ascii="Arial" w:hAnsi="Arial"/>
          <w:b w:val="false"/>
        </w:rPr>
        <w:t>Záložné právo je zriadené  na nehnuteľnosti zapísané na liste vlastníctva č. 1881 v okrese Martin, obec Sučany, katastrálne územie Sučany a to: Pozemky – parcely v registri „C“</w:t>
      </w:r>
    </w:p>
    <w:p>
      <w:pPr>
        <w:pStyle w:val="Default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>Parc. č. 839/4 vo vým. 348 m2 zastavané plochy a nádvoria</w:t>
      </w:r>
    </w:p>
    <w:p>
      <w:pPr>
        <w:pStyle w:val="Default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>Stavby súp. č. 1531 na parc. č. 839/4 administratívna budova Obecného úradu Sučany 6</w:t>
      </w:r>
    </w:p>
    <w:p>
      <w:pPr>
        <w:pStyle w:val="Default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>Parc. č. 638/1 vo vým. 390 m2 zastavané plochy a nádvoria</w:t>
      </w:r>
    </w:p>
    <w:p>
      <w:pPr>
        <w:pStyle w:val="Default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>Parc. č. 951 vo vým. 369 m2 zastavané plochy a nádvoria</w:t>
      </w:r>
    </w:p>
    <w:p>
      <w:pPr>
        <w:pStyle w:val="Default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>Parc. č. 952vo vým. 265 m2 zastavané plochy a nádvoria</w:t>
      </w:r>
    </w:p>
    <w:p>
      <w:pPr>
        <w:pStyle w:val="Default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>Parc. č. 971/1 vo vým. 2198 m2 ostatné plochy</w:t>
      </w:r>
    </w:p>
    <w:p>
      <w:pPr>
        <w:pStyle w:val="Default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>Parc. č. 972/1 vo vým. 13622 m2 ostatné plochy</w:t>
      </w:r>
    </w:p>
    <w:p>
      <w:pPr>
        <w:pStyle w:val="Default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>Parc. č. 972/2 vo vým. 462 m2 zastavané plochy a nádvoria</w:t>
      </w:r>
    </w:p>
    <w:p>
      <w:pPr>
        <w:pStyle w:val="Default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>Stavby súp. č. 141 na parc. č. 638/1 Robotnícky a kultúrny dom</w:t>
      </w:r>
    </w:p>
    <w:p>
      <w:pPr>
        <w:pStyle w:val="Default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>Stavby súp. č. 300 na parc. č. 951 Reštaurácia Gól</w:t>
      </w:r>
    </w:p>
    <w:p>
      <w:pPr>
        <w:pStyle w:val="Default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>Stavby súp. č. 841 na parc. č. 972/2 Budova</w:t>
      </w:r>
    </w:p>
    <w:p>
      <w:pPr>
        <w:pStyle w:val="Standard"/>
        <w:rPr>
          <w:rFonts w:ascii="Arial" w:hAnsi="Arial" w:cs="Arial"/>
          <w:color w:val="FF0000"/>
          <w:sz w:val="16"/>
          <w:szCs w:val="16"/>
          <w:shd w:fill="FFFF00" w:val="clear"/>
        </w:rPr>
      </w:pPr>
      <w:r>
        <w:rPr>
          <w:rFonts w:cs="Arial" w:ascii="Arial" w:hAnsi="Arial"/>
          <w:color w:val="FF0000"/>
          <w:sz w:val="16"/>
          <w:szCs w:val="16"/>
          <w:shd w:fill="FFFF00" w:val="clear"/>
        </w:rPr>
      </w:r>
    </w:p>
    <w:p>
      <w:pPr>
        <w:pStyle w:val="Standard"/>
        <w:rPr>
          <w:rFonts w:ascii="Arial" w:hAnsi="Arial" w:cs="Arial"/>
        </w:rPr>
      </w:pPr>
      <w:r>
        <w:rPr>
          <w:rFonts w:cs="Arial" w:ascii="Arial" w:hAnsi="Arial"/>
        </w:rPr>
        <w:t>Záložné právo v prospech Ministerstva výstavby a regionálneho rozvoja SR, Bratislava, IČO 31751067,bytový</w:t>
      </w:r>
    </w:p>
    <w:p>
      <w:pPr>
        <w:pStyle w:val="Standard"/>
        <w:rPr>
          <w:rFonts w:ascii="Arial" w:hAnsi="Arial" w:cs="Arial"/>
        </w:rPr>
      </w:pPr>
      <w:r>
        <w:rPr>
          <w:rFonts w:cs="Arial" w:ascii="Arial" w:hAnsi="Arial"/>
        </w:rPr>
        <w:t>dom s 8 b.j.čs.1736 na parc.č.2105/94,bytový dom s 8 b.j.čs.1734 na parc.č.2105/95,bytový dom s 8 b.j.čs.1735</w:t>
      </w:r>
    </w:p>
    <w:p>
      <w:pPr>
        <w:pStyle w:val="Standard"/>
        <w:rPr>
          <w:rFonts w:ascii="Arial" w:hAnsi="Arial" w:cs="Arial"/>
        </w:rPr>
      </w:pPr>
      <w:r>
        <w:rPr>
          <w:rFonts w:cs="Arial" w:ascii="Arial" w:hAnsi="Arial"/>
        </w:rPr>
        <w:t>na parc.č.2105/96,bytový dom s 8 b.j.čs.1733 na parc.č.2105/97,-V 2846/03</w:t>
      </w:r>
    </w:p>
    <w:p>
      <w:pPr>
        <w:pStyle w:val="Standard"/>
        <w:rPr>
          <w:rFonts w:ascii="Arial" w:hAnsi="Arial" w:cs="Arial"/>
        </w:rPr>
      </w:pPr>
      <w:r>
        <w:rPr>
          <w:rFonts w:cs="Arial" w:ascii="Arial" w:hAnsi="Arial"/>
        </w:rPr>
        <w:t>Záložné právo v prospech Štátneho fondu rozvoja bývania, Bratislava, IČO 31749542, bytový dom čs.1733 na parc.č.2105/97,bytový dom čs.1734 na parc.č.2105/95,bytový dom čs.1735 na parc.č.2105/96,bytový dom čs.1736 na parc.č.2105/94,parc.č.2105/97,č.2105/95,č.2105/96,č.2105/94,-V 2943/03</w:t>
      </w:r>
    </w:p>
    <w:p>
      <w:pPr>
        <w:pStyle w:val="Standard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Default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Standard"/>
        <w:numPr>
          <w:ilvl w:val="0"/>
          <w:numId w:val="19"/>
        </w:numPr>
        <w:spacing w:before="120" w:after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  <w:t>Prehľad o pohybe dlhodobého finančného majetku</w:t>
      </w:r>
    </w:p>
    <w:p>
      <w:pPr>
        <w:pStyle w:val="Standard"/>
        <w:spacing w:before="120" w:after="0"/>
        <w:jc w:val="both"/>
        <w:rPr/>
      </w:pPr>
      <w:r>
        <w:rPr>
          <w:rFonts w:cs="Arial" w:ascii="Arial" w:hAnsi="Arial"/>
        </w:rPr>
        <w:t>Detailnejšie informácie o dlhodobom finančnom majetku  k 31. decembru 2014 sú uvedené v tabuľkovej časti</w:t>
      </w:r>
    </w:p>
    <w:p>
      <w:pPr>
        <w:pStyle w:val="Standard"/>
        <w:spacing w:before="120" w:after="0"/>
        <w:jc w:val="both"/>
        <w:rPr/>
      </w:pPr>
      <w:r>
        <w:rPr>
          <w:rFonts w:cs="Arial" w:ascii="Arial" w:hAnsi="Arial"/>
          <w:color w:val="000000"/>
        </w:rPr>
        <w:t>(tabuľky č. 4  – Realizovateľné cenné papiere)</w:t>
      </w:r>
    </w:p>
    <w:p>
      <w:pPr>
        <w:pStyle w:val="Standard"/>
        <w:spacing w:before="120" w:after="0"/>
        <w:jc w:val="both"/>
        <w:rPr/>
      </w:pPr>
      <w:r>
        <w:rPr>
          <w:rFonts w:cs="Arial" w:ascii="Arial" w:hAnsi="Arial"/>
          <w:color w:val="000000"/>
        </w:rPr>
        <w:t>Obec Sučany mala podiel v Prima banke a.s. (0,021 %), akcie odpredané v marci 2015, a v spoločnosti Turčianska vodárenská spoločnosť, a.s. Martin (4,021 %).</w:t>
      </w:r>
    </w:p>
    <w:p>
      <w:pPr>
        <w:pStyle w:val="Standard"/>
        <w:spacing w:before="120" w:after="0"/>
        <w:jc w:val="both"/>
        <w:rPr>
          <w:color w:val="000000"/>
        </w:rPr>
      </w:pPr>
      <w:r>
        <w:rPr>
          <w:color w:val="000000"/>
        </w:rPr>
      </w:r>
    </w:p>
    <w:p>
      <w:pPr>
        <w:pStyle w:val="Standard"/>
        <w:spacing w:before="120" w:after="0"/>
        <w:jc w:val="both"/>
        <w:rPr>
          <w:color w:val="000000"/>
        </w:rPr>
      </w:pPr>
      <w:r>
        <w:rPr>
          <w:color w:val="000000"/>
        </w:rPr>
      </w:r>
    </w:p>
    <w:p>
      <w:pPr>
        <w:pStyle w:val="Standard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Standard"/>
        <w:numPr>
          <w:ilvl w:val="0"/>
          <w:numId w:val="9"/>
        </w:numPr>
        <w:jc w:val="both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  <w:t>Pohľadávky konsolidovaného celku v €</w:t>
      </w:r>
    </w:p>
    <w:p>
      <w:pPr>
        <w:pStyle w:val="Standard"/>
        <w:ind w:left="284" w:hanging="284"/>
        <w:rPr/>
      </w:pPr>
      <w:r>
        <w:rPr/>
      </w:r>
    </w:p>
    <w:tbl>
      <w:tblPr>
        <w:tblW w:w="10622" w:type="dxa"/>
        <w:jc w:val="left"/>
        <w:tblInd w:w="-82" w:type="dxa"/>
        <w:tblBorders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10111"/>
        <w:gridCol w:w="510"/>
      </w:tblGrid>
      <w:tr>
        <w:trPr>
          <w:trHeight w:val="225" w:hRule="atLeast"/>
        </w:trPr>
        <w:tc>
          <w:tcPr>
            <w:tcW w:w="10111" w:type="dxa"/>
            <w:tcBorders/>
            <w:shd w:fill="auto" w:val="clear"/>
            <w:vAlign w:val="center"/>
          </w:tcPr>
          <w:p>
            <w:pPr>
              <w:pStyle w:val="Pismenka"/>
              <w:numPr>
                <w:ilvl w:val="0"/>
                <w:numId w:val="20"/>
              </w:numPr>
              <w:ind w:left="284" w:hanging="284"/>
              <w:rPr/>
            </w:pPr>
            <w:r>
              <w:rPr>
                <w:rFonts w:cs="Arial" w:ascii="Arial" w:hAnsi="Arial"/>
                <w:b w:val="false"/>
                <w:lang w:eastAsia="sk-SK"/>
              </w:rPr>
              <w:t>Významné pohľadávky</w:t>
            </w:r>
            <w:r>
              <w:rPr/>
              <w:t xml:space="preserve"> podľa jednotlivých položiek súvahy v €: (výber z celkových pohľadávok)</w:t>
            </w:r>
          </w:p>
          <w:tbl>
            <w:tblPr>
              <w:tblW w:w="9699" w:type="dxa"/>
              <w:jc w:val="left"/>
              <w:tblInd w:w="50" w:type="dxa"/>
              <w:tblBorders>
                <w:top w:val="single" w:sz="4" w:space="0" w:color="000001"/>
                <w:left w:val="single" w:sz="4" w:space="0" w:color="000001"/>
                <w:bottom w:val="single" w:sz="4" w:space="0" w:color="000001"/>
                <w:insideH w:val="single" w:sz="4" w:space="0" w:color="000001"/>
              </w:tblBorders>
              <w:tblCellMar>
                <w:top w:w="0" w:type="dxa"/>
                <w:left w:w="60" w:type="dxa"/>
                <w:bottom w:w="0" w:type="dxa"/>
                <w:right w:w="70" w:type="dxa"/>
              </w:tblCellMar>
              <w:tblLook w:val="0000"/>
            </w:tblPr>
            <w:tblGrid>
              <w:gridCol w:w="2693"/>
              <w:gridCol w:w="1560"/>
              <w:gridCol w:w="2268"/>
              <w:gridCol w:w="3177"/>
            </w:tblGrid>
            <w:tr>
              <w:trPr/>
              <w:tc>
                <w:tcPr>
                  <w:tcW w:w="2693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insideH w:val="single" w:sz="4" w:space="0" w:color="000001"/>
                  </w:tcBorders>
                  <w:shd w:fill="auto" w:val="clear"/>
                  <w:tcMar>
                    <w:left w:w="60" w:type="dxa"/>
                  </w:tcMar>
                </w:tcPr>
                <w:p>
                  <w:pPr>
                    <w:pStyle w:val="Standard"/>
                    <w:jc w:val="center"/>
                    <w:rPr>
                      <w:rFonts w:ascii="Arial" w:hAnsi="Arial" w:cs="Arial"/>
                      <w:b/>
                      <w:b/>
                    </w:rPr>
                  </w:pPr>
                  <w:r>
                    <w:rPr>
                      <w:rFonts w:cs="Arial" w:ascii="Arial" w:hAnsi="Arial"/>
                      <w:b/>
                    </w:rPr>
                    <w:t>Pohľadávka</w:t>
                  </w:r>
                </w:p>
              </w:tc>
              <w:tc>
                <w:tcPr>
                  <w:tcW w:w="1560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insideH w:val="single" w:sz="4" w:space="0" w:color="000001"/>
                  </w:tcBorders>
                  <w:shd w:fill="auto" w:val="clear"/>
                  <w:tcMar>
                    <w:left w:w="60" w:type="dxa"/>
                  </w:tcMar>
                </w:tcPr>
                <w:p>
                  <w:pPr>
                    <w:pStyle w:val="Standard"/>
                    <w:jc w:val="center"/>
                    <w:rPr>
                      <w:rFonts w:ascii="Arial" w:hAnsi="Arial" w:cs="Arial"/>
                      <w:b/>
                      <w:b/>
                    </w:rPr>
                  </w:pPr>
                  <w:r>
                    <w:rPr>
                      <w:rFonts w:cs="Arial" w:ascii="Arial" w:hAnsi="Arial"/>
                      <w:b/>
                    </w:rPr>
                    <w:t>Riadok súvahy</w:t>
                  </w:r>
                </w:p>
              </w:tc>
              <w:tc>
                <w:tcPr>
                  <w:tcW w:w="2268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insideH w:val="single" w:sz="4" w:space="0" w:color="000001"/>
                  </w:tcBorders>
                  <w:shd w:fill="auto" w:val="clear"/>
                  <w:tcMar>
                    <w:left w:w="60" w:type="dxa"/>
                  </w:tcMar>
                </w:tcPr>
                <w:p>
                  <w:pPr>
                    <w:pStyle w:val="Standard"/>
                    <w:jc w:val="center"/>
                    <w:rPr>
                      <w:rFonts w:ascii="Arial" w:hAnsi="Arial" w:cs="Arial"/>
                      <w:b/>
                      <w:b/>
                    </w:rPr>
                  </w:pPr>
                  <w:r>
                    <w:rPr>
                      <w:rFonts w:cs="Arial" w:ascii="Arial" w:hAnsi="Arial"/>
                      <w:b/>
                    </w:rPr>
                    <w:t>Hodnota pohľadávok</w:t>
                  </w:r>
                </w:p>
              </w:tc>
              <w:tc>
                <w:tcPr>
                  <w:tcW w:w="317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  <w:insideH w:val="single" w:sz="4" w:space="0" w:color="000001"/>
                    <w:insideV w:val="single" w:sz="4" w:space="0" w:color="000001"/>
                  </w:tcBorders>
                  <w:shd w:fill="auto" w:val="clear"/>
                  <w:tcMar>
                    <w:left w:w="60" w:type="dxa"/>
                  </w:tcMar>
                </w:tcPr>
                <w:p>
                  <w:pPr>
                    <w:pStyle w:val="Standard"/>
                    <w:jc w:val="center"/>
                    <w:rPr>
                      <w:rFonts w:ascii="Arial" w:hAnsi="Arial" w:cs="Arial"/>
                      <w:b/>
                      <w:b/>
                    </w:rPr>
                  </w:pPr>
                  <w:r>
                    <w:rPr>
                      <w:rFonts w:cs="Arial" w:ascii="Arial" w:hAnsi="Arial"/>
                      <w:b/>
                    </w:rPr>
                    <w:t>Opis</w:t>
                  </w:r>
                </w:p>
              </w:tc>
            </w:tr>
            <w:tr>
              <w:trPr/>
              <w:tc>
                <w:tcPr>
                  <w:tcW w:w="2693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insideH w:val="single" w:sz="4" w:space="0" w:color="000001"/>
                  </w:tcBorders>
                  <w:shd w:fill="auto" w:val="clear"/>
                  <w:tcMar>
                    <w:left w:w="60" w:type="dxa"/>
                  </w:tcMar>
                </w:tcPr>
                <w:p>
                  <w:pPr>
                    <w:pStyle w:val="Standard"/>
                    <w:rPr>
                      <w:rFonts w:ascii="Arial" w:hAnsi="Arial" w:cs="Arial"/>
                    </w:rPr>
                  </w:pPr>
                  <w:r>
                    <w:rPr>
                      <w:rFonts w:cs="Arial" w:ascii="Arial" w:hAnsi="Arial"/>
                    </w:rPr>
                    <w:t>PREFA Sučany SK a.s.</w:t>
                  </w:r>
                </w:p>
              </w:tc>
              <w:tc>
                <w:tcPr>
                  <w:tcW w:w="1560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insideH w:val="single" w:sz="4" w:space="0" w:color="000001"/>
                  </w:tcBorders>
                  <w:shd w:fill="auto" w:val="clear"/>
                  <w:tcMar>
                    <w:left w:w="60" w:type="dxa"/>
                  </w:tcMar>
                </w:tcPr>
                <w:p>
                  <w:pPr>
                    <w:pStyle w:val="Standard"/>
                    <w:rPr>
                      <w:rFonts w:ascii="Arial" w:hAnsi="Arial" w:cs="Arial"/>
                    </w:rPr>
                  </w:pPr>
                  <w:r>
                    <w:rPr>
                      <w:rFonts w:cs="Arial" w:ascii="Arial" w:hAnsi="Arial"/>
                    </w:rPr>
                    <w:t>68</w:t>
                  </w:r>
                </w:p>
              </w:tc>
              <w:tc>
                <w:tcPr>
                  <w:tcW w:w="2268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insideH w:val="single" w:sz="4" w:space="0" w:color="000001"/>
                  </w:tcBorders>
                  <w:shd w:fill="auto" w:val="clear"/>
                  <w:tcMar>
                    <w:left w:w="60" w:type="dxa"/>
                  </w:tcMar>
                </w:tcPr>
                <w:p>
                  <w:pPr>
                    <w:pStyle w:val="Standard"/>
                    <w:jc w:val="right"/>
                    <w:rPr>
                      <w:rFonts w:ascii="Arial" w:hAnsi="Arial" w:cs="Arial"/>
                    </w:rPr>
                  </w:pPr>
                  <w:r>
                    <w:rPr>
                      <w:rFonts w:cs="Arial" w:ascii="Arial" w:hAnsi="Arial"/>
                    </w:rPr>
                    <w:t>39 005,44</w:t>
                  </w:r>
                </w:p>
              </w:tc>
              <w:tc>
                <w:tcPr>
                  <w:tcW w:w="317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  <w:insideH w:val="single" w:sz="4" w:space="0" w:color="000001"/>
                    <w:insideV w:val="single" w:sz="4" w:space="0" w:color="000001"/>
                  </w:tcBorders>
                  <w:shd w:fill="auto" w:val="clear"/>
                  <w:tcMar>
                    <w:left w:w="60" w:type="dxa"/>
                  </w:tcMar>
                </w:tcPr>
                <w:p>
                  <w:pPr>
                    <w:pStyle w:val="Standard"/>
                    <w:rPr/>
                  </w:pPr>
                  <w:r>
                    <w:rPr>
                      <w:rFonts w:eastAsia="Arial" w:cs="Arial" w:ascii="Arial" w:hAnsi="Arial"/>
                    </w:rPr>
                    <w:t xml:space="preserve"> </w:t>
                  </w:r>
                  <w:r>
                    <w:rPr>
                      <w:rFonts w:cs="Arial" w:ascii="Arial" w:hAnsi="Arial"/>
                    </w:rPr>
                    <w:t>za daň z nehnuteľnosti</w:t>
                  </w:r>
                </w:p>
              </w:tc>
            </w:tr>
            <w:tr>
              <w:trPr/>
              <w:tc>
                <w:tcPr>
                  <w:tcW w:w="2693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insideH w:val="single" w:sz="4" w:space="0" w:color="000001"/>
                  </w:tcBorders>
                  <w:shd w:fill="auto" w:val="clear"/>
                  <w:tcMar>
                    <w:left w:w="60" w:type="dxa"/>
                  </w:tcMar>
                </w:tcPr>
                <w:p>
                  <w:pPr>
                    <w:pStyle w:val="Standard"/>
                    <w:rPr>
                      <w:rFonts w:ascii="Arial" w:hAnsi="Arial" w:cs="Arial"/>
                    </w:rPr>
                  </w:pPr>
                  <w:r>
                    <w:rPr>
                      <w:rFonts w:cs="Arial" w:ascii="Arial" w:hAnsi="Arial"/>
                    </w:rPr>
                    <w:t>PREFA Sučany SK a.s.</w:t>
                  </w:r>
                </w:p>
              </w:tc>
              <w:tc>
                <w:tcPr>
                  <w:tcW w:w="1560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insideH w:val="single" w:sz="4" w:space="0" w:color="000001"/>
                  </w:tcBorders>
                  <w:shd w:fill="auto" w:val="clear"/>
                  <w:tcMar>
                    <w:left w:w="60" w:type="dxa"/>
                  </w:tcMar>
                </w:tcPr>
                <w:p>
                  <w:pPr>
                    <w:pStyle w:val="Standard"/>
                    <w:rPr>
                      <w:rFonts w:ascii="Arial" w:hAnsi="Arial" w:cs="Arial"/>
                    </w:rPr>
                  </w:pPr>
                  <w:r>
                    <w:rPr>
                      <w:rFonts w:cs="Arial" w:ascii="Arial" w:hAnsi="Arial"/>
                    </w:rPr>
                    <w:t>68</w:t>
                  </w:r>
                </w:p>
              </w:tc>
              <w:tc>
                <w:tcPr>
                  <w:tcW w:w="2268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insideH w:val="single" w:sz="4" w:space="0" w:color="000001"/>
                  </w:tcBorders>
                  <w:shd w:fill="auto" w:val="clear"/>
                  <w:tcMar>
                    <w:left w:w="60" w:type="dxa"/>
                  </w:tcMar>
                </w:tcPr>
                <w:p>
                  <w:pPr>
                    <w:pStyle w:val="Standard"/>
                    <w:jc w:val="right"/>
                    <w:rPr>
                      <w:rFonts w:ascii="Arial" w:hAnsi="Arial" w:cs="Arial"/>
                    </w:rPr>
                  </w:pPr>
                  <w:r>
                    <w:rPr>
                      <w:rFonts w:cs="Arial" w:ascii="Arial" w:hAnsi="Arial"/>
                    </w:rPr>
                    <w:t>854,10</w:t>
                  </w:r>
                </w:p>
              </w:tc>
              <w:tc>
                <w:tcPr>
                  <w:tcW w:w="317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  <w:insideH w:val="single" w:sz="4" w:space="0" w:color="000001"/>
                    <w:insideV w:val="single" w:sz="4" w:space="0" w:color="000001"/>
                  </w:tcBorders>
                  <w:shd w:fill="auto" w:val="clear"/>
                  <w:tcMar>
                    <w:left w:w="60" w:type="dxa"/>
                  </w:tcMar>
                </w:tcPr>
                <w:p>
                  <w:pPr>
                    <w:pStyle w:val="Standard"/>
                    <w:rPr/>
                  </w:pPr>
                  <w:r>
                    <w:rPr>
                      <w:rFonts w:eastAsia="Arial" w:cs="Arial" w:ascii="Arial" w:hAnsi="Arial"/>
                    </w:rPr>
                    <w:t xml:space="preserve"> </w:t>
                  </w:r>
                  <w:r>
                    <w:rPr>
                      <w:rFonts w:eastAsia="Arial" w:cs="Arial" w:ascii="Arial" w:hAnsi="Arial"/>
                    </w:rPr>
                    <w:t>Za komunálny odpad</w:t>
                  </w:r>
                </w:p>
              </w:tc>
            </w:tr>
            <w:tr>
              <w:trPr/>
              <w:tc>
                <w:tcPr>
                  <w:tcW w:w="2693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insideH w:val="single" w:sz="4" w:space="0" w:color="000001"/>
                  </w:tcBorders>
                  <w:shd w:fill="auto" w:val="clear"/>
                  <w:tcMar>
                    <w:left w:w="60" w:type="dxa"/>
                  </w:tcMar>
                </w:tcPr>
                <w:p>
                  <w:pPr>
                    <w:pStyle w:val="Standard"/>
                    <w:rPr>
                      <w:rFonts w:ascii="Arial" w:hAnsi="Arial" w:cs="Arial"/>
                    </w:rPr>
                  </w:pPr>
                  <w:r>
                    <w:rPr>
                      <w:rFonts w:cs="Arial" w:ascii="Arial" w:hAnsi="Arial"/>
                    </w:rPr>
                    <w:t>PREFA   Sučany s.r.o</w:t>
                  </w:r>
                </w:p>
              </w:tc>
              <w:tc>
                <w:tcPr>
                  <w:tcW w:w="1560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insideH w:val="single" w:sz="4" w:space="0" w:color="000001"/>
                  </w:tcBorders>
                  <w:shd w:fill="auto" w:val="clear"/>
                  <w:tcMar>
                    <w:left w:w="60" w:type="dxa"/>
                  </w:tcMar>
                </w:tcPr>
                <w:p>
                  <w:pPr>
                    <w:pStyle w:val="Standard"/>
                    <w:rPr>
                      <w:rFonts w:ascii="Arial" w:hAnsi="Arial" w:cs="Arial"/>
                    </w:rPr>
                  </w:pPr>
                  <w:r>
                    <w:rPr>
                      <w:rFonts w:cs="Arial" w:ascii="Arial" w:hAnsi="Arial"/>
                    </w:rPr>
                    <w:t>69</w:t>
                  </w:r>
                </w:p>
              </w:tc>
              <w:tc>
                <w:tcPr>
                  <w:tcW w:w="2268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insideH w:val="single" w:sz="4" w:space="0" w:color="000001"/>
                  </w:tcBorders>
                  <w:shd w:fill="auto" w:val="clear"/>
                  <w:tcMar>
                    <w:left w:w="60" w:type="dxa"/>
                  </w:tcMar>
                </w:tcPr>
                <w:p>
                  <w:pPr>
                    <w:pStyle w:val="Standard"/>
                    <w:jc w:val="right"/>
                    <w:rPr>
                      <w:rFonts w:ascii="Arial" w:hAnsi="Arial" w:cs="Arial"/>
                    </w:rPr>
                  </w:pPr>
                  <w:r>
                    <w:rPr>
                      <w:rFonts w:cs="Arial" w:ascii="Arial" w:hAnsi="Arial"/>
                    </w:rPr>
                    <w:t>6050,83</w:t>
                  </w:r>
                </w:p>
              </w:tc>
              <w:tc>
                <w:tcPr>
                  <w:tcW w:w="317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  <w:insideH w:val="single" w:sz="4" w:space="0" w:color="000001"/>
                    <w:insideV w:val="single" w:sz="4" w:space="0" w:color="000001"/>
                  </w:tcBorders>
                  <w:shd w:fill="auto" w:val="clear"/>
                  <w:tcMar>
                    <w:left w:w="60" w:type="dxa"/>
                  </w:tcMar>
                </w:tcPr>
                <w:p>
                  <w:pPr>
                    <w:pStyle w:val="Standard"/>
                    <w:rPr/>
                  </w:pPr>
                  <w:r>
                    <w:rPr>
                      <w:rFonts w:eastAsia="Arial" w:cs="Arial" w:ascii="Arial" w:hAnsi="Arial"/>
                    </w:rPr>
                    <w:t xml:space="preserve"> </w:t>
                  </w:r>
                  <w:r>
                    <w:rPr>
                      <w:rFonts w:cs="Arial" w:ascii="Arial" w:hAnsi="Arial"/>
                    </w:rPr>
                    <w:t>za komunálny odpad</w:t>
                  </w:r>
                </w:p>
              </w:tc>
            </w:tr>
            <w:tr>
              <w:trPr/>
              <w:tc>
                <w:tcPr>
                  <w:tcW w:w="2693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insideH w:val="single" w:sz="4" w:space="0" w:color="000001"/>
                  </w:tcBorders>
                  <w:shd w:fill="auto" w:val="clear"/>
                  <w:tcMar>
                    <w:left w:w="60" w:type="dxa"/>
                  </w:tcMar>
                </w:tcPr>
                <w:p>
                  <w:pPr>
                    <w:pStyle w:val="Standard"/>
                    <w:rPr>
                      <w:rFonts w:ascii="Arial" w:hAnsi="Arial" w:cs="Arial"/>
                    </w:rPr>
                  </w:pPr>
                  <w:r>
                    <w:rPr>
                      <w:rFonts w:cs="Arial" w:ascii="Arial" w:hAnsi="Arial"/>
                    </w:rPr>
                    <w:t>PREFA Sučany a.s. v konkurze</w:t>
                  </w:r>
                </w:p>
              </w:tc>
              <w:tc>
                <w:tcPr>
                  <w:tcW w:w="1560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insideH w:val="single" w:sz="4" w:space="0" w:color="000001"/>
                  </w:tcBorders>
                  <w:shd w:fill="auto" w:val="clear"/>
                  <w:tcMar>
                    <w:left w:w="60" w:type="dxa"/>
                  </w:tcMar>
                </w:tcPr>
                <w:p>
                  <w:pPr>
                    <w:pStyle w:val="Standard"/>
                    <w:rPr>
                      <w:rFonts w:ascii="Arial" w:hAnsi="Arial" w:cs="Arial"/>
                    </w:rPr>
                  </w:pPr>
                  <w:r>
                    <w:rPr>
                      <w:rFonts w:cs="Arial" w:ascii="Arial" w:hAnsi="Arial"/>
                    </w:rPr>
                    <w:t>68</w:t>
                  </w:r>
                </w:p>
              </w:tc>
              <w:tc>
                <w:tcPr>
                  <w:tcW w:w="2268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insideH w:val="single" w:sz="4" w:space="0" w:color="000001"/>
                  </w:tcBorders>
                  <w:shd w:fill="auto" w:val="clear"/>
                  <w:tcMar>
                    <w:left w:w="60" w:type="dxa"/>
                  </w:tcMar>
                </w:tcPr>
                <w:p>
                  <w:pPr>
                    <w:pStyle w:val="Standard"/>
                    <w:jc w:val="right"/>
                    <w:rPr/>
                  </w:pPr>
                  <w:r>
                    <w:rPr>
                      <w:rFonts w:eastAsia="Arial" w:cs="Arial" w:ascii="Arial" w:hAnsi="Arial"/>
                    </w:rPr>
                    <w:t>18 371,86</w:t>
                  </w:r>
                </w:p>
              </w:tc>
              <w:tc>
                <w:tcPr>
                  <w:tcW w:w="317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  <w:insideH w:val="single" w:sz="4" w:space="0" w:color="000001"/>
                    <w:insideV w:val="single" w:sz="4" w:space="0" w:color="000001"/>
                  </w:tcBorders>
                  <w:shd w:fill="auto" w:val="clear"/>
                  <w:tcMar>
                    <w:left w:w="60" w:type="dxa"/>
                  </w:tcMar>
                </w:tcPr>
                <w:p>
                  <w:pPr>
                    <w:pStyle w:val="Standard"/>
                    <w:rPr/>
                  </w:pPr>
                  <w:r>
                    <w:rPr>
                      <w:rFonts w:eastAsia="Arial" w:cs="Arial" w:ascii="Arial" w:hAnsi="Arial"/>
                    </w:rPr>
                    <w:t xml:space="preserve"> </w:t>
                  </w:r>
                  <w:r>
                    <w:rPr>
                      <w:rFonts w:cs="Arial" w:ascii="Arial" w:hAnsi="Arial"/>
                    </w:rPr>
                    <w:t>za daň z nehnuteľnosti</w:t>
                  </w:r>
                </w:p>
              </w:tc>
            </w:tr>
            <w:tr>
              <w:trPr/>
              <w:tc>
                <w:tcPr>
                  <w:tcW w:w="2693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insideH w:val="single" w:sz="4" w:space="0" w:color="000001"/>
                  </w:tcBorders>
                  <w:shd w:fill="auto" w:val="clear"/>
                  <w:tcMar>
                    <w:left w:w="60" w:type="dxa"/>
                  </w:tcMar>
                </w:tcPr>
                <w:p>
                  <w:pPr>
                    <w:pStyle w:val="Standard"/>
                    <w:rPr>
                      <w:rFonts w:ascii="Arial" w:hAnsi="Arial" w:cs="Arial"/>
                    </w:rPr>
                  </w:pPr>
                  <w:r>
                    <w:rPr>
                      <w:rFonts w:cs="Arial" w:ascii="Arial" w:hAnsi="Arial"/>
                    </w:rPr>
                    <w:t>PREFA Sučany a.s. v konkurze</w:t>
                  </w:r>
                </w:p>
              </w:tc>
              <w:tc>
                <w:tcPr>
                  <w:tcW w:w="1560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insideH w:val="single" w:sz="4" w:space="0" w:color="000001"/>
                  </w:tcBorders>
                  <w:shd w:fill="auto" w:val="clear"/>
                  <w:tcMar>
                    <w:left w:w="60" w:type="dxa"/>
                  </w:tcMar>
                </w:tcPr>
                <w:p>
                  <w:pPr>
                    <w:pStyle w:val="Standard"/>
                    <w:rPr>
                      <w:rFonts w:ascii="Arial" w:hAnsi="Arial" w:cs="Arial"/>
                    </w:rPr>
                  </w:pPr>
                  <w:r>
                    <w:rPr>
                      <w:rFonts w:cs="Arial" w:ascii="Arial" w:hAnsi="Arial"/>
                    </w:rPr>
                    <w:t>69</w:t>
                  </w:r>
                </w:p>
              </w:tc>
              <w:tc>
                <w:tcPr>
                  <w:tcW w:w="2268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insideH w:val="single" w:sz="4" w:space="0" w:color="000001"/>
                  </w:tcBorders>
                  <w:shd w:fill="auto" w:val="clear"/>
                  <w:tcMar>
                    <w:left w:w="60" w:type="dxa"/>
                  </w:tcMar>
                </w:tcPr>
                <w:p>
                  <w:pPr>
                    <w:pStyle w:val="Standard"/>
                    <w:jc w:val="right"/>
                    <w:rPr>
                      <w:rFonts w:ascii="Arial" w:hAnsi="Arial" w:cs="Arial"/>
                    </w:rPr>
                  </w:pPr>
                  <w:r>
                    <w:rPr>
                      <w:rFonts w:cs="Arial" w:ascii="Arial" w:hAnsi="Arial"/>
                    </w:rPr>
                    <w:t>740,-</w:t>
                  </w:r>
                </w:p>
              </w:tc>
              <w:tc>
                <w:tcPr>
                  <w:tcW w:w="317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  <w:insideH w:val="single" w:sz="4" w:space="0" w:color="000001"/>
                    <w:insideV w:val="single" w:sz="4" w:space="0" w:color="000001"/>
                  </w:tcBorders>
                  <w:shd w:fill="auto" w:val="clear"/>
                  <w:tcMar>
                    <w:left w:w="60" w:type="dxa"/>
                  </w:tcMar>
                </w:tcPr>
                <w:p>
                  <w:pPr>
                    <w:pStyle w:val="Standard"/>
                    <w:rPr/>
                  </w:pPr>
                  <w:r>
                    <w:rPr>
                      <w:rFonts w:eastAsia="Arial" w:cs="Arial" w:ascii="Arial" w:hAnsi="Arial"/>
                    </w:rPr>
                    <w:t xml:space="preserve"> </w:t>
                  </w:r>
                  <w:r>
                    <w:rPr>
                      <w:rFonts w:cs="Arial" w:ascii="Arial" w:hAnsi="Arial"/>
                    </w:rPr>
                    <w:t>za komunálny odpad</w:t>
                  </w:r>
                </w:p>
              </w:tc>
            </w:tr>
            <w:tr>
              <w:trPr/>
              <w:tc>
                <w:tcPr>
                  <w:tcW w:w="2693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insideH w:val="single" w:sz="4" w:space="0" w:color="000001"/>
                  </w:tcBorders>
                  <w:shd w:fill="auto" w:val="clear"/>
                  <w:tcMar>
                    <w:left w:w="60" w:type="dxa"/>
                  </w:tcMar>
                </w:tcPr>
                <w:p>
                  <w:pPr>
                    <w:pStyle w:val="Standard"/>
                    <w:rPr>
                      <w:rFonts w:ascii="Arial" w:hAnsi="Arial" w:cs="Arial"/>
                      <w:b/>
                      <w:b/>
                    </w:rPr>
                  </w:pPr>
                  <w:r>
                    <w:rPr>
                      <w:rFonts w:cs="Arial" w:ascii="Arial" w:hAnsi="Arial"/>
                      <w:b/>
                    </w:rPr>
                    <w:t>Spolu</w:t>
                  </w:r>
                </w:p>
              </w:tc>
              <w:tc>
                <w:tcPr>
                  <w:tcW w:w="1560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insideH w:val="single" w:sz="4" w:space="0" w:color="000001"/>
                  </w:tcBorders>
                  <w:shd w:fill="auto" w:val="clear"/>
                  <w:tcMar>
                    <w:left w:w="60" w:type="dxa"/>
                  </w:tcMar>
                </w:tcPr>
                <w:p>
                  <w:pPr>
                    <w:pStyle w:val="Standard"/>
                    <w:rPr>
                      <w:rFonts w:ascii="Arial" w:hAnsi="Arial" w:cs="Arial"/>
                      <w:b/>
                      <w:b/>
                    </w:rPr>
                  </w:pPr>
                  <w:r>
                    <w:rPr>
                      <w:rFonts w:cs="Arial" w:ascii="Arial" w:hAnsi="Arial"/>
                      <w:b/>
                    </w:rPr>
                  </w:r>
                </w:p>
              </w:tc>
              <w:tc>
                <w:tcPr>
                  <w:tcW w:w="2268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insideH w:val="single" w:sz="4" w:space="0" w:color="000001"/>
                  </w:tcBorders>
                  <w:shd w:fill="auto" w:val="clear"/>
                  <w:tcMar>
                    <w:left w:w="60" w:type="dxa"/>
                  </w:tcMar>
                </w:tcPr>
                <w:p>
                  <w:pPr>
                    <w:pStyle w:val="Standard"/>
                    <w:jc w:val="right"/>
                    <w:rPr/>
                  </w:pPr>
                  <w:r>
                    <w:rPr>
                      <w:rFonts w:cs="Arial" w:ascii="Arial" w:hAnsi="Arial"/>
                      <w:b/>
                    </w:rPr>
                    <w:t>65 022,23</w:t>
                  </w:r>
                </w:p>
              </w:tc>
              <w:tc>
                <w:tcPr>
                  <w:tcW w:w="317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  <w:insideH w:val="single" w:sz="4" w:space="0" w:color="000001"/>
                    <w:insideV w:val="single" w:sz="4" w:space="0" w:color="000001"/>
                  </w:tcBorders>
                  <w:shd w:fill="auto" w:val="clear"/>
                  <w:tcMar>
                    <w:left w:w="60" w:type="dxa"/>
                  </w:tcMar>
                </w:tcPr>
                <w:p>
                  <w:pPr>
                    <w:pStyle w:val="Standard"/>
                    <w:rPr>
                      <w:rFonts w:ascii="Arial" w:hAnsi="Arial" w:cs="Arial"/>
                      <w:b/>
                      <w:b/>
                    </w:rPr>
                  </w:pPr>
                  <w:r>
                    <w:rPr>
                      <w:rFonts w:cs="Arial" w:ascii="Arial" w:hAnsi="Arial"/>
                      <w:b/>
                    </w:rPr>
                  </w:r>
                </w:p>
              </w:tc>
            </w:tr>
          </w:tbl>
          <w:p>
            <w:pPr>
              <w:pStyle w:val="Standard"/>
              <w:ind w:left="1440" w:hanging="0"/>
              <w:rPr>
                <w:rFonts w:ascii="Arial" w:hAnsi="Arial" w:cs="Arial"/>
                <w:b/>
                <w:b/>
                <w:bCs/>
                <w:lang w:eastAsia="cs-CZ"/>
              </w:rPr>
            </w:pPr>
            <w:r>
              <w:rPr>
                <w:rFonts w:cs="Arial" w:ascii="Arial" w:hAnsi="Arial"/>
                <w:b/>
                <w:bCs/>
                <w:lang w:eastAsia="cs-CZ"/>
              </w:rPr>
            </w:r>
          </w:p>
        </w:tc>
        <w:tc>
          <w:tcPr>
            <w:tcW w:w="510" w:type="dxa"/>
            <w:tcBorders/>
            <w:shd w:fill="auto" w:val="clear"/>
            <w:vAlign w:val="center"/>
          </w:tcPr>
          <w:p>
            <w:pPr>
              <w:pStyle w:val="Standard"/>
              <w:jc w:val="center"/>
              <w:rPr>
                <w:rFonts w:ascii="Arial" w:hAnsi="Arial" w:cs="Arial"/>
                <w:b/>
                <w:b/>
                <w:bCs/>
                <w:lang w:eastAsia="cs-CZ"/>
              </w:rPr>
            </w:pPr>
            <w:r>
              <w:rPr>
                <w:rFonts w:cs="Arial" w:ascii="Arial" w:hAnsi="Arial"/>
                <w:b/>
                <w:bCs/>
                <w:lang w:eastAsia="cs-CZ"/>
              </w:rPr>
            </w:r>
          </w:p>
        </w:tc>
      </w:tr>
    </w:tbl>
    <w:p>
      <w:pPr>
        <w:pStyle w:val="Standard"/>
        <w:spacing w:before="120" w:after="0"/>
        <w:jc w:val="both"/>
        <w:rPr/>
      </w:pPr>
      <w:r>
        <w:rPr>
          <w:rFonts w:cs="Arial" w:ascii="Arial" w:hAnsi="Arial"/>
        </w:rPr>
        <w:t>Konsolidovaný celok vykazuje krátkodobé pohľadávky v celkovej výške 162 891,77 €.</w:t>
      </w:r>
    </w:p>
    <w:p>
      <w:pPr>
        <w:pStyle w:val="Standard"/>
        <w:spacing w:before="120" w:after="0"/>
        <w:jc w:val="both"/>
        <w:rPr>
          <w:rFonts w:ascii="Arial" w:hAnsi="Arial" w:cs="Arial"/>
        </w:rPr>
      </w:pPr>
      <w:r>
        <w:rPr>
          <w:rFonts w:cs="Arial" w:ascii="Arial" w:hAnsi="Arial"/>
        </w:rPr>
        <w:t>Najväčší podiel na vykázaných krátkodobých pohľadávkach má materská účtovná jednotka – obec Sučany a to hlavne:</w:t>
      </w:r>
    </w:p>
    <w:p>
      <w:pPr>
        <w:pStyle w:val="Standard"/>
        <w:numPr>
          <w:ilvl w:val="0"/>
          <w:numId w:val="21"/>
        </w:numPr>
        <w:jc w:val="both"/>
        <w:rPr/>
      </w:pPr>
      <w:r>
        <w:rPr>
          <w:rFonts w:cs="Arial" w:ascii="Arial" w:hAnsi="Arial"/>
        </w:rPr>
        <w:t>pohľadávky z nedaňových príjmov obcí  63 266,00 € (prenájmy pozemkov, poplatok za vývoz komunálneho odpadu)</w:t>
      </w:r>
    </w:p>
    <w:p>
      <w:pPr>
        <w:pStyle w:val="Standard"/>
        <w:numPr>
          <w:ilvl w:val="0"/>
          <w:numId w:val="7"/>
        </w:numPr>
        <w:jc w:val="both"/>
        <w:rPr/>
      </w:pPr>
      <w:r>
        <w:rPr>
          <w:rFonts w:cs="Arial" w:ascii="Arial" w:hAnsi="Arial"/>
        </w:rPr>
        <w:t>pohľadávky z daňových príjmov obcí 80 408,67 € (najvyšší podiel na daňových pohľadávkach majú pohľadávky za daň z nehnuteľností)</w:t>
      </w:r>
    </w:p>
    <w:p>
      <w:pPr>
        <w:pStyle w:val="Standard"/>
        <w:spacing w:before="0" w:after="120"/>
        <w:jc w:val="both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</w:r>
    </w:p>
    <w:p>
      <w:pPr>
        <w:pStyle w:val="Standard"/>
        <w:spacing w:before="60" w:after="60"/>
        <w:jc w:val="both"/>
        <w:rPr/>
      </w:pPr>
      <w:r>
        <w:rPr>
          <w:rFonts w:cs="Arial" w:ascii="Arial" w:hAnsi="Arial"/>
          <w:b/>
          <w:color w:val="000000"/>
        </w:rPr>
        <w:t>b) vývoj opravnej položky k pohľadávkam</w:t>
      </w:r>
      <w:r>
        <w:rPr>
          <w:rFonts w:cs="Arial" w:ascii="Arial" w:hAnsi="Arial"/>
          <w:color w:val="000000"/>
        </w:rPr>
        <w:t xml:space="preserve"> </w:t>
      </w:r>
      <w:r>
        <w:rPr>
          <w:rFonts w:cs="Arial" w:ascii="Arial" w:hAnsi="Arial"/>
          <w:color w:val="0000FF"/>
        </w:rPr>
        <w:t>(tabuľka č. 8)</w:t>
      </w:r>
    </w:p>
    <w:p>
      <w:pPr>
        <w:pStyle w:val="Standard"/>
        <w:spacing w:before="60" w:after="60"/>
        <w:jc w:val="both"/>
        <w:rPr>
          <w:rFonts w:ascii="Arial" w:hAnsi="Arial" w:cs="Arial"/>
        </w:rPr>
      </w:pPr>
      <w:r>
        <w:rPr>
          <w:rFonts w:cs="Arial" w:ascii="Arial" w:hAnsi="Arial"/>
        </w:rPr>
        <w:t>K pochybným a nedobytným pohľadávkam, kde existuje riziko nevymožiteľnosti, bola vytvorená opravná položka.</w:t>
      </w:r>
    </w:p>
    <w:p>
      <w:pPr>
        <w:pStyle w:val="Standard"/>
        <w:spacing w:before="60" w:after="60"/>
        <w:jc w:val="both"/>
        <w:rPr>
          <w:rFonts w:ascii="Arial" w:hAnsi="Arial" w:cs="Arial"/>
          <w:color w:val="FF0000"/>
        </w:rPr>
      </w:pPr>
      <w:r>
        <w:rPr>
          <w:rFonts w:cs="Arial" w:ascii="Arial" w:hAnsi="Arial"/>
          <w:color w:val="FF0000"/>
        </w:rPr>
      </w:r>
    </w:p>
    <w:p>
      <w:pPr>
        <w:pStyle w:val="Pismenka"/>
        <w:ind w:left="0" w:hanging="0"/>
        <w:jc w:val="left"/>
        <w:rPr/>
      </w:pPr>
      <w:r>
        <w:rPr>
          <w:rFonts w:eastAsia="Arial" w:cs="Arial" w:ascii="Arial" w:hAnsi="Arial"/>
        </w:rPr>
        <w:t xml:space="preserve"> </w:t>
      </w:r>
      <w:r>
        <w:rPr>
          <w:rFonts w:cs="Arial" w:ascii="Arial" w:hAnsi="Arial"/>
        </w:rPr>
        <w:t>Opis dôvodov tvorby, zníženia a zrušenia opravných položiek k pohľadávkam</w:t>
      </w:r>
    </w:p>
    <w:tbl>
      <w:tblPr>
        <w:tblW w:w="9699" w:type="dxa"/>
        <w:jc w:val="left"/>
        <w:tblInd w:w="191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  <w:tblLook w:val="0000"/>
      </w:tblPr>
      <w:tblGrid>
        <w:gridCol w:w="3186"/>
        <w:gridCol w:w="2084"/>
        <w:gridCol w:w="4429"/>
      </w:tblGrid>
      <w:tr>
        <w:trPr/>
        <w:tc>
          <w:tcPr>
            <w:tcW w:w="31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Standard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Pohľadávka</w:t>
            </w:r>
          </w:p>
        </w:tc>
        <w:tc>
          <w:tcPr>
            <w:tcW w:w="20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Standard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Suma OP</w:t>
            </w:r>
          </w:p>
        </w:tc>
        <w:tc>
          <w:tcPr>
            <w:tcW w:w="44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Standard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Dôvod tvorby, zníženia a zrušenia OP</w:t>
            </w:r>
          </w:p>
        </w:tc>
      </w:tr>
      <w:tr>
        <w:trPr/>
        <w:tc>
          <w:tcPr>
            <w:tcW w:w="31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Standard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Opravná položka DzN</w:t>
            </w:r>
          </w:p>
        </w:tc>
        <w:tc>
          <w:tcPr>
            <w:tcW w:w="20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Standard"/>
              <w:jc w:val="right"/>
              <w:rPr/>
            </w:pPr>
            <w:r>
              <w:rPr>
                <w:rFonts w:cs="Arial" w:ascii="Arial" w:hAnsi="Arial"/>
              </w:rPr>
              <w:t>71 767,28</w:t>
            </w:r>
          </w:p>
        </w:tc>
        <w:tc>
          <w:tcPr>
            <w:tcW w:w="44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Standard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neuhradené pohľadávky viac ako 1 rok  /Prefa a.s./</w:t>
            </w:r>
          </w:p>
        </w:tc>
      </w:tr>
      <w:tr>
        <w:trPr/>
        <w:tc>
          <w:tcPr>
            <w:tcW w:w="31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Standard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Opravná položka - pes</w:t>
            </w:r>
          </w:p>
        </w:tc>
        <w:tc>
          <w:tcPr>
            <w:tcW w:w="20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Standard"/>
              <w:jc w:val="right"/>
              <w:rPr/>
            </w:pPr>
            <w:r>
              <w:rPr>
                <w:rFonts w:eastAsia="Arial" w:cs="Arial" w:ascii="Arial" w:hAnsi="Arial"/>
              </w:rPr>
              <w:t xml:space="preserve">      </w:t>
            </w:r>
            <w:r>
              <w:rPr>
                <w:rFonts w:eastAsia="Arial" w:cs="Arial" w:ascii="Arial" w:hAnsi="Arial"/>
              </w:rPr>
              <w:t>581,23</w:t>
            </w:r>
          </w:p>
        </w:tc>
        <w:tc>
          <w:tcPr>
            <w:tcW w:w="44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Standard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 xml:space="preserve">neuhradená pohľadávky viac ako 1 rok  </w:t>
            </w:r>
          </w:p>
        </w:tc>
      </w:tr>
      <w:tr>
        <w:trPr/>
        <w:tc>
          <w:tcPr>
            <w:tcW w:w="31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Standard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Opravná položka – odoslané faktúry</w:t>
            </w:r>
          </w:p>
        </w:tc>
        <w:tc>
          <w:tcPr>
            <w:tcW w:w="20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Standard"/>
              <w:jc w:val="right"/>
              <w:rPr/>
            </w:pPr>
            <w:r>
              <w:rPr>
                <w:rFonts w:cs="Arial" w:ascii="Arial" w:hAnsi="Arial"/>
              </w:rPr>
              <w:t>7 022,65</w:t>
            </w:r>
          </w:p>
        </w:tc>
        <w:tc>
          <w:tcPr>
            <w:tcW w:w="44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Standard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 xml:space="preserve">neuhradená pohľadávky viac ako 1 rok  </w:t>
            </w:r>
          </w:p>
        </w:tc>
      </w:tr>
      <w:tr>
        <w:trPr/>
        <w:tc>
          <w:tcPr>
            <w:tcW w:w="31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Standard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Opravná položka – komunál. odpad</w:t>
            </w:r>
          </w:p>
        </w:tc>
        <w:tc>
          <w:tcPr>
            <w:tcW w:w="20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Standard"/>
              <w:jc w:val="right"/>
              <w:rPr/>
            </w:pPr>
            <w:r>
              <w:rPr>
                <w:rFonts w:cs="Arial" w:ascii="Arial" w:hAnsi="Arial"/>
              </w:rPr>
              <w:t>36 165,02</w:t>
            </w:r>
          </w:p>
        </w:tc>
        <w:tc>
          <w:tcPr>
            <w:tcW w:w="44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Standard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neuhradené pohľadávky viac ako 1 rok  /PREFA/</w:t>
            </w:r>
          </w:p>
        </w:tc>
      </w:tr>
      <w:tr>
        <w:trPr/>
        <w:tc>
          <w:tcPr>
            <w:tcW w:w="31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Standard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Opravná položka-ostat. pohľadávky</w:t>
            </w:r>
          </w:p>
        </w:tc>
        <w:tc>
          <w:tcPr>
            <w:tcW w:w="20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Standard"/>
              <w:jc w:val="right"/>
              <w:rPr/>
            </w:pPr>
            <w:r>
              <w:rPr>
                <w:rFonts w:cs="Arial" w:ascii="Arial" w:hAnsi="Arial"/>
              </w:rPr>
              <w:t>1 843,19</w:t>
            </w:r>
          </w:p>
        </w:tc>
        <w:tc>
          <w:tcPr>
            <w:tcW w:w="44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Standard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</w:tr>
      <w:tr>
        <w:trPr/>
        <w:tc>
          <w:tcPr>
            <w:tcW w:w="31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Standard"/>
              <w:jc w:val="both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SPOLU opravné položky</w:t>
            </w:r>
          </w:p>
        </w:tc>
        <w:tc>
          <w:tcPr>
            <w:tcW w:w="20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Standard"/>
              <w:jc w:val="right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117 379,37</w:t>
            </w:r>
          </w:p>
        </w:tc>
        <w:tc>
          <w:tcPr>
            <w:tcW w:w="44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Standard"/>
              <w:jc w:val="both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</w:r>
          </w:p>
        </w:tc>
      </w:tr>
    </w:tbl>
    <w:p>
      <w:pPr>
        <w:pStyle w:val="Standard"/>
        <w:spacing w:before="120" w:after="120"/>
        <w:rPr>
          <w:rFonts w:ascii="Arial" w:hAnsi="Arial" w:cs="Arial"/>
          <w:b/>
          <w:b/>
          <w:color w:val="000000"/>
        </w:rPr>
      </w:pPr>
      <w:r>
        <w:rPr>
          <w:rFonts w:cs="Arial" w:ascii="Arial" w:hAnsi="Arial"/>
          <w:b/>
          <w:color w:val="000000"/>
        </w:rPr>
      </w:r>
    </w:p>
    <w:p>
      <w:pPr>
        <w:pStyle w:val="Standard"/>
        <w:spacing w:before="120" w:after="120"/>
        <w:rPr/>
      </w:pPr>
      <w:r>
        <w:rPr>
          <w:rFonts w:cs="Arial" w:ascii="Arial" w:hAnsi="Arial"/>
          <w:b/>
          <w:color w:val="000000"/>
        </w:rPr>
        <w:t>c) pohľadávky podľa doby splatnosti a podľa zostatkovej doby splatnosti</w:t>
      </w:r>
    </w:p>
    <w:p>
      <w:pPr>
        <w:pStyle w:val="Standard"/>
        <w:spacing w:before="120" w:after="120"/>
        <w:rPr/>
      </w:pPr>
      <w:r>
        <w:rPr>
          <w:rFonts w:eastAsia="Arial" w:cs="Arial" w:ascii="Arial" w:hAnsi="Arial"/>
          <w:color w:val="000000"/>
        </w:rPr>
        <w:t xml:space="preserve"> </w:t>
      </w:r>
      <w:r>
        <w:rPr>
          <w:rFonts w:cs="Arial" w:ascii="Arial" w:hAnsi="Arial"/>
        </w:rPr>
        <w:t xml:space="preserve">Prehľad pohľadávok z hľadiska ich vekovej štruktúry a z hľadiska splatnosti je uvedený v tabuľkovej prílohe  konsolidovaných poznámok </w:t>
      </w:r>
      <w:r>
        <w:rPr>
          <w:rFonts w:cs="Arial" w:ascii="Arial" w:hAnsi="Arial"/>
          <w:color w:val="0000CC"/>
        </w:rPr>
        <w:t>(tabuľka č. 9)</w:t>
      </w:r>
    </w:p>
    <w:p>
      <w:pPr>
        <w:pStyle w:val="Pismenka"/>
        <w:ind w:left="0" w:hanging="0"/>
        <w:rPr/>
      </w:pPr>
      <w:r>
        <w:rPr>
          <w:rFonts w:cs="Arial" w:ascii="Arial" w:hAnsi="Arial"/>
          <w:b w:val="false"/>
        </w:rPr>
        <w:t>V pohľadávkach po lehote splatnosti sú najmä PREFA Sučany SK a.s. v sume 39 005,44 € /daň z nehnuteľnosti/, PREFA Sučany s.r.o v sume 6 050,83 € / poplatok za KO/, PREFA Sučany a.s v konkurze v sume 18 371,86 € / daň z nehnuteľnosti/, PREFA Sučany a.s v sume 740,- € /poplatok za KO/.</w:t>
      </w:r>
    </w:p>
    <w:p>
      <w:pPr>
        <w:pStyle w:val="Pismenka"/>
        <w:ind w:left="0" w:hanging="0"/>
        <w:rPr>
          <w:rFonts w:ascii="Arial" w:hAnsi="Arial" w:cs="Arial"/>
          <w:b w:val="false"/>
          <w:b w:val="false"/>
          <w:sz w:val="22"/>
          <w:szCs w:val="22"/>
        </w:rPr>
      </w:pPr>
      <w:r>
        <w:rPr>
          <w:rFonts w:cs="Arial" w:ascii="Arial" w:hAnsi="Arial"/>
          <w:b w:val="false"/>
          <w:sz w:val="22"/>
          <w:szCs w:val="22"/>
        </w:rPr>
      </w:r>
    </w:p>
    <w:p>
      <w:pPr>
        <w:pStyle w:val="Pismenka"/>
        <w:ind w:left="0" w:hanging="0"/>
        <w:rPr>
          <w:rFonts w:ascii="Arial" w:hAnsi="Arial" w:cs="Arial"/>
          <w:b w:val="false"/>
          <w:b w:val="false"/>
          <w:sz w:val="22"/>
          <w:szCs w:val="22"/>
        </w:rPr>
      </w:pPr>
      <w:r>
        <w:rPr>
          <w:rFonts w:cs="Arial" w:ascii="Arial" w:hAnsi="Arial"/>
          <w:b w:val="false"/>
          <w:sz w:val="22"/>
          <w:szCs w:val="22"/>
        </w:rPr>
      </w:r>
    </w:p>
    <w:tbl>
      <w:tblPr>
        <w:tblW w:w="9764" w:type="dxa"/>
        <w:jc w:val="left"/>
        <w:tblInd w:w="-46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60" w:type="dxa"/>
          <w:bottom w:w="0" w:type="dxa"/>
          <w:right w:w="70" w:type="dxa"/>
        </w:tblCellMar>
        <w:tblLook w:val="0000"/>
      </w:tblPr>
      <w:tblGrid>
        <w:gridCol w:w="6095"/>
        <w:gridCol w:w="1476"/>
        <w:gridCol w:w="2193"/>
      </w:tblGrid>
      <w:tr>
        <w:trPr>
          <w:trHeight w:val="790" w:hRule="atLeast"/>
        </w:trPr>
        <w:tc>
          <w:tcPr>
            <w:tcW w:w="60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Pohľadávky podľa doby splatnosti brutto</w:t>
            </w:r>
          </w:p>
        </w:tc>
        <w:tc>
          <w:tcPr>
            <w:tcW w:w="14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jc w:val="center"/>
              <w:rPr>
                <w:rFonts w:ascii="Arial" w:hAnsi="Arial" w:cs="Arial"/>
                <w:b/>
                <w:b/>
                <w:lang w:eastAsia="cs-CZ"/>
              </w:rPr>
            </w:pPr>
            <w:r>
              <w:rPr>
                <w:rFonts w:cs="Arial" w:ascii="Arial" w:hAnsi="Arial"/>
                <w:b/>
                <w:lang w:eastAsia="cs-CZ"/>
              </w:rPr>
              <w:t>Zostatok k 31.12. bežného účtovného obdobia</w:t>
            </w:r>
          </w:p>
        </w:tc>
        <w:tc>
          <w:tcPr>
            <w:tcW w:w="21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jc w:val="center"/>
              <w:rPr>
                <w:rFonts w:ascii="Arial" w:hAnsi="Arial" w:cs="Arial"/>
                <w:b/>
                <w:b/>
                <w:lang w:eastAsia="cs-CZ"/>
              </w:rPr>
            </w:pPr>
            <w:r>
              <w:rPr>
                <w:rFonts w:cs="Arial" w:ascii="Arial" w:hAnsi="Arial"/>
                <w:b/>
                <w:lang w:eastAsia="cs-CZ"/>
              </w:rPr>
              <w:t>Zostatok ku 31.12. bezprostredne predchádzajúceho účtovného obdobia</w:t>
            </w:r>
          </w:p>
        </w:tc>
      </w:tr>
      <w:tr>
        <w:trPr>
          <w:trHeight w:val="165" w:hRule="atLeast"/>
        </w:trPr>
        <w:tc>
          <w:tcPr>
            <w:tcW w:w="60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a</w:t>
            </w:r>
          </w:p>
        </w:tc>
        <w:tc>
          <w:tcPr>
            <w:tcW w:w="14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</w:t>
            </w:r>
          </w:p>
        </w:tc>
        <w:tc>
          <w:tcPr>
            <w:tcW w:w="21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</w:t>
            </w:r>
          </w:p>
        </w:tc>
      </w:tr>
      <w:tr>
        <w:trPr>
          <w:trHeight w:val="525" w:hRule="atLeast"/>
        </w:trPr>
        <w:tc>
          <w:tcPr>
            <w:tcW w:w="60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Pohľadávky v lehote splatnosti</w:t>
              <w:br/>
              <w:t>z toho:</w:t>
            </w:r>
          </w:p>
        </w:tc>
        <w:tc>
          <w:tcPr>
            <w:tcW w:w="14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jc w:val="right"/>
              <w:rPr>
                <w:rFonts w:ascii="Arial" w:hAnsi="Arial" w:cs="Arial"/>
                <w:bCs/>
                <w:color w:val="FF0000"/>
              </w:rPr>
            </w:pPr>
            <w:r>
              <w:rPr>
                <w:rFonts w:cs="Arial" w:ascii="Arial" w:hAnsi="Arial"/>
                <w:bCs/>
                <w:color w:val="000000"/>
              </w:rPr>
              <w:t>19 217,10</w:t>
            </w:r>
          </w:p>
        </w:tc>
        <w:tc>
          <w:tcPr>
            <w:tcW w:w="21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jc w:val="right"/>
              <w:rPr>
                <w:rFonts w:ascii="Arial" w:hAnsi="Arial" w:cs="Arial"/>
                <w:b/>
                <w:b/>
                <w:bCs/>
              </w:rPr>
            </w:pPr>
            <w:r>
              <w:rPr>
                <w:rFonts w:cs="Arial" w:ascii="Arial" w:hAnsi="Arial"/>
                <w:b/>
                <w:bCs/>
              </w:rPr>
              <w:t>0,00</w:t>
            </w:r>
          </w:p>
        </w:tc>
      </w:tr>
      <w:tr>
        <w:trPr>
          <w:trHeight w:val="525" w:hRule="atLeast"/>
        </w:trPr>
        <w:tc>
          <w:tcPr>
            <w:tcW w:w="60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Pohľadávky so zostatkovou dobou splatnosti do jedného roka vrátane</w:t>
            </w:r>
          </w:p>
        </w:tc>
        <w:tc>
          <w:tcPr>
            <w:tcW w:w="14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color w:val="000000"/>
              </w:rPr>
              <w:t>0,00</w:t>
            </w:r>
          </w:p>
        </w:tc>
        <w:tc>
          <w:tcPr>
            <w:tcW w:w="21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0,00</w:t>
            </w:r>
          </w:p>
        </w:tc>
      </w:tr>
      <w:tr>
        <w:trPr>
          <w:trHeight w:val="371" w:hRule="atLeast"/>
        </w:trPr>
        <w:tc>
          <w:tcPr>
            <w:tcW w:w="60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Pohľadávky po lehote splatnosti</w:t>
            </w:r>
          </w:p>
        </w:tc>
        <w:tc>
          <w:tcPr>
            <w:tcW w:w="14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jc w:val="right"/>
              <w:rPr>
                <w:color w:val="FF0000"/>
              </w:rPr>
            </w:pPr>
            <w:r>
              <w:rPr>
                <w:rFonts w:cs="Arial" w:ascii="Arial" w:hAnsi="Arial"/>
                <w:color w:val="000000"/>
              </w:rPr>
              <w:t>143 674,67</w:t>
            </w:r>
          </w:p>
        </w:tc>
        <w:tc>
          <w:tcPr>
            <w:tcW w:w="21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jc w:val="right"/>
              <w:rPr/>
            </w:pPr>
            <w:r>
              <w:rPr>
                <w:rFonts w:cs="Arial" w:ascii="Arial" w:hAnsi="Arial"/>
              </w:rPr>
              <w:t>178 451,40</w:t>
            </w:r>
          </w:p>
        </w:tc>
      </w:tr>
      <w:tr>
        <w:trPr>
          <w:trHeight w:val="308" w:hRule="atLeast"/>
        </w:trPr>
        <w:tc>
          <w:tcPr>
            <w:tcW w:w="60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rPr>
                <w:rFonts w:ascii="Arial" w:hAnsi="Arial" w:cs="Arial"/>
                <w:b/>
                <w:b/>
                <w:bCs/>
              </w:rPr>
            </w:pPr>
            <w:r>
              <w:rPr>
                <w:rFonts w:cs="Arial" w:ascii="Arial" w:hAnsi="Arial"/>
                <w:b/>
                <w:bCs/>
              </w:rPr>
              <w:t>Spolu</w:t>
            </w:r>
          </w:p>
        </w:tc>
        <w:tc>
          <w:tcPr>
            <w:tcW w:w="14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jc w:val="right"/>
              <w:rPr/>
            </w:pPr>
            <w:r>
              <w:rPr>
                <w:rFonts w:cs="Arial" w:ascii="Arial" w:hAnsi="Arial"/>
                <w:b/>
                <w:bCs/>
              </w:rPr>
              <w:t>162 891,77</w:t>
            </w:r>
          </w:p>
        </w:tc>
        <w:tc>
          <w:tcPr>
            <w:tcW w:w="21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jc w:val="right"/>
              <w:rPr/>
            </w:pPr>
            <w:r>
              <w:rPr>
                <w:rFonts w:cs="Arial" w:ascii="Arial" w:hAnsi="Arial"/>
                <w:b/>
                <w:bCs/>
              </w:rPr>
              <w:t>178 451,40</w:t>
            </w:r>
          </w:p>
        </w:tc>
      </w:tr>
    </w:tbl>
    <w:p>
      <w:pPr>
        <w:pStyle w:val="Standard"/>
        <w:spacing w:before="120" w:after="12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</w:r>
    </w:p>
    <w:p>
      <w:pPr>
        <w:pStyle w:val="Standard"/>
        <w:numPr>
          <w:ilvl w:val="0"/>
          <w:numId w:val="22"/>
        </w:numPr>
        <w:spacing w:before="120" w:after="12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  <w:t>Časové rozlíšenie aktív</w:t>
      </w:r>
    </w:p>
    <w:p>
      <w:pPr>
        <w:pStyle w:val="Standard"/>
        <w:spacing w:before="120" w:after="120"/>
        <w:ind w:left="3" w:hanging="0"/>
        <w:jc w:val="both"/>
        <w:rPr/>
      </w:pPr>
      <w:r>
        <w:rPr>
          <w:rFonts w:cs="Arial" w:ascii="Arial" w:hAnsi="Arial"/>
          <w:b/>
        </w:rPr>
        <w:t xml:space="preserve">a) Náklady budúcich období </w:t>
      </w:r>
      <w:r>
        <w:rPr>
          <w:rFonts w:cs="Arial" w:ascii="Arial" w:hAnsi="Arial"/>
          <w:color w:val="0000CC"/>
        </w:rPr>
        <w:t>(tabuľka č. 10)</w:t>
      </w:r>
    </w:p>
    <w:p>
      <w:pPr>
        <w:pStyle w:val="Standard"/>
        <w:ind w:left="142" w:hanging="142"/>
        <w:jc w:val="both"/>
        <w:rPr/>
      </w:pPr>
      <w:r>
        <w:rPr/>
        <w:t xml:space="preserve">                                                                                                       </w:t>
      </w:r>
    </w:p>
    <w:tbl>
      <w:tblPr>
        <w:tblW w:w="8315" w:type="dxa"/>
        <w:jc w:val="left"/>
        <w:tblInd w:w="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60" w:type="dxa"/>
          <w:bottom w:w="0" w:type="dxa"/>
          <w:right w:w="70" w:type="dxa"/>
        </w:tblCellMar>
        <w:tblLook w:val="0000"/>
      </w:tblPr>
      <w:tblGrid>
        <w:gridCol w:w="3839"/>
        <w:gridCol w:w="2127"/>
        <w:gridCol w:w="2349"/>
      </w:tblGrid>
      <w:tr>
        <w:trPr>
          <w:trHeight w:val="300" w:hRule="atLeast"/>
        </w:trPr>
        <w:tc>
          <w:tcPr>
            <w:tcW w:w="38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FFFFFF" w:val="clear"/>
            <w:tcMar>
              <w:left w:w="60" w:type="dxa"/>
            </w:tcMar>
            <w:vAlign w:val="center"/>
          </w:tcPr>
          <w:p>
            <w:pPr>
              <w:pStyle w:val="Standard"/>
              <w:rPr>
                <w:rFonts w:ascii="Arial" w:hAnsi="Arial" w:cs="Arial"/>
                <w:b/>
                <w:b/>
                <w:bCs/>
              </w:rPr>
            </w:pPr>
            <w:r>
              <w:rPr>
                <w:rFonts w:cs="Arial" w:ascii="Arial" w:hAnsi="Arial"/>
                <w:b/>
                <w:bCs/>
              </w:rPr>
              <w:t>Názov časového rozlíšenia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FFFFFF" w:val="clear"/>
            <w:tcMar>
              <w:left w:w="60" w:type="dxa"/>
            </w:tcMar>
            <w:vAlign w:val="center"/>
          </w:tcPr>
          <w:p>
            <w:pPr>
              <w:pStyle w:val="Standard"/>
              <w:jc w:val="center"/>
              <w:rPr/>
            </w:pPr>
            <w:r>
              <w:rPr>
                <w:rFonts w:eastAsia="Arial" w:cs="Arial" w:ascii="Arial" w:hAnsi="Arial"/>
                <w:b/>
                <w:bCs/>
              </w:rPr>
              <w:t xml:space="preserve"> </w:t>
            </w:r>
            <w:r>
              <w:rPr>
                <w:rFonts w:cs="Arial" w:ascii="Arial" w:hAnsi="Arial"/>
                <w:b/>
                <w:bCs/>
              </w:rPr>
              <w:t>k 31.12. 201</w:t>
            </w:r>
            <w:r>
              <w:rPr>
                <w:rFonts w:cs="Arial" w:ascii="Arial" w:hAnsi="Arial"/>
                <w:b/>
                <w:bCs/>
                <w:color w:val="FF0000"/>
              </w:rPr>
              <w:t>4</w:t>
            </w:r>
          </w:p>
        </w:tc>
        <w:tc>
          <w:tcPr>
            <w:tcW w:w="23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jc w:val="center"/>
              <w:rPr/>
            </w:pPr>
            <w:r>
              <w:rPr>
                <w:rFonts w:cs="Arial" w:ascii="Arial" w:hAnsi="Arial"/>
                <w:b/>
                <w:bCs/>
              </w:rPr>
              <w:t>K 31.12.2013</w:t>
            </w:r>
          </w:p>
        </w:tc>
      </w:tr>
      <w:tr>
        <w:trPr>
          <w:trHeight w:val="300" w:hRule="atLeast"/>
        </w:trPr>
        <w:tc>
          <w:tcPr>
            <w:tcW w:w="38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FFFFFF" w:val="clear"/>
            <w:tcMar>
              <w:left w:w="60" w:type="dxa"/>
            </w:tcMar>
            <w:vAlign w:val="bottom"/>
          </w:tcPr>
          <w:p>
            <w:pPr>
              <w:pStyle w:val="Standard"/>
              <w:rPr>
                <w:rFonts w:ascii="Arial" w:hAnsi="Arial" w:cs="Arial"/>
                <w:b/>
                <w:b/>
                <w:bCs/>
              </w:rPr>
            </w:pPr>
            <w:r>
              <w:rPr>
                <w:rFonts w:cs="Arial" w:ascii="Arial" w:hAnsi="Arial"/>
                <w:b/>
                <w:bCs/>
              </w:rPr>
              <w:t>Náklady budúcich období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FFFFFF" w:val="clear"/>
            <w:tcMar>
              <w:left w:w="60" w:type="dxa"/>
            </w:tcMar>
            <w:vAlign w:val="bottom"/>
          </w:tcPr>
          <w:p>
            <w:pPr>
              <w:pStyle w:val="Standard"/>
              <w:jc w:val="center"/>
              <w:rPr>
                <w:rFonts w:ascii="Arial" w:hAnsi="Arial" w:cs="Arial"/>
                <w:b/>
                <w:b/>
                <w:bCs/>
              </w:rPr>
            </w:pPr>
            <w:r>
              <w:rPr>
                <w:rFonts w:cs="Arial" w:ascii="Arial" w:hAnsi="Arial"/>
                <w:b/>
                <w:bCs/>
              </w:rPr>
            </w:r>
          </w:p>
        </w:tc>
        <w:tc>
          <w:tcPr>
            <w:tcW w:w="23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jc w:val="center"/>
              <w:rPr>
                <w:rFonts w:ascii="Arial" w:hAnsi="Arial" w:cs="Arial"/>
                <w:b/>
                <w:b/>
                <w:bCs/>
              </w:rPr>
            </w:pPr>
            <w:r>
              <w:rPr>
                <w:rFonts w:cs="Arial" w:ascii="Arial" w:hAnsi="Arial"/>
                <w:b/>
                <w:bCs/>
              </w:rPr>
            </w:r>
          </w:p>
        </w:tc>
      </w:tr>
      <w:tr>
        <w:trPr>
          <w:trHeight w:val="300" w:hRule="atLeast"/>
        </w:trPr>
        <w:tc>
          <w:tcPr>
            <w:tcW w:w="38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FFFFFF" w:val="clear"/>
            <w:tcMar>
              <w:left w:w="60" w:type="dxa"/>
            </w:tcMar>
            <w:vAlign w:val="bottom"/>
          </w:tcPr>
          <w:p>
            <w:pPr>
              <w:pStyle w:val="Standard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nájomné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FFFFFF" w:val="clear"/>
            <w:tcMar>
              <w:left w:w="60" w:type="dxa"/>
            </w:tcMar>
            <w:vAlign w:val="bottom"/>
          </w:tcPr>
          <w:p>
            <w:pPr>
              <w:pStyle w:val="Standard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23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>
          <w:trHeight w:val="331" w:hRule="atLeast"/>
        </w:trPr>
        <w:tc>
          <w:tcPr>
            <w:tcW w:w="38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FFFFFF" w:val="clear"/>
            <w:tcMar>
              <w:left w:w="60" w:type="dxa"/>
            </w:tcMar>
            <w:vAlign w:val="bottom"/>
          </w:tcPr>
          <w:p>
            <w:pPr>
              <w:pStyle w:val="Standard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nájomné reklamných plôch, vysielacieho času, inzertného priestoru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FFFFFF" w:val="clear"/>
            <w:tcMar>
              <w:left w:w="60" w:type="dxa"/>
            </w:tcMar>
            <w:vAlign w:val="bottom"/>
          </w:tcPr>
          <w:p>
            <w:pPr>
              <w:pStyle w:val="Standard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23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jc w:val="right"/>
              <w:rPr/>
            </w:pPr>
            <w:r>
              <w:rPr>
                <w:rFonts w:cs="Arial" w:ascii="Arial" w:hAnsi="Arial"/>
              </w:rPr>
              <w:t>0</w:t>
            </w:r>
          </w:p>
        </w:tc>
      </w:tr>
      <w:tr>
        <w:trPr>
          <w:trHeight w:val="300" w:hRule="atLeast"/>
        </w:trPr>
        <w:tc>
          <w:tcPr>
            <w:tcW w:w="38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FFFFFF" w:val="clear"/>
            <w:tcMar>
              <w:left w:w="60" w:type="dxa"/>
            </w:tcMar>
            <w:vAlign w:val="bottom"/>
          </w:tcPr>
          <w:p>
            <w:pPr>
              <w:pStyle w:val="Standard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predplatné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FFFFFF" w:val="clear"/>
            <w:tcMar>
              <w:left w:w="60" w:type="dxa"/>
            </w:tcMar>
            <w:vAlign w:val="bottom"/>
          </w:tcPr>
          <w:p>
            <w:pPr>
              <w:pStyle w:val="Standard"/>
              <w:jc w:val="right"/>
              <w:rPr/>
            </w:pPr>
            <w:r>
              <w:rPr>
                <w:rFonts w:cs="Arial" w:ascii="Arial" w:hAnsi="Arial"/>
              </w:rPr>
              <w:t>850,00</w:t>
            </w:r>
          </w:p>
        </w:tc>
        <w:tc>
          <w:tcPr>
            <w:tcW w:w="23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jc w:val="right"/>
              <w:rPr/>
            </w:pPr>
            <w:r>
              <w:rPr>
                <w:rFonts w:cs="Arial" w:ascii="Arial" w:hAnsi="Arial"/>
              </w:rPr>
              <w:t>620,00</w:t>
            </w:r>
          </w:p>
        </w:tc>
      </w:tr>
      <w:tr>
        <w:trPr>
          <w:trHeight w:val="300" w:hRule="atLeast"/>
        </w:trPr>
        <w:tc>
          <w:tcPr>
            <w:tcW w:w="38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FFFFFF" w:val="clear"/>
            <w:tcMar>
              <w:left w:w="60" w:type="dxa"/>
            </w:tcMar>
            <w:vAlign w:val="bottom"/>
          </w:tcPr>
          <w:p>
            <w:pPr>
              <w:pStyle w:val="Standard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poistné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FFFFFF" w:val="clear"/>
            <w:tcMar>
              <w:left w:w="60" w:type="dxa"/>
            </w:tcMar>
            <w:vAlign w:val="bottom"/>
          </w:tcPr>
          <w:p>
            <w:pPr>
              <w:pStyle w:val="Standard"/>
              <w:jc w:val="right"/>
              <w:rPr/>
            </w:pPr>
            <w:r>
              <w:rPr>
                <w:rFonts w:cs="Arial" w:ascii="Arial" w:hAnsi="Arial"/>
              </w:rPr>
              <w:t>5 181,16</w:t>
            </w:r>
          </w:p>
        </w:tc>
        <w:tc>
          <w:tcPr>
            <w:tcW w:w="23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jc w:val="right"/>
              <w:rPr/>
            </w:pPr>
            <w:r>
              <w:rPr>
                <w:rFonts w:cs="Arial" w:ascii="Arial" w:hAnsi="Arial"/>
              </w:rPr>
              <w:t>5 723,75</w:t>
            </w:r>
          </w:p>
        </w:tc>
      </w:tr>
      <w:tr>
        <w:trPr>
          <w:trHeight w:val="300" w:hRule="atLeast"/>
        </w:trPr>
        <w:tc>
          <w:tcPr>
            <w:tcW w:w="38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FFFFFF" w:val="clear"/>
            <w:tcMar>
              <w:left w:w="60" w:type="dxa"/>
            </w:tcMar>
          </w:tcPr>
          <w:p>
            <w:pPr>
              <w:pStyle w:val="Standard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ostatné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FFFFFF" w:val="clear"/>
            <w:tcMar>
              <w:left w:w="60" w:type="dxa"/>
            </w:tcMar>
            <w:vAlign w:val="bottom"/>
          </w:tcPr>
          <w:p>
            <w:pPr>
              <w:pStyle w:val="Standard"/>
              <w:jc w:val="right"/>
              <w:rPr/>
            </w:pPr>
            <w:r>
              <w:rPr>
                <w:rFonts w:cs="Arial" w:ascii="Arial" w:hAnsi="Arial"/>
              </w:rPr>
              <w:t>1 174,60</w:t>
            </w:r>
          </w:p>
        </w:tc>
        <w:tc>
          <w:tcPr>
            <w:tcW w:w="23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jc w:val="right"/>
              <w:rPr/>
            </w:pPr>
            <w:r>
              <w:rPr>
                <w:rFonts w:cs="Arial" w:ascii="Arial" w:hAnsi="Arial"/>
              </w:rPr>
              <w:t>780,97</w:t>
            </w:r>
          </w:p>
        </w:tc>
      </w:tr>
      <w:tr>
        <w:trPr>
          <w:trHeight w:val="300" w:hRule="atLeast"/>
        </w:trPr>
        <w:tc>
          <w:tcPr>
            <w:tcW w:w="38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FFFFFF" w:val="clear"/>
            <w:tcMar>
              <w:left w:w="60" w:type="dxa"/>
            </w:tcMar>
          </w:tcPr>
          <w:p>
            <w:pPr>
              <w:pStyle w:val="Standard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Spolu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FFFFFF" w:val="clear"/>
            <w:tcMar>
              <w:left w:w="60" w:type="dxa"/>
            </w:tcMar>
            <w:vAlign w:val="bottom"/>
          </w:tcPr>
          <w:p>
            <w:pPr>
              <w:pStyle w:val="Standard"/>
              <w:jc w:val="right"/>
              <w:rPr/>
            </w:pPr>
            <w:r>
              <w:rPr>
                <w:rFonts w:cs="Arial" w:ascii="Arial" w:hAnsi="Arial"/>
                <w:b/>
              </w:rPr>
              <w:t>7 205,76</w:t>
            </w:r>
          </w:p>
        </w:tc>
        <w:tc>
          <w:tcPr>
            <w:tcW w:w="23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jc w:val="right"/>
              <w:rPr/>
            </w:pPr>
            <w:r>
              <w:rPr>
                <w:rFonts w:cs="Arial" w:ascii="Arial" w:hAnsi="Arial"/>
                <w:b/>
              </w:rPr>
              <w:t>7 124,72</w:t>
            </w:r>
          </w:p>
        </w:tc>
      </w:tr>
    </w:tbl>
    <w:p>
      <w:pPr>
        <w:pStyle w:val="Standard"/>
        <w:ind w:left="3" w:hanging="0"/>
        <w:jc w:val="both"/>
        <w:rPr>
          <w:rFonts w:ascii="Arial" w:hAnsi="Arial" w:cs="Arial"/>
          <w:color w:val="0000CC"/>
        </w:rPr>
      </w:pPr>
      <w:r>
        <w:rPr>
          <w:rFonts w:cs="Arial" w:ascii="Arial" w:hAnsi="Arial"/>
          <w:color w:val="0000CC"/>
        </w:rPr>
      </w:r>
    </w:p>
    <w:p>
      <w:pPr>
        <w:pStyle w:val="Standard"/>
        <w:ind w:left="3" w:hanging="0"/>
        <w:jc w:val="both"/>
        <w:rPr>
          <w:rFonts w:ascii="Arial" w:hAnsi="Arial" w:cs="Arial"/>
          <w:b/>
          <w:b/>
          <w:color w:val="0000CC"/>
        </w:rPr>
      </w:pPr>
      <w:r>
        <w:rPr>
          <w:rFonts w:cs="Arial" w:ascii="Arial" w:hAnsi="Arial"/>
          <w:b/>
          <w:color w:val="0000CC"/>
        </w:rPr>
      </w:r>
    </w:p>
    <w:p>
      <w:pPr>
        <w:pStyle w:val="Standard"/>
        <w:numPr>
          <w:ilvl w:val="0"/>
          <w:numId w:val="23"/>
        </w:numPr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  <w:t>Vlastné imanie</w:t>
      </w:r>
    </w:p>
    <w:p>
      <w:pPr>
        <w:pStyle w:val="Standard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</w:r>
    </w:p>
    <w:p>
      <w:pPr>
        <w:pStyle w:val="Standard"/>
        <w:jc w:val="both"/>
        <w:rPr/>
      </w:pPr>
      <w:r>
        <w:rPr>
          <w:rFonts w:cs="Arial" w:ascii="Arial" w:hAnsi="Arial"/>
        </w:rPr>
        <w:t xml:space="preserve">Prehľad o pohybe vlastného imania konsolidovaného celku </w:t>
      </w:r>
      <w:r>
        <w:rPr>
          <w:rFonts w:cs="Arial" w:ascii="Arial" w:hAnsi="Arial"/>
          <w:i/>
        </w:rPr>
        <w:t xml:space="preserve">obce Sučany </w:t>
      </w:r>
      <w:r>
        <w:rPr>
          <w:rFonts w:cs="Arial" w:ascii="Arial" w:hAnsi="Arial"/>
        </w:rPr>
        <w:t>od 1. januára 201</w:t>
      </w:r>
      <w:r>
        <w:rPr>
          <w:rFonts w:cs="Arial" w:ascii="Arial" w:hAnsi="Arial"/>
          <w:color w:val="FF0000"/>
        </w:rPr>
        <w:t>4</w:t>
      </w:r>
      <w:r>
        <w:rPr>
          <w:rFonts w:cs="Arial" w:ascii="Arial" w:hAnsi="Arial"/>
        </w:rPr>
        <w:t xml:space="preserve"> do 31. decembra 201</w:t>
      </w:r>
      <w:r>
        <w:rPr>
          <w:rFonts w:cs="Arial" w:ascii="Arial" w:hAnsi="Arial"/>
          <w:color w:val="FF0000"/>
        </w:rPr>
        <w:t>4</w:t>
      </w:r>
      <w:r>
        <w:rPr>
          <w:rFonts w:cs="Arial" w:ascii="Arial" w:hAnsi="Arial"/>
        </w:rPr>
        <w:t xml:space="preserve"> je uvedený v tabuľkovej prílohe konsolidovaných poznámok – </w:t>
      </w:r>
      <w:r>
        <w:rPr>
          <w:rFonts w:cs="Arial" w:ascii="Arial" w:hAnsi="Arial"/>
          <w:color w:val="0000CC"/>
        </w:rPr>
        <w:t>tabuľka č. 12.</w:t>
      </w:r>
    </w:p>
    <w:p>
      <w:pPr>
        <w:pStyle w:val="Standard"/>
        <w:jc w:val="both"/>
        <w:rPr>
          <w:rFonts w:ascii="Arial" w:hAnsi="Arial" w:cs="Arial"/>
          <w:b/>
          <w:b/>
          <w:color w:val="0000CC"/>
          <w:sz w:val="22"/>
          <w:szCs w:val="22"/>
        </w:rPr>
      </w:pPr>
      <w:r>
        <w:rPr>
          <w:rFonts w:cs="Arial" w:ascii="Arial" w:hAnsi="Arial"/>
          <w:b/>
          <w:color w:val="0000CC"/>
          <w:sz w:val="22"/>
          <w:szCs w:val="22"/>
        </w:rPr>
      </w:r>
    </w:p>
    <w:tbl>
      <w:tblPr>
        <w:tblW w:w="10316" w:type="dxa"/>
        <w:jc w:val="left"/>
        <w:tblInd w:w="1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60" w:type="dxa"/>
          <w:bottom w:w="0" w:type="dxa"/>
          <w:right w:w="70" w:type="dxa"/>
        </w:tblCellMar>
        <w:tblLook w:val="0000"/>
      </w:tblPr>
      <w:tblGrid>
        <w:gridCol w:w="3760"/>
        <w:gridCol w:w="1358"/>
        <w:gridCol w:w="1180"/>
        <w:gridCol w:w="1229"/>
        <w:gridCol w:w="1427"/>
        <w:gridCol w:w="1361"/>
      </w:tblGrid>
      <w:tr>
        <w:trPr>
          <w:trHeight w:val="424" w:hRule="atLeast"/>
        </w:trPr>
        <w:tc>
          <w:tcPr>
            <w:tcW w:w="37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ind w:left="3" w:hanging="0"/>
              <w:jc w:val="both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 xml:space="preserve">Názov položky  </w:t>
            </w:r>
          </w:p>
        </w:tc>
        <w:tc>
          <w:tcPr>
            <w:tcW w:w="1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ind w:left="3" w:hanging="0"/>
              <w:jc w:val="center"/>
              <w:rPr/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k 31.12. 201</w:t>
            </w:r>
            <w:r>
              <w:rPr>
                <w:rFonts w:eastAsia="Arial" w:cs="Arial" w:ascii="Arial" w:hAnsi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1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ind w:left="3" w:hanging="0"/>
              <w:rPr/>
            </w:pPr>
            <w:r>
              <w:rPr>
                <w:rFonts w:eastAsia="Arial" w:cs="Arial" w:ascii="Arial" w:hAnsi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cs="Arial" w:ascii="Arial" w:hAnsi="Arial"/>
                <w:b/>
                <w:bCs/>
                <w:sz w:val="18"/>
                <w:szCs w:val="18"/>
              </w:rPr>
              <w:t>Zvýšenie</w:t>
            </w:r>
          </w:p>
        </w:tc>
        <w:tc>
          <w:tcPr>
            <w:tcW w:w="12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ind w:left="3" w:hanging="0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Zníženie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ind w:left="3" w:hanging="0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Presun</w:t>
            </w:r>
          </w:p>
        </w:tc>
        <w:tc>
          <w:tcPr>
            <w:tcW w:w="13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ind w:left="3" w:hanging="0"/>
              <w:jc w:val="center"/>
              <w:rPr>
                <w:rFonts w:ascii="Arial" w:hAnsi="Arial" w:cs="Arial"/>
                <w:b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k 3</w:t>
            </w:r>
            <w:r>
              <w:rPr>
                <w:rFonts w:cs="Arial" w:ascii="Arial" w:hAnsi="Arial"/>
                <w:b/>
                <w:bCs/>
                <w:color w:val="000000"/>
                <w:sz w:val="18"/>
                <w:szCs w:val="18"/>
              </w:rPr>
              <w:t>1.12. 201</w:t>
            </w:r>
            <w:r>
              <w:rPr>
                <w:rFonts w:cs="Arial" w:ascii="Arial" w:hAnsi="Arial"/>
                <w:b/>
                <w:bCs/>
                <w:color w:val="000000"/>
                <w:sz w:val="18"/>
                <w:szCs w:val="18"/>
              </w:rPr>
              <w:t>4</w:t>
            </w:r>
          </w:p>
        </w:tc>
      </w:tr>
      <w:tr>
        <w:trPr>
          <w:trHeight w:val="300" w:hRule="atLeast"/>
        </w:trPr>
        <w:tc>
          <w:tcPr>
            <w:tcW w:w="37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ind w:left="3" w:hanging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Oceňovacie rozdiely z precenenia majetku a záväzkov</w:t>
            </w:r>
          </w:p>
        </w:tc>
        <w:tc>
          <w:tcPr>
            <w:tcW w:w="1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ind w:left="3" w:hanging="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  <w:tc>
          <w:tcPr>
            <w:tcW w:w="11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ind w:left="3" w:hanging="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  <w:tc>
          <w:tcPr>
            <w:tcW w:w="12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ind w:left="3" w:hanging="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ind w:left="3" w:hanging="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3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ind w:left="3" w:hanging="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</w:tr>
      <w:tr>
        <w:trPr>
          <w:trHeight w:val="300" w:hRule="atLeast"/>
        </w:trPr>
        <w:tc>
          <w:tcPr>
            <w:tcW w:w="37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ind w:left="3" w:hanging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Oceňovacie rozdiely z kapitálových účastín</w:t>
            </w:r>
          </w:p>
        </w:tc>
        <w:tc>
          <w:tcPr>
            <w:tcW w:w="1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ind w:left="3" w:hanging="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  <w:tc>
          <w:tcPr>
            <w:tcW w:w="11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ind w:left="3" w:hanging="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  <w:tc>
          <w:tcPr>
            <w:tcW w:w="12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ind w:left="3" w:hanging="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ind w:left="3" w:hanging="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3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ind w:left="3" w:hanging="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</w:tr>
      <w:tr>
        <w:trPr>
          <w:trHeight w:val="300" w:hRule="atLeast"/>
        </w:trPr>
        <w:tc>
          <w:tcPr>
            <w:tcW w:w="37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ind w:left="3" w:hanging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Zákonný rezervný fond</w:t>
            </w:r>
          </w:p>
        </w:tc>
        <w:tc>
          <w:tcPr>
            <w:tcW w:w="1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ind w:left="3" w:hanging="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  <w:tc>
          <w:tcPr>
            <w:tcW w:w="11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ind w:left="3" w:hanging="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  <w:tc>
          <w:tcPr>
            <w:tcW w:w="12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ind w:left="3" w:hanging="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ind w:left="3" w:hanging="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3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ind w:left="3" w:hanging="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</w:tr>
      <w:tr>
        <w:trPr>
          <w:trHeight w:val="300" w:hRule="atLeast"/>
        </w:trPr>
        <w:tc>
          <w:tcPr>
            <w:tcW w:w="37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ind w:left="3" w:hanging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Ostatné fondy</w:t>
            </w:r>
          </w:p>
        </w:tc>
        <w:tc>
          <w:tcPr>
            <w:tcW w:w="1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ind w:left="3" w:hanging="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  <w:tc>
          <w:tcPr>
            <w:tcW w:w="11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ind w:left="3" w:hanging="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  <w:tc>
          <w:tcPr>
            <w:tcW w:w="12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ind w:left="3" w:hanging="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ind w:left="3" w:hanging="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13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ind w:left="3" w:hanging="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</w:tr>
      <w:tr>
        <w:trPr>
          <w:trHeight w:val="300" w:hRule="atLeast"/>
        </w:trPr>
        <w:tc>
          <w:tcPr>
            <w:tcW w:w="37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ind w:left="3" w:hanging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Nevysporiadaný výsledok hospodárenia minulých rokov</w:t>
            </w:r>
          </w:p>
        </w:tc>
        <w:tc>
          <w:tcPr>
            <w:tcW w:w="1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ind w:left="3" w:hanging="0"/>
              <w:jc w:val="both"/>
              <w:rPr/>
            </w:pPr>
            <w:r>
              <w:rPr>
                <w:rFonts w:cs="Arial" w:ascii="Arial" w:hAnsi="Arial"/>
              </w:rPr>
              <w:t>3 303 197,63</w:t>
            </w:r>
          </w:p>
        </w:tc>
        <w:tc>
          <w:tcPr>
            <w:tcW w:w="11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ind w:left="3" w:hanging="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3 254,34</w:t>
            </w:r>
          </w:p>
        </w:tc>
        <w:tc>
          <w:tcPr>
            <w:tcW w:w="12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ind w:left="3" w:hanging="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130 382,86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rPr/>
            </w:pPr>
            <w:r>
              <w:rPr>
                <w:rFonts w:cs="Arial" w:ascii="Arial" w:hAnsi="Arial"/>
              </w:rPr>
              <w:t>2 332 808,92</w:t>
            </w:r>
          </w:p>
        </w:tc>
        <w:tc>
          <w:tcPr>
            <w:tcW w:w="13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ind w:left="3" w:hanging="0"/>
              <w:jc w:val="both"/>
              <w:rPr/>
            </w:pPr>
            <w:r>
              <w:rPr>
                <w:rFonts w:cs="Arial" w:ascii="Arial" w:hAnsi="Arial"/>
              </w:rPr>
              <w:t>5 508 878,03</w:t>
            </w:r>
          </w:p>
        </w:tc>
      </w:tr>
      <w:tr>
        <w:trPr>
          <w:trHeight w:val="300" w:hRule="atLeast"/>
        </w:trPr>
        <w:tc>
          <w:tcPr>
            <w:tcW w:w="37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ind w:left="3" w:hanging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Výsledok hospodárenia za účtovné obdobie</w:t>
            </w:r>
          </w:p>
        </w:tc>
        <w:tc>
          <w:tcPr>
            <w:tcW w:w="1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ind w:left="3" w:hanging="0"/>
              <w:jc w:val="both"/>
              <w:rPr/>
            </w:pPr>
            <w:r>
              <w:rPr>
                <w:rFonts w:cs="Arial" w:ascii="Arial" w:hAnsi="Arial"/>
              </w:rPr>
              <w:t>2 334 603,56</w:t>
            </w:r>
          </w:p>
        </w:tc>
        <w:tc>
          <w:tcPr>
            <w:tcW w:w="11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ind w:left="3" w:hanging="0"/>
              <w:jc w:val="both"/>
              <w:rPr>
                <w:color w:val="FF0000"/>
              </w:rPr>
            </w:pPr>
            <w:r>
              <w:rPr>
                <w:rFonts w:cs="Arial" w:ascii="Arial" w:hAnsi="Arial"/>
                <w:color w:val="000000"/>
              </w:rPr>
              <w:t>162 513,83</w:t>
            </w:r>
          </w:p>
        </w:tc>
        <w:tc>
          <w:tcPr>
            <w:tcW w:w="12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ind w:left="3" w:hanging="0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ind w:left="3" w:hanging="0"/>
              <w:jc w:val="both"/>
              <w:rPr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-2 332 808,92</w:t>
            </w:r>
          </w:p>
        </w:tc>
        <w:tc>
          <w:tcPr>
            <w:tcW w:w="13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ind w:left="3" w:hanging="0"/>
              <w:jc w:val="both"/>
              <w:rPr>
                <w:color w:val="FF0000"/>
              </w:rPr>
            </w:pPr>
            <w:r>
              <w:rPr>
                <w:rFonts w:cs="Arial" w:ascii="Arial" w:hAnsi="Arial"/>
                <w:color w:val="000000"/>
              </w:rPr>
              <w:t>162 513,83</w:t>
            </w:r>
          </w:p>
        </w:tc>
      </w:tr>
      <w:tr>
        <w:trPr>
          <w:trHeight w:val="300" w:hRule="atLeast"/>
        </w:trPr>
        <w:tc>
          <w:tcPr>
            <w:tcW w:w="37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ind w:left="3" w:hanging="0"/>
              <w:rPr>
                <w:rFonts w:ascii="Arial" w:hAnsi="Arial" w:cs="Arial"/>
                <w:b/>
                <w:b/>
                <w:sz w:val="18"/>
                <w:szCs w:val="18"/>
              </w:rPr>
            </w:pPr>
            <w:r>
              <w:rPr>
                <w:rFonts w:cs="Arial" w:ascii="Arial" w:hAnsi="Arial"/>
                <w:b/>
                <w:sz w:val="18"/>
                <w:szCs w:val="18"/>
              </w:rPr>
              <w:t>Spolu vlastné imanie</w:t>
            </w:r>
          </w:p>
        </w:tc>
        <w:tc>
          <w:tcPr>
            <w:tcW w:w="1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ind w:left="3" w:hanging="0"/>
              <w:jc w:val="both"/>
              <w:rPr/>
            </w:pPr>
            <w:r>
              <w:rPr>
                <w:rFonts w:cs="Arial" w:ascii="Arial" w:hAnsi="Arial"/>
                <w:b/>
              </w:rPr>
              <w:t>5 637 801,19</w:t>
            </w:r>
          </w:p>
        </w:tc>
        <w:tc>
          <w:tcPr>
            <w:tcW w:w="11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ind w:left="3" w:hanging="0"/>
              <w:jc w:val="both"/>
              <w:rPr/>
            </w:pPr>
            <w:r>
              <w:rPr>
                <w:rFonts w:cs="Arial" w:ascii="Arial" w:hAnsi="Arial"/>
                <w:b/>
              </w:rPr>
              <w:t>152 380,79</w:t>
            </w:r>
          </w:p>
        </w:tc>
        <w:tc>
          <w:tcPr>
            <w:tcW w:w="12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ind w:left="3" w:hanging="0"/>
              <w:jc w:val="both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130 382,86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ind w:left="3" w:hanging="0"/>
              <w:jc w:val="both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0</w:t>
            </w:r>
          </w:p>
        </w:tc>
        <w:tc>
          <w:tcPr>
            <w:tcW w:w="13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ind w:left="3" w:hanging="0"/>
              <w:jc w:val="both"/>
              <w:rPr/>
            </w:pPr>
            <w:r>
              <w:rPr>
                <w:rFonts w:cs="Arial" w:ascii="Arial" w:hAnsi="Arial"/>
                <w:b/>
              </w:rPr>
              <w:t>5 659 799,12</w:t>
            </w:r>
          </w:p>
        </w:tc>
      </w:tr>
    </w:tbl>
    <w:p>
      <w:pPr>
        <w:pStyle w:val="Standard"/>
        <w:spacing w:before="60" w:after="0"/>
        <w:jc w:val="both"/>
        <w:rPr>
          <w:rFonts w:ascii="Arial" w:hAnsi="Arial" w:cs="Arial"/>
          <w:b/>
          <w:b/>
          <w:u w:val="single"/>
        </w:rPr>
      </w:pPr>
      <w:r>
        <w:rPr>
          <w:rFonts w:cs="Arial" w:ascii="Arial" w:hAnsi="Arial"/>
          <w:b/>
          <w:u w:val="single"/>
        </w:rPr>
      </w:r>
    </w:p>
    <w:p>
      <w:pPr>
        <w:pStyle w:val="Standard"/>
        <w:spacing w:before="60" w:after="0"/>
        <w:jc w:val="both"/>
        <w:rPr>
          <w:rFonts w:ascii="Arial" w:hAnsi="Arial" w:cs="Arial"/>
          <w:b/>
          <w:b/>
          <w:u w:val="single"/>
        </w:rPr>
      </w:pPr>
      <w:r>
        <w:rPr>
          <w:rFonts w:cs="Arial" w:ascii="Arial" w:hAnsi="Arial"/>
          <w:b/>
          <w:u w:val="single"/>
        </w:rPr>
        <w:t>Opravy minulých období:</w:t>
      </w:r>
    </w:p>
    <w:p>
      <w:pPr>
        <w:pStyle w:val="Standard"/>
        <w:rPr/>
      </w:pPr>
      <w:r>
        <w:rPr>
          <w:rFonts w:cs="Arial" w:ascii="Arial" w:hAnsi="Arial"/>
        </w:rPr>
        <w:t>Obec v r. 2014 neúčtovala o významných opravách minulých období s vplyvom na vlastné imanie.</w:t>
      </w:r>
    </w:p>
    <w:p>
      <w:pPr>
        <w:pStyle w:val="Standard"/>
        <w:rPr>
          <w:rFonts w:ascii="Arial" w:hAnsi="Arial" w:cs="Arial"/>
          <w:b/>
          <w:b/>
          <w:u w:val="single"/>
        </w:rPr>
      </w:pPr>
      <w:r>
        <w:rPr>
          <w:rFonts w:cs="Arial" w:ascii="Arial" w:hAnsi="Arial"/>
          <w:b/>
          <w:u w:val="single"/>
        </w:rPr>
      </w:r>
    </w:p>
    <w:p>
      <w:pPr>
        <w:pStyle w:val="Standard"/>
        <w:rPr>
          <w:rFonts w:ascii="Arial" w:hAnsi="Arial" w:cs="Arial"/>
          <w:b/>
          <w:b/>
          <w:u w:val="single"/>
        </w:rPr>
      </w:pPr>
      <w:r>
        <w:rPr>
          <w:rFonts w:cs="Arial" w:ascii="Arial" w:hAnsi="Arial"/>
          <w:b/>
          <w:u w:val="single"/>
        </w:rPr>
      </w:r>
    </w:p>
    <w:p>
      <w:pPr>
        <w:pStyle w:val="Standard"/>
        <w:numPr>
          <w:ilvl w:val="0"/>
          <w:numId w:val="5"/>
        </w:numPr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  <w:t>Rezervy</w:t>
      </w:r>
    </w:p>
    <w:p>
      <w:pPr>
        <w:pStyle w:val="Standard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</w:r>
    </w:p>
    <w:p>
      <w:pPr>
        <w:pStyle w:val="Standard"/>
        <w:jc w:val="both"/>
        <w:rPr/>
      </w:pPr>
      <w:r>
        <w:rPr>
          <w:rFonts w:cs="Arial" w:ascii="Arial" w:hAnsi="Arial"/>
        </w:rPr>
        <w:t xml:space="preserve">Prehľad rezerv konsolidovaného celku v členení na zákonné a ostatné, dlhodobé a krátkodobé od 1. januára 2014 do 31. decembra 2014 je uvedený v tabuľkovej prílohe konsolidovaných poznámok – </w:t>
      </w:r>
      <w:r>
        <w:rPr>
          <w:rFonts w:cs="Arial" w:ascii="Arial" w:hAnsi="Arial"/>
          <w:color w:val="0000CC"/>
        </w:rPr>
        <w:t>tabuľky č.13 a 14</w:t>
      </w:r>
    </w:p>
    <w:p>
      <w:pPr>
        <w:pStyle w:val="Pismenka"/>
        <w:ind w:left="0" w:hanging="0"/>
        <w:rPr>
          <w:rFonts w:ascii="Arial" w:hAnsi="Arial" w:eastAsia="Arial" w:cs="Arial"/>
        </w:rPr>
      </w:pPr>
      <w:r>
        <w:rPr>
          <w:rFonts w:eastAsia="Arial" w:cs="Arial" w:ascii="Arial" w:hAnsi="Arial"/>
        </w:rPr>
        <w:t xml:space="preserve">   </w:t>
      </w:r>
    </w:p>
    <w:p>
      <w:pPr>
        <w:pStyle w:val="Pismenka"/>
        <w:ind w:left="0" w:hanging="0"/>
        <w:rPr/>
      </w:pPr>
      <w:r>
        <w:rPr>
          <w:rFonts w:eastAsia="Arial" w:cs="Arial" w:ascii="Arial" w:hAnsi="Arial"/>
        </w:rPr>
        <w:t xml:space="preserve">   </w:t>
      </w:r>
      <w:r>
        <w:rPr>
          <w:rFonts w:cs="Arial" w:ascii="Arial" w:hAnsi="Arial"/>
        </w:rPr>
        <w:t>Konsolidovaný celok nemá podnikateľskú činnosť, z toho dôvodu netvoril zákonné rezervy, ale iba ostatné krátkodobé rezervy.</w:t>
      </w:r>
    </w:p>
    <w:p>
      <w:pPr>
        <w:pStyle w:val="Standard"/>
        <w:rPr>
          <w:color w:val="000000"/>
        </w:rPr>
      </w:pPr>
      <w:r>
        <w:rPr>
          <w:rFonts w:cs="Arial" w:ascii="Arial" w:hAnsi="Arial"/>
          <w:color w:val="000000"/>
        </w:rPr>
        <w:t xml:space="preserve">Obec  aj  RO </w:t>
      </w:r>
      <w:r>
        <w:rPr>
          <w:rFonts w:cs="Arial" w:ascii="Arial" w:hAnsi="Arial"/>
          <w:color w:val="000000"/>
        </w:rPr>
        <w:t>netv</w:t>
      </w:r>
      <w:r>
        <w:rPr>
          <w:rFonts w:cs="Arial" w:ascii="Arial" w:hAnsi="Arial"/>
          <w:color w:val="000000"/>
        </w:rPr>
        <w:t>orí od r. 2014 v </w:t>
      </w:r>
      <w:r>
        <w:rPr>
          <w:rFonts w:cs="Arial" w:ascii="Arial" w:hAnsi="Arial"/>
          <w:color w:val="000000"/>
        </w:rPr>
        <w:t>zmysle platnej metodiky</w:t>
      </w:r>
      <w:r>
        <w:rPr>
          <w:rFonts w:cs="Arial" w:ascii="Arial" w:hAnsi="Arial"/>
          <w:color w:val="000000"/>
        </w:rPr>
        <w:t xml:space="preserve"> krátkodobé rezervy na nevyčerpanú dovolenku, vrátane sociálneho poistenia. </w:t>
      </w:r>
      <w:r>
        <w:rPr>
          <w:rFonts w:cs="Arial" w:ascii="Arial" w:hAnsi="Arial"/>
          <w:color w:val="000000"/>
        </w:rPr>
        <w:t>V roku 2014 bola tvorená len</w:t>
      </w:r>
      <w:r>
        <w:rPr>
          <w:rFonts w:cs="Arial" w:ascii="Arial" w:hAnsi="Arial"/>
          <w:color w:val="000000"/>
        </w:rPr>
        <w:t xml:space="preserve">  rezerv</w:t>
      </w:r>
      <w:r>
        <w:rPr>
          <w:rFonts w:cs="Arial" w:ascii="Arial" w:hAnsi="Arial"/>
          <w:color w:val="000000"/>
        </w:rPr>
        <w:t>a</w:t>
      </w:r>
      <w:r>
        <w:rPr>
          <w:rFonts w:cs="Arial" w:ascii="Arial" w:hAnsi="Arial"/>
          <w:color w:val="000000"/>
        </w:rPr>
        <w:t xml:space="preserve"> na overenie účtovnej závierky.</w:t>
      </w:r>
    </w:p>
    <w:p>
      <w:pPr>
        <w:pStyle w:val="Standard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</w:r>
    </w:p>
    <w:p>
      <w:pPr>
        <w:pStyle w:val="Standard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Standard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Standard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Standard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Standard"/>
        <w:numPr>
          <w:ilvl w:val="0"/>
          <w:numId w:val="5"/>
        </w:numPr>
        <w:spacing w:before="60" w:after="60"/>
        <w:jc w:val="both"/>
        <w:rPr/>
      </w:pPr>
      <w:r>
        <w:rPr>
          <w:rFonts w:cs="Arial" w:ascii="Arial" w:hAnsi="Arial"/>
          <w:b/>
          <w:sz w:val="22"/>
          <w:szCs w:val="22"/>
        </w:rPr>
        <w:t>Záväzky</w:t>
      </w:r>
    </w:p>
    <w:p>
      <w:pPr>
        <w:pStyle w:val="Standard"/>
        <w:spacing w:before="120" w:after="120"/>
        <w:jc w:val="both"/>
        <w:rPr/>
      </w:pPr>
      <w:r>
        <w:rPr>
          <w:rFonts w:cs="Arial" w:ascii="Arial" w:hAnsi="Arial"/>
          <w:color w:val="000000"/>
        </w:rPr>
        <w:t xml:space="preserve">Prehľad záväzkov z hľadiska ich vekovej štruktúry a podľa doby splatnosti je uvedený v tabuľkovej časti </w:t>
      </w:r>
      <w:r>
        <w:rPr>
          <w:rFonts w:cs="Arial" w:ascii="Arial" w:hAnsi="Arial"/>
          <w:color w:val="0000CC"/>
        </w:rPr>
        <w:t>(tabuľka č. 15).</w:t>
      </w:r>
    </w:p>
    <w:p>
      <w:pPr>
        <w:pStyle w:val="Pismenka"/>
        <w:ind w:left="0" w:hanging="0"/>
        <w:rPr/>
      </w:pPr>
      <w:r>
        <w:rPr>
          <w:rFonts w:cs="Arial" w:ascii="Arial" w:hAnsi="Arial"/>
          <w:b w:val="false"/>
        </w:rPr>
        <w:t>Obec eviduje záväzky po dobe splatnosti vo výške 23 163,51 €, táto suma sa skladá z neuhradenej faktúry od firmy Sagacita s. r. o Dolný Kubín a to: fak. č. 16/2014 na sumu 22 712,87 € /odmena za poradenské služby/, ktorá bola splatná 5.12.2014. Výšku záväzku rieši  externý právnik obce, nakoľko  výška odmeny je sporná. Druhá faktúra je od firmy BS-T s.r.o  Turany na sumu 450,64 €, táto suma je taktiež sporná.</w:t>
      </w:r>
    </w:p>
    <w:p>
      <w:pPr>
        <w:pStyle w:val="Pismenka"/>
        <w:ind w:left="284" w:hanging="0"/>
        <w:rPr>
          <w:rFonts w:ascii="Arial" w:hAnsi="Arial" w:eastAsia="Arial" w:cs="Arial"/>
          <w:b w:val="false"/>
          <w:b w:val="false"/>
        </w:rPr>
      </w:pPr>
      <w:r>
        <w:rPr>
          <w:rFonts w:eastAsia="Arial" w:cs="Arial" w:ascii="Arial" w:hAnsi="Arial"/>
          <w:b w:val="false"/>
        </w:rPr>
        <w:t xml:space="preserve">  </w:t>
      </w:r>
    </w:p>
    <w:p>
      <w:pPr>
        <w:pStyle w:val="Pismenka"/>
        <w:ind w:left="0" w:hanging="0"/>
        <w:jc w:val="left"/>
        <w:rPr/>
      </w:pPr>
      <w:r>
        <w:rPr>
          <w:rFonts w:cs="Arial" w:ascii="Arial" w:hAnsi="Arial"/>
          <w:b w:val="false"/>
        </w:rPr>
        <w:t>V dlhodobých záväzkoch obec eviduje úver zo ŠFRB vo výške 407 443,65 €, ktorý je splatný viac ako päť rokov a zábezpeku na nájom bytov vo výške 12  704,90 €.  V krátkodobých záväzkoch obec eviduje faktúru od firmy Sagacita s. r. o Dolný Kubín na sumu 22 712,87 € a vyúčtovacie faktúry za elektrickú energiu a plyn.</w:t>
      </w:r>
    </w:p>
    <w:p>
      <w:pPr>
        <w:pStyle w:val="Pismenka"/>
        <w:ind w:left="0" w:hanging="0"/>
        <w:rPr>
          <w:rFonts w:ascii="Arial" w:hAnsi="Arial" w:cs="Arial"/>
          <w:b w:val="false"/>
          <w:b w:val="false"/>
        </w:rPr>
      </w:pPr>
      <w:r>
        <w:rPr>
          <w:rFonts w:cs="Arial" w:ascii="Arial" w:hAnsi="Arial"/>
          <w:b w:val="false"/>
        </w:rPr>
      </w:r>
    </w:p>
    <w:p>
      <w:pPr>
        <w:pStyle w:val="Pismenka"/>
        <w:numPr>
          <w:ilvl w:val="0"/>
          <w:numId w:val="24"/>
        </w:numPr>
        <w:ind w:left="284" w:hanging="284"/>
        <w:rPr/>
      </w:pPr>
      <w:r>
        <w:rPr>
          <w:rFonts w:cs="Arial" w:ascii="Arial" w:hAnsi="Arial"/>
        </w:rPr>
        <w:t>významné záväzky</w:t>
      </w:r>
      <w:r>
        <w:rPr>
          <w:rFonts w:cs="Arial" w:ascii="Arial" w:hAnsi="Arial"/>
          <w:b w:val="false"/>
        </w:rPr>
        <w:t xml:space="preserve"> podľa jednotlivých položiek súvah</w:t>
      </w:r>
      <w:r>
        <w:rPr>
          <w:rFonts w:cs="Arial" w:ascii="Arial" w:hAnsi="Arial"/>
          <w:b w:val="false"/>
          <w:color w:val="000000"/>
        </w:rPr>
        <w:t xml:space="preserve">y </w:t>
      </w:r>
      <w:r>
        <w:rPr>
          <w:rFonts w:cs="Arial" w:ascii="Arial" w:hAnsi="Arial"/>
          <w:b w:val="false"/>
          <w:color w:val="000000"/>
        </w:rPr>
        <w:t>(výber z celkových záväzko</w:t>
      </w:r>
      <w:r>
        <w:rPr>
          <w:rFonts w:cs="Arial" w:ascii="Arial" w:hAnsi="Arial"/>
          <w:b w:val="false"/>
          <w:color w:val="000000"/>
        </w:rPr>
        <w:t>v)</w:t>
      </w:r>
    </w:p>
    <w:p>
      <w:pPr>
        <w:pStyle w:val="Pismenka"/>
        <w:rPr>
          <w:rFonts w:ascii="Arial" w:hAnsi="Arial" w:cs="Arial"/>
          <w:b w:val="false"/>
          <w:b w:val="false"/>
        </w:rPr>
      </w:pPr>
      <w:r>
        <w:rPr>
          <w:rFonts w:cs="Arial" w:ascii="Arial" w:hAnsi="Arial"/>
          <w:b w:val="false"/>
        </w:rPr>
      </w:r>
    </w:p>
    <w:tbl>
      <w:tblPr>
        <w:tblW w:w="9416" w:type="dxa"/>
        <w:jc w:val="left"/>
        <w:tblInd w:w="11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60" w:type="dxa"/>
          <w:bottom w:w="0" w:type="dxa"/>
          <w:right w:w="70" w:type="dxa"/>
        </w:tblCellMar>
        <w:tblLook w:val="0000"/>
      </w:tblPr>
      <w:tblGrid>
        <w:gridCol w:w="2692"/>
        <w:gridCol w:w="1134"/>
        <w:gridCol w:w="1275"/>
        <w:gridCol w:w="4314"/>
      </w:tblGrid>
      <w:tr>
        <w:trPr/>
        <w:tc>
          <w:tcPr>
            <w:tcW w:w="26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  <w:color w:val="000000"/>
              </w:rPr>
              <w:t>Záväzok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  <w:color w:val="000000"/>
              </w:rPr>
              <w:t>Riadok súvahy</w:t>
            </w:r>
          </w:p>
        </w:tc>
        <w:tc>
          <w:tcPr>
            <w:tcW w:w="12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Hodnota záväzku</w:t>
            </w:r>
          </w:p>
        </w:tc>
        <w:tc>
          <w:tcPr>
            <w:tcW w:w="43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Opis</w:t>
            </w:r>
          </w:p>
        </w:tc>
      </w:tr>
      <w:tr>
        <w:trPr/>
        <w:tc>
          <w:tcPr>
            <w:tcW w:w="26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rPr>
                <w:rFonts w:ascii="Arial" w:hAnsi="Arial" w:cs="Arial"/>
              </w:rPr>
            </w:pPr>
            <w:r>
              <w:rPr>
                <w:rFonts w:cs="Arial" w:ascii="Arial" w:hAnsi="Arial"/>
                <w:color w:val="000000"/>
              </w:rPr>
              <w:t>úver ŠFRB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rPr>
                <w:rFonts w:ascii="Arial" w:hAnsi="Arial" w:cs="Arial"/>
              </w:rPr>
            </w:pPr>
            <w:r>
              <w:rPr>
                <w:rFonts w:cs="Arial" w:ascii="Arial" w:hAnsi="Arial"/>
                <w:color w:val="000000"/>
              </w:rPr>
              <w:t>14</w:t>
            </w:r>
            <w:r>
              <w:rPr>
                <w:rFonts w:cs="Arial" w:ascii="Arial" w:hAnsi="Arial"/>
                <w:color w:val="000000"/>
              </w:rPr>
              <w:t>5</w:t>
            </w:r>
          </w:p>
        </w:tc>
        <w:tc>
          <w:tcPr>
            <w:tcW w:w="12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jc w:val="right"/>
              <w:rPr/>
            </w:pPr>
            <w:r>
              <w:rPr>
                <w:rFonts w:cs="Arial" w:ascii="Arial" w:hAnsi="Arial"/>
              </w:rPr>
              <w:t>407 443,65</w:t>
            </w:r>
          </w:p>
        </w:tc>
        <w:tc>
          <w:tcPr>
            <w:tcW w:w="43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Výstavba bytov</w:t>
            </w:r>
          </w:p>
        </w:tc>
      </w:tr>
      <w:tr>
        <w:trPr/>
        <w:tc>
          <w:tcPr>
            <w:tcW w:w="26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rPr>
                <w:rFonts w:ascii="Arial" w:hAnsi="Arial" w:cs="Arial"/>
              </w:rPr>
            </w:pPr>
            <w:r>
              <w:rPr>
                <w:rFonts w:cs="Arial" w:ascii="Arial" w:hAnsi="Arial"/>
                <w:color w:val="000000"/>
              </w:rPr>
              <w:t>Zábezpeka – nájom byty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rPr>
                <w:rFonts w:ascii="Arial" w:hAnsi="Arial" w:cs="Arial"/>
              </w:rPr>
            </w:pPr>
            <w:r>
              <w:rPr>
                <w:rFonts w:cs="Arial" w:ascii="Arial" w:hAnsi="Arial"/>
                <w:color w:val="000000"/>
              </w:rPr>
              <w:t>14</w:t>
            </w:r>
            <w:r>
              <w:rPr>
                <w:rFonts w:cs="Arial" w:ascii="Arial" w:hAnsi="Arial"/>
                <w:color w:val="000000"/>
              </w:rPr>
              <w:t>5</w:t>
            </w:r>
          </w:p>
        </w:tc>
        <w:tc>
          <w:tcPr>
            <w:tcW w:w="12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jc w:val="right"/>
              <w:rPr/>
            </w:pPr>
            <w:r>
              <w:rPr>
                <w:rFonts w:eastAsia="Arial" w:cs="Arial" w:ascii="Arial" w:hAnsi="Arial"/>
              </w:rPr>
              <w:t xml:space="preserve">  </w:t>
            </w:r>
            <w:r>
              <w:rPr>
                <w:rFonts w:cs="Arial" w:ascii="Arial" w:hAnsi="Arial"/>
                <w:shd w:fill="FFFFFF" w:val="clear"/>
              </w:rPr>
              <w:t>12 704,90</w:t>
            </w:r>
          </w:p>
        </w:tc>
        <w:tc>
          <w:tcPr>
            <w:tcW w:w="43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 xml:space="preserve">Nájom byty  </w:t>
            </w:r>
          </w:p>
        </w:tc>
      </w:tr>
      <w:tr>
        <w:trPr/>
        <w:tc>
          <w:tcPr>
            <w:tcW w:w="26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  <w:color w:val="000000"/>
              </w:rPr>
              <w:t>Ost.dlhodobé záväzky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rPr>
                <w:rFonts w:ascii="Arial" w:hAnsi="Arial" w:cs="Arial"/>
                <w:b/>
                <w:b/>
                <w:color w:val="000000"/>
              </w:rPr>
            </w:pPr>
            <w:r>
              <w:rPr>
                <w:rFonts w:cs="Arial" w:ascii="Arial" w:hAnsi="Arial"/>
                <w:b/>
                <w:color w:val="000000"/>
              </w:rPr>
            </w:r>
          </w:p>
        </w:tc>
        <w:tc>
          <w:tcPr>
            <w:tcW w:w="12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jc w:val="right"/>
              <w:rPr/>
            </w:pPr>
            <w:r>
              <w:rPr>
                <w:rFonts w:cs="Arial" w:ascii="Arial" w:hAnsi="Arial"/>
                <w:b/>
              </w:rPr>
              <w:t>420 148,55</w:t>
            </w:r>
          </w:p>
        </w:tc>
        <w:tc>
          <w:tcPr>
            <w:tcW w:w="43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rPr/>
            </w:pPr>
            <w:r>
              <w:rPr/>
            </w:r>
          </w:p>
        </w:tc>
      </w:tr>
      <w:tr>
        <w:trPr/>
        <w:tc>
          <w:tcPr>
            <w:tcW w:w="26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rPr>
                <w:rFonts w:ascii="Arial" w:hAnsi="Arial" w:cs="Arial"/>
              </w:rPr>
            </w:pPr>
            <w:r>
              <w:rPr>
                <w:rFonts w:cs="Arial" w:ascii="Arial" w:hAnsi="Arial"/>
                <w:color w:val="000000"/>
              </w:rPr>
              <w:t>ŠFRB – krátkodobý úver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rPr>
                <w:rFonts w:ascii="Arial" w:hAnsi="Arial" w:cs="Arial"/>
              </w:rPr>
            </w:pPr>
            <w:r>
              <w:rPr>
                <w:rFonts w:cs="Arial" w:ascii="Arial" w:hAnsi="Arial"/>
                <w:color w:val="000000"/>
              </w:rPr>
              <w:t>1</w:t>
            </w:r>
            <w:r>
              <w:rPr>
                <w:rFonts w:cs="Arial" w:ascii="Arial" w:hAnsi="Arial"/>
                <w:color w:val="000000"/>
              </w:rPr>
              <w:t>60</w:t>
            </w:r>
          </w:p>
        </w:tc>
        <w:tc>
          <w:tcPr>
            <w:tcW w:w="12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jc w:val="right"/>
              <w:rPr/>
            </w:pPr>
            <w:r>
              <w:rPr>
                <w:rFonts w:eastAsia="Arial" w:cs="Arial" w:ascii="Arial" w:hAnsi="Arial"/>
              </w:rPr>
              <w:t xml:space="preserve"> </w:t>
            </w:r>
            <w:r>
              <w:rPr>
                <w:rFonts w:eastAsia="Arial" w:cs="Arial" w:ascii="Arial" w:hAnsi="Arial"/>
              </w:rPr>
              <w:t>15 388,00</w:t>
            </w:r>
          </w:p>
        </w:tc>
        <w:tc>
          <w:tcPr>
            <w:tcW w:w="43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Splátka úveru výstavba bytov</w:t>
            </w:r>
          </w:p>
        </w:tc>
      </w:tr>
      <w:tr>
        <w:trPr/>
        <w:tc>
          <w:tcPr>
            <w:tcW w:w="26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rPr>
                <w:rFonts w:ascii="Arial" w:hAnsi="Arial" w:cs="Arial"/>
              </w:rPr>
            </w:pPr>
            <w:r>
              <w:rPr>
                <w:rFonts w:cs="Arial" w:ascii="Arial" w:hAnsi="Arial"/>
                <w:color w:val="000000"/>
              </w:rPr>
              <w:t>Sagacita s.r.o Dolný Kubín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rPr>
                <w:rFonts w:ascii="Arial" w:hAnsi="Arial" w:cs="Arial"/>
              </w:rPr>
            </w:pPr>
            <w:r>
              <w:rPr>
                <w:rFonts w:cs="Arial" w:ascii="Arial" w:hAnsi="Arial"/>
                <w:color w:val="000000"/>
              </w:rPr>
              <w:t>15</w:t>
            </w:r>
            <w:r>
              <w:rPr>
                <w:rFonts w:cs="Arial" w:ascii="Arial" w:hAnsi="Arial"/>
                <w:color w:val="000000"/>
              </w:rPr>
              <w:t>7</w:t>
            </w:r>
          </w:p>
          <w:p>
            <w:pPr>
              <w:pStyle w:val="Standard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jc w:val="right"/>
              <w:rPr/>
            </w:pPr>
            <w:r>
              <w:rPr>
                <w:rFonts w:eastAsia="Arial" w:cs="Arial" w:ascii="Arial" w:hAnsi="Arial"/>
              </w:rPr>
              <w:t xml:space="preserve"> </w:t>
            </w:r>
            <w:r>
              <w:rPr>
                <w:rFonts w:eastAsia="Arial" w:cs="Arial" w:ascii="Arial" w:hAnsi="Arial"/>
              </w:rPr>
              <w:t>22 712,87</w:t>
            </w:r>
          </w:p>
        </w:tc>
        <w:tc>
          <w:tcPr>
            <w:tcW w:w="43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Monitorovacia správa k projektu „Revitalizácia verej. priest. obce Sučany fak. č.70522/2013</w:t>
            </w:r>
          </w:p>
        </w:tc>
      </w:tr>
    </w:tbl>
    <w:p>
      <w:pPr>
        <w:pStyle w:val="Standard"/>
        <w:spacing w:before="120" w:after="120"/>
        <w:jc w:val="both"/>
        <w:rPr>
          <w:rFonts w:ascii="Arial" w:hAnsi="Arial" w:cs="Arial"/>
          <w:i/>
          <w:i/>
          <w:color w:val="000000"/>
        </w:rPr>
      </w:pPr>
      <w:r>
        <w:rPr>
          <w:rFonts w:cs="Arial" w:ascii="Arial" w:hAnsi="Arial"/>
          <w:i/>
          <w:color w:val="000000"/>
        </w:rPr>
      </w:r>
    </w:p>
    <w:p>
      <w:pPr>
        <w:pStyle w:val="Standard"/>
        <w:numPr>
          <w:ilvl w:val="0"/>
          <w:numId w:val="25"/>
        </w:numPr>
        <w:spacing w:before="120" w:after="12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  <w:t>Bankové úvery</w:t>
      </w:r>
    </w:p>
    <w:p>
      <w:pPr>
        <w:pStyle w:val="Pismenka"/>
        <w:ind w:left="0" w:hanging="0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a) dlhodobé bankové úvery a krátkodobé bankové úvery</w:t>
      </w:r>
    </w:p>
    <w:p>
      <w:pPr>
        <w:pStyle w:val="Pismenka"/>
        <w:ind w:left="0" w:hanging="0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</w:r>
    </w:p>
    <w:p>
      <w:pPr>
        <w:pStyle w:val="Pismenka"/>
        <w:ind w:left="0" w:hanging="0"/>
        <w:rPr/>
      </w:pPr>
      <w:r>
        <w:rPr>
          <w:rFonts w:cs="Arial" w:ascii="Arial" w:hAnsi="Arial"/>
          <w:b w:val="false"/>
          <w:color w:val="000000"/>
        </w:rPr>
        <w:t>Prehľad o bankových úveroch Obce k 31.12.2014 s uvedením podrobných informácií je uvedený v tabuľkovej časti</w:t>
      </w:r>
    </w:p>
    <w:p>
      <w:pPr>
        <w:pStyle w:val="Pismenka"/>
        <w:ind w:left="0" w:hanging="0"/>
        <w:rPr>
          <w:rFonts w:ascii="Arial" w:hAnsi="Arial" w:cs="Arial"/>
          <w:b w:val="false"/>
          <w:b w:val="false"/>
          <w:color w:val="0000CC"/>
        </w:rPr>
      </w:pPr>
      <w:r>
        <w:rPr>
          <w:rFonts w:cs="Arial" w:ascii="Arial" w:hAnsi="Arial"/>
          <w:b w:val="false"/>
          <w:color w:val="0000CC"/>
        </w:rPr>
        <w:t>(tabuľka č. 16).</w:t>
      </w:r>
    </w:p>
    <w:p>
      <w:pPr>
        <w:pStyle w:val="Pismenka"/>
        <w:ind w:left="0" w:hanging="0"/>
        <w:rPr>
          <w:rFonts w:ascii="Arial" w:hAnsi="Arial" w:cs="Arial"/>
          <w:b w:val="false"/>
          <w:b w:val="false"/>
          <w:color w:val="FF0000"/>
        </w:rPr>
      </w:pPr>
      <w:r>
        <w:rPr>
          <w:rFonts w:cs="Arial" w:ascii="Arial" w:hAnsi="Arial"/>
          <w:b w:val="false"/>
          <w:color w:val="FF0000"/>
        </w:rPr>
      </w:r>
    </w:p>
    <w:p>
      <w:pPr>
        <w:pStyle w:val="Pismenka"/>
        <w:ind w:left="0" w:hanging="0"/>
        <w:rPr/>
      </w:pPr>
      <w:r>
        <w:rPr>
          <w:rFonts w:cs="Arial" w:ascii="Arial" w:hAnsi="Arial"/>
          <w:b w:val="false"/>
        </w:rPr>
        <w:t>Obec uzatvorila v roku 2008 Zmluvu o úvere na investičné akcie vo výške 497 909,- €. Úver je dlhodobý s dobou splatnosti do r. 2023, splátky úveru sú mesačné ako aj splátky úrokov</w:t>
      </w:r>
      <w:r>
        <w:rPr>
          <w:rFonts w:cs="Arial" w:ascii="Arial" w:hAnsi="Arial"/>
        </w:rPr>
        <w:t>.</w:t>
      </w:r>
    </w:p>
    <w:p>
      <w:pPr>
        <w:pStyle w:val="Standard"/>
        <w:jc w:val="both"/>
        <w:rPr/>
      </w:pPr>
      <w:r>
        <w:rPr>
          <w:rFonts w:cs="Arial" w:ascii="Arial" w:hAnsi="Arial"/>
        </w:rPr>
        <w:t>V roku 2012 bol obci SZRB a.s. poskytnutý úver na rekonštrukciu ZŠ a to investičný vo výške 74 406,68 €  a preklenovací vo výške 546 596,34 €. Splátky investičného úveru sú mesačné ako aj splátky úrokov, preklenovací úver bol splatený 17.10. 2014.</w:t>
      </w:r>
    </w:p>
    <w:p>
      <w:pPr>
        <w:pStyle w:val="Standard"/>
        <w:jc w:val="both"/>
        <w:rPr>
          <w:rFonts w:ascii="Arial" w:hAnsi="Arial" w:cs="Arial"/>
        </w:rPr>
      </w:pPr>
      <w:r>
        <w:rPr>
          <w:rFonts w:cs="Arial" w:ascii="Arial" w:hAnsi="Arial"/>
        </w:rPr>
        <w:t>SZRB a.s. poskytla v roku 2012 obci aj  investičný úver vo výške 120 203,- € na rekonštrukciu OHZ , ktorý je splatný v roku 2022. Splátky investičného úveru sú mesačné ako aj splátky úrokov.</w:t>
      </w:r>
    </w:p>
    <w:p>
      <w:pPr>
        <w:pStyle w:val="Pismenka"/>
        <w:ind w:left="0" w:hanging="0"/>
        <w:jc w:val="left"/>
        <w:rPr>
          <w:rFonts w:ascii="Arial" w:hAnsi="Arial" w:cs="Arial"/>
          <w:b w:val="false"/>
          <w:b w:val="false"/>
        </w:rPr>
      </w:pPr>
      <w:r>
        <w:rPr>
          <w:rFonts w:cs="Arial" w:ascii="Arial" w:hAnsi="Arial"/>
          <w:b w:val="false"/>
        </w:rPr>
      </w:r>
    </w:p>
    <w:p>
      <w:pPr>
        <w:pStyle w:val="Pismenka"/>
        <w:numPr>
          <w:ilvl w:val="0"/>
          <w:numId w:val="26"/>
        </w:numPr>
        <w:ind w:left="284" w:hanging="284"/>
        <w:rPr>
          <w:rFonts w:ascii="Arial" w:hAnsi="Arial" w:cs="Arial"/>
        </w:rPr>
      </w:pPr>
      <w:r>
        <w:rPr>
          <w:rFonts w:cs="Arial" w:ascii="Arial" w:hAnsi="Arial"/>
        </w:rPr>
        <w:t>popis zabezpečenia dlhodobého bankového úveru alebo krátkodobého bankového úveru</w:t>
      </w:r>
    </w:p>
    <w:p>
      <w:pPr>
        <w:pStyle w:val="Pismenka"/>
        <w:rPr>
          <w:rFonts w:ascii="Arial" w:hAnsi="Arial" w:cs="Arial"/>
          <w:b w:val="false"/>
          <w:b w:val="false"/>
        </w:rPr>
      </w:pPr>
      <w:r>
        <w:rPr>
          <w:rFonts w:cs="Arial" w:ascii="Arial" w:hAnsi="Arial"/>
          <w:b w:val="false"/>
        </w:rPr>
      </w:r>
    </w:p>
    <w:tbl>
      <w:tblPr>
        <w:tblW w:w="9558" w:type="dxa"/>
        <w:jc w:val="left"/>
        <w:tblInd w:w="11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60" w:type="dxa"/>
          <w:bottom w:w="0" w:type="dxa"/>
          <w:right w:w="70" w:type="dxa"/>
        </w:tblCellMar>
        <w:tblLook w:val="0000"/>
      </w:tblPr>
      <w:tblGrid>
        <w:gridCol w:w="4499"/>
        <w:gridCol w:w="5058"/>
      </w:tblGrid>
      <w:tr>
        <w:trPr/>
        <w:tc>
          <w:tcPr>
            <w:tcW w:w="44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Druh bankového úveru</w:t>
            </w:r>
          </w:p>
          <w:p>
            <w:pPr>
              <w:pStyle w:val="Standard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podľa splatnosti /krátkodobý, dlhodobý/</w:t>
            </w:r>
          </w:p>
        </w:tc>
        <w:tc>
          <w:tcPr>
            <w:tcW w:w="50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Popis zabezpečenia dlhodobého bankového úveru</w:t>
            </w:r>
          </w:p>
          <w:p>
            <w:pPr>
              <w:pStyle w:val="Standard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alebo krátkodobého bankového úveru</w:t>
            </w:r>
          </w:p>
        </w:tc>
      </w:tr>
      <w:tr>
        <w:trPr/>
        <w:tc>
          <w:tcPr>
            <w:tcW w:w="44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Dlhodobý úver – investičný Prima banka</w:t>
            </w:r>
          </w:p>
        </w:tc>
        <w:tc>
          <w:tcPr>
            <w:tcW w:w="50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nezabezpečený</w:t>
            </w:r>
          </w:p>
        </w:tc>
      </w:tr>
      <w:tr>
        <w:trPr/>
        <w:tc>
          <w:tcPr>
            <w:tcW w:w="44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Dlhodobý investičný - ZŠ</w:t>
            </w:r>
          </w:p>
        </w:tc>
        <w:tc>
          <w:tcPr>
            <w:tcW w:w="50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Záložné právo na budovu a pozemky</w:t>
            </w:r>
          </w:p>
        </w:tc>
      </w:tr>
      <w:tr>
        <w:trPr/>
        <w:tc>
          <w:tcPr>
            <w:tcW w:w="44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Dlhodobý investičný - OHZ</w:t>
            </w:r>
          </w:p>
        </w:tc>
        <w:tc>
          <w:tcPr>
            <w:tcW w:w="50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Záložné právo na budovu a pozemky</w:t>
            </w:r>
          </w:p>
        </w:tc>
      </w:tr>
      <w:tr>
        <w:trPr/>
        <w:tc>
          <w:tcPr>
            <w:tcW w:w="44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  <w:tc>
          <w:tcPr>
            <w:tcW w:w="50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</w:tr>
    </w:tbl>
    <w:p>
      <w:pPr>
        <w:pStyle w:val="Pismenka"/>
        <w:ind w:left="0" w:hanging="0"/>
        <w:rPr>
          <w:rFonts w:ascii="Arial" w:hAnsi="Arial" w:cs="Arial"/>
          <w:b w:val="false"/>
          <w:b w:val="false"/>
          <w:color w:val="FF0000"/>
        </w:rPr>
      </w:pPr>
      <w:r>
        <w:rPr>
          <w:rFonts w:cs="Arial" w:ascii="Arial" w:hAnsi="Arial"/>
          <w:b w:val="false"/>
          <w:color w:val="FF0000"/>
        </w:rPr>
      </w:r>
    </w:p>
    <w:p>
      <w:pPr>
        <w:pStyle w:val="Pismenka"/>
        <w:ind w:left="0" w:hanging="0"/>
        <w:rPr>
          <w:rFonts w:ascii="Arial" w:hAnsi="Arial" w:cs="Arial"/>
          <w:b w:val="false"/>
          <w:b w:val="false"/>
          <w:color w:val="FF0000"/>
        </w:rPr>
      </w:pPr>
      <w:r>
        <w:rPr>
          <w:rFonts w:cs="Arial" w:ascii="Arial" w:hAnsi="Arial"/>
          <w:b w:val="false"/>
          <w:color w:val="FF0000"/>
        </w:rPr>
      </w:r>
    </w:p>
    <w:p>
      <w:pPr>
        <w:pStyle w:val="Standard"/>
        <w:numPr>
          <w:ilvl w:val="0"/>
          <w:numId w:val="27"/>
        </w:numPr>
        <w:spacing w:before="120" w:after="12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  <w:t>Časové rozlíšenie  pasív</w:t>
      </w:r>
    </w:p>
    <w:p>
      <w:pPr>
        <w:pStyle w:val="Standard"/>
        <w:spacing w:before="120" w:after="120"/>
        <w:jc w:val="both"/>
        <w:rPr/>
      </w:pPr>
      <w:r>
        <w:rPr>
          <w:rFonts w:cs="Arial" w:ascii="Arial" w:hAnsi="Arial"/>
          <w:b/>
        </w:rPr>
        <w:t>Prehľad výnosov budúcich obdob</w:t>
      </w:r>
      <w:r>
        <w:rPr>
          <w:rFonts w:cs="Arial" w:ascii="Arial" w:hAnsi="Arial"/>
        </w:rPr>
        <w:t xml:space="preserve">í je uvedený v tabuľkovej časti – </w:t>
      </w:r>
      <w:r>
        <w:rPr>
          <w:rFonts w:cs="Arial" w:ascii="Arial" w:hAnsi="Arial"/>
          <w:color w:val="0000CC"/>
        </w:rPr>
        <w:t>tabuľka č. 18</w:t>
      </w:r>
    </w:p>
    <w:p>
      <w:pPr>
        <w:pStyle w:val="Pismenka"/>
        <w:rPr>
          <w:rFonts w:ascii="Arial" w:hAnsi="Arial" w:cs="Arial"/>
          <w:b w:val="false"/>
          <w:b w:val="false"/>
          <w:color w:val="0000CC"/>
        </w:rPr>
      </w:pPr>
      <w:r>
        <w:rPr>
          <w:rFonts w:cs="Arial" w:ascii="Arial" w:hAnsi="Arial"/>
          <w:b w:val="false"/>
          <w:color w:val="0000CC"/>
        </w:rPr>
      </w:r>
    </w:p>
    <w:tbl>
      <w:tblPr>
        <w:tblW w:w="6030" w:type="dxa"/>
        <w:jc w:val="left"/>
        <w:tblInd w:w="11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60" w:type="dxa"/>
          <w:bottom w:w="0" w:type="dxa"/>
          <w:right w:w="70" w:type="dxa"/>
        </w:tblCellMar>
        <w:tblLook w:val="0000"/>
      </w:tblPr>
      <w:tblGrid>
        <w:gridCol w:w="2340"/>
        <w:gridCol w:w="1824"/>
        <w:gridCol w:w="1866"/>
      </w:tblGrid>
      <w:tr>
        <w:trPr/>
        <w:tc>
          <w:tcPr>
            <w:tcW w:w="23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Opis položky časového rozlíšenia</w:t>
            </w:r>
          </w:p>
        </w:tc>
        <w:tc>
          <w:tcPr>
            <w:tcW w:w="18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Zostatok</w:t>
            </w:r>
          </w:p>
          <w:p>
            <w:pPr>
              <w:pStyle w:val="Standard"/>
              <w:jc w:val="center"/>
              <w:rPr/>
            </w:pPr>
            <w:r>
              <w:rPr>
                <w:rFonts w:cs="Arial" w:ascii="Arial" w:hAnsi="Arial"/>
                <w:b/>
              </w:rPr>
              <w:t>k 31.12.2014</w:t>
            </w:r>
          </w:p>
        </w:tc>
        <w:tc>
          <w:tcPr>
            <w:tcW w:w="18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Zostatok</w:t>
            </w:r>
          </w:p>
          <w:p>
            <w:pPr>
              <w:pStyle w:val="Standard"/>
              <w:jc w:val="center"/>
              <w:rPr/>
            </w:pPr>
            <w:r>
              <w:rPr>
                <w:rFonts w:cs="Arial" w:ascii="Arial" w:hAnsi="Arial"/>
                <w:b/>
              </w:rPr>
              <w:t>k 31.12.2013</w:t>
            </w:r>
          </w:p>
        </w:tc>
      </w:tr>
      <w:tr>
        <w:trPr/>
        <w:tc>
          <w:tcPr>
            <w:tcW w:w="23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Priemyselný park</w:t>
            </w:r>
          </w:p>
        </w:tc>
        <w:tc>
          <w:tcPr>
            <w:tcW w:w="18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jc w:val="right"/>
              <w:rPr/>
            </w:pPr>
            <w:r>
              <w:rPr>
                <w:rFonts w:cs="Arial" w:ascii="Arial" w:hAnsi="Arial"/>
                <w:shd w:fill="FFFFFF" w:val="clear"/>
              </w:rPr>
              <w:t>854 392,43</w:t>
            </w:r>
          </w:p>
        </w:tc>
        <w:tc>
          <w:tcPr>
            <w:tcW w:w="18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FFFFF" w:val="clear"/>
            <w:tcMar>
              <w:left w:w="60" w:type="dxa"/>
            </w:tcMar>
          </w:tcPr>
          <w:p>
            <w:pPr>
              <w:pStyle w:val="Standard"/>
              <w:jc w:val="right"/>
              <w:rPr/>
            </w:pPr>
            <w:r>
              <w:rPr>
                <w:rFonts w:cs="Arial" w:ascii="Arial" w:hAnsi="Arial"/>
              </w:rPr>
              <w:t>881 092,19</w:t>
            </w:r>
          </w:p>
        </w:tc>
      </w:tr>
      <w:tr>
        <w:trPr>
          <w:trHeight w:val="109" w:hRule="atLeast"/>
        </w:trPr>
        <w:tc>
          <w:tcPr>
            <w:tcW w:w="23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Rekonštrukcia OHZ</w:t>
            </w:r>
          </w:p>
        </w:tc>
        <w:tc>
          <w:tcPr>
            <w:tcW w:w="18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jc w:val="right"/>
              <w:rPr/>
            </w:pPr>
            <w:r>
              <w:rPr>
                <w:rFonts w:cs="Arial" w:ascii="Arial" w:hAnsi="Arial"/>
                <w:shd w:fill="FFFFFF" w:val="clear"/>
              </w:rPr>
              <w:t>173 619,12</w:t>
            </w:r>
          </w:p>
        </w:tc>
        <w:tc>
          <w:tcPr>
            <w:tcW w:w="18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jc w:val="right"/>
              <w:rPr/>
            </w:pPr>
            <w:r>
              <w:rPr>
                <w:rFonts w:cs="Arial" w:ascii="Arial" w:hAnsi="Arial"/>
              </w:rPr>
              <w:t xml:space="preserve">180 </w:t>
            </w:r>
            <w:r>
              <w:rPr>
                <w:rFonts w:cs="Arial" w:ascii="Arial" w:hAnsi="Arial"/>
                <w:shd w:fill="FFFFFF" w:val="clear"/>
              </w:rPr>
              <w:t>502,44</w:t>
            </w:r>
          </w:p>
        </w:tc>
      </w:tr>
      <w:tr>
        <w:trPr/>
        <w:tc>
          <w:tcPr>
            <w:tcW w:w="23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Rekonštrukcia ZŠ</w:t>
            </w:r>
          </w:p>
        </w:tc>
        <w:tc>
          <w:tcPr>
            <w:tcW w:w="18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FFFFFF" w:val="clear"/>
            <w:tcMar>
              <w:left w:w="60" w:type="dxa"/>
            </w:tcMar>
          </w:tcPr>
          <w:p>
            <w:pPr>
              <w:pStyle w:val="Standard"/>
              <w:jc w:val="right"/>
              <w:rPr/>
            </w:pPr>
            <w:r>
              <w:rPr>
                <w:rFonts w:cs="Arial" w:ascii="Arial" w:hAnsi="Arial"/>
                <w:shd w:fill="FFFFFF" w:val="clear"/>
              </w:rPr>
              <w:t>513 039,88</w:t>
            </w:r>
          </w:p>
        </w:tc>
        <w:tc>
          <w:tcPr>
            <w:tcW w:w="18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FFFFF" w:val="clear"/>
            <w:tcMar>
              <w:left w:w="60" w:type="dxa"/>
            </w:tcMar>
          </w:tcPr>
          <w:p>
            <w:pPr>
              <w:pStyle w:val="Standard"/>
              <w:jc w:val="right"/>
              <w:rPr/>
            </w:pPr>
            <w:r>
              <w:rPr>
                <w:rFonts w:cs="Arial" w:ascii="Arial" w:hAnsi="Arial"/>
                <w:shd w:fill="FFFFFF" w:val="clear"/>
              </w:rPr>
              <w:t>120 977,73</w:t>
            </w:r>
          </w:p>
        </w:tc>
      </w:tr>
      <w:tr>
        <w:trPr/>
        <w:tc>
          <w:tcPr>
            <w:tcW w:w="23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Multifunkčné ihrisko</w:t>
            </w:r>
          </w:p>
        </w:tc>
        <w:tc>
          <w:tcPr>
            <w:tcW w:w="18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FFFFFF" w:val="clear"/>
            <w:tcMar>
              <w:left w:w="60" w:type="dxa"/>
            </w:tcMar>
          </w:tcPr>
          <w:p>
            <w:pPr>
              <w:pStyle w:val="Standard"/>
              <w:jc w:val="right"/>
              <w:rPr/>
            </w:pPr>
            <w:r>
              <w:rPr>
                <w:rFonts w:eastAsia="Arial" w:cs="Arial" w:ascii="Arial" w:hAnsi="Arial"/>
                <w:shd w:fill="FFFFFF" w:val="clear"/>
              </w:rPr>
              <w:t>19 916,24</w:t>
            </w:r>
          </w:p>
        </w:tc>
        <w:tc>
          <w:tcPr>
            <w:tcW w:w="18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FFFFF" w:val="clear"/>
            <w:tcMar>
              <w:left w:w="60" w:type="dxa"/>
            </w:tcMar>
          </w:tcPr>
          <w:p>
            <w:pPr>
              <w:pStyle w:val="Standard"/>
              <w:jc w:val="right"/>
              <w:rPr/>
            </w:pPr>
            <w:r>
              <w:rPr>
                <w:rFonts w:cs="Arial" w:ascii="Arial" w:hAnsi="Arial"/>
                <w:shd w:fill="FFFFFF" w:val="clear"/>
              </w:rPr>
              <w:t>23 235,62</w:t>
            </w:r>
          </w:p>
        </w:tc>
      </w:tr>
      <w:tr>
        <w:trPr/>
        <w:tc>
          <w:tcPr>
            <w:tcW w:w="23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TATRA CAS 32</w:t>
            </w:r>
          </w:p>
        </w:tc>
        <w:tc>
          <w:tcPr>
            <w:tcW w:w="18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FFFFFF" w:val="clear"/>
            <w:tcMar>
              <w:left w:w="60" w:type="dxa"/>
            </w:tcMar>
          </w:tcPr>
          <w:p>
            <w:pPr>
              <w:pStyle w:val="Standard"/>
              <w:jc w:val="right"/>
              <w:rPr/>
            </w:pPr>
            <w:r>
              <w:rPr>
                <w:rFonts w:cs="Arial" w:ascii="Arial" w:hAnsi="Arial"/>
                <w:shd w:fill="FFFFFF" w:val="clear"/>
              </w:rPr>
              <w:t>35 343,78</w:t>
            </w:r>
          </w:p>
        </w:tc>
        <w:tc>
          <w:tcPr>
            <w:tcW w:w="18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FFFFF" w:val="clear"/>
            <w:tcMar>
              <w:left w:w="60" w:type="dxa"/>
            </w:tcMar>
          </w:tcPr>
          <w:p>
            <w:pPr>
              <w:pStyle w:val="Standard"/>
              <w:jc w:val="right"/>
              <w:rPr/>
            </w:pPr>
            <w:r>
              <w:rPr>
                <w:rFonts w:cs="Arial" w:ascii="Arial" w:hAnsi="Arial"/>
                <w:shd w:fill="FFFFFF" w:val="clear"/>
              </w:rPr>
              <w:t>55 661,16</w:t>
            </w:r>
          </w:p>
        </w:tc>
      </w:tr>
      <w:tr>
        <w:trPr/>
        <w:tc>
          <w:tcPr>
            <w:tcW w:w="23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Rekonštrukcia RKD</w:t>
            </w:r>
          </w:p>
        </w:tc>
        <w:tc>
          <w:tcPr>
            <w:tcW w:w="18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FFFFFF" w:val="clear"/>
            <w:tcMar>
              <w:left w:w="60" w:type="dxa"/>
            </w:tcMar>
          </w:tcPr>
          <w:p>
            <w:pPr>
              <w:pStyle w:val="Standard"/>
              <w:jc w:val="right"/>
              <w:rPr/>
            </w:pPr>
            <w:r>
              <w:rPr>
                <w:rFonts w:cs="Arial" w:ascii="Arial" w:hAnsi="Arial"/>
                <w:shd w:fill="FFFFFF" w:val="clear"/>
              </w:rPr>
              <w:t>9 289,45</w:t>
            </w:r>
          </w:p>
        </w:tc>
        <w:tc>
          <w:tcPr>
            <w:tcW w:w="18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FFFFF" w:val="clear"/>
            <w:tcMar>
              <w:left w:w="60" w:type="dxa"/>
            </w:tcMar>
          </w:tcPr>
          <w:p>
            <w:pPr>
              <w:pStyle w:val="Standard"/>
              <w:jc w:val="right"/>
              <w:rPr/>
            </w:pPr>
            <w:r>
              <w:rPr>
                <w:rFonts w:cs="Arial" w:ascii="Arial" w:hAnsi="Arial"/>
                <w:shd w:fill="FFFFFF" w:val="clear"/>
              </w:rPr>
              <w:t>10 055,05</w:t>
            </w:r>
          </w:p>
        </w:tc>
      </w:tr>
      <w:tr>
        <w:trPr/>
        <w:tc>
          <w:tcPr>
            <w:tcW w:w="23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Interaktívna tabuľa MŠ</w:t>
            </w:r>
          </w:p>
        </w:tc>
        <w:tc>
          <w:tcPr>
            <w:tcW w:w="18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FFFFFF" w:val="clear"/>
            <w:tcMar>
              <w:left w:w="60" w:type="dxa"/>
            </w:tcMar>
          </w:tcPr>
          <w:p>
            <w:pPr>
              <w:pStyle w:val="Standard"/>
              <w:jc w:val="right"/>
              <w:rPr>
                <w:rFonts w:ascii="Arial" w:hAnsi="Arial" w:cs="Arial"/>
                <w:shd w:fill="FFFFFF" w:val="clear"/>
              </w:rPr>
            </w:pPr>
            <w:r>
              <w:rPr>
                <w:rFonts w:cs="Arial" w:ascii="Arial" w:hAnsi="Arial"/>
                <w:shd w:fill="FFFFFF" w:val="clear"/>
              </w:rPr>
              <w:t>1 006,44</w:t>
            </w:r>
          </w:p>
        </w:tc>
        <w:tc>
          <w:tcPr>
            <w:tcW w:w="18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FFFFF" w:val="clear"/>
            <w:tcMar>
              <w:left w:w="60" w:type="dxa"/>
            </w:tcMar>
          </w:tcPr>
          <w:p>
            <w:pPr>
              <w:pStyle w:val="Standard"/>
              <w:jc w:val="right"/>
              <w:rPr>
                <w:rFonts w:ascii="Arial" w:hAnsi="Arial" w:cs="Arial"/>
                <w:shd w:fill="FFFFFF" w:val="clear"/>
              </w:rPr>
            </w:pPr>
            <w:r>
              <w:rPr>
                <w:rFonts w:cs="Arial" w:ascii="Arial" w:hAnsi="Arial"/>
                <w:shd w:fill="FFFFFF" w:val="clear"/>
              </w:rPr>
              <w:t>1 501,80</w:t>
            </w:r>
          </w:p>
        </w:tc>
      </w:tr>
      <w:tr>
        <w:trPr/>
        <w:tc>
          <w:tcPr>
            <w:tcW w:w="23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rPr>
                <w:rFonts w:ascii="Arial" w:hAnsi="Arial" w:cs="Arial"/>
                <w:shd w:fill="FFFFFF" w:val="clear"/>
              </w:rPr>
            </w:pPr>
            <w:r>
              <w:rPr>
                <w:rFonts w:cs="Arial" w:ascii="Arial" w:hAnsi="Arial"/>
                <w:shd w:fill="FFFFFF" w:val="clear"/>
              </w:rPr>
              <w:t>Pranier</w:t>
            </w:r>
          </w:p>
        </w:tc>
        <w:tc>
          <w:tcPr>
            <w:tcW w:w="18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FFFFFF" w:val="clear"/>
            <w:tcMar>
              <w:left w:w="60" w:type="dxa"/>
            </w:tcMar>
          </w:tcPr>
          <w:p>
            <w:pPr>
              <w:pStyle w:val="Standard"/>
              <w:jc w:val="right"/>
              <w:rPr>
                <w:rFonts w:ascii="Arial" w:hAnsi="Arial" w:cs="Arial"/>
                <w:shd w:fill="FFFFFF" w:val="clear"/>
              </w:rPr>
            </w:pPr>
            <w:r>
              <w:rPr>
                <w:rFonts w:cs="Arial" w:ascii="Arial" w:hAnsi="Arial"/>
                <w:shd w:fill="FFFFFF" w:val="clear"/>
              </w:rPr>
            </w:r>
          </w:p>
        </w:tc>
        <w:tc>
          <w:tcPr>
            <w:tcW w:w="18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FFFFF" w:val="clear"/>
            <w:tcMar>
              <w:left w:w="60" w:type="dxa"/>
            </w:tcMar>
          </w:tcPr>
          <w:p>
            <w:pPr>
              <w:pStyle w:val="Standard"/>
              <w:jc w:val="right"/>
              <w:rPr>
                <w:rFonts w:ascii="Arial" w:hAnsi="Arial" w:cs="Arial"/>
                <w:shd w:fill="FFFFFF" w:val="clear"/>
              </w:rPr>
            </w:pPr>
            <w:r>
              <w:rPr>
                <w:rFonts w:cs="Arial" w:ascii="Arial" w:hAnsi="Arial"/>
                <w:shd w:fill="FFFFFF" w:val="clear"/>
              </w:rPr>
              <w:t>980,40</w:t>
            </w:r>
          </w:p>
        </w:tc>
      </w:tr>
      <w:tr>
        <w:trPr/>
        <w:tc>
          <w:tcPr>
            <w:tcW w:w="23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rPr>
                <w:rFonts w:ascii="Arial" w:hAnsi="Arial" w:cs="Arial"/>
                <w:shd w:fill="FFFFFF" w:val="clear"/>
              </w:rPr>
            </w:pPr>
            <w:r>
              <w:rPr>
                <w:rFonts w:cs="Arial" w:ascii="Arial" w:hAnsi="Arial"/>
                <w:shd w:fill="FFFFFF" w:val="clear"/>
              </w:rPr>
              <w:t>Monit. kamer. systém OHZ</w:t>
            </w:r>
          </w:p>
        </w:tc>
        <w:tc>
          <w:tcPr>
            <w:tcW w:w="18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FFFFFF" w:val="clear"/>
            <w:tcMar>
              <w:left w:w="60" w:type="dxa"/>
            </w:tcMar>
          </w:tcPr>
          <w:p>
            <w:pPr>
              <w:pStyle w:val="Standard"/>
              <w:jc w:val="right"/>
              <w:rPr/>
            </w:pPr>
            <w:r>
              <w:rPr>
                <w:rFonts w:cs="Arial" w:ascii="Arial" w:hAnsi="Arial"/>
                <w:shd w:fill="FFFFFF" w:val="clear"/>
              </w:rPr>
              <w:t>2 786,11</w:t>
            </w:r>
          </w:p>
        </w:tc>
        <w:tc>
          <w:tcPr>
            <w:tcW w:w="18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FFFFF" w:val="clear"/>
            <w:tcMar>
              <w:left w:w="60" w:type="dxa"/>
            </w:tcMar>
          </w:tcPr>
          <w:p>
            <w:pPr>
              <w:pStyle w:val="Standard"/>
              <w:jc w:val="right"/>
              <w:rPr>
                <w:rFonts w:ascii="Arial" w:hAnsi="Arial" w:cs="Arial"/>
                <w:shd w:fill="FFFFFF" w:val="clear"/>
              </w:rPr>
            </w:pPr>
            <w:r>
              <w:rPr>
                <w:rFonts w:cs="Arial" w:ascii="Arial" w:hAnsi="Arial"/>
                <w:shd w:fill="FFFFFF" w:val="clear"/>
              </w:rPr>
              <w:t>4 449,52</w:t>
            </w:r>
          </w:p>
        </w:tc>
      </w:tr>
      <w:tr>
        <w:trPr/>
        <w:tc>
          <w:tcPr>
            <w:tcW w:w="23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rPr>
                <w:rFonts w:ascii="Arial" w:hAnsi="Arial" w:cs="Arial"/>
                <w:shd w:fill="FFFFFF" w:val="clear"/>
              </w:rPr>
            </w:pPr>
            <w:r>
              <w:rPr>
                <w:rFonts w:cs="Arial" w:ascii="Arial" w:hAnsi="Arial"/>
                <w:shd w:fill="FFFFFF" w:val="clear"/>
              </w:rPr>
              <w:t>Rekonšt. Partizánska 24</w:t>
            </w:r>
          </w:p>
        </w:tc>
        <w:tc>
          <w:tcPr>
            <w:tcW w:w="18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FFFFFF" w:val="clear"/>
            <w:tcMar>
              <w:left w:w="60" w:type="dxa"/>
            </w:tcMar>
          </w:tcPr>
          <w:p>
            <w:pPr>
              <w:pStyle w:val="Standard"/>
              <w:jc w:val="right"/>
              <w:rPr>
                <w:rFonts w:ascii="Arial" w:hAnsi="Arial" w:cs="Arial"/>
                <w:shd w:fill="FFFFFF" w:val="clear"/>
              </w:rPr>
            </w:pPr>
            <w:r>
              <w:rPr>
                <w:rFonts w:cs="Arial" w:ascii="Arial" w:hAnsi="Arial"/>
                <w:shd w:fill="FFFFFF" w:val="clear"/>
              </w:rPr>
              <w:t>4 331,35</w:t>
            </w:r>
          </w:p>
        </w:tc>
        <w:tc>
          <w:tcPr>
            <w:tcW w:w="18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FFFFF" w:val="clear"/>
            <w:tcMar>
              <w:left w:w="60" w:type="dxa"/>
            </w:tcMar>
          </w:tcPr>
          <w:p>
            <w:pPr>
              <w:pStyle w:val="Standard"/>
              <w:jc w:val="right"/>
              <w:rPr>
                <w:rFonts w:ascii="Arial" w:hAnsi="Arial" w:cs="Arial"/>
                <w:shd w:fill="FFFFFF" w:val="clear"/>
              </w:rPr>
            </w:pPr>
            <w:r>
              <w:rPr>
                <w:rFonts w:cs="Arial" w:ascii="Arial" w:hAnsi="Arial"/>
                <w:shd w:fill="FFFFFF" w:val="clear"/>
              </w:rPr>
              <w:t>4 877,77</w:t>
            </w:r>
          </w:p>
        </w:tc>
      </w:tr>
      <w:tr>
        <w:trPr/>
        <w:tc>
          <w:tcPr>
            <w:tcW w:w="23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rPr>
                <w:rFonts w:ascii="Arial" w:hAnsi="Arial" w:cs="Arial"/>
                <w:shd w:fill="FFFFFF" w:val="clear"/>
              </w:rPr>
            </w:pPr>
            <w:r>
              <w:rPr>
                <w:rFonts w:cs="Arial" w:ascii="Arial" w:hAnsi="Arial"/>
                <w:shd w:fill="FFFFFF" w:val="clear"/>
              </w:rPr>
              <w:t>Rekonštr. Dom Pri Váhu</w:t>
            </w:r>
          </w:p>
        </w:tc>
        <w:tc>
          <w:tcPr>
            <w:tcW w:w="18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FFFFFF" w:val="clear"/>
            <w:tcMar>
              <w:left w:w="60" w:type="dxa"/>
            </w:tcMar>
          </w:tcPr>
          <w:p>
            <w:pPr>
              <w:pStyle w:val="Standard"/>
              <w:jc w:val="right"/>
              <w:rPr>
                <w:rFonts w:ascii="Arial" w:hAnsi="Arial" w:cs="Arial"/>
                <w:shd w:fill="FFFFFF" w:val="clear"/>
              </w:rPr>
            </w:pPr>
            <w:r>
              <w:rPr>
                <w:rFonts w:cs="Arial" w:ascii="Arial" w:hAnsi="Arial"/>
                <w:shd w:fill="FFFFFF" w:val="clear"/>
              </w:rPr>
              <w:t>6 615,81</w:t>
            </w:r>
          </w:p>
        </w:tc>
        <w:tc>
          <w:tcPr>
            <w:tcW w:w="18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FFFFF" w:val="clear"/>
            <w:tcMar>
              <w:left w:w="60" w:type="dxa"/>
            </w:tcMar>
          </w:tcPr>
          <w:p>
            <w:pPr>
              <w:pStyle w:val="Standard"/>
              <w:jc w:val="right"/>
              <w:rPr>
                <w:rFonts w:ascii="Arial" w:hAnsi="Arial" w:cs="Arial"/>
                <w:shd w:fill="FFFFFF" w:val="clear"/>
              </w:rPr>
            </w:pPr>
            <w:r>
              <w:rPr>
                <w:rFonts w:cs="Arial" w:ascii="Arial" w:hAnsi="Arial"/>
                <w:shd w:fill="FFFFFF" w:val="clear"/>
              </w:rPr>
              <w:t>7 058,37</w:t>
            </w:r>
          </w:p>
        </w:tc>
      </w:tr>
      <w:tr>
        <w:trPr/>
        <w:tc>
          <w:tcPr>
            <w:tcW w:w="23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rPr/>
            </w:pPr>
            <w:r>
              <w:rPr>
                <w:rFonts w:cs="Arial" w:ascii="Arial" w:hAnsi="Arial"/>
                <w:shd w:fill="FFFFFF" w:val="clear"/>
              </w:rPr>
              <w:t>Rekonštrukcia kolkárne</w:t>
            </w:r>
          </w:p>
        </w:tc>
        <w:tc>
          <w:tcPr>
            <w:tcW w:w="18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FFFFFF" w:val="clear"/>
            <w:tcMar>
              <w:left w:w="60" w:type="dxa"/>
            </w:tcMar>
          </w:tcPr>
          <w:p>
            <w:pPr>
              <w:pStyle w:val="Standard"/>
              <w:jc w:val="right"/>
              <w:rPr>
                <w:rFonts w:ascii="Arial" w:hAnsi="Arial" w:cs="Arial"/>
                <w:shd w:fill="FFFFFF" w:val="clear"/>
              </w:rPr>
            </w:pPr>
            <w:r>
              <w:rPr>
                <w:rFonts w:cs="Arial" w:ascii="Arial" w:hAnsi="Arial"/>
                <w:shd w:fill="FFFFFF" w:val="clear"/>
              </w:rPr>
              <w:t>1 006,22</w:t>
            </w:r>
          </w:p>
        </w:tc>
        <w:tc>
          <w:tcPr>
            <w:tcW w:w="18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FFFFF" w:val="clear"/>
            <w:tcMar>
              <w:left w:w="60" w:type="dxa"/>
            </w:tcMar>
          </w:tcPr>
          <w:p>
            <w:pPr>
              <w:pStyle w:val="Standard"/>
              <w:jc w:val="right"/>
              <w:rPr>
                <w:rFonts w:ascii="Arial" w:hAnsi="Arial" w:cs="Arial"/>
                <w:shd w:fill="FFFFFF" w:val="clear"/>
              </w:rPr>
            </w:pPr>
            <w:r>
              <w:rPr>
                <w:rFonts w:cs="Arial" w:ascii="Arial" w:hAnsi="Arial"/>
                <w:shd w:fill="FFFFFF" w:val="clear"/>
              </w:rPr>
              <w:t>1 086,38</w:t>
            </w:r>
          </w:p>
        </w:tc>
      </w:tr>
      <w:tr>
        <w:trPr/>
        <w:tc>
          <w:tcPr>
            <w:tcW w:w="23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rPr>
                <w:rFonts w:ascii="Arial" w:hAnsi="Arial" w:cs="Arial"/>
                <w:shd w:fill="FFFFFF" w:val="clear"/>
              </w:rPr>
            </w:pPr>
            <w:r>
              <w:rPr>
                <w:rFonts w:cs="Arial" w:ascii="Arial" w:hAnsi="Arial"/>
                <w:shd w:fill="FFFFFF" w:val="clear"/>
              </w:rPr>
              <w:t>Zberný dvor</w:t>
            </w:r>
          </w:p>
        </w:tc>
        <w:tc>
          <w:tcPr>
            <w:tcW w:w="18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FFFFFF" w:val="clear"/>
            <w:tcMar>
              <w:left w:w="60" w:type="dxa"/>
            </w:tcMar>
          </w:tcPr>
          <w:p>
            <w:pPr>
              <w:pStyle w:val="Standard"/>
              <w:jc w:val="right"/>
              <w:rPr/>
            </w:pPr>
            <w:r>
              <w:rPr>
                <w:rFonts w:cs="Arial" w:ascii="Arial" w:hAnsi="Arial"/>
                <w:shd w:fill="FFFFFF" w:val="clear"/>
              </w:rPr>
              <w:t>10 953,09</w:t>
            </w:r>
          </w:p>
        </w:tc>
        <w:tc>
          <w:tcPr>
            <w:tcW w:w="18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FFFFF" w:val="clear"/>
            <w:tcMar>
              <w:left w:w="60" w:type="dxa"/>
            </w:tcMar>
          </w:tcPr>
          <w:p>
            <w:pPr>
              <w:pStyle w:val="Standard"/>
              <w:jc w:val="right"/>
              <w:rPr>
                <w:rFonts w:ascii="Arial" w:hAnsi="Arial" w:cs="Arial"/>
                <w:shd w:fill="FFFFFF" w:val="clear"/>
              </w:rPr>
            </w:pPr>
            <w:r>
              <w:rPr>
                <w:rFonts w:cs="Arial" w:ascii="Arial" w:hAnsi="Arial"/>
                <w:shd w:fill="FFFFFF" w:val="clear"/>
              </w:rPr>
              <w:t>11 617,03</w:t>
            </w:r>
          </w:p>
        </w:tc>
      </w:tr>
      <w:tr>
        <w:trPr/>
        <w:tc>
          <w:tcPr>
            <w:tcW w:w="23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rPr>
                <w:rFonts w:ascii="Arial" w:hAnsi="Arial" w:cs="Arial"/>
                <w:shd w:fill="FFFFFF" w:val="clear"/>
              </w:rPr>
            </w:pPr>
            <w:r>
              <w:rPr>
                <w:rFonts w:cs="Arial" w:ascii="Arial" w:hAnsi="Arial"/>
                <w:shd w:fill="FFFFFF" w:val="clear"/>
              </w:rPr>
              <w:t>Striedačky</w:t>
            </w:r>
          </w:p>
        </w:tc>
        <w:tc>
          <w:tcPr>
            <w:tcW w:w="18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FFFFFF" w:val="clear"/>
            <w:tcMar>
              <w:left w:w="60" w:type="dxa"/>
            </w:tcMar>
          </w:tcPr>
          <w:p>
            <w:pPr>
              <w:pStyle w:val="Standard"/>
              <w:jc w:val="right"/>
              <w:rPr>
                <w:rFonts w:ascii="Arial" w:hAnsi="Arial" w:cs="Arial"/>
                <w:shd w:fill="FFFFFF" w:val="clear"/>
              </w:rPr>
            </w:pPr>
            <w:r>
              <w:rPr>
                <w:rFonts w:cs="Arial" w:ascii="Arial" w:hAnsi="Arial"/>
                <w:shd w:fill="FFFFFF" w:val="clear"/>
              </w:rPr>
              <w:t>605,98</w:t>
            </w:r>
          </w:p>
        </w:tc>
        <w:tc>
          <w:tcPr>
            <w:tcW w:w="18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FFFFF" w:val="clear"/>
            <w:tcMar>
              <w:left w:w="60" w:type="dxa"/>
            </w:tcMar>
          </w:tcPr>
          <w:p>
            <w:pPr>
              <w:pStyle w:val="Standard"/>
              <w:jc w:val="right"/>
              <w:rPr>
                <w:rFonts w:ascii="Arial" w:hAnsi="Arial" w:cs="Arial"/>
                <w:shd w:fill="FFFFFF" w:val="clear"/>
              </w:rPr>
            </w:pPr>
            <w:r>
              <w:rPr>
                <w:rFonts w:cs="Arial" w:ascii="Arial" w:hAnsi="Arial"/>
                <w:shd w:fill="FFFFFF" w:val="clear"/>
              </w:rPr>
              <w:t>910,42</w:t>
            </w:r>
          </w:p>
        </w:tc>
      </w:tr>
      <w:tr>
        <w:trPr/>
        <w:tc>
          <w:tcPr>
            <w:tcW w:w="23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rPr>
                <w:rFonts w:ascii="Arial" w:hAnsi="Arial" w:cs="Arial"/>
                <w:shd w:fill="FFFFFF" w:val="clear"/>
              </w:rPr>
            </w:pPr>
            <w:r>
              <w:rPr>
                <w:rFonts w:cs="Arial" w:ascii="Arial" w:hAnsi="Arial"/>
                <w:shd w:fill="FFFFFF" w:val="clear"/>
              </w:rPr>
              <w:t>Pamätník M. Hodža</w:t>
            </w:r>
          </w:p>
        </w:tc>
        <w:tc>
          <w:tcPr>
            <w:tcW w:w="18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FFFFFF" w:val="clear"/>
            <w:tcMar>
              <w:left w:w="60" w:type="dxa"/>
            </w:tcMar>
          </w:tcPr>
          <w:p>
            <w:pPr>
              <w:pStyle w:val="Standard"/>
              <w:jc w:val="right"/>
              <w:rPr>
                <w:rFonts w:ascii="Arial" w:hAnsi="Arial" w:cs="Arial"/>
                <w:shd w:fill="FFFFFF" w:val="clear"/>
              </w:rPr>
            </w:pPr>
            <w:r>
              <w:rPr>
                <w:rFonts w:cs="Arial" w:ascii="Arial" w:hAnsi="Arial"/>
                <w:shd w:fill="FFFFFF" w:val="clear"/>
              </w:rPr>
              <w:t>989,66</w:t>
            </w:r>
          </w:p>
        </w:tc>
        <w:tc>
          <w:tcPr>
            <w:tcW w:w="18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FFFFF" w:val="clear"/>
            <w:tcMar>
              <w:left w:w="60" w:type="dxa"/>
            </w:tcMar>
          </w:tcPr>
          <w:p>
            <w:pPr>
              <w:pStyle w:val="Standard"/>
              <w:jc w:val="right"/>
              <w:rPr>
                <w:rFonts w:ascii="Arial" w:hAnsi="Arial" w:cs="Arial"/>
                <w:shd w:fill="FFFFFF" w:val="clear"/>
              </w:rPr>
            </w:pPr>
            <w:r>
              <w:rPr>
                <w:rFonts w:cs="Arial" w:ascii="Arial" w:hAnsi="Arial"/>
                <w:shd w:fill="FFFFFF" w:val="clear"/>
              </w:rPr>
              <w:t>1 291,34</w:t>
            </w:r>
          </w:p>
        </w:tc>
      </w:tr>
      <w:tr>
        <w:trPr/>
        <w:tc>
          <w:tcPr>
            <w:tcW w:w="23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rPr/>
            </w:pPr>
            <w:r>
              <w:rPr>
                <w:rFonts w:cs="Arial" w:ascii="Arial" w:hAnsi="Arial"/>
                <w:shd w:fill="FFFFFF" w:val="clear"/>
              </w:rPr>
              <w:t>Výnosy – hrobové miesta</w:t>
            </w:r>
          </w:p>
        </w:tc>
        <w:tc>
          <w:tcPr>
            <w:tcW w:w="18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FFFFFF" w:val="clear"/>
            <w:tcMar>
              <w:left w:w="60" w:type="dxa"/>
            </w:tcMar>
          </w:tcPr>
          <w:p>
            <w:pPr>
              <w:pStyle w:val="Standard"/>
              <w:jc w:val="right"/>
              <w:rPr>
                <w:rFonts w:ascii="Arial" w:hAnsi="Arial" w:cs="Arial"/>
                <w:shd w:fill="FFFFFF" w:val="clear"/>
              </w:rPr>
            </w:pPr>
            <w:r>
              <w:rPr>
                <w:rFonts w:cs="Arial" w:ascii="Arial" w:hAnsi="Arial"/>
                <w:shd w:fill="FFFFFF" w:val="clear"/>
              </w:rPr>
              <w:t>3 960,18</w:t>
            </w:r>
          </w:p>
        </w:tc>
        <w:tc>
          <w:tcPr>
            <w:tcW w:w="18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FFFFF" w:val="clear"/>
            <w:tcMar>
              <w:left w:w="60" w:type="dxa"/>
            </w:tcMar>
          </w:tcPr>
          <w:p>
            <w:pPr>
              <w:pStyle w:val="Standard"/>
              <w:jc w:val="right"/>
              <w:rPr>
                <w:rFonts w:ascii="Arial" w:hAnsi="Arial" w:cs="Arial"/>
                <w:shd w:fill="FFFFFF" w:val="clear"/>
              </w:rPr>
            </w:pPr>
            <w:r>
              <w:rPr>
                <w:rFonts w:cs="Arial" w:ascii="Arial" w:hAnsi="Arial"/>
                <w:shd w:fill="FFFFFF" w:val="clear"/>
              </w:rPr>
              <w:t>1 298,75</w:t>
            </w:r>
          </w:p>
        </w:tc>
      </w:tr>
      <w:tr>
        <w:trPr/>
        <w:tc>
          <w:tcPr>
            <w:tcW w:w="23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rPr>
                <w:rFonts w:ascii="Arial" w:hAnsi="Arial" w:cs="Arial"/>
                <w:shd w:fill="FFFFFF" w:val="clear"/>
              </w:rPr>
            </w:pPr>
            <w:r>
              <w:rPr>
                <w:rFonts w:cs="Arial" w:ascii="Arial" w:hAnsi="Arial"/>
                <w:shd w:fill="FFFFFF" w:val="clear"/>
              </w:rPr>
              <w:t>Výherné automaty</w:t>
            </w:r>
          </w:p>
        </w:tc>
        <w:tc>
          <w:tcPr>
            <w:tcW w:w="18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FFFFFF" w:val="clear"/>
            <w:tcMar>
              <w:left w:w="60" w:type="dxa"/>
            </w:tcMar>
          </w:tcPr>
          <w:p>
            <w:pPr>
              <w:pStyle w:val="Standard"/>
              <w:jc w:val="right"/>
              <w:rPr>
                <w:rFonts w:ascii="Arial" w:hAnsi="Arial" w:cs="Arial"/>
                <w:shd w:fill="FFFFFF" w:val="clear"/>
              </w:rPr>
            </w:pPr>
            <w:r>
              <w:rPr>
                <w:rFonts w:cs="Arial" w:ascii="Arial" w:hAnsi="Arial"/>
                <w:shd w:fill="FFFFFF" w:val="clear"/>
              </w:rPr>
              <w:t>6 000,00</w:t>
            </w:r>
          </w:p>
        </w:tc>
        <w:tc>
          <w:tcPr>
            <w:tcW w:w="18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FFFFF" w:val="clear"/>
            <w:tcMar>
              <w:left w:w="60" w:type="dxa"/>
            </w:tcMar>
          </w:tcPr>
          <w:p>
            <w:pPr>
              <w:pStyle w:val="Standard"/>
              <w:jc w:val="right"/>
              <w:rPr>
                <w:rFonts w:ascii="Arial" w:hAnsi="Arial" w:cs="Arial"/>
                <w:shd w:fill="FFFFFF" w:val="clear"/>
              </w:rPr>
            </w:pPr>
            <w:r>
              <w:rPr>
                <w:rFonts w:cs="Arial" w:ascii="Arial" w:hAnsi="Arial"/>
                <w:shd w:fill="FFFFFF" w:val="clear"/>
              </w:rPr>
              <w:t>6 000,00</w:t>
            </w:r>
          </w:p>
        </w:tc>
      </w:tr>
      <w:tr>
        <w:trPr/>
        <w:tc>
          <w:tcPr>
            <w:tcW w:w="23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rPr>
                <w:rFonts w:ascii="Arial" w:hAnsi="Arial" w:cs="Arial"/>
                <w:shd w:fill="FFFFFF" w:val="clear"/>
              </w:rPr>
            </w:pPr>
            <w:r>
              <w:rPr>
                <w:rFonts w:cs="Arial" w:ascii="Arial" w:hAnsi="Arial"/>
                <w:shd w:fill="FFFFFF" w:val="clear"/>
              </w:rPr>
              <w:t>DHM ZŠ</w:t>
            </w:r>
          </w:p>
        </w:tc>
        <w:tc>
          <w:tcPr>
            <w:tcW w:w="18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FFFFFF" w:val="clear"/>
            <w:tcMar>
              <w:left w:w="60" w:type="dxa"/>
            </w:tcMar>
          </w:tcPr>
          <w:p>
            <w:pPr>
              <w:pStyle w:val="Standard"/>
              <w:jc w:val="right"/>
              <w:rPr>
                <w:rFonts w:ascii="Arial" w:hAnsi="Arial" w:cs="Arial"/>
                <w:shd w:fill="FFFFFF" w:val="clear"/>
              </w:rPr>
            </w:pPr>
            <w:r>
              <w:rPr>
                <w:rFonts w:cs="Arial" w:ascii="Arial" w:hAnsi="Arial"/>
                <w:shd w:fill="FFFFFF" w:val="clear"/>
              </w:rPr>
              <w:t>13 469,89</w:t>
            </w:r>
          </w:p>
        </w:tc>
        <w:tc>
          <w:tcPr>
            <w:tcW w:w="18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FFFFF" w:val="clear"/>
            <w:tcMar>
              <w:left w:w="60" w:type="dxa"/>
            </w:tcMar>
          </w:tcPr>
          <w:p>
            <w:pPr>
              <w:pStyle w:val="Standard"/>
              <w:jc w:val="right"/>
              <w:rPr>
                <w:rFonts w:ascii="Arial" w:hAnsi="Arial" w:cs="Arial"/>
                <w:shd w:fill="FFFFFF" w:val="clear"/>
              </w:rPr>
            </w:pPr>
            <w:r>
              <w:rPr>
                <w:rFonts w:cs="Arial" w:ascii="Arial" w:hAnsi="Arial"/>
                <w:shd w:fill="FFFFFF" w:val="clear"/>
              </w:rPr>
              <w:t>0,00</w:t>
            </w:r>
          </w:p>
        </w:tc>
      </w:tr>
      <w:tr>
        <w:trPr/>
        <w:tc>
          <w:tcPr>
            <w:tcW w:w="23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rPr>
                <w:rFonts w:ascii="Arial" w:hAnsi="Arial" w:cs="Arial"/>
                <w:shd w:fill="FFFFFF" w:val="clear"/>
              </w:rPr>
            </w:pPr>
            <w:r>
              <w:rPr>
                <w:rFonts w:cs="Arial" w:ascii="Arial" w:hAnsi="Arial"/>
                <w:shd w:fill="FFFFFF" w:val="clear"/>
              </w:rPr>
              <w:t>Revitalizácia verejných priestranstiev</w:t>
            </w:r>
          </w:p>
        </w:tc>
        <w:tc>
          <w:tcPr>
            <w:tcW w:w="18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FFFFFF" w:val="clear"/>
            <w:tcMar>
              <w:left w:w="60" w:type="dxa"/>
            </w:tcMar>
          </w:tcPr>
          <w:p>
            <w:pPr>
              <w:pStyle w:val="Standard"/>
              <w:jc w:val="right"/>
              <w:rPr>
                <w:rFonts w:ascii="Arial" w:hAnsi="Arial" w:cs="Arial"/>
                <w:shd w:fill="FFFFFF" w:val="clear"/>
              </w:rPr>
            </w:pPr>
            <w:r>
              <w:rPr>
                <w:rFonts w:cs="Arial" w:ascii="Arial" w:hAnsi="Arial"/>
                <w:shd w:fill="FFFFFF" w:val="clear"/>
              </w:rPr>
              <w:t>491 521,02</w:t>
            </w:r>
          </w:p>
        </w:tc>
        <w:tc>
          <w:tcPr>
            <w:tcW w:w="18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FFFFF" w:val="clear"/>
            <w:tcMar>
              <w:left w:w="60" w:type="dxa"/>
            </w:tcMar>
          </w:tcPr>
          <w:p>
            <w:pPr>
              <w:pStyle w:val="Standard"/>
              <w:jc w:val="right"/>
              <w:rPr>
                <w:rFonts w:ascii="Arial" w:hAnsi="Arial" w:cs="Arial"/>
                <w:shd w:fill="FFFFFF" w:val="clear"/>
              </w:rPr>
            </w:pPr>
            <w:r>
              <w:rPr>
                <w:rFonts w:cs="Arial" w:ascii="Arial" w:hAnsi="Arial"/>
                <w:shd w:fill="FFFFFF" w:val="clear"/>
              </w:rPr>
              <w:t>0,00</w:t>
            </w:r>
          </w:p>
        </w:tc>
      </w:tr>
      <w:tr>
        <w:trPr/>
        <w:tc>
          <w:tcPr>
            <w:tcW w:w="23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rPr>
                <w:rFonts w:ascii="Arial" w:hAnsi="Arial" w:cs="Arial"/>
                <w:shd w:fill="FFFFFF" w:val="clear"/>
              </w:rPr>
            </w:pPr>
            <w:r>
              <w:rPr>
                <w:rFonts w:cs="Arial" w:ascii="Arial" w:hAnsi="Arial"/>
                <w:shd w:fill="FFFFFF" w:val="clear"/>
              </w:rPr>
              <w:t>Pozemky priem. park</w:t>
            </w:r>
          </w:p>
        </w:tc>
        <w:tc>
          <w:tcPr>
            <w:tcW w:w="18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FFFFFF" w:val="clear"/>
            <w:tcMar>
              <w:left w:w="60" w:type="dxa"/>
            </w:tcMar>
          </w:tcPr>
          <w:p>
            <w:pPr>
              <w:pStyle w:val="Standard"/>
              <w:jc w:val="right"/>
              <w:rPr>
                <w:rFonts w:ascii="Arial" w:hAnsi="Arial" w:cs="Arial"/>
                <w:shd w:fill="FFFFFF" w:val="clear"/>
              </w:rPr>
            </w:pPr>
            <w:r>
              <w:rPr>
                <w:rFonts w:cs="Arial" w:ascii="Arial" w:hAnsi="Arial"/>
                <w:shd w:fill="FFFFFF" w:val="clear"/>
              </w:rPr>
              <w:t>132 177,50</w:t>
            </w:r>
          </w:p>
        </w:tc>
        <w:tc>
          <w:tcPr>
            <w:tcW w:w="18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FFFFF" w:val="clear"/>
            <w:tcMar>
              <w:left w:w="60" w:type="dxa"/>
            </w:tcMar>
          </w:tcPr>
          <w:p>
            <w:pPr>
              <w:pStyle w:val="Standard"/>
              <w:jc w:val="right"/>
              <w:rPr>
                <w:rFonts w:ascii="Arial" w:hAnsi="Arial" w:cs="Arial"/>
                <w:shd w:fill="FFFFFF" w:val="clear"/>
              </w:rPr>
            </w:pPr>
            <w:r>
              <w:rPr>
                <w:rFonts w:cs="Arial" w:ascii="Arial" w:hAnsi="Arial"/>
                <w:shd w:fill="FFFFFF" w:val="clear"/>
              </w:rPr>
              <w:t>0,00</w:t>
            </w:r>
          </w:p>
        </w:tc>
      </w:tr>
      <w:tr>
        <w:trPr>
          <w:trHeight w:val="325" w:hRule="atLeast"/>
        </w:trPr>
        <w:tc>
          <w:tcPr>
            <w:tcW w:w="23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Standard"/>
              <w:rPr/>
            </w:pPr>
            <w:r>
              <w:rPr>
                <w:rFonts w:cs="Arial" w:ascii="Arial" w:hAnsi="Arial"/>
                <w:b/>
              </w:rPr>
              <w:t xml:space="preserve">Spolu </w:t>
            </w:r>
            <w:r>
              <w:rPr>
                <w:rFonts w:cs="Arial" w:ascii="Arial" w:hAnsi="Arial"/>
                <w:b/>
                <w:shd w:fill="FFFFFF" w:val="clear"/>
              </w:rPr>
              <w:t xml:space="preserve">výnosy </w:t>
            </w:r>
            <w:r>
              <w:rPr>
                <w:rFonts w:cs="Arial" w:ascii="Arial" w:hAnsi="Arial"/>
                <w:b/>
              </w:rPr>
              <w:t>budúcich období</w:t>
            </w:r>
          </w:p>
        </w:tc>
        <w:tc>
          <w:tcPr>
            <w:tcW w:w="18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FFFFFF" w:val="clear"/>
            <w:tcMar>
              <w:left w:w="60" w:type="dxa"/>
            </w:tcMar>
          </w:tcPr>
          <w:p>
            <w:pPr>
              <w:pStyle w:val="Standard"/>
              <w:jc w:val="right"/>
              <w:rPr>
                <w:color w:val="000000"/>
              </w:rPr>
            </w:pPr>
            <w:r>
              <w:rPr>
                <w:color w:val="000000"/>
              </w:rPr>
            </w:r>
          </w:p>
          <w:p>
            <w:pPr>
              <w:pStyle w:val="Standard"/>
              <w:jc w:val="right"/>
              <w:rPr>
                <w:color w:val="000000"/>
              </w:rPr>
            </w:pPr>
            <w:r>
              <w:rPr>
                <w:rFonts w:cs="Arial" w:ascii="Arial" w:hAnsi="Arial"/>
                <w:b/>
                <w:color w:val="000000"/>
              </w:rPr>
              <w:t>2 281 </w:t>
            </w:r>
            <w:r>
              <w:rPr>
                <w:rFonts w:cs="Arial" w:ascii="Arial" w:hAnsi="Arial"/>
                <w:b/>
                <w:color w:val="000000"/>
              </w:rPr>
              <w:t>953,15</w:t>
            </w:r>
          </w:p>
        </w:tc>
        <w:tc>
          <w:tcPr>
            <w:tcW w:w="18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FFFFF" w:val="clear"/>
            <w:tcMar>
              <w:left w:w="60" w:type="dxa"/>
            </w:tcMar>
          </w:tcPr>
          <w:p>
            <w:pPr>
              <w:pStyle w:val="Standard"/>
              <w:jc w:val="right"/>
              <w:rPr>
                <w:color w:val="000000"/>
              </w:rPr>
            </w:pPr>
            <w:r>
              <w:rPr>
                <w:color w:val="000000"/>
              </w:rPr>
            </w:r>
          </w:p>
          <w:p>
            <w:pPr>
              <w:pStyle w:val="Standard"/>
              <w:jc w:val="right"/>
              <w:rPr>
                <w:color w:val="000000"/>
              </w:rPr>
            </w:pPr>
            <w:r>
              <w:rPr>
                <w:rFonts w:cs="Arial" w:ascii="Arial" w:hAnsi="Arial"/>
                <w:b/>
                <w:color w:val="000000"/>
                <w:shd w:fill="FFFFFF" w:val="clear"/>
              </w:rPr>
              <w:t>1 314 127,47</w:t>
            </w:r>
          </w:p>
        </w:tc>
      </w:tr>
    </w:tbl>
    <w:p>
      <w:pPr>
        <w:pStyle w:val="Pismenka"/>
        <w:ind w:left="360" w:hanging="0"/>
        <w:rPr>
          <w:rFonts w:ascii="Arial" w:hAnsi="Arial" w:eastAsia="Arial" w:cs="Arial"/>
        </w:rPr>
      </w:pPr>
      <w:r>
        <w:rPr>
          <w:rFonts w:eastAsia="Arial" w:cs="Arial" w:ascii="Arial" w:hAnsi="Arial"/>
        </w:rPr>
        <w:t xml:space="preserve">   </w:t>
      </w:r>
    </w:p>
    <w:p>
      <w:pPr>
        <w:pStyle w:val="Pismenka"/>
        <w:ind w:left="360" w:hanging="0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Pismenka"/>
        <w:ind w:left="360" w:hanging="0"/>
        <w:rPr>
          <w:rFonts w:ascii="Arial" w:hAnsi="Arial" w:cs="Arial"/>
          <w:shd w:fill="FFFF00" w:val="clear"/>
        </w:rPr>
      </w:pPr>
      <w:r>
        <w:rPr>
          <w:rFonts w:cs="Arial" w:ascii="Arial" w:hAnsi="Arial"/>
        </w:rPr>
      </w:r>
    </w:p>
    <w:p>
      <w:pPr>
        <w:pStyle w:val="Standard"/>
        <w:numPr>
          <w:ilvl w:val="0"/>
          <w:numId w:val="5"/>
        </w:numPr>
        <w:spacing w:before="60" w:after="60"/>
        <w:rPr/>
      </w:pP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z w:val="22"/>
          <w:szCs w:val="22"/>
        </w:rPr>
        <w:t>áklady konsolidovaného celku</w:t>
      </w:r>
    </w:p>
    <w:p>
      <w:pPr>
        <w:pStyle w:val="Standard"/>
        <w:spacing w:before="60" w:after="60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  <w:t>a)  Náklady na služby</w:t>
      </w:r>
    </w:p>
    <w:p>
      <w:pPr>
        <w:pStyle w:val="Standard"/>
        <w:rPr/>
      </w:pPr>
      <w:r>
        <w:rPr>
          <w:rFonts w:eastAsia="Arial" w:cs="Arial" w:ascii="Arial" w:hAnsi="Arial"/>
        </w:rPr>
        <w:t xml:space="preserve">     </w:t>
      </w:r>
      <w:r>
        <w:rPr>
          <w:rFonts w:cs="Arial" w:ascii="Arial" w:hAnsi="Arial"/>
        </w:rPr>
        <w:t xml:space="preserve">Detailný rozpis významných nákladov na služby je uvedený v tabuľkovej časti – </w:t>
      </w:r>
      <w:r>
        <w:rPr>
          <w:rFonts w:cs="Arial" w:ascii="Arial" w:hAnsi="Arial"/>
          <w:color w:val="0000CC"/>
        </w:rPr>
        <w:t>tabuľka č. 19</w:t>
      </w:r>
    </w:p>
    <w:p>
      <w:pPr>
        <w:pStyle w:val="Standard"/>
        <w:rPr/>
      </w:pPr>
      <w:r>
        <w:rPr/>
      </w:r>
    </w:p>
    <w:p>
      <w:pPr>
        <w:pStyle w:val="Standard"/>
        <w:rPr/>
      </w:pPr>
      <w:r>
        <w:rPr>
          <w:rFonts w:cs="Arial" w:ascii="Arial" w:hAnsi="Arial"/>
          <w:color w:val="000000"/>
        </w:rPr>
        <w:t xml:space="preserve">Najvýznamnejšiu položku v nákladoch na služby tvoria náklady na zber, odvoz a uskladnenie komunálneho odpadu </w:t>
      </w:r>
      <w:r>
        <w:rPr>
          <w:rFonts w:cs="Arial" w:ascii="Arial" w:hAnsi="Arial"/>
          <w:color w:val="000000"/>
        </w:rPr>
        <w:t xml:space="preserve">vo výške </w:t>
      </w:r>
      <w:r>
        <w:rPr>
          <w:rFonts w:cs="Arial" w:ascii="Arial" w:hAnsi="Arial"/>
          <w:color w:val="000000"/>
          <w:shd w:fill="auto" w:val="clear"/>
        </w:rPr>
        <w:t xml:space="preserve"> </w:t>
      </w:r>
      <w:r>
        <w:rPr>
          <w:rFonts w:cs="Arial" w:ascii="Arial" w:hAnsi="Arial"/>
          <w:color w:val="000000"/>
          <w:shd w:fill="auto" w:val="clear"/>
        </w:rPr>
        <w:t>131 183,99 €.</w:t>
      </w:r>
    </w:p>
    <w:p>
      <w:pPr>
        <w:pStyle w:val="Standard"/>
        <w:rPr>
          <w:color w:val="FF0000"/>
        </w:rPr>
      </w:pPr>
      <w:r>
        <w:rPr>
          <w:rFonts w:eastAsia="Arial" w:cs="Arial" w:ascii="Arial" w:hAnsi="Arial"/>
          <w:i/>
          <w:color w:val="FF0000"/>
        </w:rPr>
        <w:t xml:space="preserve">    </w:t>
      </w:r>
    </w:p>
    <w:p>
      <w:pPr>
        <w:pStyle w:val="Standard"/>
        <w:spacing w:before="60" w:after="60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  <w:t>b) Ostatné náklady na prevádzkovú činnosť v €</w:t>
      </w:r>
    </w:p>
    <w:p>
      <w:pPr>
        <w:pStyle w:val="Standard"/>
        <w:rPr/>
      </w:pPr>
      <w:r>
        <w:rPr>
          <w:rFonts w:eastAsia="Arial" w:cs="Arial" w:ascii="Arial" w:hAnsi="Arial"/>
          <w:b/>
        </w:rPr>
        <w:t xml:space="preserve">    </w:t>
      </w:r>
      <w:r>
        <w:rPr>
          <w:rFonts w:cs="Arial" w:ascii="Arial" w:hAnsi="Arial"/>
        </w:rPr>
        <w:t xml:space="preserve">Detailný rozpis významných nákladov na </w:t>
      </w:r>
      <w:r>
        <w:rPr>
          <w:rFonts w:cs="Arial" w:ascii="Arial" w:hAnsi="Arial"/>
          <w:color w:val="000000"/>
        </w:rPr>
        <w:t>prevádzkovú činnosť</w:t>
      </w:r>
      <w:r>
        <w:rPr>
          <w:rFonts w:cs="Arial" w:ascii="Arial" w:hAnsi="Arial"/>
          <w:color w:val="000000"/>
        </w:rPr>
        <w:t xml:space="preserve"> je</w:t>
      </w:r>
      <w:r>
        <w:rPr>
          <w:rFonts w:cs="Arial" w:ascii="Arial" w:hAnsi="Arial"/>
        </w:rPr>
        <w:t xml:space="preserve"> uvedený v tabuľkovej časti – </w:t>
      </w:r>
      <w:r>
        <w:rPr>
          <w:rFonts w:cs="Arial" w:ascii="Arial" w:hAnsi="Arial"/>
          <w:color w:val="0000CC"/>
        </w:rPr>
        <w:t>tabuľka č. 20</w:t>
      </w:r>
    </w:p>
    <w:p>
      <w:pPr>
        <w:pStyle w:val="Standard"/>
        <w:rPr>
          <w:rFonts w:ascii="Arial" w:hAnsi="Arial" w:cs="Arial"/>
          <w:b/>
          <w:b/>
          <w:color w:val="0000CC"/>
        </w:rPr>
      </w:pPr>
      <w:r>
        <w:rPr>
          <w:rFonts w:cs="Arial" w:ascii="Arial" w:hAnsi="Arial"/>
          <w:b/>
          <w:color w:val="0000CC"/>
        </w:rPr>
      </w:r>
    </w:p>
    <w:p>
      <w:pPr>
        <w:pStyle w:val="Standard"/>
        <w:rPr/>
      </w:pPr>
      <w:r>
        <w:rPr>
          <w:rFonts w:eastAsia="Arial" w:cs="Arial" w:ascii="Arial" w:hAnsi="Arial"/>
          <w:color w:val="000000"/>
        </w:rPr>
        <w:t xml:space="preserve">Významnú položku na ostatných nákladoch na </w:t>
      </w:r>
      <w:r>
        <w:rPr>
          <w:rFonts w:eastAsia="Arial" w:cs="Arial" w:ascii="Arial" w:hAnsi="Arial"/>
          <w:color w:val="000000"/>
        </w:rPr>
        <w:t>prevádzkovú činno</w:t>
      </w:r>
      <w:r>
        <w:rPr>
          <w:rFonts w:eastAsia="Arial" w:cs="Arial" w:ascii="Arial" w:hAnsi="Arial"/>
          <w:color w:val="000000"/>
        </w:rPr>
        <w:t>sť tvorí náklad na prevádzku školského klubu detí pri ZŠ SNP /27 312,00 €/ a náklady na prevádzku školskej jedálne pri ZŠ SNP /51 344,56 €/.</w:t>
      </w:r>
    </w:p>
    <w:p>
      <w:pPr>
        <w:pStyle w:val="Standard"/>
        <w:spacing w:before="60" w:after="60"/>
        <w:rPr>
          <w:rFonts w:ascii="Arial" w:hAnsi="Arial" w:cs="Arial"/>
          <w:color w:val="C00000"/>
        </w:rPr>
      </w:pPr>
      <w:r>
        <w:rPr>
          <w:rFonts w:cs="Arial" w:ascii="Arial" w:hAnsi="Arial"/>
          <w:color w:val="C00000"/>
        </w:rPr>
      </w:r>
    </w:p>
    <w:p>
      <w:pPr>
        <w:pStyle w:val="Standard"/>
        <w:spacing w:lineRule="auto" w:line="276"/>
        <w:jc w:val="both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  <w:t>c) Ostatné finančné náklady</w:t>
      </w:r>
    </w:p>
    <w:p>
      <w:pPr>
        <w:pStyle w:val="Standard"/>
        <w:spacing w:lineRule="auto" w:line="276"/>
        <w:jc w:val="both"/>
        <w:rPr>
          <w:rFonts w:ascii="Arial" w:hAnsi="Arial" w:cs="Arial"/>
          <w:color w:val="0000CC"/>
        </w:rPr>
      </w:pPr>
      <w:r>
        <w:rPr>
          <w:rFonts w:eastAsia="Arial" w:cs="Arial" w:ascii="Arial" w:hAnsi="Arial"/>
          <w:b/>
        </w:rPr>
        <w:t xml:space="preserve">    </w:t>
      </w:r>
      <w:r>
        <w:rPr>
          <w:rFonts w:cs="Arial" w:ascii="Arial" w:hAnsi="Arial"/>
        </w:rPr>
        <w:t>Detailný rozpis významných nákladov n</w:t>
      </w:r>
      <w:r>
        <w:rPr>
          <w:rFonts w:cs="Arial" w:ascii="Arial" w:hAnsi="Arial"/>
          <w:color w:val="000000"/>
        </w:rPr>
        <w:t xml:space="preserve">a </w:t>
      </w:r>
      <w:r>
        <w:rPr>
          <w:rFonts w:cs="Arial" w:ascii="Arial" w:hAnsi="Arial"/>
          <w:color w:val="000000"/>
        </w:rPr>
        <w:t>ostatné finančné</w:t>
      </w:r>
      <w:r>
        <w:rPr>
          <w:rFonts w:cs="Arial" w:ascii="Arial" w:hAnsi="Arial"/>
          <w:color w:val="000000"/>
        </w:rPr>
        <w:t xml:space="preserve"> služb</w:t>
      </w:r>
      <w:r>
        <w:rPr>
          <w:rFonts w:cs="Arial" w:ascii="Arial" w:hAnsi="Arial"/>
        </w:rPr>
        <w:t xml:space="preserve">y je uvedený v tabuľkovej časti – </w:t>
      </w:r>
      <w:r>
        <w:rPr>
          <w:rFonts w:cs="Arial" w:ascii="Arial" w:hAnsi="Arial"/>
          <w:color w:val="0000CC"/>
        </w:rPr>
        <w:t>tabuľka</w:t>
      </w:r>
    </w:p>
    <w:p>
      <w:pPr>
        <w:pStyle w:val="Standard"/>
        <w:jc w:val="both"/>
        <w:rPr/>
      </w:pPr>
      <w:r>
        <w:rPr>
          <w:rFonts w:cs="Arial" w:ascii="Arial" w:hAnsi="Arial"/>
          <w:color w:val="0000CC"/>
        </w:rPr>
        <w:t xml:space="preserve"> </w:t>
      </w:r>
      <w:r>
        <w:rPr>
          <w:rFonts w:cs="Arial" w:ascii="Arial" w:hAnsi="Arial"/>
          <w:color w:val="0000CC"/>
        </w:rPr>
        <w:t>č. 21</w:t>
      </w:r>
    </w:p>
    <w:p>
      <w:pPr>
        <w:pStyle w:val="Standard"/>
        <w:jc w:val="both"/>
        <w:rPr/>
      </w:pPr>
      <w:r>
        <w:rPr>
          <w:rFonts w:eastAsia="Arial" w:cs="Arial" w:ascii="Arial" w:hAnsi="Arial"/>
          <w:i/>
          <w:color w:val="C00000"/>
        </w:rPr>
        <w:t xml:space="preserve"> </w:t>
      </w:r>
      <w:r>
        <w:rPr>
          <w:rFonts w:eastAsia="Arial" w:cs="Arial" w:ascii="Arial" w:hAnsi="Arial"/>
          <w:color w:val="000000"/>
        </w:rPr>
        <w:t xml:space="preserve">  </w:t>
      </w:r>
      <w:r>
        <w:rPr>
          <w:rFonts w:eastAsia="Arial" w:cs="Arial" w:ascii="Arial" w:hAnsi="Arial"/>
          <w:color w:val="000000"/>
        </w:rPr>
        <w:t>Ostatné finančné náklady tvoria hlavne poplatky banke /2 892,27 / a náklady na poistné / 4 598,74 /.</w:t>
      </w:r>
    </w:p>
    <w:p>
      <w:pPr>
        <w:pStyle w:val="Standard"/>
        <w:jc w:val="both"/>
        <w:rPr/>
      </w:pPr>
      <w:r>
        <w:rPr/>
      </w:r>
    </w:p>
    <w:p>
      <w:pPr>
        <w:pStyle w:val="Standard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  <w:t>14. Výnosy konsolidovaného celku</w:t>
      </w:r>
    </w:p>
    <w:p>
      <w:pPr>
        <w:pStyle w:val="Standard"/>
        <w:ind w:left="360" w:hanging="0"/>
        <w:rPr>
          <w:rFonts w:ascii="Arial" w:hAnsi="Arial" w:cs="Arial"/>
          <w:b/>
          <w:b/>
          <w:sz w:val="18"/>
          <w:szCs w:val="18"/>
        </w:rPr>
      </w:pPr>
      <w:r>
        <w:rPr>
          <w:rFonts w:cs="Arial" w:ascii="Arial" w:hAnsi="Arial"/>
          <w:b/>
          <w:sz w:val="18"/>
          <w:szCs w:val="18"/>
        </w:rPr>
      </w:r>
    </w:p>
    <w:p>
      <w:pPr>
        <w:pStyle w:val="Standard"/>
        <w:spacing w:before="60" w:after="60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  <w:t>a) Ostatné výnosy na prevádzkovú činnosť v €</w:t>
      </w:r>
    </w:p>
    <w:tbl>
      <w:tblPr>
        <w:tblW w:w="6875" w:type="dxa"/>
        <w:jc w:val="left"/>
        <w:tblInd w:w="36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60" w:type="dxa"/>
          <w:bottom w:w="0" w:type="dxa"/>
          <w:right w:w="70" w:type="dxa"/>
        </w:tblCellMar>
        <w:tblLook w:val="0000"/>
      </w:tblPr>
      <w:tblGrid>
        <w:gridCol w:w="3795"/>
        <w:gridCol w:w="1485"/>
        <w:gridCol w:w="1595"/>
      </w:tblGrid>
      <w:tr>
        <w:trPr>
          <w:trHeight w:val="384" w:hRule="atLeast"/>
        </w:trPr>
        <w:tc>
          <w:tcPr>
            <w:tcW w:w="37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rPr>
                <w:rFonts w:ascii="Arial" w:hAnsi="Arial" w:cs="Arial"/>
                <w:b/>
                <w:b/>
                <w:bCs/>
                <w:lang w:eastAsia="cs-CZ"/>
              </w:rPr>
            </w:pPr>
            <w:r>
              <w:rPr>
                <w:rFonts w:cs="Arial" w:ascii="Arial" w:hAnsi="Arial"/>
                <w:b/>
                <w:bCs/>
                <w:lang w:eastAsia="cs-CZ"/>
              </w:rPr>
              <w:t>popis výnosov</w:t>
            </w:r>
          </w:p>
        </w:tc>
        <w:tc>
          <w:tcPr>
            <w:tcW w:w="14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jc w:val="center"/>
              <w:rPr/>
            </w:pPr>
            <w:r>
              <w:rPr>
                <w:rFonts w:cs="Arial" w:ascii="Arial" w:hAnsi="Arial"/>
                <w:b/>
                <w:bCs/>
                <w:lang w:eastAsia="cs-CZ"/>
              </w:rPr>
              <w:t>k 31.12. 2014</w:t>
            </w:r>
          </w:p>
        </w:tc>
        <w:tc>
          <w:tcPr>
            <w:tcW w:w="15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jc w:val="center"/>
              <w:rPr/>
            </w:pPr>
            <w:r>
              <w:rPr>
                <w:rFonts w:cs="Arial" w:ascii="Arial" w:hAnsi="Arial"/>
                <w:b/>
                <w:bCs/>
                <w:lang w:eastAsia="cs-CZ"/>
              </w:rPr>
              <w:t>k 31.12. 2013</w:t>
            </w:r>
          </w:p>
        </w:tc>
      </w:tr>
      <w:tr>
        <w:trPr>
          <w:trHeight w:val="300" w:hRule="atLeast"/>
        </w:trPr>
        <w:tc>
          <w:tcPr>
            <w:tcW w:w="37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rPr>
                <w:rFonts w:ascii="Arial" w:hAnsi="Arial" w:cs="Arial"/>
                <w:lang w:eastAsia="cs-CZ"/>
              </w:rPr>
            </w:pPr>
            <w:r>
              <w:rPr>
                <w:rFonts w:cs="Arial" w:ascii="Arial" w:hAnsi="Arial"/>
                <w:lang w:eastAsia="cs-CZ"/>
              </w:rPr>
              <w:t>Dobropisy, refundácie nákladov minulého účtovného obdobia</w:t>
            </w:r>
          </w:p>
        </w:tc>
        <w:tc>
          <w:tcPr>
            <w:tcW w:w="14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Standard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  <w:tc>
          <w:tcPr>
            <w:tcW w:w="15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Standard"/>
              <w:jc w:val="right"/>
              <w:rPr/>
            </w:pPr>
            <w:r>
              <w:rPr>
                <w:rFonts w:cs="Arial" w:ascii="Arial" w:hAnsi="Arial"/>
              </w:rPr>
              <w:t>0,00</w:t>
            </w:r>
          </w:p>
        </w:tc>
      </w:tr>
      <w:tr>
        <w:trPr>
          <w:trHeight w:val="159" w:hRule="atLeast"/>
        </w:trPr>
        <w:tc>
          <w:tcPr>
            <w:tcW w:w="37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rPr>
                <w:rFonts w:ascii="Arial" w:hAnsi="Arial" w:cs="Arial"/>
                <w:lang w:eastAsia="cs-CZ"/>
              </w:rPr>
            </w:pPr>
            <w:r>
              <w:rPr>
                <w:rFonts w:cs="Arial" w:ascii="Arial" w:hAnsi="Arial"/>
                <w:lang w:eastAsia="cs-CZ"/>
              </w:rPr>
              <w:t>Výnosy z prenájmu</w:t>
            </w:r>
          </w:p>
        </w:tc>
        <w:tc>
          <w:tcPr>
            <w:tcW w:w="14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Standard"/>
              <w:jc w:val="right"/>
              <w:rPr/>
            </w:pPr>
            <w:r>
              <w:rPr>
                <w:rFonts w:cs="Arial" w:ascii="Arial" w:hAnsi="Arial"/>
              </w:rPr>
              <w:t>73 788,48</w:t>
            </w:r>
          </w:p>
        </w:tc>
        <w:tc>
          <w:tcPr>
            <w:tcW w:w="15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Standard"/>
              <w:jc w:val="right"/>
              <w:rPr/>
            </w:pPr>
            <w:r>
              <w:rPr>
                <w:rFonts w:cs="Arial" w:ascii="Arial" w:hAnsi="Arial"/>
              </w:rPr>
              <w:t>80 716,59</w:t>
            </w:r>
          </w:p>
        </w:tc>
      </w:tr>
      <w:tr>
        <w:trPr>
          <w:trHeight w:val="159" w:hRule="atLeast"/>
        </w:trPr>
        <w:tc>
          <w:tcPr>
            <w:tcW w:w="37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Tabulka"/>
              <w:rPr>
                <w:rFonts w:ascii="Arial" w:hAnsi="Arial" w:cs="Arial"/>
                <w:color w:val="FF0000"/>
                <w:sz w:val="20"/>
              </w:rPr>
            </w:pPr>
            <w:r>
              <w:rPr>
                <w:rFonts w:cs="Arial" w:ascii="Arial" w:hAnsi="Arial"/>
                <w:color w:val="000000"/>
                <w:sz w:val="20"/>
              </w:rPr>
              <w:t>Pozemky získané bezplatne</w:t>
            </w:r>
          </w:p>
        </w:tc>
        <w:tc>
          <w:tcPr>
            <w:tcW w:w="14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jc w:val="right"/>
              <w:rPr>
                <w:rFonts w:ascii="Arial" w:hAnsi="Arial" w:cs="Arial"/>
                <w:color w:val="FF0000"/>
                <w:sz w:val="20"/>
                <w:szCs w:val="20"/>
              </w:rPr>
            </w:pPr>
            <w:r>
              <w:rPr>
                <w:rFonts w:cs="Arial" w:ascii="Arial" w:hAnsi="Arial"/>
                <w:color w:val="000000"/>
                <w:sz w:val="20"/>
                <w:szCs w:val="20"/>
              </w:rPr>
              <w:t>5 892,80</w:t>
            </w:r>
          </w:p>
        </w:tc>
        <w:tc>
          <w:tcPr>
            <w:tcW w:w="15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jc w:val="right"/>
              <w:rPr>
                <w:rFonts w:ascii="Arial" w:hAnsi="Arial" w:cs="Arial"/>
                <w:color w:val="FF0000"/>
                <w:sz w:val="20"/>
                <w:szCs w:val="20"/>
              </w:rPr>
            </w:pPr>
            <w:r>
              <w:rPr>
                <w:rFonts w:cs="Arial" w:ascii="Arial" w:hAnsi="Arial"/>
                <w:color w:val="000000"/>
                <w:sz w:val="20"/>
                <w:szCs w:val="20"/>
              </w:rPr>
              <w:t>2 214 702,44</w:t>
            </w:r>
          </w:p>
        </w:tc>
      </w:tr>
      <w:tr>
        <w:trPr>
          <w:trHeight w:val="159" w:hRule="atLeast"/>
        </w:trPr>
        <w:tc>
          <w:tcPr>
            <w:tcW w:w="37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Tabulka"/>
              <w:rPr>
                <w:rFonts w:ascii="Arial" w:hAnsi="Arial" w:cs="Arial"/>
                <w:color w:val="FF0000"/>
                <w:sz w:val="20"/>
              </w:rPr>
            </w:pPr>
            <w:r>
              <w:rPr>
                <w:rFonts w:cs="Arial" w:ascii="Arial" w:hAnsi="Arial"/>
                <w:color w:val="000000"/>
                <w:sz w:val="20"/>
              </w:rPr>
              <w:t>Odpis premlčaného záväzku</w:t>
            </w:r>
          </w:p>
        </w:tc>
        <w:tc>
          <w:tcPr>
            <w:tcW w:w="14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jc w:val="right"/>
              <w:rPr>
                <w:rFonts w:ascii="Arial" w:hAnsi="Arial" w:cs="Arial"/>
                <w:color w:val="FF0000"/>
                <w:sz w:val="20"/>
                <w:szCs w:val="20"/>
              </w:rPr>
            </w:pPr>
            <w:r>
              <w:rPr>
                <w:rFonts w:cs="Arial" w:ascii="Arial" w:hAnsi="Arial"/>
                <w:color w:val="000000"/>
                <w:sz w:val="20"/>
                <w:szCs w:val="20"/>
              </w:rPr>
              <w:t>156 365,63</w:t>
            </w:r>
          </w:p>
        </w:tc>
        <w:tc>
          <w:tcPr>
            <w:tcW w:w="15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jc w:val="right"/>
              <w:rPr>
                <w:rFonts w:ascii="Arial" w:hAnsi="Arial" w:cs="Arial"/>
                <w:color w:val="FF0000"/>
                <w:sz w:val="20"/>
                <w:szCs w:val="20"/>
              </w:rPr>
            </w:pPr>
            <w:r>
              <w:rPr>
                <w:rFonts w:cs="Arial" w:ascii="Arial" w:hAnsi="Arial"/>
                <w:color w:val="000000"/>
                <w:sz w:val="20"/>
                <w:szCs w:val="20"/>
              </w:rPr>
              <w:t>0</w:t>
            </w:r>
          </w:p>
        </w:tc>
      </w:tr>
      <w:tr>
        <w:trPr>
          <w:trHeight w:val="115" w:hRule="atLeast"/>
        </w:trPr>
        <w:tc>
          <w:tcPr>
            <w:tcW w:w="37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Tabulka"/>
              <w:rPr>
                <w:rFonts w:ascii="Arial" w:hAnsi="Arial" w:cs="Arial"/>
                <w:color w:val="FF0000"/>
                <w:sz w:val="20"/>
              </w:rPr>
            </w:pPr>
            <w:r>
              <w:rPr>
                <w:rFonts w:cs="Arial" w:ascii="Arial" w:hAnsi="Arial"/>
                <w:color w:val="000000"/>
                <w:sz w:val="20"/>
              </w:rPr>
              <w:t>Ostatné</w:t>
            </w:r>
          </w:p>
        </w:tc>
        <w:tc>
          <w:tcPr>
            <w:tcW w:w="14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jc w:val="right"/>
              <w:rPr>
                <w:rFonts w:ascii="Arial" w:hAnsi="Arial" w:cs="Arial"/>
                <w:color w:val="FF0000"/>
                <w:sz w:val="20"/>
                <w:szCs w:val="20"/>
              </w:rPr>
            </w:pPr>
            <w:r>
              <w:rPr>
                <w:rFonts w:cs="Arial" w:ascii="Arial" w:hAnsi="Arial"/>
                <w:color w:val="000000"/>
                <w:sz w:val="20"/>
                <w:szCs w:val="20"/>
              </w:rPr>
              <w:t>20 241,49</w:t>
            </w:r>
          </w:p>
        </w:tc>
        <w:tc>
          <w:tcPr>
            <w:tcW w:w="15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jc w:val="right"/>
              <w:rPr>
                <w:rFonts w:ascii="Arial" w:hAnsi="Arial" w:cs="Arial"/>
                <w:color w:val="FF0000"/>
                <w:sz w:val="20"/>
                <w:szCs w:val="20"/>
              </w:rPr>
            </w:pPr>
            <w:r>
              <w:rPr>
                <w:rFonts w:cs="Arial" w:ascii="Arial" w:hAnsi="Arial"/>
                <w:color w:val="000000"/>
                <w:sz w:val="20"/>
                <w:szCs w:val="20"/>
              </w:rPr>
              <w:t>9 355,79</w:t>
            </w:r>
          </w:p>
        </w:tc>
      </w:tr>
      <w:tr>
        <w:trPr>
          <w:trHeight w:val="300" w:hRule="atLeast"/>
        </w:trPr>
        <w:tc>
          <w:tcPr>
            <w:tcW w:w="37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Standard"/>
              <w:rPr>
                <w:rFonts w:ascii="Arial" w:hAnsi="Arial" w:cs="Arial"/>
                <w:b/>
                <w:b/>
                <w:bCs/>
                <w:lang w:eastAsia="cs-CZ"/>
              </w:rPr>
            </w:pPr>
            <w:r>
              <w:rPr>
                <w:rFonts w:cs="Arial" w:ascii="Arial" w:hAnsi="Arial"/>
                <w:b/>
                <w:bCs/>
                <w:color w:val="000000"/>
                <w:lang w:eastAsia="cs-CZ"/>
              </w:rPr>
              <w:t>Spolu</w:t>
            </w:r>
          </w:p>
        </w:tc>
        <w:tc>
          <w:tcPr>
            <w:tcW w:w="14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Standard"/>
              <w:jc w:val="right"/>
              <w:rPr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</w:rPr>
              <w:t>256 288,40</w:t>
            </w:r>
          </w:p>
        </w:tc>
        <w:tc>
          <w:tcPr>
            <w:tcW w:w="15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Standard"/>
              <w:rPr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</w:rPr>
              <w:t xml:space="preserve">    </w:t>
            </w:r>
            <w:r>
              <w:rPr>
                <w:rFonts w:cs="Arial" w:ascii="Arial" w:hAnsi="Arial"/>
                <w:b/>
                <w:bCs/>
                <w:color w:val="000000"/>
              </w:rPr>
              <w:t>2 304 774,82</w:t>
            </w:r>
          </w:p>
        </w:tc>
      </w:tr>
    </w:tbl>
    <w:p>
      <w:pPr>
        <w:pStyle w:val="Standard"/>
        <w:spacing w:before="120" w:after="120"/>
        <w:rPr>
          <w:rFonts w:ascii="Arial" w:hAnsi="Arial" w:cs="Arial"/>
          <w:color w:val="FF0000"/>
          <w:shd w:fill="FFFF00" w:val="clear"/>
        </w:rPr>
      </w:pPr>
      <w:r>
        <w:rPr>
          <w:rFonts w:cs="Arial" w:ascii="Arial" w:hAnsi="Arial"/>
          <w:color w:val="FF0000"/>
          <w:shd w:fill="FFFF00" w:val="clear"/>
        </w:rPr>
      </w:r>
    </w:p>
    <w:p>
      <w:pPr>
        <w:pStyle w:val="Standard"/>
        <w:jc w:val="center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</w:r>
    </w:p>
    <w:p>
      <w:pPr>
        <w:pStyle w:val="Standard"/>
        <w:jc w:val="center"/>
        <w:rPr>
          <w:rFonts w:ascii="Arial" w:hAnsi="Arial" w:cs="Arial"/>
          <w:b/>
          <w:b/>
          <w:sz w:val="24"/>
          <w:szCs w:val="24"/>
        </w:rPr>
      </w:pPr>
      <w:r>
        <w:rPr>
          <w:rFonts w:cs="Arial" w:ascii="Arial" w:hAnsi="Arial"/>
          <w:b/>
          <w:sz w:val="24"/>
          <w:szCs w:val="24"/>
        </w:rPr>
        <w:t>Čl. IV.</w:t>
      </w:r>
    </w:p>
    <w:p>
      <w:pPr>
        <w:pStyle w:val="Standard"/>
        <w:jc w:val="center"/>
        <w:rPr>
          <w:rFonts w:ascii="Arial" w:hAnsi="Arial" w:cs="Arial"/>
          <w:b/>
          <w:b/>
          <w:sz w:val="24"/>
          <w:szCs w:val="24"/>
        </w:rPr>
      </w:pPr>
      <w:r>
        <w:rPr>
          <w:rFonts w:cs="Arial" w:ascii="Arial" w:hAnsi="Arial"/>
          <w:b/>
          <w:sz w:val="24"/>
          <w:szCs w:val="24"/>
        </w:rPr>
        <w:t>Informácie o iných aktívach a iných pasívach</w:t>
      </w:r>
    </w:p>
    <w:p>
      <w:pPr>
        <w:pStyle w:val="Standard"/>
        <w:spacing w:lineRule="auto" w:line="360"/>
        <w:rPr>
          <w:rFonts w:ascii="Arial" w:hAnsi="Arial" w:cs="Arial"/>
          <w:b/>
          <w:b/>
          <w:sz w:val="24"/>
          <w:szCs w:val="24"/>
        </w:rPr>
      </w:pPr>
      <w:r>
        <w:rPr>
          <w:rFonts w:cs="Arial" w:ascii="Arial" w:hAnsi="Arial"/>
          <w:b/>
          <w:sz w:val="24"/>
          <w:szCs w:val="24"/>
        </w:rPr>
      </w:r>
    </w:p>
    <w:p>
      <w:pPr>
        <w:pStyle w:val="Standard"/>
        <w:numPr>
          <w:ilvl w:val="0"/>
          <w:numId w:val="28"/>
        </w:numPr>
        <w:tabs>
          <w:tab w:val="left" w:pos="720" w:leader="none"/>
        </w:tabs>
        <w:ind w:left="360" w:hanging="36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  <w:t>Iné aktíva a iné pasíva</w:t>
      </w:r>
    </w:p>
    <w:p>
      <w:pPr>
        <w:pStyle w:val="Standard"/>
        <w:jc w:val="both"/>
        <w:rPr>
          <w:rFonts w:ascii="Arial" w:hAnsi="Arial" w:cs="Arial"/>
          <w:color w:val="0000CC"/>
        </w:rPr>
      </w:pPr>
      <w:r>
        <w:rPr>
          <w:rFonts w:cs="Arial" w:ascii="Arial" w:hAnsi="Arial"/>
        </w:rPr>
        <w:t xml:space="preserve">Informácie o iných aktívach a iných pasívach sú uvedené v tabuľkovej časti – </w:t>
      </w:r>
      <w:r>
        <w:rPr>
          <w:rFonts w:cs="Arial" w:ascii="Arial" w:hAnsi="Arial"/>
          <w:color w:val="0000CC"/>
        </w:rPr>
        <w:t xml:space="preserve">tabuľka č.23 </w:t>
      </w:r>
    </w:p>
    <w:p>
      <w:pPr>
        <w:pStyle w:val="Pismenka"/>
        <w:ind w:left="0" w:hanging="0"/>
        <w:rPr/>
      </w:pPr>
      <w:r>
        <w:rPr/>
      </w:r>
    </w:p>
    <w:p>
      <w:pPr>
        <w:pStyle w:val="Pismenka"/>
        <w:tabs>
          <w:tab w:val="left" w:pos="0" w:leader="none"/>
          <w:tab w:val="left" w:pos="852" w:leader="none"/>
        </w:tabs>
        <w:ind w:left="0" w:hanging="0"/>
        <w:rPr/>
      </w:pPr>
      <w:r>
        <w:rPr>
          <w:b w:val="false"/>
          <w:bCs w:val="false"/>
          <w:sz w:val="22"/>
          <w:szCs w:val="22"/>
        </w:rPr>
        <w:t xml:space="preserve"> </w:t>
      </w:r>
      <w:r>
        <w:rPr>
          <w:b w:val="false"/>
          <w:bCs w:val="false"/>
          <w:sz w:val="22"/>
          <w:szCs w:val="22"/>
        </w:rPr>
        <w:t>Materská účtovná jednotky (obec Sučany) eviduje v iných pasívach záväzok z hroziaceho súdneho sporu s firmou Sagacita, ohľadom neuhradených faktúr vo výške 156 365,63 € /odmena „ success fee“/, táto suma sa skladala z neuhradených faktúr od firmy Sagacita s. r. o Dolný Kubín a to: fak. č. 51/2013 na sumu 74 955,82 € /odmena pre projekt „Revitalizácia verejných priestranstiev obce Sučany“, fak. č. 50/2013 na sumu 32 079,90 € odmena pre projekt „Prístavba, nadstavba a stavebné úpravy objektov Obecného hasičského zboru Sučany“ a fak. č. 49/2013 na sumu 49 329,91 € pre projekt „Rekonštrukcia ZŠ spojená so zlepšením energetickej hospodárnosti budovy a modernizáciou interiéru“, ktoré boli splatné 28.1.2013.</w:t>
      </w:r>
    </w:p>
    <w:p>
      <w:pPr>
        <w:pStyle w:val="Standard"/>
        <w:numPr>
          <w:ilvl w:val="0"/>
          <w:numId w:val="29"/>
        </w:numPr>
        <w:tabs>
          <w:tab w:val="left" w:pos="717" w:leader="none"/>
        </w:tabs>
        <w:spacing w:before="120" w:after="0"/>
        <w:ind w:left="357" w:hanging="357"/>
        <w:jc w:val="both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  <w:t>Prípadné ďalšie záväzky</w:t>
      </w:r>
    </w:p>
    <w:p>
      <w:pPr>
        <w:pStyle w:val="Standard"/>
        <w:tabs>
          <w:tab w:val="left" w:pos="717" w:leader="none"/>
        </w:tabs>
        <w:ind w:left="357" w:hanging="0"/>
        <w:jc w:val="both"/>
        <w:rPr>
          <w:rFonts w:ascii="Arial" w:hAnsi="Arial" w:cs="Arial"/>
          <w:shd w:fill="00FF00" w:val="clear"/>
        </w:rPr>
      </w:pPr>
      <w:r>
        <w:rPr>
          <w:rFonts w:cs="Arial" w:ascii="Arial" w:hAnsi="Arial"/>
          <w:shd w:fill="00FF00" w:val="clear"/>
        </w:rPr>
      </w:r>
    </w:p>
    <w:p>
      <w:pPr>
        <w:pStyle w:val="Standard"/>
        <w:tabs>
          <w:tab w:val="left" w:pos="360" w:leader="none"/>
        </w:tabs>
        <w:jc w:val="both"/>
        <w:rPr/>
      </w:pPr>
      <w:r>
        <w:rPr>
          <w:rFonts w:cs="Arial" w:ascii="Arial" w:hAnsi="Arial"/>
        </w:rPr>
        <w:t>Konsolidovaný celok obce Sučany nemá prípadné ďalšie záväzky, ktoré sa nesledujú v bežnom účtovníctve a neuvádzajú sa v súvahe.</w:t>
      </w:r>
    </w:p>
    <w:p>
      <w:pPr>
        <w:pStyle w:val="Standard"/>
        <w:tabs>
          <w:tab w:val="left" w:pos="360" w:leader="none"/>
        </w:tabs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Standard"/>
        <w:numPr>
          <w:ilvl w:val="0"/>
          <w:numId w:val="4"/>
        </w:numPr>
        <w:tabs>
          <w:tab w:val="left" w:pos="720" w:leader="none"/>
        </w:tabs>
        <w:ind w:left="360" w:hanging="360"/>
        <w:jc w:val="both"/>
        <w:rPr/>
      </w:pPr>
      <w:r>
        <w:rPr>
          <w:rFonts w:cs="Arial" w:ascii="Arial" w:hAnsi="Arial"/>
          <w:b/>
        </w:rPr>
        <w:t xml:space="preserve">Zoznam nehnuteľných kultúrnych pamiatok spravovaných účtovnou jednotkou – </w:t>
      </w:r>
      <w:r>
        <w:rPr>
          <w:rFonts w:cs="Arial" w:ascii="Arial" w:hAnsi="Arial"/>
          <w:color w:val="0000CC"/>
        </w:rPr>
        <w:t>tabuľka č. 24</w:t>
      </w:r>
    </w:p>
    <w:p>
      <w:pPr>
        <w:pStyle w:val="Pismenka"/>
        <w:ind w:left="0" w:hanging="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>
      <w:pPr>
        <w:pStyle w:val="Pismenka"/>
        <w:ind w:left="0" w:hanging="0"/>
        <w:jc w:val="left"/>
        <w:rPr>
          <w:rFonts w:ascii="Arial" w:hAnsi="Arial" w:cs="Arial"/>
          <w:b w:val="false"/>
          <w:b w:val="false"/>
        </w:rPr>
      </w:pPr>
      <w:r>
        <w:rPr>
          <w:rFonts w:cs="Arial" w:ascii="Arial" w:hAnsi="Arial"/>
          <w:b w:val="false"/>
        </w:rPr>
        <w:t>Obec spravuje kultúrnu pamiatku Pranier /stĺp hanby/, evidovaná v zozname kultúrnych pamiatok  pod č. 628/1na základe rozhodnutia SKK ONV Martin 52/63.</w:t>
      </w:r>
    </w:p>
    <w:p>
      <w:pPr>
        <w:pStyle w:val="Pismenka"/>
        <w:ind w:left="0" w:hanging="0"/>
        <w:jc w:val="left"/>
        <w:rPr>
          <w:rFonts w:ascii="Arial" w:hAnsi="Arial" w:cs="Arial"/>
          <w:b w:val="false"/>
          <w:b w:val="false"/>
        </w:rPr>
      </w:pPr>
      <w:r>
        <w:rPr>
          <w:rFonts w:cs="Arial" w:ascii="Arial" w:hAnsi="Arial"/>
          <w:b w:val="false"/>
        </w:rPr>
        <w:t xml:space="preserve">Pranier /stĺp hanby/ sa v súčasnej dobe na Námestí SNP nenachádza, nakoľko prebehla rekonštrukcia verejných priestranstiev a pranier bude reštaurovaný a až potom opäť osadený na svoje miesto na námestí.  </w:t>
      </w:r>
    </w:p>
    <w:p>
      <w:pPr>
        <w:pStyle w:val="Standard"/>
        <w:tabs>
          <w:tab w:val="left" w:pos="360" w:leader="none"/>
        </w:tabs>
        <w:jc w:val="both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</w:r>
    </w:p>
    <w:p>
      <w:pPr>
        <w:pStyle w:val="Standard"/>
        <w:tabs>
          <w:tab w:val="left" w:pos="360" w:leader="none"/>
        </w:tabs>
        <w:jc w:val="both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</w:r>
    </w:p>
    <w:p>
      <w:pPr>
        <w:pStyle w:val="Standard"/>
        <w:tabs>
          <w:tab w:val="left" w:pos="4671" w:leader="none"/>
          <w:tab w:val="center" w:pos="5102" w:leader="none"/>
        </w:tabs>
        <w:jc w:val="center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  <w:t>Čl. V.</w:t>
      </w:r>
    </w:p>
    <w:p>
      <w:pPr>
        <w:pStyle w:val="Standard"/>
        <w:jc w:val="center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  <w:t>SKUTOČNOSTI, KTORÉ NASTALI PO DNI,</w:t>
      </w:r>
    </w:p>
    <w:p>
      <w:pPr>
        <w:pStyle w:val="Standard"/>
        <w:jc w:val="center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  <w:t>KU KTORÉMU SA ZOSTAVUJE ÚČTOVNÁ ZÁVIERKA, DO DŇA JEJ ZOSTAVENIA</w:t>
      </w:r>
    </w:p>
    <w:p>
      <w:pPr>
        <w:pStyle w:val="Standard"/>
        <w:jc w:val="center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</w:r>
    </w:p>
    <w:p>
      <w:pPr>
        <w:pStyle w:val="Standard"/>
        <w:jc w:val="center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</w:r>
    </w:p>
    <w:p>
      <w:pPr>
        <w:pStyle w:val="Standard"/>
        <w:spacing w:lineRule="auto" w:line="360"/>
        <w:rPr>
          <w:rFonts w:ascii="Arial" w:hAnsi="Arial" w:cs="Arial"/>
        </w:rPr>
      </w:pPr>
      <w:r>
        <w:rPr>
          <w:rFonts w:cs="Arial" w:ascii="Arial" w:hAnsi="Arial"/>
          <w:color w:val="000000"/>
        </w:rPr>
        <w:t xml:space="preserve">Po 31. decembri </w:t>
      </w:r>
      <w:r>
        <w:rPr>
          <w:rFonts w:cs="Arial" w:ascii="Arial" w:hAnsi="Arial"/>
          <w:iCs/>
          <w:color w:val="000000"/>
        </w:rPr>
        <w:t>2014</w:t>
      </w:r>
      <w:r>
        <w:rPr>
          <w:rFonts w:cs="Arial" w:ascii="Arial" w:hAnsi="Arial"/>
          <w:i/>
          <w:color w:val="000000"/>
        </w:rPr>
        <w:t xml:space="preserve"> </w:t>
      </w:r>
      <w:r>
        <w:rPr>
          <w:rFonts w:cs="Arial" w:ascii="Arial" w:hAnsi="Arial"/>
          <w:color w:val="000000"/>
        </w:rPr>
        <w:t>nastali</w:t>
      </w:r>
      <w:r>
        <w:rPr>
          <w:rFonts w:cs="Arial" w:ascii="Arial" w:hAnsi="Arial"/>
          <w:i/>
          <w:color w:val="000000"/>
        </w:rPr>
        <w:t xml:space="preserve">  </w:t>
      </w:r>
      <w:r>
        <w:rPr>
          <w:rFonts w:cs="Arial" w:ascii="Arial" w:hAnsi="Arial"/>
          <w:color w:val="000000"/>
        </w:rPr>
        <w:t>tieto udalosti ktoré považujeme za významné :</w:t>
      </w:r>
    </w:p>
    <w:p>
      <w:pPr>
        <w:pStyle w:val="Standard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</w:r>
    </w:p>
    <w:p>
      <w:pPr>
        <w:pStyle w:val="Standard"/>
        <w:rPr>
          <w:rFonts w:ascii="Arial" w:hAnsi="Arial" w:cs="Arial"/>
          <w:color w:val="FF0000"/>
        </w:rPr>
      </w:pPr>
      <w:r>
        <w:rPr>
          <w:rFonts w:cs="Arial" w:ascii="Arial" w:hAnsi="Arial"/>
          <w:color w:val="000000"/>
        </w:rPr>
        <w:t>Obec  evidovala záväzky po dobe splatnosti vo výške 156 365,63 € /odmena „ success fee“/, táto suma sa skladala z neuhradených faktúr od firmy Sagacita s. r. o Dolný Kubín a to: fak. č. 51/2013 na sumu 74 955,82 € /odmena pre projekt „Revitalizácia verejných priestranstiev obce Sučany“, fak. č. 50/2013 na sumu 32 079,90 € odmena pre projekt „Prístavba, nadstavba a stavebné úpravy objektov Obecného hasičského zboru Sučany“ a fak. č. 49/2013 na sumu 49 329,91 € pre projekt „Rekonštrukcia ZŠ spojená so zlepšením energetickej hospodárnosti budovy a modernizáciou interiéru“, ktoré boli splatné 28.1.2013. Dňa 23.6.2014 došlo k  postúpeniu pohľadávky zo spoločnosti Sagacita s.r.o. na Ing. Miroslav Stanovský, Slnečná 2291/12, 026 01 Dolný Kubín.  Najneskôr  1.7.2014 došlo k premlčaniu celej sumy pohľadávky uplynutím štvorročnej lehoty od splatnosti pohľadávky.  Dňa 11.11.2014 bola obci doručená výzva  p. Stanovského na úhradu jeho pohľadávky voči obci vo výške 156 365,63 €. Obec Sučany mu zaslala svoje stanovisko, že táto pohľadávka je premlčaná. V prípade, ak by mal k dispozícií uznanie tejto pohľadávky, premlčacia doba by sa v zmysle zákona predĺžila. Nakoľko zo strany p. Stankovského nebolo doručené uznanie tejto pohľadávky na základe našej výzvy, obec so súhlasom zastupiteľstva (uzns. č.7/2014) odpísala  v r. 2014 tento záväzok z účtovníctva.</w:t>
      </w:r>
    </w:p>
    <w:p>
      <w:pPr>
        <w:pStyle w:val="Standard"/>
        <w:rPr>
          <w:rFonts w:ascii="Arial" w:hAnsi="Arial" w:cs="Arial"/>
          <w:color w:val="FF0000"/>
        </w:rPr>
      </w:pPr>
      <w:r>
        <w:rPr>
          <w:rFonts w:cs="Arial" w:ascii="Arial" w:hAnsi="Arial"/>
          <w:color w:val="000000"/>
        </w:rPr>
        <w:t xml:space="preserve"> </w:t>
      </w:r>
      <w:r>
        <w:rPr>
          <w:rFonts w:cs="Arial" w:ascii="Arial" w:hAnsi="Arial"/>
          <w:color w:val="000000"/>
        </w:rPr>
        <w:t xml:space="preserve">Dňa 19.2.2015 bola doručená obci výzva na zaplatenie pohľadávky od advokátskej kancelárie Fiačan &amp; Partners, už aj s uznaním dlhu z 18.2.2013 podpísaného bývalým starostom obce. V evidencii ani v účtovníctve obce sa predmetné uznanie dlhu nenachádza, bývalý starosta si nie je vedomý, že by dané uznanie podpísal. Na základe týchto skutočnosti obec neakceptuje daný záväzok a starosta obce podal  trestné oznámenie  na Okresné riaditeľstvo PZ v Martine, odbor kriminálnej polície , na zločin podvodu. </w:t>
      </w:r>
    </w:p>
    <w:p>
      <w:pPr>
        <w:pStyle w:val="Standard"/>
        <w:spacing w:lineRule="auto" w:line="360"/>
        <w:rPr>
          <w:color w:val="000000"/>
        </w:rPr>
      </w:pPr>
      <w:r>
        <w:rPr>
          <w:color w:val="000000"/>
        </w:rPr>
      </w:r>
    </w:p>
    <w:sectPr>
      <w:headerReference w:type="default" r:id="rId2"/>
      <w:footerReference w:type="default" r:id="rId3"/>
      <w:type w:val="nextPage"/>
      <w:pgSz w:w="11906" w:h="16838"/>
      <w:pgMar w:left="1134" w:right="851" w:header="709" w:top="1418" w:footer="709" w:bottom="1134" w:gutter="0"/>
      <w:pgNumType w:fmt="decimal"/>
      <w:formProt w:val="false"/>
      <w:textDirection w:val="lrTb"/>
      <w:docGrid w:type="default" w:linePitch="24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ee"/>
    <w:family w:val="roman"/>
    <w:pitch w:val="variable"/>
  </w:font>
  <w:font w:name="Symbol">
    <w:charset w:val="ee"/>
    <w:family w:val="roman"/>
    <w:pitch w:val="variable"/>
  </w:font>
  <w:font w:name="Courier New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Arial">
    <w:charset w:val="01"/>
    <w:family w:val="swiss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ind w:right="360" w:hanging="0"/>
      <w:rPr/>
    </w:pPr>
    <w:r>
      <w:rPr/>
      <mc:AlternateContent>
        <mc:Choice Requires="wps">
          <w:drawing>
            <wp:anchor behindDoc="1" distT="0" distB="0" distL="114300" distR="114300" simplePos="0" locked="0" layoutInCell="1" allowOverlap="1" relativeHeight="11">
              <wp:simplePos x="0" y="0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125730" cy="144780"/>
              <wp:effectExtent l="0" t="0" r="0" b="0"/>
              <wp:wrapSquare wrapText="bothSides"/>
              <wp:docPr id="1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24920" cy="14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Pta"/>
                            <w:rPr>
                              <w:color w:val="auto"/>
                            </w:rPr>
                          </w:pPr>
                          <w:r>
                            <w:rPr>
                              <w:color w:val="auto"/>
                            </w:rPr>
                            <w:fldChar w:fldCharType="begin"/>
                          </w:r>
                          <w:r>
                            <w:instrText> PAGE </w:instrText>
                          </w:r>
                          <w:r>
                            <w:fldChar w:fldCharType="separate"/>
                          </w:r>
                          <w:r>
                            <w:t>10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f" style="position:absolute;margin-left:243.05pt;margin-top:0.05pt;width:9.8pt;height:11.3pt;mso-position-horizontal:center">
              <w10:wrap type="square"/>
              <v:fill on="false" o:detectmouseclick="t"/>
              <v:stroke color="#3465a4" joinstyle="round" endcap="flat"/>
              <v:textbox>
                <w:txbxContent>
                  <w:p>
                    <w:pPr>
                      <w:pStyle w:val="Pta"/>
                      <w:rPr>
                        <w:color w:val="auto"/>
                      </w:rPr>
                    </w:pPr>
                    <w:r>
                      <w:rPr>
                        <w:color w:val="auto"/>
                      </w:rPr>
                      <w:fldChar w:fldCharType="begin"/>
                    </w:r>
                    <w:r>
                      <w:instrText> PAGE </w:instrText>
                    </w:r>
                    <w:r>
                      <w:fldChar w:fldCharType="separate"/>
                    </w:r>
                    <w:r>
                      <w:t>10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ind w:right="0" w:hanging="0"/>
      <w:jc w:val="center"/>
      <w:rPr>
        <w:i/>
        <w:i/>
        <w:sz w:val="22"/>
        <w:szCs w:val="22"/>
      </w:rPr>
    </w:pPr>
    <w:r>
      <w:rPr>
        <w:i/>
        <w:sz w:val="22"/>
        <w:szCs w:val="22"/>
      </w:rPr>
      <w:t>Obec Sučany.</w:t>
    </w:r>
  </w:p>
  <w:p>
    <w:pPr>
      <w:pStyle w:val="Hlavika"/>
      <w:pBdr>
        <w:bottom w:val="single" w:sz="4" w:space="0" w:color="000001"/>
      </w:pBdr>
      <w:tabs>
        <w:tab w:val="center" w:pos="4536" w:leader="none"/>
        <w:tab w:val="right" w:pos="9072" w:leader="none"/>
      </w:tabs>
      <w:jc w:val="center"/>
      <w:rPr/>
    </w:pPr>
    <w:r>
      <w:rPr>
        <w:sz w:val="22"/>
        <w:szCs w:val="22"/>
      </w:rPr>
      <w:t>Poznámky  konsolidovanej účtovnej závierky  zostavenej k 31. decembru 201</w:t>
    </w:r>
    <w:r>
      <w:rPr>
        <w:color w:val="000000"/>
        <w:sz w:val="22"/>
        <w:szCs w:val="22"/>
      </w:rPr>
      <w:t>4</w:t>
    </w:r>
  </w:p>
  <w:p>
    <w:pPr>
      <w:pStyle w:val="Hlavika"/>
      <w:rPr>
        <w:color w:val="FF0000"/>
        <w:sz w:val="22"/>
        <w:szCs w:val="22"/>
      </w:rPr>
    </w:pPr>
    <w:r>
      <w:rPr>
        <w:color w:val="FF0000"/>
        <w:sz w:val="22"/>
        <w:szCs w:val="22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6"/>
      <w:numFmt w:val="decimal"/>
      <w:lvlText w:val="%1."/>
      <w:lvlJc w:val="left"/>
      <w:pPr>
        <w:ind w:left="720" w:hanging="360"/>
      </w:pPr>
      <w:rPr>
        <w:sz w:val="22"/>
        <w:b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3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>
    <w:lvl w:ilvl="0">
      <w:start w:val="8"/>
      <w:numFmt w:val="decimal"/>
      <w:lvlText w:val="%1."/>
      <w:lvlJc w:val="left"/>
      <w:pPr>
        <w:ind w:left="720" w:hanging="360"/>
      </w:pPr>
      <w:rPr>
        <w:sz w:val="22"/>
        <w:b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">
    <w:lvl w:ilvl="0">
      <w:start w:val="1"/>
      <w:numFmt w:val="decimal"/>
      <w:lvlText w:val="%1."/>
      <w:lvlJc w:val="left"/>
      <w:pPr>
        <w:ind w:left="720" w:hanging="360"/>
      </w:pPr>
      <w:rPr>
        <w:sz w:val="22"/>
        <w:i/>
        <w:b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">
    <w:lvl w:ilvl="0">
      <w:start w:val="1"/>
      <w:numFmt w:val="bullet"/>
      <w:lvlText w:val="–"/>
      <w:lvlJc w:val="left"/>
      <w:pPr>
        <w:ind w:left="720" w:hanging="360"/>
      </w:pPr>
      <w:rPr>
        <w:rFonts w:ascii="Arial" w:hAnsi="Arial" w:cs="Arial" w:hint="default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8">
    <w:lvl w:ilvl="0">
      <w:start w:val="1"/>
      <w:numFmt w:val="decimal"/>
      <w:lvlText w:val="%1."/>
      <w:lvlJc w:val="left"/>
      <w:pPr>
        <w:ind w:left="720" w:hanging="360"/>
      </w:pPr>
      <w:rPr>
        <w:sz w:val="22"/>
        <w:b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9">
    <w:lvl w:ilvl="0">
      <w:start w:val="3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0">
    <w:lvl w:ilvl="0">
      <w:start w:val="1"/>
      <w:numFmt w:val="decimal"/>
      <w:lvlText w:val="%1."/>
      <w:lvlJc w:val="left"/>
      <w:pPr>
        <w:ind w:left="720" w:hanging="360"/>
      </w:pPr>
      <w:rPr>
        <w:sz w:val="22"/>
        <w:i/>
        <w:b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1">
    <w:lvl w:ilvl="0">
      <w:start w:val="6"/>
      <w:numFmt w:val="decimal"/>
      <w:lvlText w:val="%1."/>
      <w:lvlJc w:val="left"/>
      <w:pPr>
        <w:ind w:left="720" w:hanging="360"/>
      </w:pPr>
      <w:rPr>
        <w:sz w:val="22"/>
        <w:b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2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>
    <w:lvl w:ilvl="0">
      <w:start w:val="10"/>
      <w:numFmt w:val="lowerLetter"/>
      <w:lvlText w:val="%1)"/>
      <w:lvlJc w:val="left"/>
      <w:pPr>
        <w:ind w:left="720" w:hanging="360"/>
      </w:pPr>
      <w:rPr>
        <w:sz w:val="22"/>
        <w:b/>
      </w:r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2"/>
      <w:numFmt w:val="upperRoman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4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5">
    <w:lvl w:ilvl="0">
      <w:start w:val="1"/>
      <w:numFmt w:val="decimal"/>
      <w:lvlText w:val="%1."/>
      <w:lvlJc w:val="left"/>
      <w:pPr>
        <w:ind w:left="720" w:hanging="360"/>
      </w:pPr>
      <w:rPr>
        <w:sz w:val="22"/>
        <w:b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6"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7">
    <w:lvl w:ilvl="0">
      <w:start w:val="1"/>
      <w:numFmt w:val="decimal"/>
      <w:lvlText w:val="%1."/>
      <w:lvlJc w:val="left"/>
      <w:pPr>
        <w:ind w:left="720" w:hanging="360"/>
      </w:pPr>
      <w:rPr>
        <w:sz w:val="22"/>
        <w:b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8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9">
    <w:lvl w:ilvl="0">
      <w:start w:val="3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0">
    <w:lvl w:ilvl="0">
      <w:start w:val="1"/>
      <w:numFmt w:val="lowerLetter"/>
      <w:lvlText w:val="%1)"/>
      <w:lvlJc w:val="left"/>
      <w:pPr>
        <w:ind w:left="720" w:hanging="360"/>
      </w:pPr>
      <w:rPr>
        <w:sz w:val="20"/>
        <w:b w:val="false"/>
        <w:szCs w:val="2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1">
    <w:lvl w:ilvl="0">
      <w:start w:val="1"/>
      <w:numFmt w:val="bullet"/>
      <w:lvlText w:val="–"/>
      <w:lvlJc w:val="left"/>
      <w:pPr>
        <w:ind w:left="720" w:hanging="360"/>
      </w:pPr>
      <w:rPr>
        <w:rFonts w:ascii="Arial" w:hAnsi="Arial" w:cs="Arial" w:hint="default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2">
    <w:lvl w:ilvl="0">
      <w:start w:val="3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3">
    <w:lvl w:ilvl="0">
      <w:start w:val="8"/>
      <w:numFmt w:val="decimal"/>
      <w:lvlText w:val="%1."/>
      <w:lvlJc w:val="left"/>
      <w:pPr>
        <w:ind w:left="720" w:hanging="360"/>
      </w:pPr>
      <w:rPr>
        <w:sz w:val="22"/>
        <w:b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4">
    <w:lvl w:ilvl="0">
      <w:start w:val="1"/>
      <w:numFmt w:val="lowerLetter"/>
      <w:lvlText w:val="%1)"/>
      <w:lvlJc w:val="left"/>
      <w:pPr>
        <w:ind w:left="720" w:hanging="360"/>
      </w:pPr>
      <w:rPr>
        <w:b w:val="false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5">
    <w:lvl w:ilvl="0">
      <w:start w:val="8"/>
      <w:numFmt w:val="decimal"/>
      <w:lvlText w:val="%1."/>
      <w:lvlJc w:val="left"/>
      <w:pPr>
        <w:ind w:left="720" w:hanging="360"/>
      </w:pPr>
      <w:rPr>
        <w:sz w:val="22"/>
        <w:b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6">
    <w:lvl w:ilvl="0">
      <w:start w:val="1"/>
      <w:numFmt w:val="lowerLetter"/>
      <w:lvlText w:val="%1)"/>
      <w:lvlJc w:val="left"/>
      <w:pPr>
        <w:ind w:left="720" w:hanging="360"/>
      </w:pPr>
      <w:rPr>
        <w:b w:val="false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7">
    <w:lvl w:ilvl="0">
      <w:start w:val="8"/>
      <w:numFmt w:val="decimal"/>
      <w:lvlText w:val="%1."/>
      <w:lvlJc w:val="left"/>
      <w:pPr>
        <w:ind w:left="720" w:hanging="360"/>
      </w:pPr>
      <w:rPr>
        <w:sz w:val="22"/>
        <w:b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8">
    <w:lvl w:ilvl="0">
      <w:start w:val="1"/>
      <w:numFmt w:val="upperRoman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9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0">
    <w:lvl w:ilvl="0">
      <w:start w:val="1"/>
      <w:numFmt w:val="decimal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  <w:num w:numId="21">
    <w:abstractNumId w:val="21"/>
  </w:num>
  <w:num w:numId="22">
    <w:abstractNumId w:val="22"/>
  </w:num>
  <w:num w:numId="23">
    <w:abstractNumId w:val="23"/>
  </w:num>
  <w:num w:numId="24">
    <w:abstractNumId w:val="24"/>
  </w:num>
  <w:num w:numId="25">
    <w:abstractNumId w:val="25"/>
  </w:num>
  <w:num w:numId="26">
    <w:abstractNumId w:val="26"/>
  </w:num>
  <w:num w:numId="27">
    <w:abstractNumId w:val="27"/>
  </w:num>
  <w:num w:numId="28">
    <w:abstractNumId w:val="28"/>
  </w:num>
  <w:num w:numId="29">
    <w:abstractNumId w:val="29"/>
  </w:num>
  <w:num w:numId="30">
    <w:abstractNumId w:val="30"/>
  </w:num>
</w:numbering>
</file>

<file path=word/settings.xml><?xml version="1.0" encoding="utf-8"?>
<w:settings xmlns:w="http://schemas.openxmlformats.org/wordprocessingml/2006/main">
  <w:zoom w:percent="10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Mangal"/>
        <w:szCs w:val="24"/>
        <w:lang w:val="sk-SK" w:eastAsia="zh-CN" w:bidi="hi-IN"/>
      </w:rPr>
    </w:rPrDefault>
    <w:pPrDefault>
      <w:pPr>
        <w:textAlignment w:val="baselin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073c0a"/>
    <w:pPr>
      <w:widowControl/>
      <w:suppressAutoHyphens w:val="true"/>
      <w:bidi w:val="0"/>
      <w:jc w:val="left"/>
      <w:textAlignment w:val="baseline"/>
    </w:pPr>
    <w:rPr>
      <w:rFonts w:ascii="Liberation Serif" w:hAnsi="Liberation Serif" w:eastAsia="SimSun" w:cs="Mangal"/>
      <w:color w:val="00000A"/>
      <w:sz w:val="24"/>
      <w:szCs w:val="24"/>
      <w:lang w:val="sk-SK" w:eastAsia="zh-CN" w:bidi="hi-IN"/>
    </w:rPr>
  </w:style>
  <w:style w:type="paragraph" w:styleId="Nadpis2" w:customStyle="1">
    <w:name w:val="Nadpis 2"/>
    <w:rsid w:val="00172e71"/>
    <w:pPr>
      <w:keepNext/>
      <w:widowControl w:val="false"/>
      <w:suppressAutoHyphens w:val="true"/>
      <w:spacing w:before="60" w:after="240"/>
      <w:textAlignment w:val="baseline"/>
      <w:outlineLvl w:val="0"/>
    </w:pPr>
    <w:rPr>
      <w:rFonts w:ascii="Arial" w:hAnsi="Arial" w:cs="Arial" w:eastAsia="SimSun"/>
      <w:b/>
      <w:bCs/>
      <w:iCs/>
      <w:color w:val="auto"/>
      <w:sz w:val="22"/>
      <w:szCs w:val="22"/>
      <w:lang w:val="sk-SK" w:eastAsia="zh-CN" w:bidi="hi-IN"/>
    </w:rPr>
  </w:style>
  <w:style w:type="character" w:styleId="DefaultParagraphFont" w:default="1">
    <w:name w:val="Default Paragraph Font"/>
    <w:uiPriority w:val="1"/>
    <w:unhideWhenUsed/>
    <w:qFormat/>
    <w:rPr/>
  </w:style>
  <w:style w:type="character" w:styleId="WW8Num1z0" w:customStyle="1">
    <w:name w:val="WW8Num1z0"/>
    <w:qFormat/>
    <w:rsid w:val="00172e71"/>
    <w:rPr/>
  </w:style>
  <w:style w:type="character" w:styleId="WW8Num1z1" w:customStyle="1">
    <w:name w:val="WW8Num1z1"/>
    <w:qFormat/>
    <w:rsid w:val="00172e71"/>
    <w:rPr/>
  </w:style>
  <w:style w:type="character" w:styleId="WW8Num1z2" w:customStyle="1">
    <w:name w:val="WW8Num1z2"/>
    <w:qFormat/>
    <w:rsid w:val="00172e71"/>
    <w:rPr/>
  </w:style>
  <w:style w:type="character" w:styleId="WW8Num1z3" w:customStyle="1">
    <w:name w:val="WW8Num1z3"/>
    <w:qFormat/>
    <w:rsid w:val="00172e71"/>
    <w:rPr/>
  </w:style>
  <w:style w:type="character" w:styleId="WW8Num1z4" w:customStyle="1">
    <w:name w:val="WW8Num1z4"/>
    <w:qFormat/>
    <w:rsid w:val="00172e71"/>
    <w:rPr/>
  </w:style>
  <w:style w:type="character" w:styleId="WW8Num1z5" w:customStyle="1">
    <w:name w:val="WW8Num1z5"/>
    <w:qFormat/>
    <w:rsid w:val="00172e71"/>
    <w:rPr/>
  </w:style>
  <w:style w:type="character" w:styleId="WW8Num1z6" w:customStyle="1">
    <w:name w:val="WW8Num1z6"/>
    <w:qFormat/>
    <w:rsid w:val="00172e71"/>
    <w:rPr/>
  </w:style>
  <w:style w:type="character" w:styleId="WW8Num1z7" w:customStyle="1">
    <w:name w:val="WW8Num1z7"/>
    <w:qFormat/>
    <w:rsid w:val="00172e71"/>
    <w:rPr/>
  </w:style>
  <w:style w:type="character" w:styleId="WW8Num1z8" w:customStyle="1">
    <w:name w:val="WW8Num1z8"/>
    <w:qFormat/>
    <w:rsid w:val="00172e71"/>
    <w:rPr/>
  </w:style>
  <w:style w:type="character" w:styleId="WW8Num2z0" w:customStyle="1">
    <w:name w:val="WW8Num2z0"/>
    <w:qFormat/>
    <w:rsid w:val="00172e71"/>
    <w:rPr>
      <w:rFonts w:ascii="Arial" w:hAnsi="Arial" w:cs="Arial"/>
      <w:b w:val="false"/>
    </w:rPr>
  </w:style>
  <w:style w:type="character" w:styleId="WW8Num3z0" w:customStyle="1">
    <w:name w:val="WW8Num3z0"/>
    <w:qFormat/>
    <w:rsid w:val="00172e71"/>
    <w:rPr>
      <w:b w:val="false"/>
    </w:rPr>
  </w:style>
  <w:style w:type="character" w:styleId="WW8Num4z0" w:customStyle="1">
    <w:name w:val="WW8Num4z0"/>
    <w:qFormat/>
    <w:rsid w:val="00172e71"/>
    <w:rPr>
      <w:rFonts w:ascii="Arial" w:hAnsi="Arial" w:cs="Arial"/>
      <w:b w:val="false"/>
      <w:sz w:val="20"/>
      <w:szCs w:val="20"/>
      <w:lang w:val="sk-SK" w:eastAsia="sk-SK"/>
    </w:rPr>
  </w:style>
  <w:style w:type="character" w:styleId="WW8Num5z0" w:customStyle="1">
    <w:name w:val="WW8Num5z0"/>
    <w:qFormat/>
    <w:rsid w:val="00172e71"/>
    <w:rPr>
      <w:rFonts w:ascii="Wingdings" w:hAnsi="Wingdings" w:cs="Wingdings"/>
      <w:color w:val="000000"/>
    </w:rPr>
  </w:style>
  <w:style w:type="character" w:styleId="WW8Num6z0" w:customStyle="1">
    <w:name w:val="WW8Num6z0"/>
    <w:qFormat/>
    <w:rsid w:val="00172e71"/>
    <w:rPr/>
  </w:style>
  <w:style w:type="character" w:styleId="WW8Num7z0" w:customStyle="1">
    <w:name w:val="WW8Num7z0"/>
    <w:qFormat/>
    <w:rsid w:val="00172e71"/>
    <w:rPr>
      <w:b/>
    </w:rPr>
  </w:style>
  <w:style w:type="character" w:styleId="WW8Num7z1" w:customStyle="1">
    <w:name w:val="WW8Num7z1"/>
    <w:qFormat/>
    <w:rsid w:val="00172e71"/>
    <w:rPr/>
  </w:style>
  <w:style w:type="character" w:styleId="WW8Num7z2" w:customStyle="1">
    <w:name w:val="WW8Num7z2"/>
    <w:qFormat/>
    <w:rsid w:val="00172e71"/>
    <w:rPr>
      <w:rFonts w:ascii="Symbol" w:hAnsi="Symbol" w:cs="Symbol"/>
    </w:rPr>
  </w:style>
  <w:style w:type="character" w:styleId="WW8Num8z0" w:customStyle="1">
    <w:name w:val="WW8Num8z0"/>
    <w:qFormat/>
    <w:rsid w:val="00172e71"/>
    <w:rPr>
      <w:b/>
    </w:rPr>
  </w:style>
  <w:style w:type="character" w:styleId="WW8Num9z0" w:customStyle="1">
    <w:name w:val="WW8Num9z0"/>
    <w:qFormat/>
    <w:rsid w:val="00172e71"/>
    <w:rPr/>
  </w:style>
  <w:style w:type="character" w:styleId="WW8Num9z1" w:customStyle="1">
    <w:name w:val="WW8Num9z1"/>
    <w:qFormat/>
    <w:rsid w:val="00172e71"/>
    <w:rPr/>
  </w:style>
  <w:style w:type="character" w:styleId="WW8Num9z2" w:customStyle="1">
    <w:name w:val="WW8Num9z2"/>
    <w:qFormat/>
    <w:rsid w:val="00172e71"/>
    <w:rPr/>
  </w:style>
  <w:style w:type="character" w:styleId="WW8Num9z3" w:customStyle="1">
    <w:name w:val="WW8Num9z3"/>
    <w:qFormat/>
    <w:rsid w:val="00172e71"/>
    <w:rPr/>
  </w:style>
  <w:style w:type="character" w:styleId="WW8Num9z4" w:customStyle="1">
    <w:name w:val="WW8Num9z4"/>
    <w:qFormat/>
    <w:rsid w:val="00172e71"/>
    <w:rPr/>
  </w:style>
  <w:style w:type="character" w:styleId="WW8Num9z5" w:customStyle="1">
    <w:name w:val="WW8Num9z5"/>
    <w:qFormat/>
    <w:rsid w:val="00172e71"/>
    <w:rPr/>
  </w:style>
  <w:style w:type="character" w:styleId="WW8Num9z6" w:customStyle="1">
    <w:name w:val="WW8Num9z6"/>
    <w:qFormat/>
    <w:rsid w:val="00172e71"/>
    <w:rPr/>
  </w:style>
  <w:style w:type="character" w:styleId="WW8Num9z7" w:customStyle="1">
    <w:name w:val="WW8Num9z7"/>
    <w:qFormat/>
    <w:rsid w:val="00172e71"/>
    <w:rPr/>
  </w:style>
  <w:style w:type="character" w:styleId="WW8Num9z8" w:customStyle="1">
    <w:name w:val="WW8Num9z8"/>
    <w:qFormat/>
    <w:rsid w:val="00172e71"/>
    <w:rPr/>
  </w:style>
  <w:style w:type="character" w:styleId="WW8Num10z0" w:customStyle="1">
    <w:name w:val="WW8Num10z0"/>
    <w:qFormat/>
    <w:rsid w:val="00172e71"/>
    <w:rPr/>
  </w:style>
  <w:style w:type="character" w:styleId="WW8Num11z0" w:customStyle="1">
    <w:name w:val="WW8Num11z0"/>
    <w:qFormat/>
    <w:rsid w:val="00172e71"/>
    <w:rPr/>
  </w:style>
  <w:style w:type="character" w:styleId="WW8Num12z0" w:customStyle="1">
    <w:name w:val="WW8Num12z0"/>
    <w:qFormat/>
    <w:rsid w:val="00172e71"/>
    <w:rPr>
      <w:rFonts w:cs="Arial"/>
      <w:b/>
    </w:rPr>
  </w:style>
  <w:style w:type="character" w:styleId="WW8Num13z0" w:customStyle="1">
    <w:name w:val="WW8Num13z0"/>
    <w:qFormat/>
    <w:rsid w:val="00172e71"/>
    <w:rPr>
      <w:rFonts w:ascii="Arial" w:hAnsi="Arial" w:cs="Arial"/>
      <w:b/>
      <w:i/>
      <w:sz w:val="22"/>
      <w:szCs w:val="22"/>
    </w:rPr>
  </w:style>
  <w:style w:type="character" w:styleId="WW8Num14z0" w:customStyle="1">
    <w:name w:val="WW8Num14z0"/>
    <w:qFormat/>
    <w:rsid w:val="00172e71"/>
    <w:rPr>
      <w:rFonts w:ascii="Arial" w:hAnsi="Arial" w:cs="Arial"/>
    </w:rPr>
  </w:style>
  <w:style w:type="character" w:styleId="WW8Num15z0" w:customStyle="1">
    <w:name w:val="WW8Num15z0"/>
    <w:qFormat/>
    <w:rsid w:val="00172e71"/>
    <w:rPr>
      <w:b/>
    </w:rPr>
  </w:style>
  <w:style w:type="character" w:styleId="WW8Num16z0" w:customStyle="1">
    <w:name w:val="WW8Num16z0"/>
    <w:qFormat/>
    <w:rsid w:val="00172e71"/>
    <w:rPr/>
  </w:style>
  <w:style w:type="character" w:styleId="WW8Num8z1" w:customStyle="1">
    <w:name w:val="WW8Num8z1"/>
    <w:qFormat/>
    <w:rsid w:val="00172e71"/>
    <w:rPr/>
  </w:style>
  <w:style w:type="character" w:styleId="WW8Num8z2" w:customStyle="1">
    <w:name w:val="WW8Num8z2"/>
    <w:qFormat/>
    <w:rsid w:val="00172e71"/>
    <w:rPr>
      <w:rFonts w:ascii="Symbol" w:hAnsi="Symbol" w:cs="Symbol"/>
    </w:rPr>
  </w:style>
  <w:style w:type="character" w:styleId="WW8Num10z1" w:customStyle="1">
    <w:name w:val="WW8Num10z1"/>
    <w:qFormat/>
    <w:rsid w:val="00172e71"/>
    <w:rPr/>
  </w:style>
  <w:style w:type="character" w:styleId="WW8Num10z2" w:customStyle="1">
    <w:name w:val="WW8Num10z2"/>
    <w:qFormat/>
    <w:rsid w:val="00172e71"/>
    <w:rPr/>
  </w:style>
  <w:style w:type="character" w:styleId="WW8Num10z3" w:customStyle="1">
    <w:name w:val="WW8Num10z3"/>
    <w:qFormat/>
    <w:rsid w:val="00172e71"/>
    <w:rPr/>
  </w:style>
  <w:style w:type="character" w:styleId="WW8Num10z4" w:customStyle="1">
    <w:name w:val="WW8Num10z4"/>
    <w:qFormat/>
    <w:rsid w:val="00172e71"/>
    <w:rPr/>
  </w:style>
  <w:style w:type="character" w:styleId="WW8Num10z5" w:customStyle="1">
    <w:name w:val="WW8Num10z5"/>
    <w:qFormat/>
    <w:rsid w:val="00172e71"/>
    <w:rPr/>
  </w:style>
  <w:style w:type="character" w:styleId="WW8Num10z6" w:customStyle="1">
    <w:name w:val="WW8Num10z6"/>
    <w:qFormat/>
    <w:rsid w:val="00172e71"/>
    <w:rPr/>
  </w:style>
  <w:style w:type="character" w:styleId="WW8Num10z7" w:customStyle="1">
    <w:name w:val="WW8Num10z7"/>
    <w:qFormat/>
    <w:rsid w:val="00172e71"/>
    <w:rPr/>
  </w:style>
  <w:style w:type="character" w:styleId="WW8Num10z8" w:customStyle="1">
    <w:name w:val="WW8Num10z8"/>
    <w:qFormat/>
    <w:rsid w:val="00172e71"/>
    <w:rPr/>
  </w:style>
  <w:style w:type="character" w:styleId="WW8Num17z0" w:customStyle="1">
    <w:name w:val="WW8Num17z0"/>
    <w:qFormat/>
    <w:rsid w:val="00172e71"/>
    <w:rPr/>
  </w:style>
  <w:style w:type="character" w:styleId="WW8Num12z1" w:customStyle="1">
    <w:name w:val="WW8Num12z1"/>
    <w:qFormat/>
    <w:rsid w:val="00172e71"/>
    <w:rPr/>
  </w:style>
  <w:style w:type="character" w:styleId="WW8Num12z2" w:customStyle="1">
    <w:name w:val="WW8Num12z2"/>
    <w:qFormat/>
    <w:rsid w:val="00172e71"/>
    <w:rPr/>
  </w:style>
  <w:style w:type="character" w:styleId="WW8Num12z3" w:customStyle="1">
    <w:name w:val="WW8Num12z3"/>
    <w:qFormat/>
    <w:rsid w:val="00172e71"/>
    <w:rPr/>
  </w:style>
  <w:style w:type="character" w:styleId="WW8Num12z4" w:customStyle="1">
    <w:name w:val="WW8Num12z4"/>
    <w:qFormat/>
    <w:rsid w:val="00172e71"/>
    <w:rPr/>
  </w:style>
  <w:style w:type="character" w:styleId="WW8Num12z5" w:customStyle="1">
    <w:name w:val="WW8Num12z5"/>
    <w:qFormat/>
    <w:rsid w:val="00172e71"/>
    <w:rPr/>
  </w:style>
  <w:style w:type="character" w:styleId="WW8Num12z6" w:customStyle="1">
    <w:name w:val="WW8Num12z6"/>
    <w:qFormat/>
    <w:rsid w:val="00172e71"/>
    <w:rPr/>
  </w:style>
  <w:style w:type="character" w:styleId="WW8Num12z7" w:customStyle="1">
    <w:name w:val="WW8Num12z7"/>
    <w:qFormat/>
    <w:rsid w:val="00172e71"/>
    <w:rPr/>
  </w:style>
  <w:style w:type="character" w:styleId="WW8Num12z8" w:customStyle="1">
    <w:name w:val="WW8Num12z8"/>
    <w:qFormat/>
    <w:rsid w:val="00172e71"/>
    <w:rPr/>
  </w:style>
  <w:style w:type="character" w:styleId="WW8Num18z0" w:customStyle="1">
    <w:name w:val="WW8Num18z0"/>
    <w:qFormat/>
    <w:rsid w:val="00172e71"/>
    <w:rPr>
      <w:b/>
    </w:rPr>
  </w:style>
  <w:style w:type="character" w:styleId="WW8Num19z0" w:customStyle="1">
    <w:name w:val="WW8Num19z0"/>
    <w:qFormat/>
    <w:rsid w:val="00172e71"/>
    <w:rPr/>
  </w:style>
  <w:style w:type="character" w:styleId="WW8Num7z3" w:customStyle="1">
    <w:name w:val="WW8Num7z3"/>
    <w:qFormat/>
    <w:rsid w:val="00172e71"/>
    <w:rPr>
      <w:rFonts w:ascii="Symbol" w:hAnsi="Symbol" w:cs="Symbol"/>
    </w:rPr>
  </w:style>
  <w:style w:type="character" w:styleId="WW8Num8z3" w:customStyle="1">
    <w:name w:val="WW8Num8z3"/>
    <w:qFormat/>
    <w:rsid w:val="00172e71"/>
    <w:rPr/>
  </w:style>
  <w:style w:type="character" w:styleId="WW8Num8z4" w:customStyle="1">
    <w:name w:val="WW8Num8z4"/>
    <w:qFormat/>
    <w:rsid w:val="00172e71"/>
    <w:rPr/>
  </w:style>
  <w:style w:type="character" w:styleId="WW8Num8z5" w:customStyle="1">
    <w:name w:val="WW8Num8z5"/>
    <w:qFormat/>
    <w:rsid w:val="00172e71"/>
    <w:rPr/>
  </w:style>
  <w:style w:type="character" w:styleId="WW8Num8z6" w:customStyle="1">
    <w:name w:val="WW8Num8z6"/>
    <w:qFormat/>
    <w:rsid w:val="00172e71"/>
    <w:rPr/>
  </w:style>
  <w:style w:type="character" w:styleId="WW8Num8z7" w:customStyle="1">
    <w:name w:val="WW8Num8z7"/>
    <w:qFormat/>
    <w:rsid w:val="00172e71"/>
    <w:rPr/>
  </w:style>
  <w:style w:type="character" w:styleId="WW8Num8z8" w:customStyle="1">
    <w:name w:val="WW8Num8z8"/>
    <w:qFormat/>
    <w:rsid w:val="00172e71"/>
    <w:rPr/>
  </w:style>
  <w:style w:type="character" w:styleId="WW8Num11z1" w:customStyle="1">
    <w:name w:val="WW8Num11z1"/>
    <w:qFormat/>
    <w:rsid w:val="00172e71"/>
    <w:rPr/>
  </w:style>
  <w:style w:type="character" w:styleId="WW8Num11z2" w:customStyle="1">
    <w:name w:val="WW8Num11z2"/>
    <w:qFormat/>
    <w:rsid w:val="00172e71"/>
    <w:rPr/>
  </w:style>
  <w:style w:type="character" w:styleId="WW8Num11z3" w:customStyle="1">
    <w:name w:val="WW8Num11z3"/>
    <w:qFormat/>
    <w:rsid w:val="00172e71"/>
    <w:rPr/>
  </w:style>
  <w:style w:type="character" w:styleId="WW8Num11z4" w:customStyle="1">
    <w:name w:val="WW8Num11z4"/>
    <w:qFormat/>
    <w:rsid w:val="00172e71"/>
    <w:rPr/>
  </w:style>
  <w:style w:type="character" w:styleId="WW8Num11z5" w:customStyle="1">
    <w:name w:val="WW8Num11z5"/>
    <w:qFormat/>
    <w:rsid w:val="00172e71"/>
    <w:rPr/>
  </w:style>
  <w:style w:type="character" w:styleId="WW8Num11z6" w:customStyle="1">
    <w:name w:val="WW8Num11z6"/>
    <w:qFormat/>
    <w:rsid w:val="00172e71"/>
    <w:rPr/>
  </w:style>
  <w:style w:type="character" w:styleId="WW8Num11z7" w:customStyle="1">
    <w:name w:val="WW8Num11z7"/>
    <w:qFormat/>
    <w:rsid w:val="00172e71"/>
    <w:rPr/>
  </w:style>
  <w:style w:type="character" w:styleId="WW8Num11z8" w:customStyle="1">
    <w:name w:val="WW8Num11z8"/>
    <w:qFormat/>
    <w:rsid w:val="00172e71"/>
    <w:rPr/>
  </w:style>
  <w:style w:type="character" w:styleId="WW8Num13z1" w:customStyle="1">
    <w:name w:val="WW8Num13z1"/>
    <w:qFormat/>
    <w:rsid w:val="00172e71"/>
    <w:rPr/>
  </w:style>
  <w:style w:type="character" w:styleId="WW8Num13z2" w:customStyle="1">
    <w:name w:val="WW8Num13z2"/>
    <w:qFormat/>
    <w:rsid w:val="00172e71"/>
    <w:rPr/>
  </w:style>
  <w:style w:type="character" w:styleId="WW8Num13z3" w:customStyle="1">
    <w:name w:val="WW8Num13z3"/>
    <w:qFormat/>
    <w:rsid w:val="00172e71"/>
    <w:rPr/>
  </w:style>
  <w:style w:type="character" w:styleId="WW8Num13z4" w:customStyle="1">
    <w:name w:val="WW8Num13z4"/>
    <w:qFormat/>
    <w:rsid w:val="00172e71"/>
    <w:rPr/>
  </w:style>
  <w:style w:type="character" w:styleId="WW8Num13z5" w:customStyle="1">
    <w:name w:val="WW8Num13z5"/>
    <w:qFormat/>
    <w:rsid w:val="00172e71"/>
    <w:rPr/>
  </w:style>
  <w:style w:type="character" w:styleId="WW8Num13z6" w:customStyle="1">
    <w:name w:val="WW8Num13z6"/>
    <w:qFormat/>
    <w:rsid w:val="00172e71"/>
    <w:rPr/>
  </w:style>
  <w:style w:type="character" w:styleId="WW8Num13z7" w:customStyle="1">
    <w:name w:val="WW8Num13z7"/>
    <w:qFormat/>
    <w:rsid w:val="00172e71"/>
    <w:rPr/>
  </w:style>
  <w:style w:type="character" w:styleId="WW8Num13z8" w:customStyle="1">
    <w:name w:val="WW8Num13z8"/>
    <w:qFormat/>
    <w:rsid w:val="00172e71"/>
    <w:rPr/>
  </w:style>
  <w:style w:type="character" w:styleId="WW8Num14z1" w:customStyle="1">
    <w:name w:val="WW8Num14z1"/>
    <w:qFormat/>
    <w:rsid w:val="00172e71"/>
    <w:rPr/>
  </w:style>
  <w:style w:type="character" w:styleId="WW8Num14z2" w:customStyle="1">
    <w:name w:val="WW8Num14z2"/>
    <w:qFormat/>
    <w:rsid w:val="00172e71"/>
    <w:rPr/>
  </w:style>
  <w:style w:type="character" w:styleId="WW8Num14z3" w:customStyle="1">
    <w:name w:val="WW8Num14z3"/>
    <w:qFormat/>
    <w:rsid w:val="00172e71"/>
    <w:rPr/>
  </w:style>
  <w:style w:type="character" w:styleId="WW8Num14z4" w:customStyle="1">
    <w:name w:val="WW8Num14z4"/>
    <w:qFormat/>
    <w:rsid w:val="00172e71"/>
    <w:rPr/>
  </w:style>
  <w:style w:type="character" w:styleId="WW8Num14z5" w:customStyle="1">
    <w:name w:val="WW8Num14z5"/>
    <w:qFormat/>
    <w:rsid w:val="00172e71"/>
    <w:rPr/>
  </w:style>
  <w:style w:type="character" w:styleId="WW8Num14z6" w:customStyle="1">
    <w:name w:val="WW8Num14z6"/>
    <w:qFormat/>
    <w:rsid w:val="00172e71"/>
    <w:rPr/>
  </w:style>
  <w:style w:type="character" w:styleId="WW8Num14z7" w:customStyle="1">
    <w:name w:val="WW8Num14z7"/>
    <w:qFormat/>
    <w:rsid w:val="00172e71"/>
    <w:rPr/>
  </w:style>
  <w:style w:type="character" w:styleId="WW8Num14z8" w:customStyle="1">
    <w:name w:val="WW8Num14z8"/>
    <w:qFormat/>
    <w:rsid w:val="00172e71"/>
    <w:rPr/>
  </w:style>
  <w:style w:type="character" w:styleId="WW8Num15z1" w:customStyle="1">
    <w:name w:val="WW8Num15z1"/>
    <w:qFormat/>
    <w:rsid w:val="00172e71"/>
    <w:rPr/>
  </w:style>
  <w:style w:type="character" w:styleId="WW8Num15z2" w:customStyle="1">
    <w:name w:val="WW8Num15z2"/>
    <w:qFormat/>
    <w:rsid w:val="00172e71"/>
    <w:rPr/>
  </w:style>
  <w:style w:type="character" w:styleId="WW8Num15z3" w:customStyle="1">
    <w:name w:val="WW8Num15z3"/>
    <w:qFormat/>
    <w:rsid w:val="00172e71"/>
    <w:rPr/>
  </w:style>
  <w:style w:type="character" w:styleId="WW8Num15z4" w:customStyle="1">
    <w:name w:val="WW8Num15z4"/>
    <w:qFormat/>
    <w:rsid w:val="00172e71"/>
    <w:rPr/>
  </w:style>
  <w:style w:type="character" w:styleId="WW8Num15z5" w:customStyle="1">
    <w:name w:val="WW8Num15z5"/>
    <w:qFormat/>
    <w:rsid w:val="00172e71"/>
    <w:rPr/>
  </w:style>
  <w:style w:type="character" w:styleId="WW8Num15z6" w:customStyle="1">
    <w:name w:val="WW8Num15z6"/>
    <w:qFormat/>
    <w:rsid w:val="00172e71"/>
    <w:rPr/>
  </w:style>
  <w:style w:type="character" w:styleId="WW8Num15z7" w:customStyle="1">
    <w:name w:val="WW8Num15z7"/>
    <w:qFormat/>
    <w:rsid w:val="00172e71"/>
    <w:rPr/>
  </w:style>
  <w:style w:type="character" w:styleId="WW8Num15z8" w:customStyle="1">
    <w:name w:val="WW8Num15z8"/>
    <w:qFormat/>
    <w:rsid w:val="00172e71"/>
    <w:rPr/>
  </w:style>
  <w:style w:type="character" w:styleId="WW8Num16z1" w:customStyle="1">
    <w:name w:val="WW8Num16z1"/>
    <w:qFormat/>
    <w:rsid w:val="00172e71"/>
    <w:rPr/>
  </w:style>
  <w:style w:type="character" w:styleId="WW8Num16z2" w:customStyle="1">
    <w:name w:val="WW8Num16z2"/>
    <w:qFormat/>
    <w:rsid w:val="00172e71"/>
    <w:rPr/>
  </w:style>
  <w:style w:type="character" w:styleId="WW8Num16z3" w:customStyle="1">
    <w:name w:val="WW8Num16z3"/>
    <w:qFormat/>
    <w:rsid w:val="00172e71"/>
    <w:rPr/>
  </w:style>
  <w:style w:type="character" w:styleId="WW8Num16z4" w:customStyle="1">
    <w:name w:val="WW8Num16z4"/>
    <w:qFormat/>
    <w:rsid w:val="00172e71"/>
    <w:rPr/>
  </w:style>
  <w:style w:type="character" w:styleId="WW8Num16z5" w:customStyle="1">
    <w:name w:val="WW8Num16z5"/>
    <w:qFormat/>
    <w:rsid w:val="00172e71"/>
    <w:rPr/>
  </w:style>
  <w:style w:type="character" w:styleId="WW8Num16z6" w:customStyle="1">
    <w:name w:val="WW8Num16z6"/>
    <w:qFormat/>
    <w:rsid w:val="00172e71"/>
    <w:rPr/>
  </w:style>
  <w:style w:type="character" w:styleId="WW8Num16z7" w:customStyle="1">
    <w:name w:val="WW8Num16z7"/>
    <w:qFormat/>
    <w:rsid w:val="00172e71"/>
    <w:rPr/>
  </w:style>
  <w:style w:type="character" w:styleId="WW8Num16z8" w:customStyle="1">
    <w:name w:val="WW8Num16z8"/>
    <w:qFormat/>
    <w:rsid w:val="00172e71"/>
    <w:rPr/>
  </w:style>
  <w:style w:type="character" w:styleId="WW8Num17z1" w:customStyle="1">
    <w:name w:val="WW8Num17z1"/>
    <w:qFormat/>
    <w:rsid w:val="00172e71"/>
    <w:rPr/>
  </w:style>
  <w:style w:type="character" w:styleId="WW8Num17z2" w:customStyle="1">
    <w:name w:val="WW8Num17z2"/>
    <w:qFormat/>
    <w:rsid w:val="00172e71"/>
    <w:rPr/>
  </w:style>
  <w:style w:type="character" w:styleId="WW8Num17z3" w:customStyle="1">
    <w:name w:val="WW8Num17z3"/>
    <w:qFormat/>
    <w:rsid w:val="00172e71"/>
    <w:rPr/>
  </w:style>
  <w:style w:type="character" w:styleId="WW8Num17z4" w:customStyle="1">
    <w:name w:val="WW8Num17z4"/>
    <w:qFormat/>
    <w:rsid w:val="00172e71"/>
    <w:rPr/>
  </w:style>
  <w:style w:type="character" w:styleId="WW8Num17z5" w:customStyle="1">
    <w:name w:val="WW8Num17z5"/>
    <w:qFormat/>
    <w:rsid w:val="00172e71"/>
    <w:rPr/>
  </w:style>
  <w:style w:type="character" w:styleId="WW8Num17z6" w:customStyle="1">
    <w:name w:val="WW8Num17z6"/>
    <w:qFormat/>
    <w:rsid w:val="00172e71"/>
    <w:rPr/>
  </w:style>
  <w:style w:type="character" w:styleId="WW8Num17z7" w:customStyle="1">
    <w:name w:val="WW8Num17z7"/>
    <w:qFormat/>
    <w:rsid w:val="00172e71"/>
    <w:rPr/>
  </w:style>
  <w:style w:type="character" w:styleId="WW8Num17z8" w:customStyle="1">
    <w:name w:val="WW8Num17z8"/>
    <w:qFormat/>
    <w:rsid w:val="00172e71"/>
    <w:rPr/>
  </w:style>
  <w:style w:type="character" w:styleId="WW8Num18z1" w:customStyle="1">
    <w:name w:val="WW8Num18z1"/>
    <w:qFormat/>
    <w:rsid w:val="00172e71"/>
    <w:rPr/>
  </w:style>
  <w:style w:type="character" w:styleId="WW8Num18z3" w:customStyle="1">
    <w:name w:val="WW8Num18z3"/>
    <w:qFormat/>
    <w:rsid w:val="00172e71"/>
    <w:rPr/>
  </w:style>
  <w:style w:type="character" w:styleId="WW8Num18z4" w:customStyle="1">
    <w:name w:val="WW8Num18z4"/>
    <w:qFormat/>
    <w:rsid w:val="00172e71"/>
    <w:rPr/>
  </w:style>
  <w:style w:type="character" w:styleId="WW8Num18z5" w:customStyle="1">
    <w:name w:val="WW8Num18z5"/>
    <w:qFormat/>
    <w:rsid w:val="00172e71"/>
    <w:rPr/>
  </w:style>
  <w:style w:type="character" w:styleId="WW8Num18z6" w:customStyle="1">
    <w:name w:val="WW8Num18z6"/>
    <w:qFormat/>
    <w:rsid w:val="00172e71"/>
    <w:rPr/>
  </w:style>
  <w:style w:type="character" w:styleId="WW8Num18z7" w:customStyle="1">
    <w:name w:val="WW8Num18z7"/>
    <w:qFormat/>
    <w:rsid w:val="00172e71"/>
    <w:rPr/>
  </w:style>
  <w:style w:type="character" w:styleId="WW8Num18z8" w:customStyle="1">
    <w:name w:val="WW8Num18z8"/>
    <w:qFormat/>
    <w:rsid w:val="00172e71"/>
    <w:rPr/>
  </w:style>
  <w:style w:type="character" w:styleId="WW8Num19z1" w:customStyle="1">
    <w:name w:val="WW8Num19z1"/>
    <w:qFormat/>
    <w:rsid w:val="00172e71"/>
    <w:rPr/>
  </w:style>
  <w:style w:type="character" w:styleId="WW8Num19z2" w:customStyle="1">
    <w:name w:val="WW8Num19z2"/>
    <w:qFormat/>
    <w:rsid w:val="00172e71"/>
    <w:rPr/>
  </w:style>
  <w:style w:type="character" w:styleId="WW8Num19z3" w:customStyle="1">
    <w:name w:val="WW8Num19z3"/>
    <w:qFormat/>
    <w:rsid w:val="00172e71"/>
    <w:rPr/>
  </w:style>
  <w:style w:type="character" w:styleId="WW8Num19z4" w:customStyle="1">
    <w:name w:val="WW8Num19z4"/>
    <w:qFormat/>
    <w:rsid w:val="00172e71"/>
    <w:rPr/>
  </w:style>
  <w:style w:type="character" w:styleId="WW8Num19z5" w:customStyle="1">
    <w:name w:val="WW8Num19z5"/>
    <w:qFormat/>
    <w:rsid w:val="00172e71"/>
    <w:rPr/>
  </w:style>
  <w:style w:type="character" w:styleId="WW8Num19z6" w:customStyle="1">
    <w:name w:val="WW8Num19z6"/>
    <w:qFormat/>
    <w:rsid w:val="00172e71"/>
    <w:rPr/>
  </w:style>
  <w:style w:type="character" w:styleId="WW8Num19z7" w:customStyle="1">
    <w:name w:val="WW8Num19z7"/>
    <w:qFormat/>
    <w:rsid w:val="00172e71"/>
    <w:rPr/>
  </w:style>
  <w:style w:type="character" w:styleId="WW8Num19z8" w:customStyle="1">
    <w:name w:val="WW8Num19z8"/>
    <w:qFormat/>
    <w:rsid w:val="00172e71"/>
    <w:rPr/>
  </w:style>
  <w:style w:type="character" w:styleId="WW8Num20z0" w:customStyle="1">
    <w:name w:val="WW8Num20z0"/>
    <w:qFormat/>
    <w:rsid w:val="00172e71"/>
    <w:rPr>
      <w:rFonts w:ascii="Arial" w:hAnsi="Arial" w:cs="Arial"/>
      <w:b/>
      <w:sz w:val="22"/>
      <w:szCs w:val="22"/>
    </w:rPr>
  </w:style>
  <w:style w:type="character" w:styleId="WW8Num20z1" w:customStyle="1">
    <w:name w:val="WW8Num20z1"/>
    <w:qFormat/>
    <w:rsid w:val="00172e71"/>
    <w:rPr/>
  </w:style>
  <w:style w:type="character" w:styleId="WW8Num20z2" w:customStyle="1">
    <w:name w:val="WW8Num20z2"/>
    <w:qFormat/>
    <w:rsid w:val="00172e71"/>
    <w:rPr/>
  </w:style>
  <w:style w:type="character" w:styleId="WW8Num20z3" w:customStyle="1">
    <w:name w:val="WW8Num20z3"/>
    <w:qFormat/>
    <w:rsid w:val="00172e71"/>
    <w:rPr/>
  </w:style>
  <w:style w:type="character" w:styleId="WW8Num20z4" w:customStyle="1">
    <w:name w:val="WW8Num20z4"/>
    <w:qFormat/>
    <w:rsid w:val="00172e71"/>
    <w:rPr/>
  </w:style>
  <w:style w:type="character" w:styleId="WW8Num20z5" w:customStyle="1">
    <w:name w:val="WW8Num20z5"/>
    <w:qFormat/>
    <w:rsid w:val="00172e71"/>
    <w:rPr/>
  </w:style>
  <w:style w:type="character" w:styleId="WW8Num20z6" w:customStyle="1">
    <w:name w:val="WW8Num20z6"/>
    <w:qFormat/>
    <w:rsid w:val="00172e71"/>
    <w:rPr/>
  </w:style>
  <w:style w:type="character" w:styleId="WW8Num20z7" w:customStyle="1">
    <w:name w:val="WW8Num20z7"/>
    <w:qFormat/>
    <w:rsid w:val="00172e71"/>
    <w:rPr/>
  </w:style>
  <w:style w:type="character" w:styleId="WW8Num20z8" w:customStyle="1">
    <w:name w:val="WW8Num20z8"/>
    <w:qFormat/>
    <w:rsid w:val="00172e71"/>
    <w:rPr/>
  </w:style>
  <w:style w:type="character" w:styleId="WW8Num21z0" w:customStyle="1">
    <w:name w:val="WW8Num21z0"/>
    <w:qFormat/>
    <w:rsid w:val="00172e71"/>
    <w:rPr>
      <w:rFonts w:ascii="Arial" w:hAnsi="Arial" w:cs="Arial"/>
    </w:rPr>
  </w:style>
  <w:style w:type="character" w:styleId="WW8Num21z1" w:customStyle="1">
    <w:name w:val="WW8Num21z1"/>
    <w:qFormat/>
    <w:rsid w:val="00172e71"/>
    <w:rPr>
      <w:rFonts w:ascii="Courier New" w:hAnsi="Courier New" w:cs="Courier New"/>
    </w:rPr>
  </w:style>
  <w:style w:type="character" w:styleId="WW8Num21z2" w:customStyle="1">
    <w:name w:val="WW8Num21z2"/>
    <w:qFormat/>
    <w:rsid w:val="00172e71"/>
    <w:rPr>
      <w:rFonts w:ascii="Wingdings" w:hAnsi="Wingdings" w:cs="Wingdings"/>
    </w:rPr>
  </w:style>
  <w:style w:type="character" w:styleId="WW8Num21z3" w:customStyle="1">
    <w:name w:val="WW8Num21z3"/>
    <w:qFormat/>
    <w:rsid w:val="00172e71"/>
    <w:rPr>
      <w:rFonts w:ascii="Symbol" w:hAnsi="Symbol" w:cs="Symbol"/>
    </w:rPr>
  </w:style>
  <w:style w:type="character" w:styleId="WW8Num22z0" w:customStyle="1">
    <w:name w:val="WW8Num22z0"/>
    <w:qFormat/>
    <w:rsid w:val="00172e71"/>
    <w:rPr>
      <w:b/>
    </w:rPr>
  </w:style>
  <w:style w:type="character" w:styleId="WW8Num22z1" w:customStyle="1">
    <w:name w:val="WW8Num22z1"/>
    <w:qFormat/>
    <w:rsid w:val="00172e71"/>
    <w:rPr/>
  </w:style>
  <w:style w:type="character" w:styleId="WW8Num22z2" w:customStyle="1">
    <w:name w:val="WW8Num22z2"/>
    <w:qFormat/>
    <w:rsid w:val="00172e71"/>
    <w:rPr/>
  </w:style>
  <w:style w:type="character" w:styleId="WW8Num22z3" w:customStyle="1">
    <w:name w:val="WW8Num22z3"/>
    <w:qFormat/>
    <w:rsid w:val="00172e71"/>
    <w:rPr/>
  </w:style>
  <w:style w:type="character" w:styleId="WW8Num22z4" w:customStyle="1">
    <w:name w:val="WW8Num22z4"/>
    <w:qFormat/>
    <w:rsid w:val="00172e71"/>
    <w:rPr/>
  </w:style>
  <w:style w:type="character" w:styleId="WW8Num22z5" w:customStyle="1">
    <w:name w:val="WW8Num22z5"/>
    <w:qFormat/>
    <w:rsid w:val="00172e71"/>
    <w:rPr/>
  </w:style>
  <w:style w:type="character" w:styleId="WW8Num22z6" w:customStyle="1">
    <w:name w:val="WW8Num22z6"/>
    <w:qFormat/>
    <w:rsid w:val="00172e71"/>
    <w:rPr/>
  </w:style>
  <w:style w:type="character" w:styleId="WW8Num22z7" w:customStyle="1">
    <w:name w:val="WW8Num22z7"/>
    <w:qFormat/>
    <w:rsid w:val="00172e71"/>
    <w:rPr/>
  </w:style>
  <w:style w:type="character" w:styleId="WW8Num22z8" w:customStyle="1">
    <w:name w:val="WW8Num22z8"/>
    <w:qFormat/>
    <w:rsid w:val="00172e71"/>
    <w:rPr/>
  </w:style>
  <w:style w:type="character" w:styleId="WW8Num23z0" w:customStyle="1">
    <w:name w:val="WW8Num23z0"/>
    <w:qFormat/>
    <w:rsid w:val="00172e71"/>
    <w:rPr/>
  </w:style>
  <w:style w:type="character" w:styleId="WW8Num23z2" w:customStyle="1">
    <w:name w:val="WW8Num23z2"/>
    <w:qFormat/>
    <w:rsid w:val="00172e71"/>
    <w:rPr/>
  </w:style>
  <w:style w:type="character" w:styleId="WW8Num23z3" w:customStyle="1">
    <w:name w:val="WW8Num23z3"/>
    <w:qFormat/>
    <w:rsid w:val="00172e71"/>
    <w:rPr/>
  </w:style>
  <w:style w:type="character" w:styleId="WW8Num23z4" w:customStyle="1">
    <w:name w:val="WW8Num23z4"/>
    <w:qFormat/>
    <w:rsid w:val="00172e71"/>
    <w:rPr/>
  </w:style>
  <w:style w:type="character" w:styleId="WW8Num23z5" w:customStyle="1">
    <w:name w:val="WW8Num23z5"/>
    <w:qFormat/>
    <w:rsid w:val="00172e71"/>
    <w:rPr/>
  </w:style>
  <w:style w:type="character" w:styleId="WW8Num23z6" w:customStyle="1">
    <w:name w:val="WW8Num23z6"/>
    <w:qFormat/>
    <w:rsid w:val="00172e71"/>
    <w:rPr/>
  </w:style>
  <w:style w:type="character" w:styleId="WW8Num23z7" w:customStyle="1">
    <w:name w:val="WW8Num23z7"/>
    <w:qFormat/>
    <w:rsid w:val="00172e71"/>
    <w:rPr/>
  </w:style>
  <w:style w:type="character" w:styleId="WW8Num23z8" w:customStyle="1">
    <w:name w:val="WW8Num23z8"/>
    <w:qFormat/>
    <w:rsid w:val="00172e71"/>
    <w:rPr/>
  </w:style>
  <w:style w:type="character" w:styleId="PtaChar" w:customStyle="1">
    <w:name w:val="Päta Char"/>
    <w:qFormat/>
    <w:rsid w:val="00172e71"/>
    <w:rPr>
      <w:sz w:val="20"/>
      <w:szCs w:val="20"/>
    </w:rPr>
  </w:style>
  <w:style w:type="character" w:styleId="TextbublinyChar" w:customStyle="1">
    <w:name w:val="Text bubliny Char"/>
    <w:qFormat/>
    <w:rsid w:val="00172e71"/>
    <w:rPr>
      <w:rFonts w:ascii="Tahoma" w:hAnsi="Tahoma" w:cs="Tahoma"/>
      <w:sz w:val="16"/>
      <w:szCs w:val="16"/>
    </w:rPr>
  </w:style>
  <w:style w:type="character" w:styleId="Slostrany" w:customStyle="1">
    <w:name w:val="Číslo strany"/>
    <w:basedOn w:val="DefaultParagraphFont"/>
    <w:rsid w:val="00172e71"/>
    <w:rPr/>
  </w:style>
  <w:style w:type="character" w:styleId="ZkladntextChar" w:customStyle="1">
    <w:name w:val="Základný text Char"/>
    <w:qFormat/>
    <w:rsid w:val="00172e71"/>
    <w:rPr>
      <w:sz w:val="20"/>
      <w:szCs w:val="20"/>
    </w:rPr>
  </w:style>
  <w:style w:type="character" w:styleId="HlavikaChar" w:customStyle="1">
    <w:name w:val="Hlavička Char"/>
    <w:qFormat/>
    <w:rsid w:val="00172e71"/>
    <w:rPr>
      <w:sz w:val="20"/>
      <w:szCs w:val="20"/>
    </w:rPr>
  </w:style>
  <w:style w:type="character" w:styleId="Silnzvraznenie" w:customStyle="1">
    <w:name w:val="Silné zvýraznenie"/>
    <w:rsid w:val="00172e71"/>
    <w:rPr>
      <w:b/>
      <w:bCs/>
    </w:rPr>
  </w:style>
  <w:style w:type="character" w:styleId="Internetlink" w:customStyle="1">
    <w:name w:val="Internet link"/>
    <w:qFormat/>
    <w:rsid w:val="00172e71"/>
    <w:rPr>
      <w:color w:val="0000FF"/>
      <w:u w:val="single"/>
    </w:rPr>
  </w:style>
  <w:style w:type="character" w:styleId="Nadpis2Char" w:customStyle="1">
    <w:name w:val="Nadpis 2 Char"/>
    <w:qFormat/>
    <w:rsid w:val="00172e71"/>
    <w:rPr>
      <w:rFonts w:ascii="Arial" w:hAnsi="Arial" w:cs="Arial"/>
      <w:b/>
      <w:bCs/>
      <w:iCs/>
      <w:sz w:val="22"/>
      <w:szCs w:val="22"/>
    </w:rPr>
  </w:style>
  <w:style w:type="character" w:styleId="HlavikaChar1" w:customStyle="1">
    <w:name w:val="Hlavička Char1"/>
    <w:basedOn w:val="DefaultParagraphFont"/>
    <w:link w:val="Hlavika"/>
    <w:uiPriority w:val="99"/>
    <w:semiHidden/>
    <w:qFormat/>
    <w:rsid w:val="00172e71"/>
    <w:rPr>
      <w:szCs w:val="21"/>
    </w:rPr>
  </w:style>
  <w:style w:type="character" w:styleId="PtaChar1" w:customStyle="1">
    <w:name w:val="Päta Char1"/>
    <w:basedOn w:val="DefaultParagraphFont"/>
    <w:link w:val="Pta"/>
    <w:uiPriority w:val="99"/>
    <w:semiHidden/>
    <w:qFormat/>
    <w:rsid w:val="00172e71"/>
    <w:rPr>
      <w:szCs w:val="21"/>
    </w:rPr>
  </w:style>
  <w:style w:type="character" w:styleId="ListLabel1">
    <w:name w:val="ListLabel 1"/>
    <w:qFormat/>
    <w:rPr>
      <w:rFonts w:ascii="Arial" w:hAnsi="Arial" w:cs="Arial"/>
      <w:b w:val="false"/>
    </w:rPr>
  </w:style>
  <w:style w:type="character" w:styleId="ListLabel2">
    <w:name w:val="ListLabel 2"/>
    <w:qFormat/>
    <w:rPr>
      <w:rFonts w:ascii="Arial" w:hAnsi="Arial"/>
      <w:b w:val="false"/>
    </w:rPr>
  </w:style>
  <w:style w:type="character" w:styleId="ListLabel3">
    <w:name w:val="ListLabel 3"/>
    <w:qFormat/>
    <w:rPr>
      <w:rFonts w:ascii="Arial" w:hAnsi="Arial" w:cs="Arial"/>
      <w:b w:val="false"/>
      <w:sz w:val="20"/>
      <w:szCs w:val="20"/>
      <w:lang w:val="sk-SK" w:eastAsia="sk-SK"/>
    </w:rPr>
  </w:style>
  <w:style w:type="character" w:styleId="ListLabel4">
    <w:name w:val="ListLabel 4"/>
    <w:qFormat/>
    <w:rPr>
      <w:rFonts w:ascii="Arial" w:hAnsi="Arial" w:cs="Wingdings"/>
      <w:color w:val="000000"/>
    </w:rPr>
  </w:style>
  <w:style w:type="character" w:styleId="ListLabel5">
    <w:name w:val="ListLabel 5"/>
    <w:qFormat/>
    <w:rPr>
      <w:rFonts w:ascii="Arial" w:hAnsi="Arial"/>
      <w:b/>
      <w:sz w:val="22"/>
    </w:rPr>
  </w:style>
  <w:style w:type="character" w:styleId="ListLabel6">
    <w:name w:val="ListLabel 6"/>
    <w:qFormat/>
    <w:rPr>
      <w:rFonts w:cs="Symbol"/>
    </w:rPr>
  </w:style>
  <w:style w:type="character" w:styleId="ListLabel7">
    <w:name w:val="ListLabel 7"/>
    <w:qFormat/>
    <w:rPr>
      <w:rFonts w:ascii="Arial" w:hAnsi="Arial" w:cs="Arial"/>
      <w:b/>
      <w:sz w:val="22"/>
    </w:rPr>
  </w:style>
  <w:style w:type="character" w:styleId="ListLabel8">
    <w:name w:val="ListLabel 8"/>
    <w:qFormat/>
    <w:rPr>
      <w:rFonts w:cs="Arial"/>
      <w:b/>
      <w:i/>
      <w:sz w:val="22"/>
      <w:szCs w:val="22"/>
    </w:rPr>
  </w:style>
  <w:style w:type="character" w:styleId="ListLabel9">
    <w:name w:val="ListLabel 9"/>
    <w:qFormat/>
    <w:rPr>
      <w:rFonts w:ascii="Arial" w:hAnsi="Arial" w:cs="Arial"/>
    </w:rPr>
  </w:style>
  <w:style w:type="character" w:styleId="ListLabel10">
    <w:name w:val="ListLabel 10"/>
    <w:qFormat/>
    <w:rPr>
      <w:rFonts w:ascii="Arial" w:hAnsi="Arial"/>
      <w:b/>
      <w:sz w:val="22"/>
    </w:rPr>
  </w:style>
  <w:style w:type="character" w:styleId="ListLabel11">
    <w:name w:val="ListLabel 11"/>
    <w:qFormat/>
    <w:rPr>
      <w:b/>
      <w:i/>
      <w:sz w:val="22"/>
      <w:szCs w:val="22"/>
    </w:rPr>
  </w:style>
  <w:style w:type="character" w:styleId="ListLabel12">
    <w:name w:val="ListLabel 12"/>
    <w:qFormat/>
    <w:rPr>
      <w:rFonts w:ascii="Arial" w:hAnsi="Arial" w:cs="Arial"/>
    </w:rPr>
  </w:style>
  <w:style w:type="character" w:styleId="ListLabel13">
    <w:name w:val="ListLabel 13"/>
    <w:qFormat/>
    <w:rPr>
      <w:rFonts w:cs="Symbol"/>
    </w:rPr>
  </w:style>
  <w:style w:type="character" w:styleId="ListLabel14">
    <w:name w:val="ListLabel 14"/>
    <w:qFormat/>
    <w:rPr>
      <w:rFonts w:ascii="Arial" w:hAnsi="Arial" w:cs="Wingdings"/>
    </w:rPr>
  </w:style>
  <w:style w:type="character" w:styleId="ListLabel15">
    <w:name w:val="ListLabel 15"/>
    <w:qFormat/>
    <w:rPr>
      <w:rFonts w:ascii="Arial" w:hAnsi="Arial"/>
      <w:b w:val="false"/>
      <w:sz w:val="20"/>
      <w:szCs w:val="20"/>
    </w:rPr>
  </w:style>
  <w:style w:type="character" w:styleId="ListLabel16">
    <w:name w:val="ListLabel 16"/>
    <w:qFormat/>
    <w:rPr>
      <w:rFonts w:ascii="Arial" w:hAnsi="Arial"/>
      <w:b w:val="false"/>
    </w:rPr>
  </w:style>
  <w:style w:type="paragraph" w:styleId="Nadpis" w:customStyle="1">
    <w:name w:val="Nadpis"/>
    <w:next w:val="Telotextu"/>
    <w:qFormat/>
    <w:rsid w:val="00172e71"/>
    <w:pPr>
      <w:keepNext/>
      <w:widowControl w:val="false"/>
      <w:suppressAutoHyphens w:val="true"/>
      <w:spacing w:before="240" w:after="120"/>
      <w:textAlignment w:val="baseline"/>
    </w:pPr>
    <w:rPr>
      <w:rFonts w:ascii="Liberation Sans" w:hAnsi="Liberation Sans" w:eastAsia="Microsoft YaHei" w:cs="Mangal"/>
      <w:color w:val="auto"/>
      <w:sz w:val="28"/>
      <w:szCs w:val="28"/>
      <w:lang w:val="sk-SK" w:eastAsia="zh-CN" w:bidi="hi-IN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rsid w:val="00172e71"/>
    <w:pPr>
      <w:widowControl w:val="false"/>
      <w:suppressAutoHyphens w:val="true"/>
      <w:textAlignment w:val="baseline"/>
    </w:pPr>
    <w:rPr>
      <w:rFonts w:cs="Mangal" w:ascii="Liberation Serif" w:hAnsi="Liberation Serif" w:eastAsia="SimSun"/>
      <w:color w:val="auto"/>
      <w:sz w:val="24"/>
      <w:szCs w:val="24"/>
      <w:lang w:val="sk-SK" w:eastAsia="zh-CN" w:bidi="hi-IN"/>
    </w:rPr>
  </w:style>
  <w:style w:type="paragraph" w:styleId="Popis" w:customStyle="1">
    <w:name w:val="Popis"/>
    <w:rsid w:val="00172e71"/>
    <w:pPr>
      <w:widowControl w:val="false"/>
      <w:suppressLineNumbers/>
      <w:suppressAutoHyphens w:val="true"/>
      <w:spacing w:before="120" w:after="120"/>
      <w:textAlignment w:val="baseline"/>
    </w:pPr>
    <w:rPr>
      <w:rFonts w:cs="Mangal" w:ascii="Liberation Serif" w:hAnsi="Liberation Serif" w:eastAsia="SimSun"/>
      <w:i/>
      <w:iCs/>
      <w:color w:val="auto"/>
      <w:sz w:val="24"/>
      <w:szCs w:val="24"/>
      <w:lang w:val="sk-SK" w:eastAsia="zh-CN" w:bidi="hi-IN"/>
    </w:rPr>
  </w:style>
  <w:style w:type="paragraph" w:styleId="Index" w:customStyle="1">
    <w:name w:val="Index"/>
    <w:qFormat/>
    <w:rsid w:val="00172e71"/>
    <w:pPr>
      <w:widowControl w:val="false"/>
      <w:suppressLineNumbers/>
      <w:suppressAutoHyphens w:val="true"/>
      <w:textAlignment w:val="baseline"/>
    </w:pPr>
    <w:rPr>
      <w:rFonts w:cs="Mangal" w:ascii="Liberation Serif" w:hAnsi="Liberation Serif" w:eastAsia="SimSun"/>
      <w:color w:val="auto"/>
      <w:sz w:val="24"/>
      <w:szCs w:val="24"/>
      <w:lang w:val="sk-SK" w:eastAsia="zh-CN" w:bidi="hi-IN"/>
    </w:rPr>
  </w:style>
  <w:style w:type="paragraph" w:styleId="Standard" w:customStyle="1">
    <w:name w:val="Standard"/>
    <w:qFormat/>
    <w:rsid w:val="00172e71"/>
    <w:pPr>
      <w:widowControl/>
      <w:suppressAutoHyphens w:val="true"/>
      <w:bidi w:val="0"/>
      <w:jc w:val="left"/>
      <w:textAlignment w:val="baseline"/>
    </w:pPr>
    <w:rPr>
      <w:rFonts w:ascii="Times New Roman" w:hAnsi="Times New Roman" w:eastAsia="Times New Roman" w:cs="Times New Roman"/>
      <w:color w:val="00000A"/>
      <w:sz w:val="20"/>
      <w:szCs w:val="20"/>
      <w:lang w:val="sk-SK" w:eastAsia="zh-CN" w:bidi="ar-SA"/>
    </w:rPr>
  </w:style>
  <w:style w:type="paragraph" w:styleId="Textbody" w:customStyle="1">
    <w:name w:val="Text body"/>
    <w:basedOn w:val="Standard"/>
    <w:qFormat/>
    <w:rsid w:val="00172e71"/>
    <w:pPr>
      <w:ind w:left="426" w:hanging="0"/>
      <w:jc w:val="both"/>
    </w:pPr>
    <w:rPr/>
  </w:style>
  <w:style w:type="paragraph" w:styleId="Pta">
    <w:name w:val="Päta"/>
    <w:basedOn w:val="Normal"/>
    <w:link w:val="PtaChar1"/>
    <w:uiPriority w:val="99"/>
    <w:semiHidden/>
    <w:unhideWhenUsed/>
    <w:rsid w:val="00172e71"/>
    <w:pPr>
      <w:tabs>
        <w:tab w:val="center" w:pos="4536" w:leader="none"/>
        <w:tab w:val="right" w:pos="9072" w:leader="none"/>
      </w:tabs>
    </w:pPr>
    <w:rPr>
      <w:szCs w:val="21"/>
    </w:rPr>
  </w:style>
  <w:style w:type="paragraph" w:styleId="BalloonText">
    <w:name w:val="Balloon Text"/>
    <w:basedOn w:val="Standard"/>
    <w:qFormat/>
    <w:rsid w:val="00172e71"/>
    <w:pPr/>
    <w:rPr>
      <w:rFonts w:ascii="Tahoma" w:hAnsi="Tahoma" w:cs="Tahoma"/>
      <w:sz w:val="16"/>
      <w:szCs w:val="16"/>
    </w:rPr>
  </w:style>
  <w:style w:type="paragraph" w:styleId="Zkladntext1" w:customStyle="1">
    <w:name w:val="Základní text1"/>
    <w:qFormat/>
    <w:rsid w:val="00172e71"/>
    <w:pPr>
      <w:widowControl/>
      <w:suppressAutoHyphens w:val="true"/>
      <w:bidi w:val="0"/>
      <w:spacing w:before="144" w:after="144"/>
      <w:ind w:firstLine="709"/>
      <w:jc w:val="both"/>
      <w:textAlignment w:val="baseline"/>
    </w:pPr>
    <w:rPr>
      <w:rFonts w:ascii="Times New Roman" w:hAnsi="Times New Roman" w:eastAsia="Times New Roman" w:cs="Times New Roman"/>
      <w:color w:val="000000"/>
      <w:sz w:val="24"/>
      <w:szCs w:val="24"/>
      <w:lang w:val="sk-SK" w:eastAsia="zh-CN" w:bidi="ar-SA"/>
    </w:rPr>
  </w:style>
  <w:style w:type="paragraph" w:styleId="Pismenka" w:customStyle="1">
    <w:name w:val="Pismenka"/>
    <w:basedOn w:val="Textbody"/>
    <w:qFormat/>
    <w:rsid w:val="00172e71"/>
    <w:pPr>
      <w:tabs>
        <w:tab w:val="left" w:pos="852" w:leader="none"/>
      </w:tabs>
      <w:ind w:left="426" w:hanging="426"/>
    </w:pPr>
    <w:rPr>
      <w:b/>
      <w:bCs/>
    </w:rPr>
  </w:style>
  <w:style w:type="paragraph" w:styleId="Hlavika">
    <w:name w:val="Hlavička"/>
    <w:basedOn w:val="Normal"/>
    <w:link w:val="HlavikaChar1"/>
    <w:uiPriority w:val="99"/>
    <w:semiHidden/>
    <w:unhideWhenUsed/>
    <w:rsid w:val="00172e71"/>
    <w:pPr>
      <w:tabs>
        <w:tab w:val="center" w:pos="4536" w:leader="none"/>
        <w:tab w:val="right" w:pos="9072" w:leader="none"/>
      </w:tabs>
    </w:pPr>
    <w:rPr>
      <w:szCs w:val="21"/>
    </w:rPr>
  </w:style>
  <w:style w:type="paragraph" w:styleId="Odstavec" w:customStyle="1">
    <w:name w:val="odstavec"/>
    <w:basedOn w:val="Standard"/>
    <w:qFormat/>
    <w:rsid w:val="00172e71"/>
    <w:pPr>
      <w:ind w:right="0" w:hanging="0"/>
      <w:jc w:val="both"/>
    </w:pPr>
    <w:rPr>
      <w:rFonts w:ascii="Arial" w:hAnsi="Arial" w:cs="Arial"/>
    </w:rPr>
  </w:style>
  <w:style w:type="paragraph" w:styleId="Abc" w:customStyle="1">
    <w:name w:val="abc"/>
    <w:basedOn w:val="Standard"/>
    <w:qFormat/>
    <w:rsid w:val="00172e71"/>
    <w:pPr>
      <w:spacing w:before="60" w:after="120"/>
      <w:jc w:val="both"/>
    </w:pPr>
    <w:rPr>
      <w:rFonts w:ascii="Arial" w:hAnsi="Arial" w:cs="Arial"/>
      <w:b/>
      <w:sz w:val="18"/>
      <w:szCs w:val="18"/>
    </w:rPr>
  </w:style>
  <w:style w:type="paragraph" w:styleId="Default" w:customStyle="1">
    <w:name w:val="Default"/>
    <w:qFormat/>
    <w:rsid w:val="00172e71"/>
    <w:pPr>
      <w:widowControl/>
      <w:suppressAutoHyphens w:val="true"/>
      <w:bidi w:val="0"/>
      <w:jc w:val="left"/>
      <w:textAlignment w:val="baseline"/>
    </w:pPr>
    <w:rPr>
      <w:rFonts w:ascii="Times New Roman" w:hAnsi="Times New Roman" w:eastAsia="Arial" w:cs="Times New Roman"/>
      <w:color w:val="000000"/>
      <w:sz w:val="24"/>
      <w:szCs w:val="24"/>
      <w:lang w:val="sk-SK" w:eastAsia="zh-CN" w:bidi="ar-SA"/>
    </w:rPr>
  </w:style>
  <w:style w:type="paragraph" w:styleId="Obsahtabuky" w:customStyle="1">
    <w:name w:val="Obsah tabuľky"/>
    <w:basedOn w:val="Standard"/>
    <w:qFormat/>
    <w:rsid w:val="00172e71"/>
    <w:pPr>
      <w:suppressLineNumbers/>
    </w:pPr>
    <w:rPr/>
  </w:style>
  <w:style w:type="paragraph" w:styleId="Nadpistabuky" w:customStyle="1">
    <w:name w:val="Nadpis tabuľky"/>
    <w:basedOn w:val="Obsahtabuky"/>
    <w:qFormat/>
    <w:rsid w:val="00172e71"/>
    <w:pPr>
      <w:jc w:val="center"/>
    </w:pPr>
    <w:rPr>
      <w:b/>
      <w:bCs/>
    </w:rPr>
  </w:style>
  <w:style w:type="paragraph" w:styleId="Obsahrmca" w:customStyle="1">
    <w:name w:val="Obsah rámca"/>
    <w:basedOn w:val="Standard"/>
    <w:qFormat/>
    <w:rsid w:val="00172e71"/>
    <w:pPr/>
    <w:rPr/>
  </w:style>
  <w:style w:type="paragraph" w:styleId="ListParagraph">
    <w:name w:val="List Paragraph"/>
    <w:basedOn w:val="Normal"/>
    <w:uiPriority w:val="34"/>
    <w:qFormat/>
    <w:rsid w:val="00e32fa8"/>
    <w:pPr>
      <w:spacing w:before="0" w:after="0"/>
      <w:ind w:left="720" w:hanging="0"/>
      <w:contextualSpacing/>
    </w:pPr>
    <w:rPr>
      <w:szCs w:val="21"/>
    </w:rPr>
  </w:style>
  <w:style w:type="paragraph" w:styleId="Tabulka" w:customStyle="1">
    <w:name w:val="Tabulka"/>
    <w:basedOn w:val="Normal"/>
    <w:qFormat/>
    <w:rsid w:val="00ba2838"/>
    <w:pPr>
      <w:widowControl/>
      <w:suppressAutoHyphens w:val="false"/>
      <w:textAlignment w:val="auto"/>
    </w:pPr>
    <w:rPr>
      <w:rFonts w:ascii="Times New Roman" w:hAnsi="Times New Roman" w:eastAsia="Times New Roman" w:cs="Times New Roman"/>
      <w:color w:val="000000"/>
      <w:sz w:val="18"/>
      <w:szCs w:val="20"/>
      <w:lang w:eastAsia="ar-SA" w:bidi="ar-SA"/>
    </w:rPr>
  </w:style>
  <w:style w:type="numbering" w:styleId="NoList" w:default="1">
    <w:name w:val="No List"/>
    <w:uiPriority w:val="99"/>
    <w:semiHidden/>
    <w:unhideWhenUsed/>
  </w:style>
  <w:style w:type="numbering" w:styleId="WW8Num1" w:customStyle="1">
    <w:name w:val="WW8Num1"/>
    <w:rsid w:val="00172e71"/>
  </w:style>
  <w:style w:type="numbering" w:styleId="WW8Num2" w:customStyle="1">
    <w:name w:val="WW8Num2"/>
    <w:rsid w:val="00172e71"/>
  </w:style>
  <w:style w:type="numbering" w:styleId="WW8Num3" w:customStyle="1">
    <w:name w:val="WW8Num3"/>
    <w:rsid w:val="00172e71"/>
  </w:style>
  <w:style w:type="numbering" w:styleId="WW8Num4" w:customStyle="1">
    <w:name w:val="WW8Num4"/>
    <w:rsid w:val="00172e71"/>
  </w:style>
  <w:style w:type="numbering" w:styleId="WW8Num5" w:customStyle="1">
    <w:name w:val="WW8Num5"/>
    <w:rsid w:val="00172e71"/>
  </w:style>
  <w:style w:type="numbering" w:styleId="WW8Num6" w:customStyle="1">
    <w:name w:val="WW8Num6"/>
    <w:rsid w:val="00172e71"/>
  </w:style>
  <w:style w:type="numbering" w:styleId="WW8Num7" w:customStyle="1">
    <w:name w:val="WW8Num7"/>
    <w:rsid w:val="00172e71"/>
  </w:style>
  <w:style w:type="numbering" w:styleId="WW8Num8" w:customStyle="1">
    <w:name w:val="WW8Num8"/>
    <w:rsid w:val="00172e71"/>
  </w:style>
  <w:style w:type="numbering" w:styleId="WW8Num9" w:customStyle="1">
    <w:name w:val="WW8Num9"/>
    <w:rsid w:val="00172e71"/>
  </w:style>
  <w:style w:type="numbering" w:styleId="WW8Num10" w:customStyle="1">
    <w:name w:val="WW8Num10"/>
    <w:rsid w:val="00172e71"/>
  </w:style>
  <w:style w:type="numbering" w:styleId="WW8Num11" w:customStyle="1">
    <w:name w:val="WW8Num11"/>
    <w:rsid w:val="00172e71"/>
  </w:style>
  <w:style w:type="numbering" w:styleId="WW8Num12" w:customStyle="1">
    <w:name w:val="WW8Num12"/>
    <w:rsid w:val="00172e71"/>
  </w:style>
  <w:style w:type="numbering" w:styleId="WW8Num13" w:customStyle="1">
    <w:name w:val="WW8Num13"/>
    <w:rsid w:val="00172e71"/>
  </w:style>
  <w:style w:type="numbering" w:styleId="WW8Num14" w:customStyle="1">
    <w:name w:val="WW8Num14"/>
    <w:rsid w:val="00172e71"/>
  </w:style>
  <w:style w:type="numbering" w:styleId="WW8Num15" w:customStyle="1">
    <w:name w:val="WW8Num15"/>
    <w:rsid w:val="00172e71"/>
  </w:style>
  <w:style w:type="numbering" w:styleId="WW8Num16" w:customStyle="1">
    <w:name w:val="WW8Num16"/>
    <w:rsid w:val="00172e71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1280</TotalTime>
  <Application>LibreOffice/4.4.2.2$Windows_x86 LibreOffice_project/c4c7d32d0d49397cad38d62472b0bc8acff48dd6</Application>
  <Paragraphs>495</Paragraphs>
  <Company>Microsoft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2014-06-04T07:51:00Z</dcterms:created>
  <dc:creator>admin</dc:creator>
  <dc:language>sk-SK</dc:language>
  <cp:lastPrinted>2012-11-07T11:06:00Z</cp:lastPrinted>
  <dcterms:modified xsi:type="dcterms:W3CDTF">2015-06-17T07:04:27Z</dcterms:modified>
  <cp:revision>6</cp:revision>
  <dc:title>Poznámky k 31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Microsoft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