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8AA" w:rsidRDefault="001178AA" w:rsidP="001178AA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r w:rsidRPr="001178AA">
        <w:rPr>
          <w:rFonts w:ascii="Book Antiqua" w:hAnsi="Book Antiqua" w:cs="Arial"/>
          <w:b/>
          <w:bCs/>
          <w:noProof/>
          <w:sz w:val="24"/>
          <w:szCs w:val="24"/>
        </w:rPr>
        <w:drawing>
          <wp:anchor distT="0" distB="0" distL="114935" distR="114935" simplePos="0" relativeHeight="251662336" behindDoc="0" locked="0" layoutInCell="1" allowOverlap="1">
            <wp:simplePos x="0" y="0"/>
            <wp:positionH relativeFrom="column">
              <wp:posOffset>288290</wp:posOffset>
            </wp:positionH>
            <wp:positionV relativeFrom="paragraph">
              <wp:posOffset>-91440</wp:posOffset>
            </wp:positionV>
            <wp:extent cx="402590" cy="533400"/>
            <wp:effectExtent l="19050" t="0" r="0" b="0"/>
            <wp:wrapSquare wrapText="right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590" cy="533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Book Antiqua" w:hAnsi="Book Antiqua" w:cs="Arial"/>
          <w:b/>
          <w:bCs/>
          <w:sz w:val="24"/>
          <w:szCs w:val="24"/>
        </w:rPr>
        <w:t xml:space="preserve">                   </w:t>
      </w: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>
        <w:rPr>
          <w:rFonts w:ascii="Book Antiqua" w:hAnsi="Book Antiqua" w:cs="Arial"/>
          <w:b/>
          <w:bCs/>
          <w:sz w:val="24"/>
          <w:szCs w:val="24"/>
        </w:rPr>
        <w:t xml:space="preserve">  konsolidovanej  </w:t>
      </w:r>
      <w:r w:rsidRPr="00402A07">
        <w:rPr>
          <w:rFonts w:ascii="Book Antiqua" w:hAnsi="Book Antiqua" w:cs="Arial"/>
          <w:b/>
          <w:bCs/>
          <w:sz w:val="24"/>
          <w:szCs w:val="24"/>
        </w:rPr>
        <w:t>účtovnej závierky</w:t>
      </w:r>
    </w:p>
    <w:p w:rsidR="001178AA" w:rsidRPr="001178AA" w:rsidRDefault="001178AA" w:rsidP="001178AA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 xml:space="preserve">                               </w:t>
      </w: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Chorvátsky Grob </w:t>
      </w:r>
    </w:p>
    <w:p w:rsidR="001178AA" w:rsidRPr="00052707" w:rsidRDefault="001178AA" w:rsidP="001178AA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052707">
        <w:rPr>
          <w:rFonts w:ascii="Book Antiqua" w:hAnsi="Book Antiqua" w:cs="Arial"/>
          <w:b/>
          <w:bCs/>
          <w:i/>
          <w:sz w:val="24"/>
          <w:szCs w:val="24"/>
        </w:rPr>
        <w:t>zostavenej k 31.12.2014</w:t>
      </w:r>
    </w:p>
    <w:p w:rsidR="001178AA" w:rsidRPr="00402A07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Pr="00402A07" w:rsidRDefault="001178AA" w:rsidP="001178A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1178AA" w:rsidRPr="00402A07" w:rsidRDefault="001178AA" w:rsidP="001178A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1178AA" w:rsidRPr="005A67C3" w:rsidRDefault="001178AA" w:rsidP="001178AA">
      <w:pPr>
        <w:spacing w:line="360" w:lineRule="auto"/>
        <w:rPr>
          <w:rFonts w:ascii="Calibri" w:hAnsi="Calibri" w:cs="Arial"/>
          <w:b/>
          <w:i/>
          <w:sz w:val="22"/>
          <w:szCs w:val="22"/>
        </w:rPr>
      </w:pPr>
      <w:r w:rsidRPr="005A67C3">
        <w:rPr>
          <w:rFonts w:ascii="Calibri" w:hAnsi="Calibri" w:cs="Arial"/>
          <w:b/>
          <w:i/>
          <w:sz w:val="22"/>
          <w:szCs w:val="22"/>
        </w:rPr>
        <w:t>Identifikačné údaje o  konsolidujúcej účtovnej jednotke</w:t>
      </w:r>
    </w:p>
    <w:p w:rsidR="001178AA" w:rsidRPr="00402A07" w:rsidRDefault="001178AA" w:rsidP="001178A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97"/>
        <w:gridCol w:w="3224"/>
        <w:gridCol w:w="3402"/>
      </w:tblGrid>
      <w:tr w:rsidR="001178AA" w:rsidRPr="005A67C3" w:rsidTr="001178AA">
        <w:trPr>
          <w:gridAfter w:val="1"/>
          <w:wAfter w:w="3402" w:type="dxa"/>
        </w:trPr>
        <w:tc>
          <w:tcPr>
            <w:tcW w:w="3297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3224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b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b/>
                <w:i/>
                <w:sz w:val="22"/>
                <w:szCs w:val="22"/>
              </w:rPr>
              <w:t>Obec Chorvátsky Grob</w:t>
            </w:r>
          </w:p>
        </w:tc>
      </w:tr>
      <w:tr w:rsidR="001178AA" w:rsidRPr="00402A07" w:rsidTr="001178AA">
        <w:tc>
          <w:tcPr>
            <w:tcW w:w="6521" w:type="dxa"/>
            <w:gridSpan w:val="2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340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 xml:space="preserve">Nám. </w:t>
            </w:r>
            <w:proofErr w:type="spellStart"/>
            <w:r w:rsidRPr="005A67C3">
              <w:rPr>
                <w:rFonts w:ascii="Calibri" w:hAnsi="Calibri" w:cs="Arial"/>
                <w:i/>
                <w:sz w:val="22"/>
                <w:szCs w:val="22"/>
              </w:rPr>
              <w:t>Josipa</w:t>
            </w:r>
            <w:proofErr w:type="spellEnd"/>
            <w:r w:rsidRPr="005A67C3">
              <w:rPr>
                <w:rFonts w:ascii="Calibri" w:hAnsi="Calibri" w:cs="Arial"/>
                <w:i/>
                <w:sz w:val="22"/>
                <w:szCs w:val="22"/>
              </w:rPr>
              <w:t xml:space="preserve"> </w:t>
            </w:r>
            <w:proofErr w:type="spellStart"/>
            <w:r w:rsidRPr="005A67C3">
              <w:rPr>
                <w:rFonts w:ascii="Calibri" w:hAnsi="Calibri" w:cs="Arial"/>
                <w:i/>
                <w:sz w:val="22"/>
                <w:szCs w:val="22"/>
              </w:rPr>
              <w:t>Andriča</w:t>
            </w:r>
            <w:proofErr w:type="spellEnd"/>
            <w:r w:rsidRPr="005A67C3">
              <w:rPr>
                <w:rFonts w:ascii="Calibri" w:hAnsi="Calibri" w:cs="Arial"/>
                <w:i/>
                <w:sz w:val="22"/>
                <w:szCs w:val="22"/>
              </w:rPr>
              <w:t xml:space="preserve"> 17, 900 25 Chorvátsky Grob</w:t>
            </w:r>
          </w:p>
        </w:tc>
      </w:tr>
      <w:tr w:rsidR="001178AA" w:rsidRPr="00402A07" w:rsidTr="001178AA">
        <w:tc>
          <w:tcPr>
            <w:tcW w:w="6521" w:type="dxa"/>
            <w:gridSpan w:val="2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Dátum a spôsob založenia, vzniku konsolidujúcej účtovnej jednotky</w:t>
            </w:r>
          </w:p>
        </w:tc>
        <w:tc>
          <w:tcPr>
            <w:tcW w:w="340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01.01.1991, podľa zákona č.369/1990 Zb.</w:t>
            </w:r>
          </w:p>
        </w:tc>
      </w:tr>
      <w:tr w:rsidR="001178AA" w:rsidRPr="00402A07" w:rsidTr="001178AA">
        <w:tc>
          <w:tcPr>
            <w:tcW w:w="6521" w:type="dxa"/>
            <w:gridSpan w:val="2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IČO konsolidujúcej účtovnej jednotky</w:t>
            </w:r>
          </w:p>
        </w:tc>
        <w:tc>
          <w:tcPr>
            <w:tcW w:w="340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00304760</w:t>
            </w:r>
          </w:p>
        </w:tc>
      </w:tr>
      <w:tr w:rsidR="001178AA" w:rsidRPr="00402A07" w:rsidTr="001178AA">
        <w:tc>
          <w:tcPr>
            <w:tcW w:w="6521" w:type="dxa"/>
            <w:gridSpan w:val="2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DIČO konsolidujúcej účtovnej jednotky</w:t>
            </w:r>
          </w:p>
        </w:tc>
        <w:tc>
          <w:tcPr>
            <w:tcW w:w="340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2020662105</w:t>
            </w:r>
          </w:p>
        </w:tc>
      </w:tr>
      <w:tr w:rsidR="001178AA" w:rsidRPr="00402A07" w:rsidTr="001178AA">
        <w:tc>
          <w:tcPr>
            <w:tcW w:w="6521" w:type="dxa"/>
            <w:gridSpan w:val="2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Hlavná činnosť konsolidujúcej účtovnej jednotky</w:t>
            </w:r>
          </w:p>
        </w:tc>
        <w:tc>
          <w:tcPr>
            <w:tcW w:w="340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Výkon samosprávnych činností</w:t>
            </w:r>
          </w:p>
        </w:tc>
      </w:tr>
    </w:tbl>
    <w:p w:rsidR="001178AA" w:rsidRPr="00402A07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Pr="00402A07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Pr="005A67C3" w:rsidRDefault="001178AA" w:rsidP="001178AA">
      <w:pPr>
        <w:spacing w:line="360" w:lineRule="auto"/>
        <w:rPr>
          <w:rFonts w:ascii="Calibri" w:hAnsi="Calibri" w:cs="Arial"/>
          <w:b/>
          <w:i/>
          <w:sz w:val="22"/>
          <w:szCs w:val="22"/>
        </w:rPr>
      </w:pPr>
      <w:r w:rsidRPr="005A67C3">
        <w:rPr>
          <w:rFonts w:ascii="Calibri" w:hAnsi="Calibri" w:cs="Arial"/>
          <w:b/>
          <w:i/>
          <w:sz w:val="22"/>
          <w:szCs w:val="22"/>
        </w:rPr>
        <w:t>Identifikačné údaje o konsolidovaných  účtovných  jednotkách – rozpočtových organizáciách v zriaďovateľskej pôsobnosti konsolidujúcej účtovnej jednotky- dcérska účtovná jednotka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142"/>
      </w:tblGrid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Základná škola s materskou školou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Školská 4, 900 25 Chorvátsky Grob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Dátum  a spôsob založenia konsolidovanej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01.07.2002</w:t>
            </w:r>
          </w:p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Zriaďovacia listina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IČO konsolidovanej 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31816916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DIČO konsolidovanej 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2021668110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Hlavná činnosť konsolidovanej 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rPr>
                <w:rFonts w:ascii="Calibri" w:hAnsi="Calibri"/>
                <w:i/>
                <w:sz w:val="22"/>
                <w:szCs w:val="22"/>
              </w:rPr>
            </w:pPr>
            <w:r w:rsidRPr="005A67C3">
              <w:rPr>
                <w:rFonts w:ascii="Calibri" w:hAnsi="Calibri"/>
                <w:i/>
                <w:sz w:val="22"/>
                <w:szCs w:val="22"/>
              </w:rPr>
              <w:t>Vzdelávanie a všestranný rozvoj detí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Organizačné členenie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 xml:space="preserve">Základná škola </w:t>
            </w:r>
          </w:p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Materská škola</w:t>
            </w:r>
          </w:p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Školská jedáleň</w:t>
            </w:r>
          </w:p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Školský klub detí</w:t>
            </w:r>
          </w:p>
        </w:tc>
      </w:tr>
    </w:tbl>
    <w:p w:rsidR="001178AA" w:rsidRPr="005A67C3" w:rsidRDefault="001178AA" w:rsidP="001178AA">
      <w:pPr>
        <w:spacing w:line="360" w:lineRule="auto"/>
        <w:rPr>
          <w:rFonts w:ascii="Book Antiqua" w:hAnsi="Book Antiqua" w:cs="Arial"/>
          <w:b/>
          <w:i/>
          <w:sz w:val="22"/>
          <w:szCs w:val="22"/>
        </w:rPr>
      </w:pPr>
    </w:p>
    <w:p w:rsidR="001178AA" w:rsidRPr="005A67C3" w:rsidRDefault="001178AA" w:rsidP="001178AA">
      <w:pPr>
        <w:spacing w:line="360" w:lineRule="auto"/>
        <w:rPr>
          <w:rFonts w:ascii="Calibri" w:hAnsi="Calibri" w:cs="Arial"/>
          <w:b/>
          <w:sz w:val="22"/>
          <w:szCs w:val="22"/>
        </w:rPr>
      </w:pPr>
      <w:r w:rsidRPr="005A67C3">
        <w:rPr>
          <w:rFonts w:ascii="Calibri" w:hAnsi="Calibri" w:cs="Arial"/>
          <w:i/>
          <w:sz w:val="22"/>
          <w:szCs w:val="22"/>
        </w:rPr>
        <w:lastRenderedPageBreak/>
        <w:t xml:space="preserve">Prehľad o účtovných jednotkách konsolidovaného celku je uvedený v prílohe, v tabuľkovej časti </w:t>
      </w:r>
      <w:r w:rsidRPr="005A67C3">
        <w:rPr>
          <w:rFonts w:ascii="Calibri" w:hAnsi="Calibri" w:cs="Arial"/>
          <w:b/>
          <w:sz w:val="22"/>
          <w:szCs w:val="22"/>
        </w:rPr>
        <w:t>Údaje o konsolidovanom celku.</w:t>
      </w:r>
    </w:p>
    <w:p w:rsidR="001178AA" w:rsidRPr="00BF695B" w:rsidRDefault="001178AA" w:rsidP="001178AA">
      <w:pPr>
        <w:spacing w:line="360" w:lineRule="auto"/>
        <w:rPr>
          <w:rFonts w:ascii="Calibri" w:hAnsi="Calibri" w:cs="Arial"/>
          <w:i/>
        </w:rPr>
      </w:pPr>
      <w:r w:rsidRPr="00BF695B">
        <w:rPr>
          <w:rFonts w:ascii="Calibri" w:hAnsi="Calibri" w:cs="Arial"/>
          <w:i/>
        </w:rPr>
        <w:t xml:space="preserve">Konsolidovaná účtovná závierka konsolidovaného celku Obce k 31. </w:t>
      </w:r>
      <w:r>
        <w:rPr>
          <w:rFonts w:ascii="Calibri" w:hAnsi="Calibri" w:cs="Arial"/>
          <w:i/>
        </w:rPr>
        <w:t>d</w:t>
      </w:r>
      <w:r w:rsidRPr="00BF695B">
        <w:rPr>
          <w:rFonts w:ascii="Calibri" w:hAnsi="Calibri" w:cs="Arial"/>
          <w:i/>
        </w:rPr>
        <w:t xml:space="preserve">ecembru 2014 je zostavená ako riadna konsolidovaná účtovná závierka podľa zákona č. 431/2002 </w:t>
      </w:r>
      <w:proofErr w:type="spellStart"/>
      <w:r w:rsidRPr="00BF695B">
        <w:rPr>
          <w:rFonts w:ascii="Calibri" w:hAnsi="Calibri" w:cs="Arial"/>
          <w:i/>
        </w:rPr>
        <w:t>Z.z</w:t>
      </w:r>
      <w:proofErr w:type="spellEnd"/>
      <w:r w:rsidRPr="00BF695B">
        <w:rPr>
          <w:rFonts w:ascii="Calibri" w:hAnsi="Calibri" w:cs="Arial"/>
          <w:i/>
        </w:rPr>
        <w:t>. o účtovníctve v znení neskorších predpisov, za účtovné obdobie od 1.januára 2014 do 31.decembra 2014. Obec je súčasťou súhrnného celku Slovenskej republiky.</w:t>
      </w:r>
    </w:p>
    <w:p w:rsidR="001178AA" w:rsidRDefault="001178AA" w:rsidP="001178AA">
      <w:pPr>
        <w:spacing w:line="360" w:lineRule="auto"/>
        <w:rPr>
          <w:rFonts w:ascii="Calibri" w:hAnsi="Calibri" w:cs="Arial"/>
          <w:i/>
          <w:sz w:val="22"/>
          <w:szCs w:val="22"/>
        </w:rPr>
      </w:pPr>
    </w:p>
    <w:p w:rsidR="001178AA" w:rsidRPr="00BF695B" w:rsidRDefault="001178AA" w:rsidP="001178AA">
      <w:pPr>
        <w:spacing w:line="360" w:lineRule="auto"/>
        <w:rPr>
          <w:rFonts w:ascii="Calibri" w:hAnsi="Calibri" w:cs="Arial"/>
          <w:b/>
          <w:i/>
          <w:sz w:val="22"/>
          <w:szCs w:val="22"/>
        </w:rPr>
      </w:pPr>
      <w:r w:rsidRPr="00BF695B">
        <w:rPr>
          <w:rFonts w:ascii="Calibri" w:hAnsi="Calibri" w:cs="Arial"/>
          <w:b/>
          <w:i/>
          <w:sz w:val="22"/>
          <w:szCs w:val="22"/>
        </w:rPr>
        <w:t>Identifikačné údaje o konsolidovaných  účtovných  jednotkách – obchodných spoločnostiach</w:t>
      </w:r>
    </w:p>
    <w:p w:rsidR="001178AA" w:rsidRPr="00DD2859" w:rsidRDefault="001178AA" w:rsidP="001178AA">
      <w:pPr>
        <w:spacing w:line="360" w:lineRule="auto"/>
        <w:rPr>
          <w:rFonts w:ascii="Book Antiqua" w:hAnsi="Book Antiqua" w:cs="Arial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858"/>
      </w:tblGrid>
      <w:tr w:rsidR="001178AA" w:rsidRPr="00DD2859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</w:rPr>
            </w:pPr>
            <w:r w:rsidRPr="005A67C3">
              <w:rPr>
                <w:rFonts w:ascii="Calibri" w:hAnsi="Calibri" w:cs="Arial"/>
              </w:rPr>
              <w:t>Obchodné meno konsolidovanej účtovnej jednotky</w:t>
            </w:r>
          </w:p>
        </w:tc>
        <w:tc>
          <w:tcPr>
            <w:tcW w:w="4858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</w:rPr>
            </w:pPr>
            <w:r w:rsidRPr="005A67C3">
              <w:rPr>
                <w:rFonts w:ascii="Calibri" w:hAnsi="Calibri" w:cs="Arial"/>
                <w:i/>
              </w:rPr>
              <w:t>Nemá podiely v obchodných spoločnostiach</w:t>
            </w:r>
          </w:p>
        </w:tc>
      </w:tr>
      <w:tr w:rsidR="001178AA" w:rsidRPr="00DD2859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</w:rPr>
            </w:pPr>
            <w:r w:rsidRPr="005A67C3">
              <w:rPr>
                <w:rFonts w:ascii="Calibri" w:hAnsi="Calibri" w:cs="Arial"/>
              </w:rPr>
              <w:t>Sídlo konsolidovanej účtovnej jednotky</w:t>
            </w:r>
          </w:p>
        </w:tc>
        <w:tc>
          <w:tcPr>
            <w:tcW w:w="4858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</w:rPr>
            </w:pPr>
          </w:p>
        </w:tc>
      </w:tr>
      <w:tr w:rsidR="001178AA" w:rsidRPr="00DD2859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</w:rPr>
            </w:pPr>
            <w:r w:rsidRPr="005A67C3">
              <w:rPr>
                <w:rFonts w:ascii="Calibri" w:hAnsi="Calibri" w:cs="Arial"/>
              </w:rPr>
              <w:t>Dátum založenia/vzniku konsolidovanej účtovnej  jednotky</w:t>
            </w:r>
          </w:p>
        </w:tc>
        <w:tc>
          <w:tcPr>
            <w:tcW w:w="4858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</w:rPr>
            </w:pPr>
          </w:p>
        </w:tc>
      </w:tr>
      <w:tr w:rsidR="001178AA" w:rsidRPr="00DD2859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</w:rPr>
            </w:pPr>
            <w:r w:rsidRPr="005A67C3">
              <w:rPr>
                <w:rFonts w:ascii="Calibri" w:hAnsi="Calibri" w:cs="Arial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4858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</w:rPr>
            </w:pPr>
          </w:p>
        </w:tc>
      </w:tr>
    </w:tbl>
    <w:p w:rsidR="001178AA" w:rsidRPr="00DD2859" w:rsidRDefault="001178AA" w:rsidP="001178AA">
      <w:pPr>
        <w:spacing w:line="360" w:lineRule="auto"/>
        <w:rPr>
          <w:rFonts w:ascii="Book Antiqua" w:hAnsi="Book Antiqua" w:cs="Arial"/>
        </w:rPr>
      </w:pPr>
    </w:p>
    <w:p w:rsidR="001178AA" w:rsidRPr="00402A07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Pr="005A67C3" w:rsidRDefault="001178AA" w:rsidP="001178AA">
      <w:pPr>
        <w:spacing w:line="360" w:lineRule="auto"/>
        <w:rPr>
          <w:rFonts w:ascii="Calibri" w:hAnsi="Calibri" w:cs="Arial"/>
          <w:b/>
          <w:i/>
          <w:sz w:val="22"/>
          <w:szCs w:val="22"/>
        </w:rPr>
      </w:pPr>
      <w:r w:rsidRPr="005A67C3">
        <w:rPr>
          <w:rFonts w:ascii="Calibri" w:hAnsi="Calibri" w:cs="Arial"/>
          <w:b/>
          <w:i/>
          <w:sz w:val="22"/>
          <w:szCs w:val="22"/>
        </w:rPr>
        <w:t xml:space="preserve">Informácie o zamestnancoch konsolidovaného celku </w:t>
      </w:r>
    </w:p>
    <w:p w:rsidR="001178AA" w:rsidRPr="005A67C3" w:rsidRDefault="001178AA" w:rsidP="001178AA">
      <w:pPr>
        <w:spacing w:line="360" w:lineRule="auto"/>
        <w:rPr>
          <w:rFonts w:ascii="Calibri" w:hAnsi="Calibri" w:cs="Arial"/>
          <w:b/>
          <w:i/>
          <w:color w:val="FF0000"/>
          <w:sz w:val="22"/>
          <w:szCs w:val="22"/>
        </w:rPr>
      </w:pPr>
      <w:r w:rsidRPr="005A67C3">
        <w:rPr>
          <w:rFonts w:ascii="Calibri" w:hAnsi="Calibri" w:cs="Arial"/>
          <w:b/>
          <w:i/>
          <w:sz w:val="22"/>
          <w:szCs w:val="22"/>
        </w:rPr>
        <w:t xml:space="preserve"> 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Starosta obce</w:t>
            </w:r>
          </w:p>
        </w:tc>
        <w:tc>
          <w:tcPr>
            <w:tcW w:w="5000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i/>
                <w:color w:val="000000"/>
                <w:sz w:val="22"/>
                <w:szCs w:val="22"/>
              </w:rPr>
              <w:t xml:space="preserve">Ing. Radovan </w:t>
            </w:r>
            <w:proofErr w:type="spellStart"/>
            <w:r>
              <w:rPr>
                <w:rFonts w:ascii="Calibri" w:hAnsi="Calibri" w:cs="Arial"/>
                <w:i/>
                <w:color w:val="000000"/>
                <w:sz w:val="22"/>
                <w:szCs w:val="22"/>
              </w:rPr>
              <w:t>Benčík</w:t>
            </w:r>
            <w:proofErr w:type="spellEnd"/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Riaditeľka ZŠ s MŠ</w:t>
            </w:r>
          </w:p>
        </w:tc>
        <w:tc>
          <w:tcPr>
            <w:tcW w:w="5000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i/>
                <w:color w:val="000000"/>
                <w:sz w:val="22"/>
                <w:szCs w:val="22"/>
              </w:rPr>
              <w:t>RNDr. Daniela Leštinská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Hlavný kontrolór obce</w:t>
            </w:r>
          </w:p>
        </w:tc>
        <w:tc>
          <w:tcPr>
            <w:tcW w:w="5000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i/>
                <w:color w:val="000000"/>
                <w:sz w:val="22"/>
                <w:szCs w:val="22"/>
              </w:rPr>
              <w:t>Ing. Ján Bartek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Priemerný počet zamestnancov  konsolidovaného celku počas účtovného obdobia /vo fyz. osobách/</w:t>
            </w:r>
          </w:p>
        </w:tc>
        <w:tc>
          <w:tcPr>
            <w:tcW w:w="5000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color w:val="000000"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color w:val="000000"/>
                <w:sz w:val="22"/>
                <w:szCs w:val="22"/>
              </w:rPr>
              <w:t>77</w:t>
            </w:r>
          </w:p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b/>
                <w:i/>
                <w:color w:val="000000"/>
                <w:sz w:val="22"/>
                <w:szCs w:val="22"/>
              </w:rPr>
            </w:pP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 xml:space="preserve"> z toho : </w:t>
            </w:r>
            <w:r>
              <w:rPr>
                <w:rFonts w:ascii="Calibri" w:hAnsi="Calibri" w:cs="Arial"/>
                <w:sz w:val="22"/>
                <w:szCs w:val="22"/>
              </w:rPr>
              <w:t>p</w:t>
            </w:r>
            <w:r w:rsidRPr="005A67C3">
              <w:rPr>
                <w:rFonts w:ascii="Calibri" w:hAnsi="Calibri" w:cs="Arial"/>
                <w:sz w:val="22"/>
                <w:szCs w:val="22"/>
              </w:rPr>
              <w:t xml:space="preserve">očet riadiacich   zamestnancov </w:t>
            </w:r>
          </w:p>
        </w:tc>
        <w:tc>
          <w:tcPr>
            <w:tcW w:w="5000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color w:val="000000"/>
                <w:sz w:val="22"/>
                <w:szCs w:val="22"/>
              </w:rPr>
              <w:t>10</w:t>
            </w:r>
          </w:p>
        </w:tc>
      </w:tr>
    </w:tbl>
    <w:p w:rsidR="001178AA" w:rsidRPr="00402A07" w:rsidRDefault="001178AA" w:rsidP="001178AA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1178AA" w:rsidRPr="00402A07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Pr="005A67C3" w:rsidRDefault="001178AA" w:rsidP="001178AA">
      <w:pPr>
        <w:spacing w:line="360" w:lineRule="auto"/>
        <w:jc w:val="both"/>
        <w:rPr>
          <w:rFonts w:ascii="Calibri" w:hAnsi="Calibri" w:cs="Arial"/>
          <w:b/>
          <w:i/>
          <w:sz w:val="22"/>
          <w:szCs w:val="22"/>
        </w:rPr>
      </w:pPr>
      <w:r w:rsidRPr="005A67C3">
        <w:rPr>
          <w:rFonts w:ascii="Calibri" w:hAnsi="Calibri" w:cs="Arial"/>
          <w:b/>
          <w:i/>
          <w:sz w:val="22"/>
          <w:szCs w:val="22"/>
        </w:rPr>
        <w:t>Informácie o zostavení individuálnej účtovnej závierky a zostavení konsolidovanej účtovnej závierky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142"/>
      </w:tblGrid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Názov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Deň , ku ktorému bola zostavená individuálna účtovná závierka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Obec Chorvátsky Grob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Individuálna účtovná závierka zostavená k 31.12.2014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Základná škola s materskou školou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Individuálna účtovná závierka zostavená k 31.12.2014</w:t>
            </w:r>
          </w:p>
        </w:tc>
      </w:tr>
    </w:tbl>
    <w:p w:rsidR="001178AA" w:rsidRPr="00402A07" w:rsidRDefault="001178AA" w:rsidP="001178A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178AA" w:rsidRPr="005A67C3" w:rsidRDefault="001178AA" w:rsidP="001178AA">
      <w:pPr>
        <w:spacing w:before="120" w:line="360" w:lineRule="auto"/>
        <w:jc w:val="both"/>
        <w:rPr>
          <w:rFonts w:ascii="Calibri" w:hAnsi="Calibri" w:cs="Arial"/>
          <w:b/>
          <w:i/>
          <w:sz w:val="22"/>
          <w:szCs w:val="22"/>
        </w:rPr>
      </w:pPr>
      <w:r w:rsidRPr="005A67C3">
        <w:rPr>
          <w:rFonts w:ascii="Calibri" w:hAnsi="Calibri" w:cs="Arial"/>
          <w:b/>
          <w:i/>
          <w:sz w:val="22"/>
          <w:szCs w:val="22"/>
        </w:rPr>
        <w:lastRenderedPageBreak/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1178AA" w:rsidRPr="005A67C3" w:rsidRDefault="001178AA" w:rsidP="001178AA">
      <w:pPr>
        <w:spacing w:before="120" w:line="360" w:lineRule="auto"/>
        <w:jc w:val="both"/>
        <w:rPr>
          <w:rFonts w:ascii="Calibri" w:hAnsi="Calibri" w:cs="Arial"/>
          <w:b/>
          <w:i/>
          <w:sz w:val="22"/>
          <w:szCs w:val="22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142"/>
      </w:tblGrid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Obec nemá takéto účtovné jednotky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Výška podielu na výsledku hospodárenia</w:t>
            </w:r>
          </w:p>
        </w:tc>
        <w:tc>
          <w:tcPr>
            <w:tcW w:w="5142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–-</w:t>
            </w:r>
          </w:p>
        </w:tc>
      </w:tr>
    </w:tbl>
    <w:p w:rsidR="001178AA" w:rsidRDefault="001178AA" w:rsidP="001178AA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1178AA" w:rsidRPr="005A67C3" w:rsidRDefault="001178AA" w:rsidP="001178AA">
      <w:pPr>
        <w:spacing w:before="120" w:line="360" w:lineRule="auto"/>
        <w:jc w:val="both"/>
        <w:rPr>
          <w:rFonts w:ascii="Calibri" w:hAnsi="Calibri" w:cs="Arial"/>
          <w:b/>
          <w:i/>
          <w:sz w:val="22"/>
          <w:szCs w:val="22"/>
        </w:rPr>
      </w:pPr>
      <w:r w:rsidRPr="005A67C3">
        <w:rPr>
          <w:rFonts w:ascii="Calibri" w:hAnsi="Calibri" w:cs="Arial"/>
          <w:b/>
          <w:i/>
          <w:sz w:val="22"/>
          <w:szCs w:val="22"/>
        </w:rPr>
        <w:t>Informácie o výsledku hospodárenia z dôvodu predaja majetku medzi účtovnými jednotkami konsolidovaného celku .</w:t>
      </w:r>
    </w:p>
    <w:p w:rsidR="001178AA" w:rsidRPr="005A67C3" w:rsidRDefault="001178AA" w:rsidP="001178AA">
      <w:pPr>
        <w:spacing w:before="120" w:line="360" w:lineRule="auto"/>
        <w:jc w:val="both"/>
        <w:rPr>
          <w:rFonts w:ascii="Calibri" w:hAnsi="Calibri" w:cs="Arial"/>
          <w:b/>
          <w:i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284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Obec Chorvátsky Grob</w:t>
            </w:r>
          </w:p>
        </w:tc>
      </w:tr>
      <w:tr w:rsidR="001178AA" w:rsidRPr="005A67C3" w:rsidTr="001178AA">
        <w:tc>
          <w:tcPr>
            <w:tcW w:w="4781" w:type="dxa"/>
            <w:vAlign w:val="center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5A67C3">
              <w:rPr>
                <w:rFonts w:ascii="Calibri" w:hAnsi="Calibri" w:cs="Arial"/>
                <w:sz w:val="22"/>
                <w:szCs w:val="22"/>
              </w:rPr>
              <w:t>Výsledok hospodárenia  (+/-)  z predaja majetku v rámci konsolidovaného celku</w:t>
            </w:r>
          </w:p>
        </w:tc>
        <w:tc>
          <w:tcPr>
            <w:tcW w:w="5284" w:type="dxa"/>
          </w:tcPr>
          <w:p w:rsidR="001178AA" w:rsidRPr="005A67C3" w:rsidRDefault="001178AA" w:rsidP="006C1A69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5A67C3">
              <w:rPr>
                <w:rFonts w:ascii="Calibri" w:hAnsi="Calibri" w:cs="Arial"/>
                <w:i/>
                <w:sz w:val="22"/>
                <w:szCs w:val="22"/>
              </w:rPr>
              <w:t>Nebol realizovaný žiadny predaj majetku medzi účtovnými jednotkami konsolidovaného celku, t.j. medzi Obcou Chorvátsky Grob a ZŠ s MŠ Chorvátsky Grob</w:t>
            </w:r>
          </w:p>
        </w:tc>
      </w:tr>
    </w:tbl>
    <w:p w:rsidR="001178AA" w:rsidRPr="00402A07" w:rsidRDefault="001178AA" w:rsidP="001178A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178AA" w:rsidRPr="00402A07" w:rsidRDefault="001178AA" w:rsidP="001178A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178AA" w:rsidRPr="00117B1F" w:rsidRDefault="001178AA" w:rsidP="001178AA">
      <w:pPr>
        <w:spacing w:line="360" w:lineRule="auto"/>
        <w:jc w:val="both"/>
        <w:rPr>
          <w:rFonts w:ascii="Calibri" w:hAnsi="Calibri" w:cs="Arial"/>
          <w:b/>
          <w:i/>
          <w:sz w:val="22"/>
          <w:szCs w:val="22"/>
        </w:rPr>
      </w:pPr>
      <w:r w:rsidRPr="00117B1F">
        <w:rPr>
          <w:rFonts w:ascii="Calibri" w:hAnsi="Calibri" w:cs="Arial"/>
          <w:b/>
          <w:sz w:val="22"/>
          <w:szCs w:val="22"/>
        </w:rPr>
        <w:t xml:space="preserve">Informácie o metódach oceňovania použitých pri ocenení jednotlivých položiek konsolidovanej účtovnej závierky </w:t>
      </w:r>
      <w:r w:rsidRPr="00117B1F">
        <w:rPr>
          <w:rFonts w:ascii="Calibri" w:hAnsi="Calibri" w:cs="Arial"/>
          <w:b/>
          <w:i/>
          <w:sz w:val="22"/>
          <w:szCs w:val="22"/>
        </w:rPr>
        <w:t>Obce Chorvátsky Grob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b/>
          <w:i/>
          <w:sz w:val="22"/>
          <w:szCs w:val="22"/>
        </w:rPr>
      </w:pP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bCs/>
          <w:sz w:val="22"/>
          <w:szCs w:val="22"/>
        </w:rPr>
      </w:pPr>
      <w:r w:rsidRPr="00117B1F">
        <w:rPr>
          <w:rFonts w:ascii="Calibri" w:hAnsi="Calibri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bCs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1178AA" w:rsidRPr="001178AA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Cs/>
          <w:sz w:val="22"/>
          <w:szCs w:val="22"/>
        </w:rPr>
      </w:pPr>
      <w:r w:rsidRPr="001178AA">
        <w:rPr>
          <w:rFonts w:asciiTheme="minorHAnsi" w:hAnsiTheme="minorHAnsi" w:cs="Arial"/>
          <w:sz w:val="22"/>
          <w:szCs w:val="22"/>
        </w:rPr>
        <w:t xml:space="preserve">Súčasťou obstarávacej ceny dlhodobého nehmotného a hmotného majetku </w:t>
      </w:r>
      <w:r w:rsidRPr="001178AA">
        <w:rPr>
          <w:rFonts w:asciiTheme="minorHAnsi" w:hAnsiTheme="minorHAnsi" w:cs="Arial"/>
          <w:iCs/>
          <w:sz w:val="22"/>
          <w:szCs w:val="22"/>
        </w:rPr>
        <w:t xml:space="preserve">nie sú </w:t>
      </w:r>
      <w:r w:rsidRPr="001178AA">
        <w:rPr>
          <w:rFonts w:asciiTheme="minorHAnsi" w:hAnsiTheme="minorHAnsi" w:cs="Arial"/>
          <w:sz w:val="22"/>
          <w:szCs w:val="22"/>
        </w:rPr>
        <w:t>úroky z úverov.</w:t>
      </w:r>
    </w:p>
    <w:p w:rsidR="001178AA" w:rsidRPr="001178AA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Cs/>
          <w:sz w:val="22"/>
          <w:szCs w:val="22"/>
        </w:rPr>
      </w:pPr>
      <w:r w:rsidRPr="001178AA">
        <w:rPr>
          <w:rFonts w:asciiTheme="minorHAnsi" w:hAnsiTheme="minorHAnsi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1178AA" w:rsidRPr="001178AA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Cs/>
          <w:sz w:val="22"/>
          <w:szCs w:val="22"/>
        </w:rPr>
      </w:pPr>
      <w:r w:rsidRPr="001178AA">
        <w:rPr>
          <w:rFonts w:asciiTheme="minorHAnsi" w:hAnsiTheme="minorHAnsi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bCs/>
          <w:sz w:val="22"/>
          <w:szCs w:val="22"/>
        </w:rPr>
      </w:pPr>
      <w:r w:rsidRPr="00117B1F">
        <w:rPr>
          <w:rFonts w:ascii="Calibri" w:hAnsi="Calibri" w:cs="Arial"/>
          <w:iCs/>
          <w:sz w:val="22"/>
          <w:szCs w:val="22"/>
        </w:rPr>
        <w:lastRenderedPageBreak/>
        <w:t>Dlhodobý majetok nadobudnutý prevodom správy sa oceňuje cenou, v ktorej sa doteraz viedol v účtovníctve.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bCs/>
          <w:sz w:val="22"/>
          <w:szCs w:val="22"/>
        </w:rPr>
        <w:t>Dlhodobý finančný majetok sa oceňuje obstarávacou cenou.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bCs/>
          <w:sz w:val="22"/>
          <w:szCs w:val="22"/>
        </w:rPr>
        <w:t xml:space="preserve">Nakupované zásoby </w:t>
      </w:r>
      <w:r w:rsidRPr="00117B1F">
        <w:rPr>
          <w:rFonts w:ascii="Calibri" w:hAnsi="Calibri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   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Pohľadávky sa oceňujú v menovitej hodnote.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Cenné papiere a podiely sa oceňujú obstarávacími cenami, vrátane</w:t>
      </w:r>
      <w:r w:rsidRPr="00402A07">
        <w:rPr>
          <w:rFonts w:ascii="Book Antiqua" w:hAnsi="Book Antiqua" w:cs="Arial"/>
          <w:sz w:val="24"/>
          <w:szCs w:val="24"/>
        </w:rPr>
        <w:t xml:space="preserve"> nákladov súvisiacich </w:t>
      </w:r>
      <w:r w:rsidRPr="00117B1F">
        <w:rPr>
          <w:rFonts w:ascii="Calibri" w:hAnsi="Calibri" w:cs="Arial"/>
          <w:sz w:val="22"/>
          <w:szCs w:val="22"/>
        </w:rPr>
        <w:t xml:space="preserve">s obstaraním.  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Pohľadávky sa pri ich vzniku oceňujú menovitou hodnotou.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Peňažné prostriedky a ceniny sa oceňujú ich menovitou hodnotou.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Záväzky sa pri ich vzniku oceňujú menovitou hodnotou.</w:t>
      </w:r>
    </w:p>
    <w:p w:rsidR="001178AA" w:rsidRPr="00117B1F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Záväzky sa pri ich prevzatí oceňujú obstarávacou cenou.</w:t>
      </w:r>
    </w:p>
    <w:p w:rsidR="001178AA" w:rsidRDefault="001178AA" w:rsidP="001178AA">
      <w:pPr>
        <w:numPr>
          <w:ilvl w:val="0"/>
          <w:numId w:val="1"/>
        </w:numPr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Ak sa pri inventarizácii zistí, že suma záväzkov je iná ako ich výška v účtovníctve, uvedú sa záväzky v účtovníctve a v účtovnej závierke v tomto zistenom ocenení.</w:t>
      </w:r>
    </w:p>
    <w:p w:rsidR="001178AA" w:rsidRDefault="001178AA" w:rsidP="001178AA">
      <w:pPr>
        <w:spacing w:line="360" w:lineRule="auto"/>
        <w:ind w:left="720"/>
        <w:jc w:val="both"/>
        <w:rPr>
          <w:rFonts w:ascii="Calibri" w:hAnsi="Calibri" w:cs="Arial"/>
          <w:sz w:val="22"/>
          <w:szCs w:val="22"/>
        </w:rPr>
      </w:pPr>
    </w:p>
    <w:p w:rsidR="001178AA" w:rsidRPr="003540A4" w:rsidRDefault="001178AA" w:rsidP="001178AA">
      <w:pPr>
        <w:spacing w:line="360" w:lineRule="auto"/>
        <w:ind w:left="72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                                                                         </w:t>
      </w:r>
      <w:r w:rsidRPr="003540A4">
        <w:rPr>
          <w:rFonts w:ascii="Book Antiqua" w:hAnsi="Book Antiqua" w:cs="Arial"/>
          <w:b/>
          <w:sz w:val="24"/>
          <w:szCs w:val="24"/>
        </w:rPr>
        <w:t>Čl. II</w:t>
      </w:r>
    </w:p>
    <w:p w:rsidR="001178AA" w:rsidRPr="00117B1F" w:rsidRDefault="001178AA" w:rsidP="001178AA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 w:rsidRPr="00117B1F">
        <w:rPr>
          <w:rFonts w:ascii="Calibri" w:hAnsi="Calibri" w:cs="Arial"/>
          <w:b/>
          <w:sz w:val="22"/>
          <w:szCs w:val="22"/>
        </w:rPr>
        <w:t>Informácie o metódach a postupoch konsolidácie</w:t>
      </w:r>
    </w:p>
    <w:p w:rsidR="001178AA" w:rsidRPr="00117B1F" w:rsidRDefault="001178AA" w:rsidP="001178AA">
      <w:pPr>
        <w:jc w:val="both"/>
        <w:rPr>
          <w:rFonts w:ascii="Calibri" w:hAnsi="Calibri"/>
          <w:sz w:val="22"/>
          <w:szCs w:val="22"/>
        </w:rPr>
      </w:pP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Konsolidovaná účtovná závierka Obce Chorvátsky Grob bola zostavená v súlade so zákonom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1178AA" w:rsidRPr="00117B1F" w:rsidRDefault="001178AA" w:rsidP="001178AA">
      <w:pPr>
        <w:spacing w:line="360" w:lineRule="auto"/>
        <w:jc w:val="both"/>
        <w:rPr>
          <w:rFonts w:ascii="Calibri" w:hAnsi="Calibri" w:cs="Arial"/>
          <w:b/>
          <w:i/>
          <w:sz w:val="22"/>
          <w:szCs w:val="22"/>
        </w:rPr>
      </w:pPr>
      <w:r w:rsidRPr="00117B1F">
        <w:rPr>
          <w:rFonts w:ascii="Calibri" w:hAnsi="Calibri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59"/>
        <w:gridCol w:w="1509"/>
        <w:gridCol w:w="1529"/>
        <w:gridCol w:w="1553"/>
      </w:tblGrid>
      <w:tr w:rsidR="001178AA" w:rsidRPr="00117B1F" w:rsidTr="006C1A69">
        <w:tc>
          <w:tcPr>
            <w:tcW w:w="5100" w:type="dxa"/>
          </w:tcPr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 xml:space="preserve">Názov resp. obchodné meno </w:t>
            </w:r>
          </w:p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 xml:space="preserve">Metóda </w:t>
            </w:r>
          </w:p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 xml:space="preserve">Metóda </w:t>
            </w:r>
          </w:p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 xml:space="preserve">Metóda </w:t>
            </w:r>
          </w:p>
          <w:p w:rsidR="001178AA" w:rsidRPr="00117B1F" w:rsidRDefault="001178AA" w:rsidP="006C1A69">
            <w:pPr>
              <w:spacing w:line="360" w:lineRule="auto"/>
              <w:jc w:val="center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vlastného imania</w:t>
            </w:r>
          </w:p>
        </w:tc>
      </w:tr>
      <w:tr w:rsidR="001178AA" w:rsidRPr="00117B1F" w:rsidTr="006C1A69">
        <w:tc>
          <w:tcPr>
            <w:tcW w:w="5100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Obec Chorvátsky Grob</w:t>
            </w:r>
          </w:p>
        </w:tc>
        <w:tc>
          <w:tcPr>
            <w:tcW w:w="1537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Áno</w:t>
            </w:r>
            <w:r>
              <w:rPr>
                <w:rFonts w:ascii="Calibri" w:hAnsi="Calibri" w:cs="Arial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117B1F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1620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117B1F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</w:tr>
      <w:tr w:rsidR="001178AA" w:rsidRPr="00117B1F" w:rsidTr="006C1A69">
        <w:tc>
          <w:tcPr>
            <w:tcW w:w="5100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Základná škola s materskou školou Chorvátsky Grob</w:t>
            </w:r>
          </w:p>
        </w:tc>
        <w:tc>
          <w:tcPr>
            <w:tcW w:w="1537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i/>
                <w:sz w:val="22"/>
                <w:szCs w:val="22"/>
              </w:rPr>
            </w:pPr>
            <w:r w:rsidRPr="00117B1F">
              <w:rPr>
                <w:rFonts w:ascii="Calibri" w:hAnsi="Calibri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117B1F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1620" w:type="dxa"/>
          </w:tcPr>
          <w:p w:rsidR="001178AA" w:rsidRPr="00117B1F" w:rsidRDefault="001178AA" w:rsidP="006C1A69">
            <w:pPr>
              <w:spacing w:line="360" w:lineRule="auto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117B1F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</w:tr>
    </w:tbl>
    <w:p w:rsidR="001178AA" w:rsidRDefault="001178AA" w:rsidP="001178AA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</w:p>
    <w:p w:rsidR="001178AA" w:rsidRPr="00117B1F" w:rsidRDefault="001178AA" w:rsidP="001178AA">
      <w:pPr>
        <w:spacing w:line="360" w:lineRule="auto"/>
        <w:ind w:left="108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lastRenderedPageBreak/>
        <w:t>1.</w:t>
      </w:r>
      <w:r w:rsidRPr="00117B1F">
        <w:rPr>
          <w:rFonts w:ascii="Calibri" w:hAnsi="Calibri" w:cs="Arial"/>
          <w:sz w:val="22"/>
          <w:szCs w:val="22"/>
        </w:rPr>
        <w:t xml:space="preserve">Postup zahrňovania účtovných jednotiek do konsolidovaného celku 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a)</w:t>
      </w:r>
      <w:r w:rsidRPr="00117B1F">
        <w:rPr>
          <w:rFonts w:ascii="Calibri" w:hAnsi="Calibri" w:cs="Arial"/>
          <w:sz w:val="22"/>
          <w:szCs w:val="22"/>
        </w:rPr>
        <w:t xml:space="preserve"> odovzdávanie individuálnej účtovnej závierke konsolidovanej dcérskej účtovnej jednotke vrátane prehľadoch na účtoch, ktoré sa budú konsolidovať a vyplnených </w:t>
      </w:r>
      <w:proofErr w:type="spellStart"/>
      <w:r w:rsidRPr="00117B1F">
        <w:rPr>
          <w:rFonts w:ascii="Calibri" w:hAnsi="Calibri" w:cs="Arial"/>
          <w:sz w:val="22"/>
          <w:szCs w:val="22"/>
        </w:rPr>
        <w:t>odsúhlasovacích</w:t>
      </w:r>
      <w:proofErr w:type="spellEnd"/>
      <w:r w:rsidRPr="00117B1F">
        <w:rPr>
          <w:rFonts w:ascii="Calibri" w:hAnsi="Calibri" w:cs="Arial"/>
          <w:sz w:val="22"/>
          <w:szCs w:val="22"/>
        </w:rPr>
        <w:t xml:space="preserve"> formulárov,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b)</w:t>
      </w:r>
      <w:r w:rsidRPr="00117B1F">
        <w:rPr>
          <w:rFonts w:ascii="Calibri" w:hAnsi="Calibri" w:cs="Arial"/>
          <w:sz w:val="22"/>
          <w:szCs w:val="22"/>
        </w:rPr>
        <w:t xml:space="preserve"> konsolidujúca účtovná jednotka vyplnila </w:t>
      </w:r>
      <w:proofErr w:type="spellStart"/>
      <w:r w:rsidRPr="00117B1F">
        <w:rPr>
          <w:rFonts w:ascii="Calibri" w:hAnsi="Calibri" w:cs="Arial"/>
          <w:sz w:val="22"/>
          <w:szCs w:val="22"/>
        </w:rPr>
        <w:t>odsúhlasovací</w:t>
      </w:r>
      <w:proofErr w:type="spellEnd"/>
      <w:r w:rsidRPr="00117B1F">
        <w:rPr>
          <w:rFonts w:ascii="Calibri" w:hAnsi="Calibri" w:cs="Arial"/>
          <w:sz w:val="22"/>
          <w:szCs w:val="22"/>
        </w:rPr>
        <w:t xml:space="preserve"> hárok , v ktorom uskutočnila: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odsúhlasení a potvrdenie vzájomných vzťahov a zostatok voči dcérskej jednotke patriacej do súhrnného celku a zistenie rozdielov medzi účtovnými jednotkami konsolidačného celku.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Neboli zistené žiadne rozdiely pri odsúhlasovaní vzájomných nákladov a výnosov</w:t>
      </w:r>
      <w:r>
        <w:rPr>
          <w:rFonts w:ascii="Book Antiqua" w:hAnsi="Book Antiqua" w:cs="Arial"/>
          <w:sz w:val="24"/>
          <w:szCs w:val="24"/>
        </w:rPr>
        <w:t xml:space="preserve"> medzi </w:t>
      </w:r>
      <w:r w:rsidRPr="00117B1F">
        <w:rPr>
          <w:rFonts w:ascii="Calibri" w:hAnsi="Calibri" w:cs="Arial"/>
          <w:sz w:val="22"/>
          <w:szCs w:val="22"/>
        </w:rPr>
        <w:t>konsolidujúcou účtovnou jednotkou /</w:t>
      </w:r>
      <w:proofErr w:type="spellStart"/>
      <w:r w:rsidRPr="00117B1F">
        <w:rPr>
          <w:rFonts w:ascii="Calibri" w:hAnsi="Calibri" w:cs="Arial"/>
          <w:sz w:val="22"/>
          <w:szCs w:val="22"/>
        </w:rPr>
        <w:t>OcÚ</w:t>
      </w:r>
      <w:proofErr w:type="spellEnd"/>
      <w:r w:rsidRPr="00117B1F">
        <w:rPr>
          <w:rFonts w:ascii="Calibri" w:hAnsi="Calibri" w:cs="Arial"/>
          <w:sz w:val="22"/>
          <w:szCs w:val="22"/>
        </w:rPr>
        <w:t xml:space="preserve">/ a konsolidovanou jednotkou /ZŠ s MŠ/, 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c)</w:t>
      </w:r>
      <w:r w:rsidRPr="00117B1F">
        <w:rPr>
          <w:rFonts w:ascii="Calibri" w:hAnsi="Calibri" w:cs="Arial"/>
          <w:sz w:val="22"/>
          <w:szCs w:val="22"/>
        </w:rPr>
        <w:t xml:space="preserve"> zostavenie konsolidovanej súvahy a konsolidovaného výkazu ziskov a strát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 xml:space="preserve"> / </w:t>
      </w:r>
      <w:proofErr w:type="spellStart"/>
      <w:r w:rsidRPr="00117B1F">
        <w:rPr>
          <w:rFonts w:ascii="Calibri" w:hAnsi="Calibri" w:cs="Arial"/>
          <w:sz w:val="22"/>
          <w:szCs w:val="22"/>
        </w:rPr>
        <w:t>sumarizácia</w:t>
      </w:r>
      <w:proofErr w:type="spellEnd"/>
      <w:r w:rsidRPr="00117B1F">
        <w:rPr>
          <w:rFonts w:ascii="Calibri" w:hAnsi="Calibri" w:cs="Arial"/>
          <w:sz w:val="22"/>
          <w:szCs w:val="22"/>
        </w:rPr>
        <w:t xml:space="preserve"> IÚZ/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d)</w:t>
      </w:r>
      <w:r w:rsidRPr="00117B1F">
        <w:rPr>
          <w:rFonts w:ascii="Calibri" w:hAnsi="Calibri" w:cs="Arial"/>
          <w:sz w:val="22"/>
          <w:szCs w:val="22"/>
        </w:rPr>
        <w:t xml:space="preserve"> vykonanie konsolidačných operácií/ konsolidácia pohľadávok a </w:t>
      </w:r>
      <w:r>
        <w:rPr>
          <w:rFonts w:ascii="Calibri" w:hAnsi="Calibri" w:cs="Arial"/>
          <w:sz w:val="22"/>
          <w:szCs w:val="22"/>
        </w:rPr>
        <w:t>závä</w:t>
      </w:r>
      <w:r w:rsidRPr="00117B1F">
        <w:rPr>
          <w:rFonts w:ascii="Calibri" w:hAnsi="Calibri" w:cs="Arial"/>
          <w:sz w:val="22"/>
          <w:szCs w:val="22"/>
        </w:rPr>
        <w:t>zkov, nákladov a výnosov/,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e)</w:t>
      </w:r>
      <w:r w:rsidRPr="00117B1F">
        <w:rPr>
          <w:rFonts w:ascii="Calibri" w:hAnsi="Calibri" w:cs="Arial"/>
          <w:sz w:val="22"/>
          <w:szCs w:val="22"/>
        </w:rPr>
        <w:t xml:space="preserve"> zostavenie konsolidovanej súvahy a konsolidovaného výkazu ziskov a strát s konsolidačnými operáciami/t.j. úpravami/,</w:t>
      </w:r>
    </w:p>
    <w:p w:rsidR="001178AA" w:rsidRPr="00BF695B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 w:rsidRPr="00BF695B">
        <w:rPr>
          <w:rFonts w:ascii="Calibri" w:hAnsi="Calibri" w:cs="Arial"/>
          <w:sz w:val="22"/>
          <w:szCs w:val="22"/>
        </w:rPr>
        <w:t>f) zostavenie konsolidovanej súvahy a konsolidovaného výkazu ziskov a strát účtovnej jednotky verejnej správy.</w:t>
      </w:r>
    </w:p>
    <w:p w:rsidR="001178AA" w:rsidRPr="00117B1F" w:rsidRDefault="001178AA" w:rsidP="001178AA">
      <w:pPr>
        <w:spacing w:line="360" w:lineRule="auto"/>
        <w:ind w:left="468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 xml:space="preserve"> Bola použitá metóda úplnej konsolidácie, z dôvodu , že konsolidujúca účtovná jednotka zahrňovala do konsolido</w:t>
      </w:r>
      <w:r>
        <w:rPr>
          <w:rFonts w:ascii="Calibri" w:hAnsi="Calibri" w:cs="Arial"/>
          <w:sz w:val="22"/>
          <w:szCs w:val="22"/>
        </w:rPr>
        <w:t>vaného celku iba dcérsku účtovnú</w:t>
      </w:r>
      <w:r w:rsidRPr="00117B1F">
        <w:rPr>
          <w:rFonts w:ascii="Calibri" w:hAnsi="Calibri" w:cs="Arial"/>
          <w:sz w:val="22"/>
          <w:szCs w:val="22"/>
        </w:rPr>
        <w:t xml:space="preserve"> jednotku / rozpočtovú organizáciu/, v ktorej má rozhodujúci vplyv/ kontrolu/ a vo verejnej správe platí pravidlo všetky rozpočtové organizácie sú konsolidované met</w:t>
      </w:r>
      <w:r>
        <w:rPr>
          <w:rFonts w:ascii="Calibri" w:hAnsi="Calibri" w:cs="Arial"/>
          <w:sz w:val="22"/>
          <w:szCs w:val="22"/>
        </w:rPr>
        <w:t>ódou úplnej konsolidácie 100 %.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Nebola použitá metóda konsolidácie kapitálu z dôvodu, že materská účtovná jednotka nezaložila vkladom, a tiež neobstarala ani nevlastní podiely v dcérskej účtovnej jednotke.</w:t>
      </w:r>
    </w:p>
    <w:p w:rsidR="001178AA" w:rsidRPr="00117B1F" w:rsidRDefault="001178AA" w:rsidP="001178AA">
      <w:pPr>
        <w:spacing w:line="360" w:lineRule="auto"/>
        <w:ind w:left="468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Nevznikol </w:t>
      </w:r>
      <w:proofErr w:type="spellStart"/>
      <w:r>
        <w:rPr>
          <w:rFonts w:ascii="Calibri" w:hAnsi="Calibri" w:cs="Arial"/>
          <w:sz w:val="22"/>
          <w:szCs w:val="22"/>
        </w:rPr>
        <w:t>goodwill</w:t>
      </w:r>
      <w:proofErr w:type="spellEnd"/>
      <w:r>
        <w:rPr>
          <w:rFonts w:ascii="Calibri" w:hAnsi="Calibri" w:cs="Arial"/>
          <w:sz w:val="22"/>
          <w:szCs w:val="22"/>
        </w:rPr>
        <w:t xml:space="preserve">, z dôvodu, </w:t>
      </w:r>
      <w:r w:rsidRPr="00117B1F">
        <w:rPr>
          <w:rFonts w:ascii="Calibri" w:hAnsi="Calibri" w:cs="Arial"/>
          <w:sz w:val="22"/>
          <w:szCs w:val="22"/>
        </w:rPr>
        <w:t xml:space="preserve">že materská účtovná jednotka neobstarala podiel v konsolidovanej účtovnej jednotke. 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Nebola uskutočnená konsolidácia medzivýsledku, z dôvodu, že nevznikol predaj majetku medzi dvoma účtovnými jednotkami toho istého konsolidačného celku.</w:t>
      </w:r>
    </w:p>
    <w:p w:rsidR="001178AA" w:rsidRPr="00117B1F" w:rsidRDefault="001178AA" w:rsidP="001178AA">
      <w:pPr>
        <w:spacing w:line="360" w:lineRule="auto"/>
        <w:ind w:left="468"/>
        <w:jc w:val="both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Nebola uskutočnená metóda vlastného imania.</w:t>
      </w:r>
    </w:p>
    <w:p w:rsidR="001178AA" w:rsidRPr="00117B1F" w:rsidRDefault="001178AA" w:rsidP="001178AA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</w:t>
      </w: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Pr="00402A07" w:rsidRDefault="001178AA" w:rsidP="001178AA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 xml:space="preserve">                                                                 </w:t>
      </w: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1178AA" w:rsidRPr="00402A07" w:rsidRDefault="001178AA" w:rsidP="001178A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1178AA" w:rsidRPr="00402A07" w:rsidRDefault="001178AA" w:rsidP="001178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>Obce Chorvátsky Grob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>
        <w:rPr>
          <w:rFonts w:ascii="Book Antiqua" w:hAnsi="Book Antiqua" w:cs="Arial"/>
          <w:b/>
          <w:sz w:val="24"/>
          <w:szCs w:val="24"/>
        </w:rPr>
        <w:t>jednu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>
        <w:rPr>
          <w:rFonts w:ascii="Book Antiqua" w:hAnsi="Book Antiqua" w:cs="Arial"/>
          <w:b/>
          <w:sz w:val="24"/>
          <w:szCs w:val="24"/>
        </w:rPr>
        <w:t xml:space="preserve">u – Základná škola s materskou školou Chorvátsky Grob. Jej   </w:t>
      </w:r>
      <w:r w:rsidRPr="00402A07">
        <w:rPr>
          <w:rFonts w:ascii="Book Antiqua" w:hAnsi="Book Antiqua" w:cs="Arial"/>
          <w:b/>
          <w:sz w:val="24"/>
          <w:szCs w:val="24"/>
        </w:rPr>
        <w:t>identifika</w:t>
      </w:r>
      <w:r>
        <w:rPr>
          <w:rFonts w:ascii="Book Antiqua" w:hAnsi="Book Antiqua" w:cs="Arial"/>
          <w:b/>
          <w:sz w:val="24"/>
          <w:szCs w:val="24"/>
        </w:rPr>
        <w:t>čné údaje sa nachádzajú v úvode v článku I. týchto poznámok.</w:t>
      </w:r>
    </w:p>
    <w:p w:rsidR="001178AA" w:rsidRPr="00402A07" w:rsidRDefault="001178AA" w:rsidP="001178A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Popis údajov vyplnených v prehľade pohybov dlhodobého nehmotného a dlhodobého hmotného majetku</w:t>
      </w:r>
    </w:p>
    <w:p w:rsidR="001178AA" w:rsidRPr="00117B1F" w:rsidRDefault="001178AA" w:rsidP="001178AA">
      <w:pPr>
        <w:numPr>
          <w:ilvl w:val="0"/>
          <w:numId w:val="2"/>
        </w:num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Bezprostredne predchádzajúce účtovné obdobie sa chápe k 31.12.2014</w:t>
      </w:r>
    </w:p>
    <w:p w:rsidR="001178AA" w:rsidRPr="00117B1F" w:rsidRDefault="001178AA" w:rsidP="001178AA">
      <w:pPr>
        <w:numPr>
          <w:ilvl w:val="0"/>
          <w:numId w:val="2"/>
        </w:num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Bežné účtovné obdobie sa vykazuje k 31.12.2014</w:t>
      </w:r>
    </w:p>
    <w:p w:rsidR="001178AA" w:rsidRPr="00117B1F" w:rsidRDefault="001178AA" w:rsidP="001178AA">
      <w:pPr>
        <w:numPr>
          <w:ilvl w:val="0"/>
          <w:numId w:val="2"/>
        </w:num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1178AA" w:rsidRPr="00117B1F" w:rsidRDefault="001178AA" w:rsidP="001178AA">
      <w:pPr>
        <w:numPr>
          <w:ilvl w:val="0"/>
          <w:numId w:val="2"/>
        </w:num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Úbytok je vykázanie zníženia aktív (napr. predaj, darovanie)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b/>
          <w:sz w:val="22"/>
          <w:szCs w:val="22"/>
        </w:rPr>
      </w:pPr>
      <w:r w:rsidRPr="00117B1F">
        <w:rPr>
          <w:rFonts w:ascii="Calibri" w:hAnsi="Calibri" w:cs="Arial"/>
          <w:b/>
          <w:sz w:val="22"/>
          <w:szCs w:val="22"/>
        </w:rPr>
        <w:t>Popis významných informácií o aktívach a pasívach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Konsolidovaný celok Obce Chorvátsky Grob zahŕňa okrem obecného úradu aj jednu  rozpočtovú organizáciu, jej identifikačné údaje sa nachádzajú v priloženom prehľade.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o pohybe dlhodobého nehmotného  majetku a dlhodobého hmotného majetku sa nachádza v priloženom tabuľkovom formulári č. 2 a vysvetľuje položky súvahy – aktív.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o dlhodobom finančnom majetku sa nachádza v priloženom tabuľkovom  formulári č. 4.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Opravné položky sa nachádza v priloženom tabuľkovom formulári č. 8.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krátkodobých  pohľadávok sa nachádza v priloženom tabuľkovom formulári č. 9.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náklady budúcich období  sa nachádza tabuľkovom formulári č.10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 xml:space="preserve">Prehľad o pohybe vlastného imania konsolidovaného celku od 01.01.2014 do </w:t>
      </w:r>
      <w:r>
        <w:rPr>
          <w:rFonts w:ascii="Calibri" w:hAnsi="Calibri" w:cs="Arial"/>
          <w:sz w:val="22"/>
          <w:szCs w:val="22"/>
        </w:rPr>
        <w:t xml:space="preserve"> </w:t>
      </w:r>
      <w:r w:rsidRPr="00117B1F">
        <w:rPr>
          <w:rFonts w:ascii="Calibri" w:hAnsi="Calibri" w:cs="Arial"/>
          <w:sz w:val="22"/>
          <w:szCs w:val="22"/>
        </w:rPr>
        <w:t>31.12.2014 sa nachádza v priloženom tabuľkovom formulári č. 12.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o pohybe rezerv konsolidovaného celku sa nachádza v priloženom tabuľkovom formulári č.14, za rok 2014 sa už rezervy na dovolenky netvorili.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o krátkodobých záväzkoch sa nachádza tabuľkovom formulári č. 15.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o výnosoch budúcich období sa nachádza tabuľkovom formulári č. 18.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o nákladoch sa nachádza v tabuľkách č. 19, č. 20,  č. 21 je uvedené detailné členenie vybraných položiek nákladov konsolidovaného celku účtovného obdobia roku 2014.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>Prehľad o výnosoch sa nachádza v tabuľke č. 22 je uvedené detailné členenie vybraných položiek výnosov konsolidovaného celku účtovného obdobia roku 2014.</w:t>
      </w:r>
    </w:p>
    <w:p w:rsidR="001178AA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t xml:space="preserve">Konsolidovaná účtovná jednotka rozpočtová organizácia má voči obci  </w:t>
      </w:r>
      <w:proofErr w:type="spellStart"/>
      <w:r w:rsidRPr="00117B1F">
        <w:rPr>
          <w:rFonts w:ascii="Calibri" w:hAnsi="Calibri" w:cs="Arial"/>
          <w:sz w:val="22"/>
          <w:szCs w:val="22"/>
        </w:rPr>
        <w:t>vysporiadané</w:t>
      </w:r>
      <w:proofErr w:type="spellEnd"/>
      <w:r w:rsidRPr="00117B1F">
        <w:rPr>
          <w:rFonts w:ascii="Calibri" w:hAnsi="Calibri" w:cs="Arial"/>
          <w:sz w:val="22"/>
          <w:szCs w:val="22"/>
        </w:rPr>
        <w:t xml:space="preserve"> vzájomne záväzky. </w:t>
      </w:r>
    </w:p>
    <w:p w:rsidR="001178AA" w:rsidRPr="00117B1F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B1F">
        <w:rPr>
          <w:rFonts w:ascii="Calibri" w:hAnsi="Calibri" w:cs="Arial"/>
          <w:sz w:val="22"/>
          <w:szCs w:val="22"/>
        </w:rPr>
        <w:lastRenderedPageBreak/>
        <w:t>Finančné účty konsolidovaného celku 1 142710,25 €.</w:t>
      </w:r>
    </w:p>
    <w:p w:rsidR="001178AA" w:rsidRPr="003540A4" w:rsidRDefault="001178AA" w:rsidP="001178AA">
      <w:pPr>
        <w:pStyle w:val="Default"/>
        <w:rPr>
          <w:rFonts w:ascii="Calibri" w:hAnsi="Calibri"/>
          <w:sz w:val="23"/>
          <w:szCs w:val="23"/>
        </w:rPr>
      </w:pPr>
      <w:r w:rsidRPr="003540A4">
        <w:rPr>
          <w:rFonts w:ascii="Calibri" w:hAnsi="Calibri"/>
          <w:b/>
          <w:bCs/>
          <w:sz w:val="23"/>
          <w:szCs w:val="23"/>
        </w:rPr>
        <w:t xml:space="preserve">Informácie o skutočnostiach, ktoré nastali po dni, ku ktorému sa zostavuje konsolidovaná účtovná závierka do dňa zostavenia účtovnej závierky </w:t>
      </w:r>
    </w:p>
    <w:p w:rsidR="001178AA" w:rsidRDefault="001178AA" w:rsidP="001178AA">
      <w:pPr>
        <w:spacing w:line="360" w:lineRule="auto"/>
        <w:rPr>
          <w:rFonts w:ascii="Calibri" w:hAnsi="Calibri"/>
          <w:sz w:val="23"/>
          <w:szCs w:val="23"/>
        </w:rPr>
      </w:pPr>
    </w:p>
    <w:p w:rsidR="001178AA" w:rsidRPr="001178AA" w:rsidRDefault="001178AA" w:rsidP="001178AA">
      <w:pPr>
        <w:spacing w:line="360" w:lineRule="auto"/>
        <w:rPr>
          <w:rFonts w:ascii="Calibri" w:hAnsi="Calibri" w:cs="Arial"/>
          <w:sz w:val="22"/>
          <w:szCs w:val="22"/>
        </w:rPr>
      </w:pPr>
      <w:r w:rsidRPr="001178AA">
        <w:rPr>
          <w:rFonts w:ascii="Calibri" w:hAnsi="Calibri"/>
          <w:sz w:val="22"/>
          <w:szCs w:val="22"/>
        </w:rPr>
        <w:t>Od 31.12.2014 do dňa zostavenia konsolidovanej účtovnej závierky nedošlo k takým skutočnostiam, ktoré by ovplyvnili, resp. zmenili výsledky vykázané v účtovnej evidencii a v účtovných výkazoch konsolidovaných účtovným jednotiek k 31.12.2014.</w:t>
      </w:r>
    </w:p>
    <w:p w:rsidR="001178AA" w:rsidRDefault="001178AA" w:rsidP="001178AA">
      <w:pPr>
        <w:spacing w:line="360" w:lineRule="auto"/>
        <w:rPr>
          <w:rFonts w:ascii="Calibri" w:hAnsi="Calibri" w:cs="Arial"/>
        </w:rPr>
      </w:pPr>
    </w:p>
    <w:p w:rsidR="001178AA" w:rsidRDefault="001178AA" w:rsidP="001178AA">
      <w:pPr>
        <w:spacing w:line="360" w:lineRule="auto"/>
        <w:rPr>
          <w:rFonts w:ascii="Calibri" w:hAnsi="Calibri" w:cs="Arial"/>
        </w:rPr>
      </w:pPr>
    </w:p>
    <w:p w:rsidR="001178AA" w:rsidRPr="00B8348B" w:rsidRDefault="001178AA" w:rsidP="001178AA">
      <w:pPr>
        <w:spacing w:line="360" w:lineRule="auto"/>
        <w:rPr>
          <w:rFonts w:ascii="Calibri" w:hAnsi="Calibri" w:cs="Arial"/>
        </w:rPr>
      </w:pPr>
      <w:r w:rsidRPr="00B8348B">
        <w:rPr>
          <w:rFonts w:ascii="Calibri" w:hAnsi="Calibri" w:cs="Arial"/>
        </w:rPr>
        <w:t>V Chorvátsky Grob 17.06.2015</w:t>
      </w:r>
    </w:p>
    <w:p w:rsidR="001178AA" w:rsidRPr="003540A4" w:rsidRDefault="001178AA" w:rsidP="001178AA">
      <w:pPr>
        <w:spacing w:line="360" w:lineRule="auto"/>
        <w:rPr>
          <w:rFonts w:ascii="Calibri" w:hAnsi="Calibri" w:cs="Arial"/>
        </w:rPr>
      </w:pPr>
      <w:r w:rsidRPr="003540A4">
        <w:rPr>
          <w:rFonts w:ascii="Calibri" w:hAnsi="Calibri" w:cs="Arial"/>
        </w:rPr>
        <w:t>Vypracoval: Katarína Madarászová</w:t>
      </w:r>
    </w:p>
    <w:p w:rsidR="001178AA" w:rsidRDefault="001178AA" w:rsidP="001178AA">
      <w:pPr>
        <w:spacing w:line="360" w:lineRule="auto"/>
        <w:ind w:left="4248" w:firstLine="708"/>
        <w:rPr>
          <w:rFonts w:ascii="Calibri" w:hAnsi="Calibri" w:cs="Arial"/>
          <w:sz w:val="22"/>
          <w:szCs w:val="22"/>
        </w:rPr>
      </w:pPr>
    </w:p>
    <w:p w:rsidR="001178AA" w:rsidRDefault="001178AA" w:rsidP="001178AA">
      <w:pPr>
        <w:spacing w:line="360" w:lineRule="auto"/>
        <w:ind w:left="4956" w:firstLine="708"/>
        <w:rPr>
          <w:rFonts w:ascii="Calibri" w:hAnsi="Calibri" w:cs="Arial"/>
          <w:sz w:val="22"/>
          <w:szCs w:val="22"/>
        </w:rPr>
      </w:pPr>
      <w:r w:rsidRPr="00B8348B">
        <w:rPr>
          <w:rFonts w:ascii="Calibri" w:hAnsi="Calibri" w:cs="Arial"/>
          <w:sz w:val="22"/>
          <w:szCs w:val="22"/>
        </w:rPr>
        <w:t xml:space="preserve"> Ing. Radovan </w:t>
      </w:r>
      <w:proofErr w:type="spellStart"/>
      <w:r w:rsidRPr="00B8348B">
        <w:rPr>
          <w:rFonts w:ascii="Calibri" w:hAnsi="Calibri" w:cs="Arial"/>
          <w:sz w:val="22"/>
          <w:szCs w:val="22"/>
        </w:rPr>
        <w:t>Benčík</w:t>
      </w:r>
      <w:proofErr w:type="spellEnd"/>
    </w:p>
    <w:p w:rsidR="001178AA" w:rsidRPr="00B8348B" w:rsidRDefault="001178AA" w:rsidP="001178AA">
      <w:pPr>
        <w:spacing w:line="360" w:lineRule="auto"/>
        <w:ind w:left="4956" w:firstLine="708"/>
        <w:rPr>
          <w:rFonts w:ascii="Calibri" w:hAnsi="Calibri" w:cs="Arial"/>
          <w:sz w:val="22"/>
          <w:szCs w:val="22"/>
        </w:rPr>
      </w:pPr>
      <w:r w:rsidRPr="00B8348B">
        <w:rPr>
          <w:rFonts w:ascii="Calibri" w:hAnsi="Calibri" w:cs="Arial"/>
          <w:sz w:val="22"/>
          <w:szCs w:val="22"/>
        </w:rPr>
        <w:t xml:space="preserve"> starosta obce</w:t>
      </w: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178AA" w:rsidRDefault="001178AA" w:rsidP="001178A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1729" w:rsidRDefault="00FC1729"/>
    <w:sectPr w:rsidR="00FC1729" w:rsidSect="00FC17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63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8171846"/>
    <w:multiLevelType w:val="hybridMultilevel"/>
    <w:tmpl w:val="6F128D1E"/>
    <w:lvl w:ilvl="0" w:tplc="BB680A02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1178AA"/>
    <w:rsid w:val="001178AA"/>
    <w:rsid w:val="004C2599"/>
    <w:rsid w:val="005F31C1"/>
    <w:rsid w:val="00736118"/>
    <w:rsid w:val="007A22CE"/>
    <w:rsid w:val="00FC17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8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178A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1728</Words>
  <Characters>9856</Characters>
  <Application>Microsoft Office Word</Application>
  <DocSecurity>0</DocSecurity>
  <Lines>82</Lines>
  <Paragraphs>23</Paragraphs>
  <ScaleCrop>false</ScaleCrop>
  <Company/>
  <LinksUpToDate>false</LinksUpToDate>
  <CharactersWithSpaces>11561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madaraszova</dc:creator>
  <cp:lastModifiedBy>madaraszova</cp:lastModifiedBy>
  <cp:revision>2</cp:revision>
  <dcterms:created xsi:type="dcterms:W3CDTF">2015-06-18T11:21:00Z</dcterms:created>
  <dcterms:modified xsi:type="dcterms:W3CDTF">2015-06-18T11:27:00Z</dcterms:modified>
</cp:coreProperties>
</file>