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1A57" w:rsidRDefault="00B71A57" w:rsidP="00B71A57">
      <w:pPr>
        <w:pStyle w:val="Vchodzie"/>
        <w:jc w:val="center"/>
        <w:rPr>
          <w:szCs w:val="24"/>
        </w:rPr>
      </w:pPr>
      <w:r>
        <w:rPr>
          <w:rFonts w:ascii="Arial" w:hAnsi="Arial"/>
          <w:szCs w:val="24"/>
        </w:rPr>
        <w:t>Poznámky k  31.12.2014</w:t>
      </w:r>
    </w:p>
    <w:p w:rsidR="00B71A57" w:rsidRDefault="00B71A57" w:rsidP="00B71A57">
      <w:pPr>
        <w:pStyle w:val="Vchodzie"/>
        <w:jc w:val="center"/>
        <w:rPr>
          <w:szCs w:val="24"/>
        </w:rPr>
      </w:pPr>
    </w:p>
    <w:p w:rsidR="00B71A57" w:rsidRDefault="00B71A57" w:rsidP="00B71A57">
      <w:pPr>
        <w:pStyle w:val="Vchodzie"/>
        <w:jc w:val="center"/>
        <w:rPr>
          <w:szCs w:val="24"/>
        </w:rPr>
      </w:pPr>
      <w:r>
        <w:rPr>
          <w:rFonts w:ascii="Arial" w:hAnsi="Arial"/>
          <w:szCs w:val="24"/>
        </w:rPr>
        <w:t>Čl. I</w:t>
      </w:r>
    </w:p>
    <w:p w:rsidR="00B71A57" w:rsidRDefault="00B71A57" w:rsidP="00B71A57">
      <w:pPr>
        <w:pStyle w:val="Vchodzie"/>
        <w:jc w:val="center"/>
        <w:rPr>
          <w:szCs w:val="24"/>
        </w:rPr>
      </w:pPr>
      <w:r>
        <w:rPr>
          <w:rFonts w:ascii="Arial" w:hAnsi="Arial"/>
          <w:szCs w:val="24"/>
        </w:rPr>
        <w:t>Všeobecné údaje</w:t>
      </w:r>
    </w:p>
    <w:p w:rsidR="00B71A57" w:rsidRDefault="00B71A57" w:rsidP="00B71A57">
      <w:pPr>
        <w:pStyle w:val="Vchodzie"/>
        <w:jc w:val="center"/>
        <w:rPr>
          <w:szCs w:val="24"/>
        </w:rPr>
      </w:pPr>
    </w:p>
    <w:p w:rsidR="00B71A57" w:rsidRDefault="00B71A57" w:rsidP="00B71A57">
      <w:pPr>
        <w:pStyle w:val="Vchodzie"/>
        <w:numPr>
          <w:ilvl w:val="0"/>
          <w:numId w:val="1"/>
        </w:numPr>
        <w:tabs>
          <w:tab w:val="left" w:pos="720"/>
        </w:tabs>
        <w:rPr>
          <w:szCs w:val="24"/>
        </w:rPr>
      </w:pPr>
      <w:r>
        <w:rPr>
          <w:rFonts w:ascii="Arial" w:hAnsi="Arial"/>
          <w:szCs w:val="24"/>
        </w:rPr>
        <w:t>Identifikačné údaje účtovnej jednotky a  informácie o  činnosti účtovnej jednotky</w:t>
      </w:r>
    </w:p>
    <w:p w:rsidR="00B71A57" w:rsidRDefault="00B71A57" w:rsidP="00B71A57">
      <w:pPr>
        <w:pStyle w:val="Vchodzie"/>
        <w:rPr>
          <w:szCs w:val="24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4781"/>
        <w:gridCol w:w="5479"/>
      </w:tblGrid>
      <w:tr w:rsidR="00B71A57" w:rsidTr="00CA2834">
        <w:tc>
          <w:tcPr>
            <w:tcW w:w="47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71A57" w:rsidRDefault="00B71A57" w:rsidP="00CA2834">
            <w:pPr>
              <w:pStyle w:val="Vchodzie"/>
              <w:spacing w:line="360" w:lineRule="auto"/>
              <w:rPr>
                <w:szCs w:val="24"/>
              </w:rPr>
            </w:pPr>
            <w:r>
              <w:rPr>
                <w:rFonts w:ascii="Arial" w:hAnsi="Arial"/>
                <w:szCs w:val="24"/>
              </w:rPr>
              <w:t>Názov účtovnej jednotky</w:t>
            </w:r>
          </w:p>
        </w:tc>
        <w:tc>
          <w:tcPr>
            <w:tcW w:w="54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71A57" w:rsidRDefault="00B71A57" w:rsidP="00CA2834">
            <w:pPr>
              <w:pStyle w:val="Vchodzie"/>
              <w:spacing w:after="200" w:line="360" w:lineRule="auto"/>
              <w:rPr>
                <w:szCs w:val="24"/>
              </w:rPr>
            </w:pPr>
            <w:r>
              <w:rPr>
                <w:rFonts w:ascii="Arial" w:hAnsi="Arial"/>
                <w:szCs w:val="24"/>
              </w:rPr>
              <w:t>STARVYS s.r.o.</w:t>
            </w:r>
          </w:p>
        </w:tc>
      </w:tr>
      <w:tr w:rsidR="00B71A57" w:rsidTr="00CA2834">
        <w:tc>
          <w:tcPr>
            <w:tcW w:w="47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71A57" w:rsidRDefault="00B71A57" w:rsidP="00CA2834">
            <w:pPr>
              <w:pStyle w:val="Vchodzie"/>
              <w:spacing w:line="360" w:lineRule="auto"/>
              <w:rPr>
                <w:szCs w:val="24"/>
              </w:rPr>
            </w:pPr>
            <w:r>
              <w:rPr>
                <w:rFonts w:ascii="Arial" w:hAnsi="Arial"/>
                <w:szCs w:val="24"/>
              </w:rPr>
              <w:t>Sídlo účtovnej jednotky</w:t>
            </w:r>
          </w:p>
        </w:tc>
        <w:tc>
          <w:tcPr>
            <w:tcW w:w="54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71A57" w:rsidRDefault="00B71A57" w:rsidP="00CA2834">
            <w:pPr>
              <w:pStyle w:val="Vchodzie"/>
              <w:spacing w:after="200" w:line="360" w:lineRule="auto"/>
              <w:rPr>
                <w:szCs w:val="24"/>
              </w:rPr>
            </w:pPr>
            <w:r>
              <w:rPr>
                <w:rFonts w:ascii="Arial" w:hAnsi="Arial"/>
                <w:szCs w:val="24"/>
              </w:rPr>
              <w:t>Daxnerova 13,98601  Fiľakovo</w:t>
            </w:r>
          </w:p>
        </w:tc>
      </w:tr>
      <w:tr w:rsidR="00B71A57" w:rsidTr="00CA2834">
        <w:tc>
          <w:tcPr>
            <w:tcW w:w="47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71A57" w:rsidRDefault="00B71A57" w:rsidP="00CA2834">
            <w:pPr>
              <w:pStyle w:val="Vchodzie"/>
              <w:spacing w:line="360" w:lineRule="auto"/>
              <w:rPr>
                <w:szCs w:val="24"/>
              </w:rPr>
            </w:pPr>
            <w:r>
              <w:rPr>
                <w:rFonts w:ascii="Arial" w:hAnsi="Arial"/>
                <w:szCs w:val="24"/>
              </w:rPr>
              <w:t>Dátum založenia/zriadenia</w:t>
            </w:r>
          </w:p>
        </w:tc>
        <w:tc>
          <w:tcPr>
            <w:tcW w:w="54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71A57" w:rsidRDefault="00B71A57" w:rsidP="00CA2834">
            <w:pPr>
              <w:pStyle w:val="Vchodzie"/>
              <w:spacing w:after="200" w:line="360" w:lineRule="auto"/>
              <w:rPr>
                <w:szCs w:val="24"/>
              </w:rPr>
            </w:pPr>
            <w:r>
              <w:rPr>
                <w:rFonts w:ascii="Arial" w:hAnsi="Arial"/>
                <w:szCs w:val="24"/>
              </w:rPr>
              <w:t>6.2.1997</w:t>
            </w:r>
          </w:p>
        </w:tc>
      </w:tr>
      <w:tr w:rsidR="00B71A57" w:rsidTr="00CA2834">
        <w:tc>
          <w:tcPr>
            <w:tcW w:w="47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71A57" w:rsidRDefault="00B71A57" w:rsidP="00CA2834">
            <w:pPr>
              <w:pStyle w:val="Vchodzie"/>
              <w:spacing w:line="360" w:lineRule="auto"/>
              <w:rPr>
                <w:szCs w:val="24"/>
              </w:rPr>
            </w:pPr>
            <w:r>
              <w:rPr>
                <w:rFonts w:ascii="Arial" w:hAnsi="Arial"/>
                <w:szCs w:val="24"/>
              </w:rPr>
              <w:t>Spôsob založenia/zriadenia</w:t>
            </w:r>
          </w:p>
        </w:tc>
        <w:tc>
          <w:tcPr>
            <w:tcW w:w="54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71A57" w:rsidRDefault="00B71A57" w:rsidP="00CA2834">
            <w:pPr>
              <w:pStyle w:val="Vchodzie"/>
              <w:spacing w:after="200" w:line="360" w:lineRule="auto"/>
              <w:rPr>
                <w:szCs w:val="24"/>
              </w:rPr>
            </w:pPr>
            <w:r>
              <w:rPr>
                <w:rFonts w:ascii="Arial" w:hAnsi="Arial"/>
                <w:szCs w:val="24"/>
              </w:rPr>
              <w:t xml:space="preserve">Spoločenská zmluva, </w:t>
            </w:r>
          </w:p>
        </w:tc>
      </w:tr>
      <w:tr w:rsidR="00B71A57" w:rsidTr="00CA2834">
        <w:tc>
          <w:tcPr>
            <w:tcW w:w="47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71A57" w:rsidRDefault="00B71A57" w:rsidP="00CA2834">
            <w:pPr>
              <w:pStyle w:val="Vchodzie"/>
              <w:spacing w:line="360" w:lineRule="auto"/>
              <w:rPr>
                <w:szCs w:val="24"/>
              </w:rPr>
            </w:pPr>
            <w:r>
              <w:rPr>
                <w:rFonts w:ascii="Arial" w:hAnsi="Arial"/>
                <w:szCs w:val="24"/>
              </w:rPr>
              <w:t>Za obdobie od:</w:t>
            </w:r>
          </w:p>
        </w:tc>
        <w:tc>
          <w:tcPr>
            <w:tcW w:w="54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71A57" w:rsidRDefault="00B71A57" w:rsidP="00CA2834">
            <w:pPr>
              <w:pStyle w:val="Vchodzie"/>
              <w:spacing w:after="200" w:line="360" w:lineRule="auto"/>
              <w:rPr>
                <w:szCs w:val="24"/>
              </w:rPr>
            </w:pPr>
            <w:r>
              <w:rPr>
                <w:rFonts w:ascii="Arial" w:hAnsi="Arial"/>
                <w:szCs w:val="24"/>
              </w:rPr>
              <w:t>01-12/2013</w:t>
            </w:r>
          </w:p>
        </w:tc>
      </w:tr>
      <w:tr w:rsidR="00B71A57" w:rsidTr="00CA2834">
        <w:tc>
          <w:tcPr>
            <w:tcW w:w="47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71A57" w:rsidRDefault="00B71A57" w:rsidP="00CA2834">
            <w:pPr>
              <w:pStyle w:val="Vchodzie"/>
              <w:spacing w:line="360" w:lineRule="auto"/>
              <w:rPr>
                <w:szCs w:val="24"/>
              </w:rPr>
            </w:pPr>
            <w:r>
              <w:rPr>
                <w:rFonts w:ascii="Arial" w:hAnsi="Arial"/>
                <w:szCs w:val="24"/>
              </w:rPr>
              <w:t>Bezprostredne predchádzajúce obdobie</w:t>
            </w:r>
          </w:p>
        </w:tc>
        <w:tc>
          <w:tcPr>
            <w:tcW w:w="54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71A57" w:rsidRDefault="00B71A57" w:rsidP="00CA2834">
            <w:pPr>
              <w:pStyle w:val="Vchodzie"/>
              <w:spacing w:after="200" w:line="360" w:lineRule="auto"/>
              <w:rPr>
                <w:szCs w:val="24"/>
              </w:rPr>
            </w:pPr>
            <w:r>
              <w:rPr>
                <w:rFonts w:ascii="Arial" w:hAnsi="Arial"/>
                <w:szCs w:val="24"/>
              </w:rPr>
              <w:t>01-12/2013  Závierka schválená dňa:</w:t>
            </w:r>
          </w:p>
        </w:tc>
      </w:tr>
      <w:tr w:rsidR="00B71A57" w:rsidTr="00CA2834">
        <w:tc>
          <w:tcPr>
            <w:tcW w:w="47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71A57" w:rsidRDefault="00B71A57" w:rsidP="00CA2834">
            <w:pPr>
              <w:pStyle w:val="Vchodzie"/>
              <w:spacing w:line="360" w:lineRule="auto"/>
              <w:rPr>
                <w:szCs w:val="24"/>
              </w:rPr>
            </w:pPr>
            <w:r>
              <w:rPr>
                <w:rFonts w:ascii="Arial" w:hAnsi="Arial"/>
                <w:szCs w:val="24"/>
              </w:rPr>
              <w:t>IČO</w:t>
            </w:r>
          </w:p>
        </w:tc>
        <w:tc>
          <w:tcPr>
            <w:tcW w:w="54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71A57" w:rsidRDefault="00B71A57" w:rsidP="00CA2834">
            <w:pPr>
              <w:pStyle w:val="Vchodzie"/>
              <w:spacing w:after="200" w:line="360" w:lineRule="auto"/>
              <w:rPr>
                <w:szCs w:val="24"/>
              </w:rPr>
            </w:pPr>
            <w:r>
              <w:rPr>
                <w:rFonts w:ascii="Arial" w:hAnsi="Arial"/>
                <w:szCs w:val="24"/>
              </w:rPr>
              <w:t>36017795</w:t>
            </w:r>
          </w:p>
        </w:tc>
      </w:tr>
      <w:tr w:rsidR="00B71A57" w:rsidTr="00CA2834">
        <w:tc>
          <w:tcPr>
            <w:tcW w:w="47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71A57" w:rsidRDefault="00B71A57" w:rsidP="00CA2834">
            <w:pPr>
              <w:pStyle w:val="Vchodzie"/>
              <w:spacing w:line="360" w:lineRule="auto"/>
              <w:rPr>
                <w:szCs w:val="24"/>
              </w:rPr>
            </w:pPr>
            <w:r>
              <w:rPr>
                <w:rFonts w:ascii="Arial" w:hAnsi="Arial"/>
                <w:szCs w:val="24"/>
              </w:rPr>
              <w:t>DIČ</w:t>
            </w:r>
          </w:p>
        </w:tc>
        <w:tc>
          <w:tcPr>
            <w:tcW w:w="54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71A57" w:rsidRDefault="00B71A57" w:rsidP="00CA2834">
            <w:pPr>
              <w:pStyle w:val="Vchodzie"/>
              <w:spacing w:after="200" w:line="360" w:lineRule="auto"/>
              <w:rPr>
                <w:szCs w:val="24"/>
              </w:rPr>
            </w:pPr>
            <w:r>
              <w:rPr>
                <w:rFonts w:ascii="Arial" w:hAnsi="Arial"/>
                <w:szCs w:val="24"/>
              </w:rPr>
              <w:t>2020080414</w:t>
            </w:r>
          </w:p>
        </w:tc>
      </w:tr>
      <w:tr w:rsidR="00B71A57" w:rsidTr="00CA2834">
        <w:tc>
          <w:tcPr>
            <w:tcW w:w="47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71A57" w:rsidRDefault="00B71A57" w:rsidP="00CA2834">
            <w:pPr>
              <w:pStyle w:val="Vchodzie"/>
              <w:spacing w:line="360" w:lineRule="auto"/>
              <w:rPr>
                <w:szCs w:val="24"/>
              </w:rPr>
            </w:pPr>
            <w:r>
              <w:rPr>
                <w:rFonts w:ascii="Arial" w:hAnsi="Arial"/>
                <w:szCs w:val="24"/>
              </w:rPr>
              <w:t>SK NACE</w:t>
            </w:r>
          </w:p>
        </w:tc>
        <w:tc>
          <w:tcPr>
            <w:tcW w:w="54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71A57" w:rsidRDefault="00B71A57" w:rsidP="00CA2834">
            <w:pPr>
              <w:pStyle w:val="Vchodzie"/>
              <w:spacing w:after="200" w:line="360" w:lineRule="auto"/>
              <w:rPr>
                <w:szCs w:val="24"/>
              </w:rPr>
            </w:pPr>
            <w:r>
              <w:rPr>
                <w:rFonts w:ascii="Arial" w:hAnsi="Arial"/>
                <w:szCs w:val="24"/>
              </w:rPr>
              <w:t>10.71.0</w:t>
            </w:r>
          </w:p>
        </w:tc>
      </w:tr>
      <w:tr w:rsidR="00B71A57" w:rsidTr="00CA2834">
        <w:tc>
          <w:tcPr>
            <w:tcW w:w="47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71A57" w:rsidRDefault="00B71A57" w:rsidP="00CA2834">
            <w:pPr>
              <w:pStyle w:val="Vchodzie"/>
              <w:spacing w:line="360" w:lineRule="auto"/>
              <w:rPr>
                <w:szCs w:val="24"/>
              </w:rPr>
            </w:pPr>
            <w:r>
              <w:rPr>
                <w:rFonts w:ascii="Arial" w:hAnsi="Arial"/>
                <w:szCs w:val="24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71A57" w:rsidRDefault="00B71A57" w:rsidP="00CA2834">
            <w:pPr>
              <w:pStyle w:val="Vchodzie"/>
              <w:spacing w:after="200" w:line="276" w:lineRule="auto"/>
              <w:rPr>
                <w:szCs w:val="24"/>
              </w:rPr>
            </w:pPr>
            <w:r>
              <w:rPr>
                <w:rFonts w:ascii="Arial" w:hAnsi="Arial"/>
                <w:szCs w:val="24"/>
              </w:rPr>
              <w:t>Výroba chleba a  pečiva, maloobchod, stavebná činnosť</w:t>
            </w:r>
          </w:p>
        </w:tc>
      </w:tr>
      <w:tr w:rsidR="00B71A57" w:rsidTr="00CA2834">
        <w:tc>
          <w:tcPr>
            <w:tcW w:w="47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71A57" w:rsidRDefault="00B71A57" w:rsidP="00CA2834">
            <w:pPr>
              <w:pStyle w:val="Vchodzie"/>
              <w:rPr>
                <w:szCs w:val="24"/>
              </w:rPr>
            </w:pPr>
            <w:r>
              <w:rPr>
                <w:rFonts w:ascii="Arial" w:hAnsi="Arial"/>
                <w:szCs w:val="24"/>
              </w:rPr>
              <w:t>Právny dôvod na zostavenie účtovnej závierky</w:t>
            </w:r>
          </w:p>
        </w:tc>
        <w:tc>
          <w:tcPr>
            <w:tcW w:w="54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71A57" w:rsidRDefault="0027568D" w:rsidP="00CA2834">
            <w:pPr>
              <w:pStyle w:val="Vchodzie"/>
              <w:rPr>
                <w:szCs w:val="24"/>
              </w:rPr>
            </w:pPr>
            <w:r>
              <w:rPr>
                <w:rFonts w:ascii="Arial" w:hAnsi="Arial"/>
                <w:szCs w:val="24"/>
              </w:rPr>
              <w:fldChar w:fldCharType="begin"/>
            </w:r>
            <w:r w:rsidR="00B71A57">
              <w:rPr>
                <w:rFonts w:ascii="Arial" w:hAnsi="Arial"/>
                <w:szCs w:val="24"/>
              </w:rPr>
              <w:instrText>FORMCHECKBOX</w:instrText>
            </w:r>
            <w:r>
              <w:rPr>
                <w:rFonts w:ascii="Arial" w:hAnsi="Arial"/>
                <w:szCs w:val="24"/>
              </w:rPr>
              <w:fldChar w:fldCharType="separate"/>
            </w:r>
            <w:r>
              <w:rPr>
                <w:rFonts w:ascii="Arial" w:hAnsi="Arial"/>
                <w:szCs w:val="24"/>
              </w:rPr>
              <w:fldChar w:fldCharType="end"/>
            </w:r>
            <w:r w:rsidR="00B71A57">
              <w:rPr>
                <w:rFonts w:ascii="Arial" w:hAnsi="Arial"/>
                <w:szCs w:val="24"/>
              </w:rPr>
              <w:t xml:space="preserve">    riadna     zostavená</w:t>
            </w:r>
          </w:p>
          <w:p w:rsidR="00B71A57" w:rsidRDefault="0027568D" w:rsidP="00CA2834">
            <w:pPr>
              <w:pStyle w:val="Vchodzie"/>
              <w:spacing w:after="200" w:line="276" w:lineRule="auto"/>
              <w:rPr>
                <w:szCs w:val="24"/>
              </w:rPr>
            </w:pPr>
            <w:r>
              <w:rPr>
                <w:rFonts w:ascii="Arial" w:hAnsi="Arial"/>
                <w:szCs w:val="24"/>
              </w:rPr>
              <w:fldChar w:fldCharType="begin"/>
            </w:r>
            <w:r w:rsidR="00B71A57">
              <w:rPr>
                <w:rFonts w:ascii="Arial" w:hAnsi="Arial"/>
                <w:szCs w:val="24"/>
              </w:rPr>
              <w:instrText>FORMCHECKBOX</w:instrText>
            </w:r>
            <w:r>
              <w:rPr>
                <w:rFonts w:ascii="Arial" w:hAnsi="Arial"/>
                <w:szCs w:val="24"/>
              </w:rPr>
              <w:fldChar w:fldCharType="separate"/>
            </w:r>
            <w:r>
              <w:rPr>
                <w:rFonts w:ascii="Arial" w:hAnsi="Arial"/>
                <w:szCs w:val="24"/>
              </w:rPr>
              <w:fldChar w:fldCharType="end"/>
            </w:r>
            <w:r w:rsidR="00B71A57">
              <w:rPr>
                <w:rFonts w:ascii="Arial" w:hAnsi="Arial"/>
                <w:szCs w:val="24"/>
              </w:rPr>
              <w:t xml:space="preserve">    mimoriadna </w:t>
            </w:r>
          </w:p>
        </w:tc>
      </w:tr>
      <w:tr w:rsidR="00B71A57" w:rsidTr="00CA2834">
        <w:tc>
          <w:tcPr>
            <w:tcW w:w="47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71A57" w:rsidRPr="00FD7DE1" w:rsidRDefault="00B71A57" w:rsidP="00CA2834">
            <w:pPr>
              <w:pStyle w:val="Vchodzie"/>
              <w:rPr>
                <w:rFonts w:ascii="Arial" w:hAnsi="Arial" w:cs="Arial"/>
                <w:szCs w:val="24"/>
              </w:rPr>
            </w:pPr>
            <w:r w:rsidRPr="00FD7DE1">
              <w:rPr>
                <w:rFonts w:ascii="Arial" w:hAnsi="Arial" w:cs="Arial"/>
                <w:szCs w:val="24"/>
              </w:rPr>
              <w:t>Vo Fiľakove</w:t>
            </w:r>
          </w:p>
          <w:p w:rsidR="00B71A57" w:rsidRPr="00FD7DE1" w:rsidRDefault="00B71A57" w:rsidP="00CA2834">
            <w:pPr>
              <w:pStyle w:val="Vchodzie"/>
              <w:rPr>
                <w:rFonts w:ascii="Arial" w:hAnsi="Arial" w:cs="Arial"/>
                <w:szCs w:val="24"/>
              </w:rPr>
            </w:pPr>
          </w:p>
          <w:p w:rsidR="00B71A57" w:rsidRPr="00FD7DE1" w:rsidRDefault="00B71A57" w:rsidP="00CA2834">
            <w:pPr>
              <w:pStyle w:val="Vchodzie"/>
              <w:rPr>
                <w:rFonts w:ascii="Arial" w:hAnsi="Arial" w:cs="Arial"/>
                <w:szCs w:val="24"/>
              </w:rPr>
            </w:pPr>
            <w:r w:rsidRPr="00FD7DE1">
              <w:rPr>
                <w:rFonts w:ascii="Arial" w:hAnsi="Arial" w:cs="Arial"/>
                <w:szCs w:val="24"/>
              </w:rPr>
              <w:t>Vypracovala:</w:t>
            </w:r>
          </w:p>
        </w:tc>
        <w:tc>
          <w:tcPr>
            <w:tcW w:w="54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71A57" w:rsidRPr="00FD7DE1" w:rsidRDefault="00B71A57" w:rsidP="00CA2834">
            <w:pPr>
              <w:pStyle w:val="Vchodzie"/>
              <w:spacing w:after="200" w:line="276" w:lineRule="auto"/>
              <w:rPr>
                <w:rFonts w:ascii="Arial" w:hAnsi="Arial" w:cs="Arial"/>
                <w:szCs w:val="24"/>
              </w:rPr>
            </w:pPr>
            <w:r w:rsidRPr="00FD7DE1">
              <w:rPr>
                <w:rFonts w:ascii="Arial" w:hAnsi="Arial" w:cs="Arial"/>
                <w:szCs w:val="24"/>
              </w:rPr>
              <w:t>dňa 7.3.2015</w:t>
            </w:r>
          </w:p>
          <w:p w:rsidR="00B71A57" w:rsidRPr="00FD7DE1" w:rsidRDefault="00B71A57" w:rsidP="00CA2834">
            <w:pPr>
              <w:pStyle w:val="Vchodzie"/>
              <w:spacing w:after="200" w:line="276" w:lineRule="auto"/>
              <w:rPr>
                <w:rFonts w:ascii="Arial" w:hAnsi="Arial" w:cs="Arial"/>
                <w:szCs w:val="24"/>
              </w:rPr>
            </w:pPr>
            <w:r w:rsidRPr="00FD7DE1">
              <w:rPr>
                <w:rFonts w:ascii="Arial" w:hAnsi="Arial" w:cs="Arial"/>
                <w:szCs w:val="24"/>
              </w:rPr>
              <w:t>Ing. Andrea Blahová</w:t>
            </w:r>
          </w:p>
        </w:tc>
      </w:tr>
    </w:tbl>
    <w:p w:rsidR="00B71A57" w:rsidRPr="00C2559D" w:rsidRDefault="00B71A57" w:rsidP="00B71A57">
      <w:pPr>
        <w:pStyle w:val="Vchodzie"/>
        <w:jc w:val="center"/>
        <w:rPr>
          <w:sz w:val="28"/>
          <w:szCs w:val="28"/>
        </w:rPr>
      </w:pPr>
    </w:p>
    <w:p w:rsidR="00B71A57" w:rsidRPr="00C2559D" w:rsidRDefault="00B71A57" w:rsidP="00B71A57">
      <w:pPr>
        <w:pStyle w:val="Vchodzie"/>
        <w:rPr>
          <w:sz w:val="28"/>
          <w:szCs w:val="28"/>
        </w:rPr>
      </w:pPr>
      <w:r w:rsidRPr="00C2559D">
        <w:rPr>
          <w:sz w:val="28"/>
          <w:szCs w:val="28"/>
        </w:rPr>
        <w:t>2. Údaje o konsolidovanom celku</w:t>
      </w:r>
    </w:p>
    <w:p w:rsidR="00B71A57" w:rsidRPr="00C2559D" w:rsidRDefault="00B71A57" w:rsidP="00B71A57">
      <w:pPr>
        <w:pStyle w:val="Vchodzie"/>
        <w:jc w:val="center"/>
        <w:rPr>
          <w:rFonts w:ascii="Arial" w:hAnsi="Arial" w:cs="Arial"/>
          <w:szCs w:val="24"/>
        </w:rPr>
      </w:pPr>
    </w:p>
    <w:p w:rsidR="00B71A57" w:rsidRDefault="00B71A57" w:rsidP="00B71A57">
      <w:pPr>
        <w:pStyle w:val="Vchodzie"/>
        <w:rPr>
          <w:rFonts w:ascii="Arial" w:hAnsi="Arial" w:cs="Arial"/>
          <w:szCs w:val="24"/>
        </w:rPr>
      </w:pPr>
      <w:r w:rsidRPr="00C2559D">
        <w:rPr>
          <w:rFonts w:ascii="Arial" w:hAnsi="Arial" w:cs="Arial"/>
          <w:szCs w:val="24"/>
        </w:rPr>
        <w:t>Účtovná jednotka nie je súčasťou konsolidovaného celku.</w:t>
      </w:r>
    </w:p>
    <w:p w:rsidR="00B71A57" w:rsidRDefault="00B71A57" w:rsidP="00B71A57">
      <w:pPr>
        <w:pStyle w:val="Vchodzie"/>
        <w:rPr>
          <w:rFonts w:ascii="Arial" w:hAnsi="Arial" w:cs="Arial"/>
          <w:szCs w:val="24"/>
        </w:rPr>
      </w:pPr>
    </w:p>
    <w:p w:rsidR="00B71A57" w:rsidRDefault="00B71A57" w:rsidP="00B71A57">
      <w:pPr>
        <w:pStyle w:val="Vchodzie"/>
        <w:rPr>
          <w:rFonts w:ascii="Arial" w:hAnsi="Arial" w:cs="Arial"/>
          <w:szCs w:val="24"/>
        </w:rPr>
      </w:pPr>
    </w:p>
    <w:p w:rsidR="00B71A57" w:rsidRPr="008A7980" w:rsidRDefault="00B71A57" w:rsidP="00B71A57">
      <w:pPr>
        <w:pStyle w:val="Vchodzie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3.</w:t>
      </w:r>
      <w:r w:rsidRPr="008A7980">
        <w:rPr>
          <w:rFonts w:ascii="Arial" w:hAnsi="Arial" w:cs="Arial"/>
          <w:sz w:val="24"/>
          <w:szCs w:val="24"/>
        </w:rPr>
        <w:t xml:space="preserve"> Priemerný prepočítaný stav zamestnancov vrátane dohôd</w:t>
      </w:r>
      <w:r>
        <w:rPr>
          <w:rFonts w:ascii="Arial" w:hAnsi="Arial" w:cs="Arial"/>
          <w:sz w:val="24"/>
          <w:szCs w:val="24"/>
        </w:rPr>
        <w:t>/bez dohôd</w:t>
      </w:r>
    </w:p>
    <w:p w:rsidR="00B71A57" w:rsidRPr="008A7980" w:rsidRDefault="00B71A57" w:rsidP="00B71A57">
      <w:pPr>
        <w:pStyle w:val="Vchodzie"/>
        <w:rPr>
          <w:rFonts w:ascii="Arial" w:hAnsi="Arial" w:cs="Arial"/>
          <w:sz w:val="24"/>
          <w:szCs w:val="24"/>
        </w:rPr>
      </w:pPr>
    </w:p>
    <w:p w:rsidR="00B71A57" w:rsidRDefault="00B71A57" w:rsidP="00B71A57">
      <w:pPr>
        <w:pStyle w:val="Vchodzie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2013</w:t>
      </w:r>
      <w:r>
        <w:rPr>
          <w:rFonts w:ascii="Arial" w:hAnsi="Arial" w:cs="Arial"/>
          <w:szCs w:val="24"/>
        </w:rPr>
        <w:tab/>
      </w:r>
      <w:r>
        <w:rPr>
          <w:rFonts w:ascii="Arial" w:hAnsi="Arial" w:cs="Arial"/>
          <w:szCs w:val="24"/>
        </w:rPr>
        <w:tab/>
        <w:t>29/17</w:t>
      </w:r>
    </w:p>
    <w:p w:rsidR="00B71A57" w:rsidRDefault="00B71A57" w:rsidP="00B71A57">
      <w:pPr>
        <w:pStyle w:val="Vchodzie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2014</w:t>
      </w:r>
      <w:r>
        <w:rPr>
          <w:rFonts w:ascii="Arial" w:hAnsi="Arial" w:cs="Arial"/>
          <w:szCs w:val="24"/>
        </w:rPr>
        <w:tab/>
      </w:r>
      <w:r>
        <w:rPr>
          <w:rFonts w:ascii="Arial" w:hAnsi="Arial" w:cs="Arial"/>
          <w:szCs w:val="24"/>
        </w:rPr>
        <w:tab/>
        <w:t>27/15</w:t>
      </w:r>
    </w:p>
    <w:p w:rsidR="00B71A57" w:rsidRDefault="00B71A57" w:rsidP="00B71A57">
      <w:pPr>
        <w:pStyle w:val="Vchodzie"/>
        <w:rPr>
          <w:rFonts w:ascii="Arial" w:hAnsi="Arial" w:cs="Arial"/>
          <w:szCs w:val="24"/>
        </w:rPr>
      </w:pPr>
    </w:p>
    <w:p w:rsidR="00B71A57" w:rsidRDefault="00B71A57" w:rsidP="00B71A57">
      <w:pPr>
        <w:pStyle w:val="Vchodzie"/>
        <w:ind w:firstLine="708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Základné imanie</w:t>
      </w:r>
      <w:r>
        <w:rPr>
          <w:rFonts w:ascii="Arial" w:hAnsi="Arial" w:cs="Arial"/>
          <w:szCs w:val="24"/>
        </w:rPr>
        <w:tab/>
      </w:r>
      <w:r>
        <w:rPr>
          <w:rFonts w:ascii="Arial" w:hAnsi="Arial" w:cs="Arial"/>
          <w:szCs w:val="24"/>
        </w:rPr>
        <w:tab/>
        <w:t>Zisk</w:t>
      </w:r>
      <w:r>
        <w:rPr>
          <w:rFonts w:ascii="Arial" w:hAnsi="Arial" w:cs="Arial"/>
          <w:szCs w:val="24"/>
        </w:rPr>
        <w:tab/>
      </w:r>
      <w:r>
        <w:rPr>
          <w:rFonts w:ascii="Arial" w:hAnsi="Arial" w:cs="Arial"/>
          <w:szCs w:val="24"/>
        </w:rPr>
        <w:tab/>
      </w:r>
      <w:r>
        <w:rPr>
          <w:rFonts w:ascii="Arial" w:hAnsi="Arial" w:cs="Arial"/>
          <w:szCs w:val="24"/>
        </w:rPr>
        <w:tab/>
      </w:r>
      <w:r>
        <w:rPr>
          <w:rFonts w:ascii="Arial" w:hAnsi="Arial" w:cs="Arial"/>
          <w:szCs w:val="24"/>
        </w:rPr>
        <w:tab/>
        <w:t>Obstaranie DHIM</w:t>
      </w:r>
    </w:p>
    <w:p w:rsidR="00B71A57" w:rsidRDefault="00B71A57" w:rsidP="00B71A57">
      <w:pPr>
        <w:pStyle w:val="Vchodzie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2013</w:t>
      </w:r>
      <w:r>
        <w:rPr>
          <w:rFonts w:ascii="Arial" w:hAnsi="Arial" w:cs="Arial"/>
          <w:szCs w:val="24"/>
        </w:rPr>
        <w:tab/>
        <w:t>6</w:t>
      </w:r>
      <w:r w:rsidR="00D82F67">
        <w:rPr>
          <w:rFonts w:ascii="Arial" w:hAnsi="Arial" w:cs="Arial"/>
          <w:szCs w:val="24"/>
        </w:rPr>
        <w:t xml:space="preserve"> </w:t>
      </w:r>
      <w:r>
        <w:rPr>
          <w:rFonts w:ascii="Arial" w:hAnsi="Arial" w:cs="Arial"/>
          <w:szCs w:val="24"/>
        </w:rPr>
        <w:t>639</w:t>
      </w:r>
      <w:r>
        <w:rPr>
          <w:rFonts w:ascii="Arial" w:hAnsi="Arial" w:cs="Arial"/>
          <w:szCs w:val="24"/>
        </w:rPr>
        <w:tab/>
      </w:r>
      <w:r>
        <w:rPr>
          <w:rFonts w:ascii="Arial" w:hAnsi="Arial" w:cs="Arial"/>
          <w:szCs w:val="24"/>
        </w:rPr>
        <w:tab/>
      </w:r>
      <w:r>
        <w:rPr>
          <w:rFonts w:ascii="Arial" w:hAnsi="Arial" w:cs="Arial"/>
          <w:szCs w:val="24"/>
        </w:rPr>
        <w:tab/>
      </w:r>
      <w:r>
        <w:rPr>
          <w:rFonts w:ascii="Arial" w:hAnsi="Arial" w:cs="Arial"/>
          <w:szCs w:val="24"/>
        </w:rPr>
        <w:tab/>
        <w:t>+6</w:t>
      </w:r>
      <w:r w:rsidR="00D82F67">
        <w:rPr>
          <w:rFonts w:ascii="Arial" w:hAnsi="Arial" w:cs="Arial"/>
          <w:szCs w:val="24"/>
        </w:rPr>
        <w:t xml:space="preserve"> </w:t>
      </w:r>
      <w:r>
        <w:rPr>
          <w:rFonts w:ascii="Arial" w:hAnsi="Arial" w:cs="Arial"/>
          <w:szCs w:val="24"/>
        </w:rPr>
        <w:t>672</w:t>
      </w:r>
      <w:r>
        <w:rPr>
          <w:rFonts w:ascii="Arial" w:hAnsi="Arial" w:cs="Arial"/>
          <w:szCs w:val="24"/>
        </w:rPr>
        <w:tab/>
      </w:r>
      <w:r>
        <w:rPr>
          <w:rFonts w:ascii="Arial" w:hAnsi="Arial" w:cs="Arial"/>
          <w:szCs w:val="24"/>
        </w:rPr>
        <w:tab/>
      </w:r>
      <w:r>
        <w:rPr>
          <w:rFonts w:ascii="Arial" w:hAnsi="Arial" w:cs="Arial"/>
          <w:szCs w:val="24"/>
        </w:rPr>
        <w:tab/>
      </w:r>
      <w:r>
        <w:rPr>
          <w:rFonts w:ascii="Arial" w:hAnsi="Arial" w:cs="Arial"/>
          <w:szCs w:val="24"/>
        </w:rPr>
        <w:tab/>
        <w:t>27 530</w:t>
      </w:r>
    </w:p>
    <w:p w:rsidR="00B71A57" w:rsidRDefault="00B71A57" w:rsidP="00B71A57">
      <w:pPr>
        <w:pStyle w:val="Vchodzie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2014</w:t>
      </w:r>
      <w:r>
        <w:rPr>
          <w:rFonts w:ascii="Arial" w:hAnsi="Arial" w:cs="Arial"/>
          <w:szCs w:val="24"/>
        </w:rPr>
        <w:tab/>
        <w:t>6</w:t>
      </w:r>
      <w:r w:rsidR="00D82F67">
        <w:rPr>
          <w:rFonts w:ascii="Arial" w:hAnsi="Arial" w:cs="Arial"/>
          <w:szCs w:val="24"/>
        </w:rPr>
        <w:t xml:space="preserve"> </w:t>
      </w:r>
      <w:r>
        <w:rPr>
          <w:rFonts w:ascii="Arial" w:hAnsi="Arial" w:cs="Arial"/>
          <w:szCs w:val="24"/>
        </w:rPr>
        <w:t>639</w:t>
      </w:r>
      <w:r>
        <w:rPr>
          <w:rFonts w:ascii="Arial" w:hAnsi="Arial" w:cs="Arial"/>
          <w:szCs w:val="24"/>
        </w:rPr>
        <w:tab/>
      </w:r>
      <w:r>
        <w:rPr>
          <w:rFonts w:ascii="Arial" w:hAnsi="Arial" w:cs="Arial"/>
          <w:szCs w:val="24"/>
        </w:rPr>
        <w:tab/>
      </w:r>
      <w:r>
        <w:rPr>
          <w:rFonts w:ascii="Arial" w:hAnsi="Arial" w:cs="Arial"/>
          <w:szCs w:val="24"/>
        </w:rPr>
        <w:tab/>
      </w:r>
      <w:r>
        <w:rPr>
          <w:rFonts w:ascii="Arial" w:hAnsi="Arial" w:cs="Arial"/>
          <w:szCs w:val="24"/>
        </w:rPr>
        <w:tab/>
      </w:r>
      <w:r w:rsidR="0030774E">
        <w:rPr>
          <w:rFonts w:ascii="Arial" w:hAnsi="Arial" w:cs="Arial"/>
          <w:szCs w:val="24"/>
        </w:rPr>
        <w:t xml:space="preserve"> </w:t>
      </w:r>
      <w:r>
        <w:rPr>
          <w:rFonts w:ascii="Arial" w:hAnsi="Arial" w:cs="Arial"/>
          <w:szCs w:val="24"/>
        </w:rPr>
        <w:t>-9</w:t>
      </w:r>
      <w:r w:rsidR="00D82F67">
        <w:rPr>
          <w:rFonts w:ascii="Arial" w:hAnsi="Arial" w:cs="Arial"/>
          <w:szCs w:val="24"/>
        </w:rPr>
        <w:t xml:space="preserve"> </w:t>
      </w:r>
      <w:r>
        <w:rPr>
          <w:rFonts w:ascii="Arial" w:hAnsi="Arial" w:cs="Arial"/>
          <w:szCs w:val="24"/>
        </w:rPr>
        <w:t>932</w:t>
      </w:r>
      <w:r>
        <w:rPr>
          <w:rFonts w:ascii="Arial" w:hAnsi="Arial" w:cs="Arial"/>
          <w:szCs w:val="24"/>
        </w:rPr>
        <w:tab/>
      </w:r>
      <w:r>
        <w:rPr>
          <w:rFonts w:ascii="Arial" w:hAnsi="Arial" w:cs="Arial"/>
          <w:szCs w:val="24"/>
        </w:rPr>
        <w:tab/>
      </w:r>
      <w:r>
        <w:rPr>
          <w:rFonts w:ascii="Arial" w:hAnsi="Arial" w:cs="Arial"/>
          <w:szCs w:val="24"/>
        </w:rPr>
        <w:tab/>
      </w:r>
      <w:r>
        <w:rPr>
          <w:rFonts w:ascii="Arial" w:hAnsi="Arial" w:cs="Arial"/>
          <w:szCs w:val="24"/>
        </w:rPr>
        <w:tab/>
        <w:t xml:space="preserve">   0</w:t>
      </w:r>
    </w:p>
    <w:p w:rsidR="00B71A57" w:rsidRDefault="00B71A57" w:rsidP="00B71A57">
      <w:pPr>
        <w:pStyle w:val="Vchodzie"/>
        <w:rPr>
          <w:rFonts w:ascii="Arial" w:hAnsi="Arial" w:cs="Arial"/>
          <w:szCs w:val="24"/>
        </w:rPr>
      </w:pPr>
    </w:p>
    <w:p w:rsidR="00B71A57" w:rsidRPr="00A11793" w:rsidRDefault="00B71A57" w:rsidP="00B71A57">
      <w:pPr>
        <w:pStyle w:val="Vchodzie"/>
        <w:jc w:val="center"/>
        <w:rPr>
          <w:rFonts w:ascii="Arial" w:hAnsi="Arial" w:cs="Arial"/>
          <w:sz w:val="24"/>
          <w:szCs w:val="24"/>
        </w:rPr>
      </w:pPr>
    </w:p>
    <w:p w:rsidR="00B71A57" w:rsidRPr="00A11793" w:rsidRDefault="00B71A57" w:rsidP="00B71A57">
      <w:pPr>
        <w:pStyle w:val="Vchodzie"/>
        <w:jc w:val="center"/>
        <w:rPr>
          <w:rFonts w:ascii="Arial" w:hAnsi="Arial" w:cs="Arial"/>
          <w:sz w:val="24"/>
          <w:szCs w:val="24"/>
        </w:rPr>
      </w:pPr>
      <w:r w:rsidRPr="00A11793">
        <w:rPr>
          <w:rFonts w:ascii="Arial" w:hAnsi="Arial" w:cs="Arial"/>
          <w:sz w:val="24"/>
          <w:szCs w:val="24"/>
        </w:rPr>
        <w:t>Článok II.</w:t>
      </w:r>
    </w:p>
    <w:p w:rsidR="00B71A57" w:rsidRDefault="00B71A57" w:rsidP="00B71A57">
      <w:pPr>
        <w:pStyle w:val="Vchodzie"/>
        <w:jc w:val="center"/>
        <w:rPr>
          <w:rFonts w:ascii="Arial" w:hAnsi="Arial" w:cs="Arial"/>
          <w:sz w:val="24"/>
          <w:szCs w:val="24"/>
        </w:rPr>
      </w:pPr>
      <w:r w:rsidRPr="00A11793">
        <w:rPr>
          <w:rFonts w:ascii="Arial" w:hAnsi="Arial" w:cs="Arial"/>
          <w:sz w:val="24"/>
          <w:szCs w:val="24"/>
        </w:rPr>
        <w:t>Informácie o prijatých postupoch</w:t>
      </w:r>
    </w:p>
    <w:p w:rsidR="00B71A57" w:rsidRPr="00A11793" w:rsidRDefault="00B71A57" w:rsidP="00B71A57">
      <w:pPr>
        <w:pStyle w:val="Vchodzie"/>
        <w:jc w:val="center"/>
        <w:rPr>
          <w:rFonts w:ascii="Arial" w:hAnsi="Arial" w:cs="Arial"/>
          <w:sz w:val="24"/>
          <w:szCs w:val="24"/>
        </w:rPr>
      </w:pPr>
    </w:p>
    <w:p w:rsidR="00B71A57" w:rsidRPr="00EB7B12" w:rsidRDefault="00B71A57" w:rsidP="00B71A57">
      <w:pPr>
        <w:pStyle w:val="Vchodzie"/>
        <w:rPr>
          <w:rFonts w:ascii="Arial" w:hAnsi="Arial" w:cs="Arial"/>
        </w:rPr>
      </w:pPr>
      <w:r w:rsidRPr="00EB7B12">
        <w:rPr>
          <w:rFonts w:ascii="Arial" w:hAnsi="Arial" w:cs="Arial"/>
        </w:rPr>
        <w:t>1. Účtovná závierka je zostavená za splnenia predpokladu nepretržitého pokračovania svojej činnosti.</w:t>
      </w:r>
      <w:r>
        <w:rPr>
          <w:rFonts w:ascii="Arial" w:hAnsi="Arial" w:cs="Arial"/>
        </w:rPr>
        <w:t xml:space="preserve">V roku 2014 bolo rokované so záujemcom o odkúpenie firmy. Valné zhromaždenie v roku </w:t>
      </w:r>
      <w:r>
        <w:rPr>
          <w:rFonts w:ascii="Arial" w:hAnsi="Arial" w:cs="Arial"/>
        </w:rPr>
        <w:lastRenderedPageBreak/>
        <w:t>2014 nebolo zvolané ani nezasadlo. Predaj podniku sa neuskutočnil. Ročná závierka nebola schválená.</w:t>
      </w:r>
    </w:p>
    <w:p w:rsidR="00B71A57" w:rsidRPr="00EB7B12" w:rsidRDefault="00B71A57" w:rsidP="00B71A57">
      <w:pPr>
        <w:pStyle w:val="Vchodzie"/>
        <w:rPr>
          <w:rFonts w:ascii="Arial" w:hAnsi="Arial" w:cs="Arial"/>
        </w:rPr>
      </w:pPr>
    </w:p>
    <w:p w:rsidR="00B71A57" w:rsidRDefault="00B71A57" w:rsidP="00B71A57">
      <w:pPr>
        <w:pStyle w:val="Vchodzie"/>
        <w:numPr>
          <w:ilvl w:val="0"/>
          <w:numId w:val="1"/>
        </w:numPr>
        <w:ind w:left="357" w:hanging="357"/>
        <w:rPr>
          <w:rFonts w:ascii="Arial" w:hAnsi="Arial" w:cs="Arial"/>
        </w:rPr>
      </w:pPr>
      <w:r w:rsidRPr="00EB7B12">
        <w:rPr>
          <w:rFonts w:ascii="Arial" w:hAnsi="Arial" w:cs="Arial"/>
        </w:rPr>
        <w:t>Spôsob oceňovania jednotlivých položiek maj</w:t>
      </w:r>
      <w:r>
        <w:rPr>
          <w:rFonts w:ascii="Arial" w:hAnsi="Arial" w:cs="Arial"/>
        </w:rPr>
        <w:t>e</w:t>
      </w:r>
      <w:r w:rsidRPr="00EB7B12">
        <w:rPr>
          <w:rFonts w:ascii="Arial" w:hAnsi="Arial" w:cs="Arial"/>
        </w:rPr>
        <w:t>tku:</w:t>
      </w:r>
    </w:p>
    <w:p w:rsidR="00B71A57" w:rsidRDefault="00B71A57" w:rsidP="00B71A57">
      <w:pPr>
        <w:pStyle w:val="Vchodzie"/>
        <w:numPr>
          <w:ilvl w:val="0"/>
          <w:numId w:val="2"/>
        </w:numPr>
        <w:rPr>
          <w:rFonts w:ascii="Arial" w:hAnsi="Arial" w:cs="Arial"/>
        </w:rPr>
      </w:pPr>
      <w:r>
        <w:rPr>
          <w:rFonts w:ascii="Arial" w:hAnsi="Arial" w:cs="Arial"/>
        </w:rPr>
        <w:t>Dlhodobý NM, HM obstarávacou cenou. Finančný majetok – neeviduje</w:t>
      </w:r>
    </w:p>
    <w:p w:rsidR="00B71A57" w:rsidRDefault="00B71A57" w:rsidP="00B71A57">
      <w:pPr>
        <w:pStyle w:val="Vchodzie"/>
        <w:numPr>
          <w:ilvl w:val="0"/>
          <w:numId w:val="2"/>
        </w:numPr>
        <w:rPr>
          <w:rFonts w:ascii="Arial" w:hAnsi="Arial" w:cs="Arial"/>
        </w:rPr>
      </w:pPr>
      <w:r>
        <w:rPr>
          <w:rFonts w:ascii="Arial" w:hAnsi="Arial" w:cs="Arial"/>
        </w:rPr>
        <w:t>Zásoby obstarané kúpou v cene obstarania, vytvorenú vl. Činnosťou vo výške vlastných nákladov</w:t>
      </w:r>
    </w:p>
    <w:p w:rsidR="00B71A57" w:rsidRDefault="00B71A57" w:rsidP="00B71A57">
      <w:pPr>
        <w:pStyle w:val="Vchodzie"/>
        <w:numPr>
          <w:ilvl w:val="0"/>
          <w:numId w:val="2"/>
        </w:numPr>
        <w:rPr>
          <w:rFonts w:ascii="Arial" w:hAnsi="Arial" w:cs="Arial"/>
        </w:rPr>
      </w:pPr>
      <w:r>
        <w:rPr>
          <w:rFonts w:ascii="Arial" w:hAnsi="Arial" w:cs="Arial"/>
        </w:rPr>
        <w:t>Pohľadávky – v nominálnej hodnote</w:t>
      </w:r>
    </w:p>
    <w:p w:rsidR="00B71A57" w:rsidRDefault="00B71A57" w:rsidP="00B71A57">
      <w:pPr>
        <w:pStyle w:val="Vchodzie"/>
        <w:numPr>
          <w:ilvl w:val="0"/>
          <w:numId w:val="2"/>
        </w:numPr>
        <w:rPr>
          <w:rFonts w:ascii="Arial" w:hAnsi="Arial" w:cs="Arial"/>
        </w:rPr>
      </w:pPr>
      <w:r>
        <w:rPr>
          <w:rFonts w:ascii="Arial" w:hAnsi="Arial" w:cs="Arial"/>
        </w:rPr>
        <w:t>Krátkodobý fin. majetok – v nominálnej hodnote</w:t>
      </w:r>
    </w:p>
    <w:p w:rsidR="00B71A57" w:rsidRDefault="00B71A57" w:rsidP="00B71A57">
      <w:pPr>
        <w:pStyle w:val="Vchodzie"/>
        <w:numPr>
          <w:ilvl w:val="0"/>
          <w:numId w:val="2"/>
        </w:numPr>
        <w:rPr>
          <w:rFonts w:ascii="Arial" w:hAnsi="Arial" w:cs="Arial"/>
        </w:rPr>
      </w:pPr>
      <w:r>
        <w:rPr>
          <w:rFonts w:ascii="Arial" w:hAnsi="Arial" w:cs="Arial"/>
        </w:rPr>
        <w:t>Záväzky vrátane rezerv, úverov v nominálnej hodnote</w:t>
      </w:r>
    </w:p>
    <w:p w:rsidR="00B71A57" w:rsidRDefault="00B71A57" w:rsidP="00B71A57">
      <w:pPr>
        <w:pStyle w:val="Vchodzie"/>
        <w:numPr>
          <w:ilvl w:val="0"/>
          <w:numId w:val="2"/>
        </w:numPr>
        <w:rPr>
          <w:rFonts w:ascii="Arial" w:hAnsi="Arial" w:cs="Arial"/>
        </w:rPr>
      </w:pPr>
      <w:r>
        <w:rPr>
          <w:rFonts w:ascii="Arial" w:hAnsi="Arial" w:cs="Arial"/>
        </w:rPr>
        <w:t>Derivátové operácie – neeviduje.</w:t>
      </w:r>
    </w:p>
    <w:p w:rsidR="00B71A57" w:rsidRPr="00EB7B12" w:rsidRDefault="00B71A57" w:rsidP="00B71A57">
      <w:pPr>
        <w:pStyle w:val="Vchodzie"/>
        <w:ind w:left="357"/>
        <w:rPr>
          <w:rFonts w:ascii="Arial" w:hAnsi="Arial" w:cs="Arial"/>
        </w:rPr>
      </w:pPr>
    </w:p>
    <w:p w:rsidR="00B71A57" w:rsidRPr="00EB7B12" w:rsidRDefault="00B71A57" w:rsidP="00B71A57">
      <w:pPr>
        <w:pStyle w:val="Vchodzie"/>
        <w:jc w:val="center"/>
        <w:rPr>
          <w:rFonts w:ascii="Arial" w:hAnsi="Arial" w:cs="Arial"/>
        </w:rPr>
      </w:pPr>
    </w:p>
    <w:p w:rsidR="00B71A57" w:rsidRDefault="00B71A57" w:rsidP="00B71A57">
      <w:pPr>
        <w:pStyle w:val="Vchodzie"/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>Odpisový plán je zostavený bez zmeny metód v zmysle zák. č. 595 Z.z., účtovné odpisy sú rovné</w:t>
      </w:r>
    </w:p>
    <w:p w:rsidR="00B71A57" w:rsidRDefault="00B71A57" w:rsidP="00B71A57">
      <w:pPr>
        <w:pStyle w:val="Vchodzie"/>
        <w:ind w:left="720"/>
        <w:rPr>
          <w:rFonts w:ascii="Arial" w:hAnsi="Arial" w:cs="Arial"/>
        </w:rPr>
      </w:pPr>
      <w:r>
        <w:rPr>
          <w:rFonts w:ascii="Arial" w:hAnsi="Arial" w:cs="Arial"/>
        </w:rPr>
        <w:t>Daňovým.</w:t>
      </w:r>
    </w:p>
    <w:p w:rsidR="00B71A57" w:rsidRDefault="00B71A57" w:rsidP="00B71A57">
      <w:pPr>
        <w:pStyle w:val="Vchodzie"/>
        <w:ind w:left="720"/>
        <w:rPr>
          <w:rFonts w:ascii="Arial" w:hAnsi="Arial" w:cs="Arial"/>
        </w:rPr>
      </w:pPr>
    </w:p>
    <w:p w:rsidR="00B71A57" w:rsidRPr="00FB1E08" w:rsidRDefault="00B71A57" w:rsidP="00B71A57">
      <w:pPr>
        <w:pStyle w:val="Vchodzie"/>
        <w:numPr>
          <w:ilvl w:val="0"/>
          <w:numId w:val="1"/>
        </w:numPr>
        <w:rPr>
          <w:rFonts w:ascii="Arial" w:hAnsi="Arial" w:cs="Arial"/>
        </w:rPr>
      </w:pPr>
      <w:r w:rsidRPr="00FB1E08">
        <w:rPr>
          <w:rFonts w:ascii="Arial" w:hAnsi="Arial" w:cs="Arial"/>
        </w:rPr>
        <w:t xml:space="preserve">Účtovné metódy a zásady boli aplikované konzistentne – bez zmeny metódy a vplyvu na finančnú hodnotu majetku. Prechod na účtovný software v prostredí Windows od fi. MRP (aj predtým MRP) nemal vplyv na vykazovanie </w:t>
      </w:r>
      <w:r>
        <w:rPr>
          <w:rFonts w:ascii="Arial" w:hAnsi="Arial" w:cs="Arial"/>
        </w:rPr>
        <w:t>v</w:t>
      </w:r>
      <w:r w:rsidRPr="00FB1E08">
        <w:rPr>
          <w:rFonts w:ascii="Arial" w:hAnsi="Arial" w:cs="Arial"/>
        </w:rPr>
        <w:t>ýsledkov, zmenili sa len formy výstupov, zostáv a prehľadov.</w:t>
      </w:r>
    </w:p>
    <w:p w:rsidR="00B71A57" w:rsidRDefault="00B71A57" w:rsidP="00B71A57">
      <w:pPr>
        <w:pStyle w:val="Vchodzie"/>
        <w:rPr>
          <w:rFonts w:ascii="Arial" w:hAnsi="Arial" w:cs="Arial"/>
        </w:rPr>
      </w:pPr>
    </w:p>
    <w:p w:rsidR="00B71A57" w:rsidRDefault="00B71A57" w:rsidP="00B71A57">
      <w:pPr>
        <w:pStyle w:val="Vchodzie"/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>Dotácie v roku 2014 neboli prijaté</w:t>
      </w:r>
    </w:p>
    <w:p w:rsidR="00B71A57" w:rsidRDefault="00B71A57" w:rsidP="00B71A57">
      <w:pPr>
        <w:pStyle w:val="Odsekzoznamu"/>
        <w:rPr>
          <w:rFonts w:ascii="Arial" w:hAnsi="Arial" w:cs="Arial"/>
        </w:rPr>
      </w:pPr>
    </w:p>
    <w:p w:rsidR="00B71A57" w:rsidRPr="00EB7B12" w:rsidRDefault="00B71A57" w:rsidP="00B71A57">
      <w:pPr>
        <w:pStyle w:val="Vchodzie"/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>Významné opravy a chyby minulých účtovných období s vplyvom na nerozdelený zisk min. rokov alebo stratu m.r. neboli učtované. Nevýznamné chyby minulých rokov neboli účtované.</w:t>
      </w:r>
    </w:p>
    <w:p w:rsidR="00B71A57" w:rsidRDefault="00B71A57" w:rsidP="00B71A57">
      <w:pPr>
        <w:pStyle w:val="Vchodzie"/>
        <w:jc w:val="center"/>
        <w:rPr>
          <w:szCs w:val="24"/>
        </w:rPr>
      </w:pPr>
    </w:p>
    <w:p w:rsidR="00B71A57" w:rsidRPr="00FB1E08" w:rsidRDefault="00B71A57" w:rsidP="00B71A57">
      <w:pPr>
        <w:pStyle w:val="Vchodzie"/>
        <w:jc w:val="center"/>
        <w:rPr>
          <w:rFonts w:ascii="Arial" w:hAnsi="Arial" w:cs="Arial"/>
          <w:sz w:val="24"/>
          <w:szCs w:val="24"/>
        </w:rPr>
      </w:pPr>
    </w:p>
    <w:p w:rsidR="00B71A57" w:rsidRPr="00FB1E08" w:rsidRDefault="00B71A57" w:rsidP="00B71A57">
      <w:pPr>
        <w:pStyle w:val="Vchodzie"/>
        <w:jc w:val="center"/>
        <w:rPr>
          <w:rFonts w:ascii="Arial" w:hAnsi="Arial" w:cs="Arial"/>
          <w:sz w:val="24"/>
          <w:szCs w:val="24"/>
        </w:rPr>
      </w:pPr>
      <w:r w:rsidRPr="00FB1E08">
        <w:rPr>
          <w:rFonts w:ascii="Arial" w:hAnsi="Arial" w:cs="Arial"/>
          <w:sz w:val="24"/>
          <w:szCs w:val="24"/>
        </w:rPr>
        <w:t>Čl. III.</w:t>
      </w:r>
    </w:p>
    <w:p w:rsidR="00B71A57" w:rsidRDefault="00B71A57" w:rsidP="00B71A57">
      <w:pPr>
        <w:pStyle w:val="Vchodzie"/>
        <w:jc w:val="center"/>
        <w:rPr>
          <w:rFonts w:ascii="Arial" w:hAnsi="Arial" w:cs="Arial"/>
          <w:sz w:val="24"/>
          <w:szCs w:val="24"/>
        </w:rPr>
      </w:pPr>
      <w:r w:rsidRPr="00FB1E08">
        <w:rPr>
          <w:rFonts w:ascii="Arial" w:hAnsi="Arial" w:cs="Arial"/>
          <w:sz w:val="24"/>
          <w:szCs w:val="24"/>
        </w:rPr>
        <w:t>Informácie, ktoré vysvetľujú a doplĺňajú súvahu</w:t>
      </w:r>
    </w:p>
    <w:p w:rsidR="00B71A57" w:rsidRPr="00084964" w:rsidRDefault="00B71A57" w:rsidP="00B71A57">
      <w:pPr>
        <w:pStyle w:val="Vchodzie"/>
        <w:jc w:val="center"/>
        <w:rPr>
          <w:rFonts w:ascii="Arial" w:hAnsi="Arial" w:cs="Arial"/>
        </w:rPr>
      </w:pPr>
    </w:p>
    <w:p w:rsidR="00B71A57" w:rsidRPr="00084964" w:rsidRDefault="00B71A57" w:rsidP="00B71A57">
      <w:pPr>
        <w:pStyle w:val="Vchodzie"/>
        <w:jc w:val="center"/>
        <w:rPr>
          <w:rFonts w:ascii="Arial" w:hAnsi="Arial" w:cs="Arial"/>
        </w:rPr>
      </w:pPr>
    </w:p>
    <w:p w:rsidR="00B71A57" w:rsidRDefault="00B71A57" w:rsidP="00B71A57">
      <w:pPr>
        <w:pStyle w:val="Vchodzie"/>
        <w:rPr>
          <w:rFonts w:ascii="Arial" w:hAnsi="Arial" w:cs="Arial"/>
        </w:rPr>
      </w:pPr>
      <w:r w:rsidRPr="00084964">
        <w:rPr>
          <w:rFonts w:ascii="Arial" w:hAnsi="Arial" w:cs="Arial"/>
        </w:rPr>
        <w:t xml:space="preserve">1.Výnosy a náklady z predaja podniku alebo časti neboli účtované </w:t>
      </w:r>
    </w:p>
    <w:p w:rsidR="00B71A57" w:rsidRDefault="00B71A57" w:rsidP="00B71A57">
      <w:pPr>
        <w:pStyle w:val="Vchodzie"/>
        <w:rPr>
          <w:rFonts w:ascii="Arial" w:hAnsi="Arial" w:cs="Arial"/>
        </w:rPr>
      </w:pPr>
    </w:p>
    <w:p w:rsidR="00B71A57" w:rsidRDefault="00B71A57" w:rsidP="00B71A57">
      <w:pPr>
        <w:pStyle w:val="Vchodzie"/>
        <w:rPr>
          <w:rFonts w:ascii="Arial" w:hAnsi="Arial" w:cs="Arial"/>
        </w:rPr>
      </w:pPr>
      <w:r>
        <w:rPr>
          <w:rFonts w:ascii="Arial" w:hAnsi="Arial" w:cs="Arial"/>
        </w:rPr>
        <w:t>Daňovo neuznané výdavky:</w:t>
      </w:r>
    </w:p>
    <w:p w:rsidR="00B71A57" w:rsidRDefault="00B71A57" w:rsidP="00B71A57">
      <w:pPr>
        <w:pStyle w:val="Vchodzie"/>
        <w:rPr>
          <w:rFonts w:ascii="Arial" w:hAnsi="Arial" w:cs="Arial"/>
        </w:rPr>
      </w:pPr>
      <w:r>
        <w:rPr>
          <w:rFonts w:ascii="Arial" w:hAnsi="Arial" w:cs="Arial"/>
        </w:rPr>
        <w:t>Spotreba PHL 200 %</w:t>
      </w:r>
      <w:r>
        <w:rPr>
          <w:rFonts w:ascii="Arial" w:hAnsi="Arial" w:cs="Arial"/>
        </w:rPr>
        <w:tab/>
        <w:t>vo výške 3 731,75</w:t>
      </w:r>
    </w:p>
    <w:p w:rsidR="00B71A57" w:rsidRDefault="00B71A57" w:rsidP="00B71A57">
      <w:pPr>
        <w:pStyle w:val="Vchodzie"/>
        <w:rPr>
          <w:rFonts w:ascii="Arial" w:hAnsi="Arial" w:cs="Arial"/>
        </w:rPr>
      </w:pPr>
      <w:r>
        <w:rPr>
          <w:rFonts w:ascii="Arial" w:hAnsi="Arial" w:cs="Arial"/>
        </w:rPr>
        <w:t>Repr. Účet 513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vo výške  27,32 €</w:t>
      </w:r>
    </w:p>
    <w:p w:rsidR="00B71A57" w:rsidRDefault="00B71A57" w:rsidP="00B71A57">
      <w:pPr>
        <w:pStyle w:val="Vchodzie"/>
        <w:rPr>
          <w:rFonts w:ascii="Arial" w:hAnsi="Arial" w:cs="Arial"/>
        </w:rPr>
      </w:pPr>
      <w:r>
        <w:rPr>
          <w:rFonts w:ascii="Arial" w:hAnsi="Arial" w:cs="Arial"/>
        </w:rPr>
        <w:t>Pokuty účet 545</w:t>
      </w:r>
      <w:r>
        <w:rPr>
          <w:rFonts w:ascii="Arial" w:hAnsi="Arial" w:cs="Arial"/>
        </w:rPr>
        <w:tab/>
        <w:t>vo výške  11,40 €</w:t>
      </w:r>
    </w:p>
    <w:p w:rsidR="00B71A57" w:rsidRDefault="00B71A57" w:rsidP="00B71A57">
      <w:pPr>
        <w:pStyle w:val="Vchodzie"/>
        <w:rPr>
          <w:rFonts w:ascii="Arial" w:hAnsi="Arial" w:cs="Arial"/>
        </w:rPr>
      </w:pPr>
      <w:r>
        <w:rPr>
          <w:rFonts w:ascii="Arial" w:hAnsi="Arial" w:cs="Arial"/>
        </w:rPr>
        <w:t>Poistné zamestnancom</w:t>
      </w:r>
      <w:r>
        <w:rPr>
          <w:rFonts w:ascii="Arial" w:hAnsi="Arial" w:cs="Arial"/>
        </w:rPr>
        <w:tab/>
        <w:t>vo výške 7 386,71</w:t>
      </w:r>
    </w:p>
    <w:p w:rsidR="00B71A57" w:rsidRDefault="00B71A57" w:rsidP="00B71A57">
      <w:pPr>
        <w:pStyle w:val="Vchodzie"/>
        <w:rPr>
          <w:rFonts w:ascii="Arial" w:hAnsi="Arial" w:cs="Arial"/>
        </w:rPr>
      </w:pPr>
      <w:r>
        <w:rPr>
          <w:rFonts w:ascii="Arial" w:hAnsi="Arial" w:cs="Arial"/>
        </w:rPr>
        <w:t>Spolu: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11 157,18 €</w:t>
      </w:r>
      <w:r>
        <w:rPr>
          <w:rFonts w:ascii="Arial" w:hAnsi="Arial" w:cs="Arial"/>
        </w:rPr>
        <w:tab/>
      </w:r>
    </w:p>
    <w:p w:rsidR="00B71A57" w:rsidRDefault="00B71A57" w:rsidP="00B71A57">
      <w:pPr>
        <w:pStyle w:val="Vchodzie"/>
        <w:rPr>
          <w:rFonts w:ascii="Arial" w:hAnsi="Arial" w:cs="Arial"/>
        </w:rPr>
      </w:pPr>
    </w:p>
    <w:p w:rsidR="00B71A57" w:rsidRDefault="00B71A57" w:rsidP="00B71A57">
      <w:pPr>
        <w:pStyle w:val="Vchodzie"/>
        <w:rPr>
          <w:rFonts w:ascii="Arial" w:hAnsi="Arial" w:cs="Arial"/>
        </w:rPr>
      </w:pPr>
      <w:r>
        <w:rPr>
          <w:rFonts w:ascii="Arial" w:hAnsi="Arial" w:cs="Arial"/>
        </w:rPr>
        <w:t>2. Informácie o záväzkoch</w:t>
      </w:r>
    </w:p>
    <w:p w:rsidR="00B71A57" w:rsidRPr="007A573D" w:rsidRDefault="00B71A57" w:rsidP="00B71A57">
      <w:pPr>
        <w:pStyle w:val="Vchodzie"/>
        <w:rPr>
          <w:rFonts w:ascii="Arial" w:hAnsi="Arial" w:cs="Arial"/>
        </w:rPr>
      </w:pPr>
    </w:p>
    <w:p w:rsidR="00B71A57" w:rsidRPr="007A573D" w:rsidRDefault="00B71A57" w:rsidP="00B71A57">
      <w:pPr>
        <w:pStyle w:val="Vchodzie"/>
        <w:rPr>
          <w:rFonts w:ascii="Arial" w:hAnsi="Arial" w:cs="Arial"/>
        </w:rPr>
      </w:pPr>
      <w:r w:rsidRPr="007A573D">
        <w:rPr>
          <w:rFonts w:ascii="Arial" w:hAnsi="Arial" w:cs="Arial"/>
        </w:rPr>
        <w:t>a) celková suma záväzkov so zostatkovou dobou viac ako päť rokov – SD úver OTP vo výške 60 150 €</w:t>
      </w:r>
    </w:p>
    <w:p w:rsidR="00B71A57" w:rsidRPr="00F32551" w:rsidRDefault="00B71A57" w:rsidP="00B71A57">
      <w:pPr>
        <w:pStyle w:val="Vchodzie"/>
        <w:rPr>
          <w:rFonts w:ascii="Arial" w:hAnsi="Arial" w:cs="Arial"/>
        </w:rPr>
      </w:pPr>
      <w:r w:rsidRPr="007A573D">
        <w:rPr>
          <w:rFonts w:ascii="Arial" w:hAnsi="Arial" w:cs="Arial"/>
        </w:rPr>
        <w:t>b) celková suma zabezpečených záväzkov: Krátkodobé úvery vo výške 71 753 € v bankách sú</w:t>
      </w:r>
      <w:r w:rsidRPr="007A573D">
        <w:rPr>
          <w:rFonts w:ascii="Arial" w:hAnsi="Arial" w:cs="Arial"/>
          <w:sz w:val="24"/>
          <w:szCs w:val="24"/>
        </w:rPr>
        <w:t xml:space="preserve"> </w:t>
      </w:r>
      <w:r w:rsidRPr="00F32551">
        <w:rPr>
          <w:rFonts w:ascii="Arial" w:hAnsi="Arial" w:cs="Arial"/>
        </w:rPr>
        <w:t>zabezpečené pohľadávkami, strednodobý úver nehnuteľným majetkom FO.</w:t>
      </w:r>
    </w:p>
    <w:p w:rsidR="00B71A57" w:rsidRPr="00F32551" w:rsidRDefault="00B71A57" w:rsidP="00B71A57">
      <w:pPr>
        <w:pStyle w:val="Vchodzie"/>
        <w:rPr>
          <w:rFonts w:ascii="Arial" w:hAnsi="Arial" w:cs="Arial"/>
        </w:rPr>
      </w:pPr>
    </w:p>
    <w:p w:rsidR="00B71A57" w:rsidRDefault="00B71A57" w:rsidP="00B71A57">
      <w:pPr>
        <w:pStyle w:val="Vchodzie"/>
        <w:rPr>
          <w:rFonts w:ascii="Arial" w:hAnsi="Arial" w:cs="Arial"/>
          <w:szCs w:val="24"/>
        </w:rPr>
      </w:pPr>
      <w:r w:rsidRPr="007A573D">
        <w:rPr>
          <w:rFonts w:ascii="Arial" w:hAnsi="Arial" w:cs="Arial"/>
          <w:szCs w:val="24"/>
        </w:rPr>
        <w:t>3. Vlastné akcie neeviduje</w:t>
      </w:r>
    </w:p>
    <w:p w:rsidR="00B71A57" w:rsidRDefault="00B71A57" w:rsidP="00B71A57">
      <w:pPr>
        <w:pStyle w:val="Vchodzie"/>
        <w:rPr>
          <w:rFonts w:ascii="Arial" w:hAnsi="Arial" w:cs="Arial"/>
          <w:szCs w:val="24"/>
        </w:rPr>
      </w:pPr>
    </w:p>
    <w:p w:rsidR="00B71A57" w:rsidRDefault="00B71A57" w:rsidP="00B71A57">
      <w:pPr>
        <w:pStyle w:val="Vchodzie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4. Informácie o orgánoch účtovnej jednotky</w:t>
      </w:r>
    </w:p>
    <w:p w:rsidR="00B71A57" w:rsidRDefault="00B71A57" w:rsidP="00B71A57">
      <w:pPr>
        <w:pStyle w:val="Vchodzie"/>
        <w:rPr>
          <w:rFonts w:ascii="Arial" w:hAnsi="Arial" w:cs="Arial"/>
          <w:szCs w:val="24"/>
        </w:rPr>
      </w:pPr>
    </w:p>
    <w:p w:rsidR="00B71A57" w:rsidRDefault="00B71A57" w:rsidP="00B71A57">
      <w:pPr>
        <w:pStyle w:val="Vchodzie"/>
        <w:numPr>
          <w:ilvl w:val="0"/>
          <w:numId w:val="3"/>
        </w:numPr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Záruky poskytnuté pre členov štatutárnych orgánov neboli.</w:t>
      </w:r>
    </w:p>
    <w:p w:rsidR="00B71A57" w:rsidRDefault="00B71A57" w:rsidP="00B71A57">
      <w:pPr>
        <w:pStyle w:val="Vchodzie"/>
        <w:numPr>
          <w:ilvl w:val="0"/>
          <w:numId w:val="3"/>
        </w:numPr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Pôžička bola poskytnutá členovi štatutárneho orgánu F. Farkašovi vo výške 60 000 € účtovaná na účte  315.</w:t>
      </w:r>
    </w:p>
    <w:p w:rsidR="00B71A57" w:rsidRPr="007A573D" w:rsidRDefault="00B71A57" w:rsidP="00B71A57">
      <w:pPr>
        <w:pStyle w:val="Vchodzie"/>
        <w:numPr>
          <w:ilvl w:val="0"/>
          <w:numId w:val="3"/>
        </w:numPr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Odpustené pôžičky neeviduje.</w:t>
      </w:r>
    </w:p>
    <w:p w:rsidR="00B71A57" w:rsidRDefault="00B71A57" w:rsidP="00B71A57">
      <w:pPr>
        <w:pStyle w:val="Vchodzie"/>
        <w:jc w:val="center"/>
        <w:rPr>
          <w:szCs w:val="24"/>
        </w:rPr>
      </w:pPr>
    </w:p>
    <w:p w:rsidR="00B71A57" w:rsidRDefault="00B71A57" w:rsidP="00B71A57">
      <w:pPr>
        <w:pStyle w:val="Vchodzie"/>
        <w:jc w:val="center"/>
        <w:rPr>
          <w:szCs w:val="24"/>
        </w:rPr>
      </w:pPr>
    </w:p>
    <w:p w:rsidR="00B71A57" w:rsidRPr="00F32551" w:rsidRDefault="00B71A57" w:rsidP="00B71A57">
      <w:pPr>
        <w:pStyle w:val="Vchodzie"/>
        <w:rPr>
          <w:rFonts w:ascii="Arial" w:hAnsi="Arial" w:cs="Arial"/>
          <w:szCs w:val="24"/>
        </w:rPr>
      </w:pPr>
      <w:r w:rsidRPr="00F32551">
        <w:rPr>
          <w:rFonts w:ascii="Arial" w:hAnsi="Arial" w:cs="Arial"/>
          <w:szCs w:val="24"/>
        </w:rPr>
        <w:t>5. Informácie o povinnostiach účtovnej jednotky</w:t>
      </w:r>
    </w:p>
    <w:p w:rsidR="00B71A57" w:rsidRPr="008B4D02" w:rsidRDefault="00B71A57" w:rsidP="00B71A57">
      <w:pPr>
        <w:pStyle w:val="Vchodzie"/>
        <w:rPr>
          <w:rFonts w:ascii="Arial" w:hAnsi="Arial" w:cs="Arial"/>
          <w:szCs w:val="24"/>
        </w:rPr>
      </w:pPr>
    </w:p>
    <w:p w:rsidR="00B71A57" w:rsidRPr="008B4D02" w:rsidRDefault="00B71A57" w:rsidP="00B71A57">
      <w:pPr>
        <w:pStyle w:val="Vchodzie"/>
        <w:numPr>
          <w:ilvl w:val="0"/>
          <w:numId w:val="4"/>
        </w:numPr>
        <w:rPr>
          <w:rFonts w:ascii="Arial" w:hAnsi="Arial" w:cs="Arial"/>
          <w:szCs w:val="24"/>
        </w:rPr>
      </w:pPr>
      <w:r w:rsidRPr="008B4D02">
        <w:rPr>
          <w:rFonts w:ascii="Arial" w:hAnsi="Arial" w:cs="Arial"/>
          <w:szCs w:val="24"/>
        </w:rPr>
        <w:t>Údaje nevykázané v súvahe účtovná jednotka neeviduje</w:t>
      </w:r>
    </w:p>
    <w:p w:rsidR="00B71A57" w:rsidRPr="008B4D02" w:rsidRDefault="00B71A57" w:rsidP="00B71A57">
      <w:pPr>
        <w:pStyle w:val="Vchodzie"/>
        <w:numPr>
          <w:ilvl w:val="0"/>
          <w:numId w:val="4"/>
        </w:numPr>
        <w:rPr>
          <w:rFonts w:ascii="Arial" w:hAnsi="Arial" w:cs="Arial"/>
          <w:szCs w:val="24"/>
        </w:rPr>
      </w:pPr>
      <w:r w:rsidRPr="008B4D02">
        <w:rPr>
          <w:rFonts w:ascii="Arial" w:hAnsi="Arial" w:cs="Arial"/>
          <w:szCs w:val="24"/>
        </w:rPr>
        <w:t>Suma celkových podmienených záväzkov ako dôsledok minulej udalosti je nezaradenie obstaranej rekonštrukcie a prístavby budovy pekárne vedenej na účte 042.</w:t>
      </w:r>
    </w:p>
    <w:p w:rsidR="00B71A57" w:rsidRPr="008B4D02" w:rsidRDefault="00B71A57" w:rsidP="00B71A57">
      <w:pPr>
        <w:pStyle w:val="Vchodzie"/>
        <w:numPr>
          <w:ilvl w:val="0"/>
          <w:numId w:val="4"/>
        </w:numPr>
        <w:rPr>
          <w:rFonts w:ascii="Arial" w:hAnsi="Arial" w:cs="Arial"/>
          <w:szCs w:val="24"/>
        </w:rPr>
      </w:pPr>
      <w:r w:rsidRPr="008B4D02">
        <w:rPr>
          <w:rFonts w:ascii="Arial" w:hAnsi="Arial" w:cs="Arial"/>
          <w:szCs w:val="24"/>
        </w:rPr>
        <w:t>Významné podmienené záväzky neeviduje</w:t>
      </w:r>
    </w:p>
    <w:p w:rsidR="00B71A57" w:rsidRPr="008B4D02" w:rsidRDefault="00B71A57" w:rsidP="00B71A57">
      <w:pPr>
        <w:pStyle w:val="Vchodzie"/>
        <w:numPr>
          <w:ilvl w:val="0"/>
          <w:numId w:val="4"/>
        </w:numPr>
        <w:rPr>
          <w:rFonts w:ascii="Arial" w:hAnsi="Arial" w:cs="Arial"/>
          <w:szCs w:val="24"/>
        </w:rPr>
      </w:pPr>
      <w:r w:rsidRPr="008B4D02">
        <w:rPr>
          <w:rFonts w:ascii="Arial" w:hAnsi="Arial" w:cs="Arial"/>
          <w:szCs w:val="24"/>
        </w:rPr>
        <w:t>Voči dcérskej spoločnosti – neeviduje</w:t>
      </w:r>
    </w:p>
    <w:p w:rsidR="00B71A57" w:rsidRPr="008B4D02" w:rsidRDefault="00B71A57" w:rsidP="00B71A57">
      <w:pPr>
        <w:pStyle w:val="Vchodzie"/>
        <w:numPr>
          <w:ilvl w:val="0"/>
          <w:numId w:val="4"/>
        </w:numPr>
        <w:rPr>
          <w:rFonts w:ascii="Arial" w:hAnsi="Arial" w:cs="Arial"/>
          <w:szCs w:val="24"/>
        </w:rPr>
      </w:pPr>
      <w:r w:rsidRPr="008B4D02">
        <w:rPr>
          <w:rFonts w:ascii="Arial" w:hAnsi="Arial" w:cs="Arial"/>
          <w:szCs w:val="24"/>
        </w:rPr>
        <w:t>Povinnosti vyplývajúce z dôchodkových programov – firma prispieva na úrazové a dôchodkové poistenie zamestnancov – účtované do daňovo neuznaných nákladov na účte 568091 vo výške za rok 2014 vo výške 7386,71€.</w:t>
      </w:r>
    </w:p>
    <w:p w:rsidR="00B71A57" w:rsidRDefault="00B71A57" w:rsidP="00B71A57">
      <w:pPr>
        <w:pStyle w:val="Vchodzie"/>
        <w:ind w:left="720"/>
        <w:rPr>
          <w:szCs w:val="24"/>
        </w:rPr>
      </w:pPr>
    </w:p>
    <w:p w:rsidR="00B71A57" w:rsidRDefault="00B71A57" w:rsidP="00B71A57">
      <w:pPr>
        <w:pStyle w:val="Vchodzie"/>
        <w:jc w:val="center"/>
        <w:rPr>
          <w:szCs w:val="24"/>
        </w:rPr>
      </w:pPr>
    </w:p>
    <w:p w:rsidR="00B71A57" w:rsidRPr="00FD7DE1" w:rsidRDefault="00B71A57" w:rsidP="00B71A57">
      <w:pPr>
        <w:pStyle w:val="Vchodzie"/>
        <w:rPr>
          <w:sz w:val="24"/>
          <w:szCs w:val="24"/>
        </w:rPr>
      </w:pPr>
      <w:r w:rsidRPr="00FD7DE1">
        <w:rPr>
          <w:sz w:val="24"/>
          <w:szCs w:val="24"/>
        </w:rPr>
        <w:t>6.Informácie o ud</w:t>
      </w:r>
      <w:r>
        <w:rPr>
          <w:sz w:val="24"/>
          <w:szCs w:val="24"/>
        </w:rPr>
        <w:t>e</w:t>
      </w:r>
      <w:r w:rsidRPr="00FD7DE1">
        <w:rPr>
          <w:sz w:val="24"/>
          <w:szCs w:val="24"/>
        </w:rPr>
        <w:t>lení výlučného práva alebo osobitného práva, ktorým sa udelilo právo poskytovať služby vo verejnom záujme - neeviduje</w:t>
      </w:r>
    </w:p>
    <w:p w:rsidR="000B761B" w:rsidRDefault="000B761B"/>
    <w:sectPr w:rsidR="000B761B" w:rsidSect="000B76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1B"/>
    <w:multiLevelType w:val="multilevel"/>
    <w:tmpl w:val="0000001B"/>
    <w:lvl w:ilvl="0">
      <w:start w:val="1"/>
      <w:numFmt w:val="decimal"/>
      <w:lvlText w:val="%1."/>
      <w:lvlJc w:val="left"/>
      <w:pPr>
        <w:ind w:left="720" w:hanging="360"/>
      </w:pPr>
      <w:rPr>
        <w:rFonts w:eastAsia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eastAsia="Times New Roman"/>
      </w:rPr>
    </w:lvl>
    <w:lvl w:ilvl="2">
      <w:start w:val="1"/>
      <w:numFmt w:val="lowerRoman"/>
      <w:lvlText w:val="%3."/>
      <w:lvlJc w:val="right"/>
      <w:pPr>
        <w:ind w:left="2160"/>
      </w:pPr>
      <w:rPr>
        <w:rFonts w:eastAsia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eastAsia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eastAsia="Times New Roman"/>
      </w:rPr>
    </w:lvl>
    <w:lvl w:ilvl="5">
      <w:start w:val="1"/>
      <w:numFmt w:val="lowerRoman"/>
      <w:lvlText w:val="%6."/>
      <w:lvlJc w:val="right"/>
      <w:pPr>
        <w:ind w:left="4320"/>
      </w:pPr>
      <w:rPr>
        <w:rFonts w:eastAsia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eastAsia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eastAsia="Times New Roman"/>
      </w:rPr>
    </w:lvl>
    <w:lvl w:ilvl="8">
      <w:start w:val="1"/>
      <w:numFmt w:val="lowerRoman"/>
      <w:lvlText w:val="%9."/>
      <w:lvlJc w:val="right"/>
      <w:pPr>
        <w:ind w:left="6480"/>
      </w:pPr>
      <w:rPr>
        <w:rFonts w:eastAsia="Times New Roman"/>
      </w:rPr>
    </w:lvl>
  </w:abstractNum>
  <w:abstractNum w:abstractNumId="1">
    <w:nsid w:val="30C40BE6"/>
    <w:multiLevelType w:val="hybridMultilevel"/>
    <w:tmpl w:val="9B385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6654807"/>
    <w:multiLevelType w:val="hybridMultilevel"/>
    <w:tmpl w:val="D4F697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AEF78A7"/>
    <w:multiLevelType w:val="hybridMultilevel"/>
    <w:tmpl w:val="B9B84CE8"/>
    <w:lvl w:ilvl="0" w:tplc="A51EECE6">
      <w:start w:val="1"/>
      <w:numFmt w:val="upperLetter"/>
      <w:lvlText w:val="%1)"/>
      <w:lvlJc w:val="left"/>
      <w:pPr>
        <w:ind w:left="71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7" w:hanging="360"/>
      </w:pPr>
    </w:lvl>
    <w:lvl w:ilvl="2" w:tplc="041B001B" w:tentative="1">
      <w:start w:val="1"/>
      <w:numFmt w:val="lowerRoman"/>
      <w:lvlText w:val="%3."/>
      <w:lvlJc w:val="right"/>
      <w:pPr>
        <w:ind w:left="2157" w:hanging="180"/>
      </w:pPr>
    </w:lvl>
    <w:lvl w:ilvl="3" w:tplc="041B000F" w:tentative="1">
      <w:start w:val="1"/>
      <w:numFmt w:val="decimal"/>
      <w:lvlText w:val="%4."/>
      <w:lvlJc w:val="left"/>
      <w:pPr>
        <w:ind w:left="2877" w:hanging="360"/>
      </w:pPr>
    </w:lvl>
    <w:lvl w:ilvl="4" w:tplc="041B0019" w:tentative="1">
      <w:start w:val="1"/>
      <w:numFmt w:val="lowerLetter"/>
      <w:lvlText w:val="%5."/>
      <w:lvlJc w:val="left"/>
      <w:pPr>
        <w:ind w:left="3597" w:hanging="360"/>
      </w:pPr>
    </w:lvl>
    <w:lvl w:ilvl="5" w:tplc="041B001B" w:tentative="1">
      <w:start w:val="1"/>
      <w:numFmt w:val="lowerRoman"/>
      <w:lvlText w:val="%6."/>
      <w:lvlJc w:val="right"/>
      <w:pPr>
        <w:ind w:left="4317" w:hanging="180"/>
      </w:pPr>
    </w:lvl>
    <w:lvl w:ilvl="6" w:tplc="041B000F" w:tentative="1">
      <w:start w:val="1"/>
      <w:numFmt w:val="decimal"/>
      <w:lvlText w:val="%7."/>
      <w:lvlJc w:val="left"/>
      <w:pPr>
        <w:ind w:left="5037" w:hanging="360"/>
      </w:pPr>
    </w:lvl>
    <w:lvl w:ilvl="7" w:tplc="041B0019" w:tentative="1">
      <w:start w:val="1"/>
      <w:numFmt w:val="lowerLetter"/>
      <w:lvlText w:val="%8."/>
      <w:lvlJc w:val="left"/>
      <w:pPr>
        <w:ind w:left="5757" w:hanging="360"/>
      </w:pPr>
    </w:lvl>
    <w:lvl w:ilvl="8" w:tplc="041B001B" w:tentative="1">
      <w:start w:val="1"/>
      <w:numFmt w:val="lowerRoman"/>
      <w:lvlText w:val="%9."/>
      <w:lvlJc w:val="right"/>
      <w:pPr>
        <w:ind w:left="6477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B71A57"/>
    <w:rsid w:val="000B761B"/>
    <w:rsid w:val="0027568D"/>
    <w:rsid w:val="0030774E"/>
    <w:rsid w:val="00380BED"/>
    <w:rsid w:val="00822205"/>
    <w:rsid w:val="009F59AA"/>
    <w:rsid w:val="00B71A57"/>
    <w:rsid w:val="00D82F67"/>
    <w:rsid w:val="00D837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71A57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Vchodzie">
    <w:name w:val="Vchodzie"/>
    <w:rsid w:val="00B71A57"/>
    <w:pPr>
      <w:widowControl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1"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B71A57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575</Words>
  <Characters>3284</Characters>
  <Application>Microsoft Office Word</Application>
  <DocSecurity>0</DocSecurity>
  <Lines>27</Lines>
  <Paragraphs>7</Paragraphs>
  <ScaleCrop>false</ScaleCrop>
  <Company/>
  <LinksUpToDate>false</LinksUpToDate>
  <CharactersWithSpaces>3852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 PC</dc:creator>
  <cp:lastModifiedBy>Home PC</cp:lastModifiedBy>
  <cp:revision>2</cp:revision>
  <dcterms:created xsi:type="dcterms:W3CDTF">2015-06-20T11:37:00Z</dcterms:created>
  <dcterms:modified xsi:type="dcterms:W3CDTF">2015-06-20T11:37:00Z</dcterms:modified>
</cp:coreProperties>
</file>