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D600C" w:rsidRDefault="00BD600C">
      <w:pPr>
        <w:spacing w:before="2" w:line="140" w:lineRule="exact"/>
        <w:rPr>
          <w:rFonts w:ascii="Times New Roman" w:hAnsi="Times New Roman" w:cs="Times New Roman"/>
          <w:sz w:val="14"/>
          <w:szCs w:val="14"/>
          <w:lang w:val="en-US"/>
        </w:rPr>
      </w:pPr>
      <w:bookmarkStart w:id="0" w:name="_GoBack"/>
      <w:bookmarkEnd w:id="0"/>
    </w:p>
    <w:p w:rsidR="00BD600C" w:rsidRDefault="00BD600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Poznámky k </w:t>
      </w:r>
      <w:proofErr w:type="spellStart"/>
      <w:r>
        <w:rPr>
          <w:rFonts w:ascii="Arial Narrow" w:hAnsi="Arial Narrow" w:cs="Arial Narrow"/>
          <w:b/>
          <w:bCs/>
        </w:rPr>
        <w:t>mikro</w:t>
      </w:r>
      <w:proofErr w:type="spellEnd"/>
      <w:r>
        <w:rPr>
          <w:rFonts w:ascii="Arial Narrow" w:hAnsi="Arial Narrow" w:cs="Arial Narrow"/>
          <w:b/>
          <w:bCs/>
        </w:rPr>
        <w:t xml:space="preserve"> účtovnej závierke za rok 2014</w:t>
      </w:r>
    </w:p>
    <w:p w:rsidR="00BD600C" w:rsidRDefault="00BD600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>
        <w:rPr>
          <w:rFonts w:ascii="Arial Narrow" w:hAnsi="Arial Narrow" w:cs="Arial Narrow"/>
          <w:b/>
          <w:bCs/>
        </w:rPr>
        <w:t>mikro</w:t>
      </w:r>
      <w:proofErr w:type="spellEnd"/>
      <w:r>
        <w:rPr>
          <w:rFonts w:ascii="Arial Narrow" w:hAnsi="Arial Narrow" w:cs="Arial Narrow"/>
          <w:b/>
          <w:bCs/>
        </w:rPr>
        <w:t xml:space="preserve"> účtovné jednotky</w:t>
      </w:r>
      <w:r>
        <w:rPr>
          <w:rFonts w:ascii="Arial Narrow" w:hAnsi="Arial Narrow" w:cs="Arial Narrow"/>
        </w:rPr>
        <w:t xml:space="preserve"> v znení neskorších predpisov</w:t>
      </w:r>
    </w:p>
    <w:p w:rsidR="00BD600C" w:rsidRDefault="00BD600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(ostatná novela č.MF/18008/2014-74 – FS č.10/2014)</w:t>
      </w:r>
    </w:p>
    <w:p w:rsidR="00BD600C" w:rsidRDefault="00BD600C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BD600C" w:rsidRDefault="00BD600C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</w:t>
      </w:r>
    </w:p>
    <w:p w:rsidR="00BD600C" w:rsidRDefault="00BD600C">
      <w:pPr>
        <w:ind w:right="841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Vš</w:t>
      </w:r>
      <w:r>
        <w:rPr>
          <w:rFonts w:ascii="Arial" w:hAnsi="Arial" w:cs="Arial"/>
          <w:b/>
          <w:bCs/>
          <w:spacing w:val="-2"/>
        </w:rPr>
        <w:t>e</w:t>
      </w:r>
      <w:r>
        <w:rPr>
          <w:rFonts w:ascii="Arial" w:hAnsi="Arial" w:cs="Arial"/>
          <w:b/>
          <w:bCs/>
        </w:rPr>
        <w:t>ob</w:t>
      </w:r>
      <w:r>
        <w:rPr>
          <w:rFonts w:ascii="Arial" w:hAnsi="Arial" w:cs="Arial"/>
          <w:b/>
          <w:bCs/>
          <w:spacing w:val="-1"/>
        </w:rPr>
        <w:t>ec</w:t>
      </w:r>
      <w:r>
        <w:rPr>
          <w:rFonts w:ascii="Arial" w:hAnsi="Arial" w:cs="Arial"/>
          <w:b/>
          <w:bCs/>
        </w:rPr>
        <w:t>né</w:t>
      </w:r>
      <w:r>
        <w:rPr>
          <w:rFonts w:ascii="Arial" w:hAnsi="Arial" w:cs="Arial"/>
          <w:b/>
          <w:bCs/>
          <w:spacing w:val="-1"/>
        </w:rPr>
        <w:t xml:space="preserve"> </w:t>
      </w:r>
      <w:r>
        <w:rPr>
          <w:rFonts w:ascii="Arial" w:hAnsi="Arial" w:cs="Arial"/>
          <w:b/>
          <w:bCs/>
        </w:rPr>
        <w:t>úda</w:t>
      </w:r>
      <w:r>
        <w:rPr>
          <w:rFonts w:ascii="Arial" w:hAnsi="Arial" w:cs="Arial"/>
          <w:b/>
          <w:bCs/>
          <w:spacing w:val="-1"/>
        </w:rPr>
        <w:t>j</w:t>
      </w:r>
      <w:r>
        <w:rPr>
          <w:rFonts w:ascii="Arial" w:hAnsi="Arial" w:cs="Arial"/>
          <w:b/>
          <w:bCs/>
        </w:rPr>
        <w:t>e</w:t>
      </w:r>
    </w:p>
    <w:p w:rsidR="00BD600C" w:rsidRDefault="00BD600C">
      <w:pPr>
        <w:spacing w:before="7" w:line="240" w:lineRule="exact"/>
        <w:jc w:val="both"/>
        <w:rPr>
          <w:rFonts w:ascii="Arial" w:hAnsi="Arial" w:cs="Arial"/>
        </w:rPr>
      </w:pPr>
    </w:p>
    <w:p w:rsidR="00BD600C" w:rsidRDefault="00BD600C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BD600C" w:rsidRDefault="00BD600C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3085"/>
        <w:gridCol w:w="6602"/>
      </w:tblGrid>
      <w:tr w:rsidR="00BD600C">
        <w:tc>
          <w:tcPr>
            <w:tcW w:w="3085" w:type="dxa"/>
          </w:tcPr>
          <w:p w:rsidR="00BD600C" w:rsidRDefault="00BD600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BD600C" w:rsidRDefault="009373F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MODAS DESIGN  </w:t>
            </w:r>
            <w:proofErr w:type="spellStart"/>
            <w:r>
              <w:rPr>
                <w:rFonts w:ascii="Arial" w:hAnsi="Arial" w:cs="Arial"/>
              </w:rPr>
              <w:t>s.r.o</w:t>
            </w:r>
            <w:proofErr w:type="spellEnd"/>
          </w:p>
        </w:tc>
      </w:tr>
      <w:tr w:rsidR="00BD600C">
        <w:tc>
          <w:tcPr>
            <w:tcW w:w="3085" w:type="dxa"/>
          </w:tcPr>
          <w:p w:rsidR="00BD600C" w:rsidRDefault="00BD600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BD600C" w:rsidRDefault="009373F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36300497</w:t>
            </w:r>
          </w:p>
        </w:tc>
      </w:tr>
      <w:tr w:rsidR="00BD600C">
        <w:tc>
          <w:tcPr>
            <w:tcW w:w="3085" w:type="dxa"/>
          </w:tcPr>
          <w:p w:rsidR="00BD600C" w:rsidRDefault="00BD600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BD600C" w:rsidRDefault="009373F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Nám. A. Hlinku  25/30, 01701 Považská Bystrica</w:t>
            </w:r>
          </w:p>
        </w:tc>
      </w:tr>
    </w:tbl>
    <w:p w:rsidR="00BD600C" w:rsidRDefault="00BD600C">
      <w:pPr>
        <w:spacing w:line="260" w:lineRule="exact"/>
        <w:jc w:val="both"/>
        <w:rPr>
          <w:rFonts w:ascii="Arial" w:hAnsi="Arial" w:cs="Arial"/>
        </w:rPr>
      </w:pPr>
    </w:p>
    <w:p w:rsidR="00BD600C" w:rsidRDefault="00BD600C">
      <w:pPr>
        <w:spacing w:line="260" w:lineRule="exact"/>
        <w:jc w:val="both"/>
        <w:rPr>
          <w:rFonts w:ascii="Arial" w:hAnsi="Arial" w:cs="Arial"/>
        </w:rPr>
      </w:pPr>
    </w:p>
    <w:p w:rsidR="00BD600C" w:rsidRDefault="00BD600C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- </w:t>
      </w:r>
      <w:r>
        <w:rPr>
          <w:rFonts w:ascii="Arial" w:hAnsi="Arial" w:cs="Arial"/>
          <w:sz w:val="22"/>
          <w:szCs w:val="22"/>
        </w:rPr>
        <w:t>ob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síd</w:t>
      </w:r>
      <w:r>
        <w:rPr>
          <w:rFonts w:ascii="Arial" w:hAnsi="Arial" w:cs="Arial"/>
          <w:spacing w:val="3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konsolidujú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BD600C" w:rsidRDefault="00BD600C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BD600C" w:rsidRDefault="00BD600C">
      <w:pPr>
        <w:pStyle w:val="Zkladntext"/>
        <w:tabs>
          <w:tab w:val="left" w:pos="808"/>
        </w:tabs>
        <w:ind w:left="0" w:firstLine="0"/>
        <w:rPr>
          <w:rFonts w:ascii="Arial" w:hAnsi="Arial" w:cs="Arial"/>
          <w:i/>
          <w:iCs/>
          <w:spacing w:val="-5"/>
          <w:sz w:val="22"/>
          <w:szCs w:val="22"/>
        </w:rPr>
      </w:pPr>
      <w:r>
        <w:rPr>
          <w:rFonts w:ascii="Arial" w:hAnsi="Arial" w:cs="Arial"/>
          <w:i/>
          <w:iCs/>
          <w:spacing w:val="-5"/>
          <w:sz w:val="22"/>
          <w:szCs w:val="22"/>
        </w:rPr>
        <w:t xml:space="preserve">    Spoločnosť nie je v konsolidovanom celku.</w:t>
      </w:r>
    </w:p>
    <w:p w:rsidR="00BD600C" w:rsidRDefault="00BD600C">
      <w:pPr>
        <w:pStyle w:val="Zkladntext"/>
        <w:tabs>
          <w:tab w:val="left" w:pos="808"/>
        </w:tabs>
        <w:ind w:left="0" w:firstLine="0"/>
        <w:rPr>
          <w:rFonts w:ascii="Arial" w:hAnsi="Arial" w:cs="Arial"/>
          <w:i/>
          <w:iCs/>
          <w:spacing w:val="-5"/>
          <w:sz w:val="22"/>
          <w:szCs w:val="22"/>
        </w:rPr>
      </w:pPr>
    </w:p>
    <w:p w:rsidR="00BD600C" w:rsidRDefault="00BD600C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BD600C" w:rsidRDefault="00BD600C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:rsidR="00BD600C" w:rsidRDefault="00BD600C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4219"/>
        <w:gridCol w:w="2126"/>
        <w:gridCol w:w="3342"/>
      </w:tblGrid>
      <w:tr w:rsidR="00BD600C">
        <w:tc>
          <w:tcPr>
            <w:tcW w:w="4219" w:type="dxa"/>
          </w:tcPr>
          <w:p w:rsidR="00BD600C" w:rsidRDefault="00BD600C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Názov</w:t>
            </w:r>
          </w:p>
        </w:tc>
        <w:tc>
          <w:tcPr>
            <w:tcW w:w="2126" w:type="dxa"/>
          </w:tcPr>
          <w:p w:rsidR="00BD600C" w:rsidRDefault="00BD600C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Bežné účtovné</w:t>
            </w:r>
          </w:p>
          <w:p w:rsidR="00BD600C" w:rsidRDefault="00BD600C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obdobie</w:t>
            </w:r>
          </w:p>
        </w:tc>
        <w:tc>
          <w:tcPr>
            <w:tcW w:w="3342" w:type="dxa"/>
          </w:tcPr>
          <w:p w:rsidR="00BD600C" w:rsidRDefault="00BD600C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Bezprostredne predchádzajúce účtovné obdobie</w:t>
            </w:r>
          </w:p>
        </w:tc>
      </w:tr>
      <w:tr w:rsidR="00BD600C">
        <w:tc>
          <w:tcPr>
            <w:tcW w:w="4219" w:type="dxa"/>
          </w:tcPr>
          <w:p w:rsidR="00BD600C" w:rsidRDefault="00BD600C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BD600C" w:rsidRDefault="009373FD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  <w:tc>
          <w:tcPr>
            <w:tcW w:w="3342" w:type="dxa"/>
          </w:tcPr>
          <w:p w:rsidR="00BD600C" w:rsidRDefault="00C104FB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</w:tr>
    </w:tbl>
    <w:p w:rsidR="00BD600C" w:rsidRDefault="00BD600C">
      <w:pPr>
        <w:spacing w:line="260" w:lineRule="exact"/>
        <w:jc w:val="both"/>
        <w:rPr>
          <w:rFonts w:ascii="Arial" w:hAnsi="Arial" w:cs="Arial"/>
        </w:rPr>
      </w:pPr>
    </w:p>
    <w:p w:rsidR="00BD600C" w:rsidRDefault="00BD600C">
      <w:pPr>
        <w:spacing w:before="1" w:line="280" w:lineRule="exact"/>
        <w:jc w:val="both"/>
        <w:rPr>
          <w:rFonts w:ascii="Arial" w:hAnsi="Arial" w:cs="Arial"/>
        </w:rPr>
      </w:pPr>
    </w:p>
    <w:p w:rsidR="00BD600C" w:rsidRDefault="00BD600C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</w:t>
      </w:r>
    </w:p>
    <w:p w:rsidR="00BD600C" w:rsidRDefault="00BD600C">
      <w:pPr>
        <w:ind w:right="836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In</w:t>
      </w:r>
      <w:r>
        <w:rPr>
          <w:rFonts w:ascii="Arial" w:hAnsi="Arial" w:cs="Arial"/>
          <w:b/>
          <w:bCs/>
          <w:spacing w:val="1"/>
        </w:rPr>
        <w:t>f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  <w:spacing w:val="-4"/>
        </w:rPr>
        <w:t>m</w:t>
      </w:r>
      <w:r>
        <w:rPr>
          <w:rFonts w:ascii="Arial" w:hAnsi="Arial" w:cs="Arial"/>
          <w:b/>
          <w:bCs/>
        </w:rPr>
        <w:t>á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ie o p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</w:rPr>
        <w:t>ij</w:t>
      </w:r>
      <w:r>
        <w:rPr>
          <w:rFonts w:ascii="Arial" w:hAnsi="Arial" w:cs="Arial"/>
          <w:b/>
          <w:bCs/>
          <w:spacing w:val="1"/>
        </w:rPr>
        <w:t>a</w:t>
      </w:r>
      <w:r>
        <w:rPr>
          <w:rFonts w:ascii="Arial" w:hAnsi="Arial" w:cs="Arial"/>
          <w:b/>
          <w:bCs/>
        </w:rPr>
        <w:t>tý</w:t>
      </w:r>
      <w:r>
        <w:rPr>
          <w:rFonts w:ascii="Arial" w:hAnsi="Arial" w:cs="Arial"/>
          <w:b/>
          <w:bCs/>
          <w:spacing w:val="-2"/>
        </w:rPr>
        <w:t>c</w:t>
      </w:r>
      <w:r>
        <w:rPr>
          <w:rFonts w:ascii="Arial" w:hAnsi="Arial" w:cs="Arial"/>
          <w:b/>
          <w:bCs/>
        </w:rPr>
        <w:t>h</w:t>
      </w:r>
      <w:r>
        <w:rPr>
          <w:rFonts w:ascii="Arial" w:hAnsi="Arial" w:cs="Arial"/>
          <w:b/>
          <w:bCs/>
          <w:spacing w:val="2"/>
        </w:rPr>
        <w:t xml:space="preserve"> </w:t>
      </w:r>
      <w:r>
        <w:rPr>
          <w:rFonts w:ascii="Arial" w:hAnsi="Arial" w:cs="Arial"/>
          <w:b/>
          <w:bCs/>
        </w:rPr>
        <w:t>postu</w:t>
      </w:r>
      <w:r>
        <w:rPr>
          <w:rFonts w:ascii="Arial" w:hAnsi="Arial" w:cs="Arial"/>
          <w:b/>
          <w:bCs/>
          <w:spacing w:val="1"/>
        </w:rPr>
        <w:t>p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h</w:t>
      </w:r>
    </w:p>
    <w:p w:rsidR="00BD600C" w:rsidRDefault="00BD600C">
      <w:pPr>
        <w:spacing w:before="11" w:line="260" w:lineRule="exact"/>
        <w:jc w:val="both"/>
        <w:rPr>
          <w:rFonts w:ascii="Arial" w:hAnsi="Arial" w:cs="Arial"/>
        </w:rPr>
      </w:pPr>
    </w:p>
    <w:p w:rsidR="00BD600C" w:rsidRDefault="00BD600C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innosti:</w:t>
      </w:r>
    </w:p>
    <w:p w:rsidR="00BD600C" w:rsidRDefault="00BD600C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:rsidR="00BD600C" w:rsidRDefault="00BD600C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iCs/>
          <w:sz w:val="22"/>
          <w:szCs w:val="22"/>
        </w:rPr>
      </w:pPr>
      <w:r>
        <w:rPr>
          <w:rFonts w:ascii="Arial" w:hAnsi="Arial" w:cs="Arial"/>
          <w:i/>
          <w:iCs/>
          <w:sz w:val="22"/>
          <w:szCs w:val="22"/>
        </w:rPr>
        <w:t xml:space="preserve">Účtovná závierka bola vypracovaná za predpokladu nepretržitého trvania účtovnej jednotky K zmenám účtovných zásad a metód nedošlo. Účtovná jednotka v roku 2014 </w:t>
      </w:r>
      <w:r w:rsidR="00D83AE3">
        <w:rPr>
          <w:rFonts w:ascii="Arial" w:hAnsi="Arial" w:cs="Arial"/>
          <w:i/>
          <w:iCs/>
          <w:sz w:val="22"/>
          <w:szCs w:val="22"/>
        </w:rPr>
        <w:t>vykazovala činnosť.</w:t>
      </w:r>
    </w:p>
    <w:p w:rsidR="00BD600C" w:rsidRDefault="00BD600C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BD600C" w:rsidRDefault="00BD600C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to:</w:t>
      </w:r>
    </w:p>
    <w:p w:rsidR="00BD600C" w:rsidRDefault="00BD600C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4843"/>
        <w:gridCol w:w="4844"/>
      </w:tblGrid>
      <w:tr w:rsidR="00BD600C">
        <w:tc>
          <w:tcPr>
            <w:tcW w:w="4843" w:type="dxa"/>
          </w:tcPr>
          <w:p w:rsidR="00BD600C" w:rsidRDefault="00BD600C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BD600C" w:rsidRDefault="00BD600C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Spôsob oceňovania</w:t>
            </w:r>
          </w:p>
        </w:tc>
      </w:tr>
      <w:tr w:rsidR="00BD600C">
        <w:tc>
          <w:tcPr>
            <w:tcW w:w="4843" w:type="dxa"/>
          </w:tcPr>
          <w:p w:rsidR="00BD600C" w:rsidRDefault="00BD600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BD600C" w:rsidRDefault="00BD600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BD600C">
        <w:tc>
          <w:tcPr>
            <w:tcW w:w="4843" w:type="dxa"/>
          </w:tcPr>
          <w:p w:rsidR="00BD600C" w:rsidRDefault="00BD600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BD600C" w:rsidRDefault="00BD600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BD600C">
        <w:tc>
          <w:tcPr>
            <w:tcW w:w="4843" w:type="dxa"/>
          </w:tcPr>
          <w:p w:rsidR="00BD600C" w:rsidRDefault="00BD600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fin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BD600C" w:rsidRDefault="00BD600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BD600C">
        <w:tc>
          <w:tcPr>
            <w:tcW w:w="4843" w:type="dxa"/>
          </w:tcPr>
          <w:p w:rsidR="00BD600C" w:rsidRDefault="00BD600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Zásoby obst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kúpo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BD600C" w:rsidRDefault="00BD600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BD600C">
        <w:tc>
          <w:tcPr>
            <w:tcW w:w="4843" w:type="dxa"/>
          </w:tcPr>
          <w:p w:rsidR="00BD600C" w:rsidRDefault="00BD600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 xml:space="preserve">soby 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>
              <w:rPr>
                <w:rFonts w:ascii="Arial" w:hAnsi="Arial" w:cs="Arial"/>
                <w:sz w:val="22"/>
                <w:szCs w:val="22"/>
              </w:rPr>
              <w:t>tvor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BD600C" w:rsidRDefault="00BD600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BD600C">
        <w:tc>
          <w:tcPr>
            <w:tcW w:w="4843" w:type="dxa"/>
          </w:tcPr>
          <w:p w:rsidR="00BD600C" w:rsidRDefault="00BD600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BD600C" w:rsidRDefault="00BD600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BD600C">
        <w:tc>
          <w:tcPr>
            <w:tcW w:w="4843" w:type="dxa"/>
          </w:tcPr>
          <w:p w:rsidR="00BD600C" w:rsidRDefault="00BD600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Kúpené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BD600C" w:rsidRDefault="00BD600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BD600C">
        <w:tc>
          <w:tcPr>
            <w:tcW w:w="4843" w:type="dxa"/>
          </w:tcPr>
          <w:p w:rsidR="00BD600C" w:rsidRDefault="00BD600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>
              <w:rPr>
                <w:rFonts w:ascii="Arial" w:hAnsi="Arial" w:cs="Arial"/>
                <w:sz w:val="22"/>
                <w:szCs w:val="22"/>
              </w:rPr>
              <w:t>ina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BD600C" w:rsidRDefault="00BD600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BD600C">
        <w:tc>
          <w:tcPr>
            <w:tcW w:w="4843" w:type="dxa"/>
          </w:tcPr>
          <w:p w:rsidR="00BD600C" w:rsidRDefault="00BD600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>
              <w:rPr>
                <w:rFonts w:ascii="Arial" w:hAnsi="Arial" w:cs="Arial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z w:val="22"/>
                <w:szCs w:val="22"/>
              </w:rPr>
              <w:t>ky 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>tane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BD600C" w:rsidRDefault="00BD600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BD600C">
        <w:tc>
          <w:tcPr>
            <w:tcW w:w="4843" w:type="dxa"/>
          </w:tcPr>
          <w:p w:rsidR="00BD600C" w:rsidRDefault="00BD600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BD600C" w:rsidRDefault="00BD600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BD600C">
        <w:tc>
          <w:tcPr>
            <w:tcW w:w="4843" w:type="dxa"/>
          </w:tcPr>
          <w:p w:rsidR="00BD600C" w:rsidRDefault="00BD600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Pô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>
              <w:rPr>
                <w:rFonts w:ascii="Arial" w:hAnsi="Arial" w:cs="Arial"/>
                <w:sz w:val="22"/>
                <w:szCs w:val="22"/>
              </w:rPr>
              <w:t>ičky 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úv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BD600C" w:rsidRDefault="00BD600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BD600C">
        <w:tc>
          <w:tcPr>
            <w:tcW w:w="4843" w:type="dxa"/>
          </w:tcPr>
          <w:p w:rsidR="00BD600C" w:rsidRDefault="00BD600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riv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to</w:t>
            </w:r>
            <w:r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ascii="Arial" w:hAnsi="Arial" w:cs="Arial"/>
                <w:sz w:val="22"/>
                <w:szCs w:val="22"/>
              </w:rPr>
              <w:t>op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BD600C" w:rsidRDefault="00BD600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BD600C" w:rsidRDefault="00BD600C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BD600C" w:rsidRDefault="00BD600C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BD600C" w:rsidRDefault="00BD600C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</w:t>
      </w:r>
    </w:p>
    <w:p w:rsidR="00BD600C" w:rsidRDefault="00BD600C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BD600C" w:rsidRDefault="00BD600C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iCs/>
          <w:sz w:val="22"/>
          <w:szCs w:val="22"/>
        </w:rPr>
      </w:pPr>
      <w:r>
        <w:rPr>
          <w:rFonts w:ascii="Arial" w:hAnsi="Arial" w:cs="Arial"/>
          <w:i/>
          <w:iCs/>
          <w:sz w:val="22"/>
          <w:szCs w:val="22"/>
        </w:rPr>
        <w:t>Odpisový plán</w:t>
      </w:r>
    </w:p>
    <w:p w:rsidR="00BD600C" w:rsidRDefault="00BD600C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iCs/>
          <w:sz w:val="22"/>
          <w:szCs w:val="22"/>
        </w:rPr>
      </w:pPr>
      <w:r>
        <w:rPr>
          <w:rFonts w:ascii="Arial" w:hAnsi="Arial" w:cs="Arial"/>
          <w:i/>
          <w:iCs/>
          <w:sz w:val="22"/>
          <w:szCs w:val="22"/>
        </w:rPr>
        <w:t xml:space="preserve">Majetok sa odpisuje podľa odpisového plánu, počas predpokladanej doby životnosti v trvaní 4,6 a 20 rokov. Majetok sa začína odpisovať počnúc mesiacom zaradenia do používania. V roku 2014 účtovná jednotka </w:t>
      </w:r>
      <w:r w:rsidR="00DB2ED1">
        <w:rPr>
          <w:rFonts w:ascii="Arial" w:hAnsi="Arial" w:cs="Arial"/>
          <w:i/>
          <w:iCs/>
          <w:sz w:val="22"/>
          <w:szCs w:val="22"/>
        </w:rPr>
        <w:t>neobstarala majetok.</w:t>
      </w:r>
    </w:p>
    <w:p w:rsidR="00BD600C" w:rsidRDefault="00BD600C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BD600C" w:rsidRDefault="00BD600C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BD600C" w:rsidRDefault="00BD600C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BD600C" w:rsidRDefault="00BD600C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iCs/>
          <w:spacing w:val="-5"/>
          <w:sz w:val="22"/>
          <w:szCs w:val="22"/>
        </w:rPr>
      </w:pPr>
      <w:r>
        <w:rPr>
          <w:rFonts w:ascii="Arial" w:hAnsi="Arial" w:cs="Arial"/>
          <w:i/>
          <w:iCs/>
          <w:sz w:val="22"/>
          <w:szCs w:val="22"/>
        </w:rPr>
        <w:t>Účtovné metódy a všeobecné zásady boli konzistentne aplikované počas celého účtovného obdobia. o nákladoch a výnosoch sa účtuje v momente vzniku, bez ohľadu na dátum úhrady, inkasa alebo vyrovnania iným spôsobom. Dodržuje sa zásada časovej a vecnej súvislosti nákladov a výnosov.</w:t>
      </w:r>
    </w:p>
    <w:p w:rsidR="00BD600C" w:rsidRDefault="00BD600C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BD600C" w:rsidRDefault="00BD600C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dotá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</w:t>
      </w:r>
      <w:r>
        <w:rPr>
          <w:rFonts w:ascii="Arial" w:hAnsi="Arial" w:cs="Arial"/>
          <w:spacing w:val="1"/>
          <w:sz w:val="22"/>
          <w:szCs w:val="22"/>
          <w:u w:val="single"/>
        </w:rPr>
        <w:t>á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ich o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ňov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 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íctv</w:t>
      </w:r>
      <w:r>
        <w:rPr>
          <w:rFonts w:ascii="Arial" w:hAnsi="Arial" w:cs="Arial"/>
          <w:spacing w:val="-1"/>
          <w:sz w:val="22"/>
          <w:szCs w:val="22"/>
        </w:rPr>
        <w:t>e:</w:t>
      </w:r>
    </w:p>
    <w:p w:rsidR="00BD600C" w:rsidRDefault="00BD600C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</w:p>
    <w:p w:rsidR="00BD600C" w:rsidRDefault="00BD600C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iCs/>
          <w:sz w:val="22"/>
          <w:szCs w:val="22"/>
        </w:rPr>
      </w:pPr>
      <w:r>
        <w:rPr>
          <w:rFonts w:ascii="Arial" w:hAnsi="Arial" w:cs="Arial"/>
          <w:i/>
          <w:iCs/>
          <w:spacing w:val="-1"/>
          <w:sz w:val="22"/>
          <w:szCs w:val="22"/>
        </w:rPr>
        <w:t>Spoločnosť nemá obsahovú náplň</w:t>
      </w:r>
    </w:p>
    <w:p w:rsidR="00BD600C" w:rsidRDefault="00BD600C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BD600C" w:rsidRDefault="00BD600C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4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</w:t>
      </w:r>
    </w:p>
    <w:p w:rsidR="00BD600C" w:rsidRDefault="00BD600C">
      <w:pPr>
        <w:spacing w:before="1" w:line="280" w:lineRule="exact"/>
        <w:jc w:val="both"/>
        <w:rPr>
          <w:rFonts w:ascii="Arial" w:hAnsi="Arial" w:cs="Arial"/>
        </w:rPr>
      </w:pPr>
    </w:p>
    <w:p w:rsidR="00BD600C" w:rsidRDefault="00BD600C">
      <w:pPr>
        <w:pStyle w:val="Zkladntext2"/>
      </w:pPr>
      <w:r>
        <w:t xml:space="preserve">Spoločnosť </w:t>
      </w:r>
      <w:r w:rsidR="00D83AE3">
        <w:t>v roku 2014  vykonávala činnosť</w:t>
      </w:r>
    </w:p>
    <w:p w:rsidR="00BD600C" w:rsidRDefault="00BD600C">
      <w:pPr>
        <w:pStyle w:val="Zkladntext2"/>
      </w:pPr>
    </w:p>
    <w:p w:rsidR="00BD600C" w:rsidRDefault="00BD600C">
      <w:pPr>
        <w:spacing w:before="1" w:line="280" w:lineRule="exact"/>
        <w:jc w:val="both"/>
        <w:rPr>
          <w:rFonts w:ascii="Arial" w:hAnsi="Arial" w:cs="Arial"/>
        </w:rPr>
      </w:pPr>
    </w:p>
    <w:p w:rsidR="00BD600C" w:rsidRDefault="00BD600C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III</w:t>
      </w:r>
    </w:p>
    <w:p w:rsidR="00BD600C" w:rsidRDefault="00BD600C">
      <w:pPr>
        <w:ind w:right="157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In</w:t>
      </w:r>
      <w:r>
        <w:rPr>
          <w:rFonts w:ascii="Arial" w:hAnsi="Arial" w:cs="Arial"/>
          <w:b/>
          <w:bCs/>
          <w:spacing w:val="1"/>
        </w:rPr>
        <w:t>f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  <w:spacing w:val="-4"/>
        </w:rPr>
        <w:t>m</w:t>
      </w:r>
      <w:r>
        <w:rPr>
          <w:rFonts w:ascii="Arial" w:hAnsi="Arial" w:cs="Arial"/>
          <w:b/>
          <w:bCs/>
        </w:rPr>
        <w:t>á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ie, ktoré</w:t>
      </w:r>
      <w:r>
        <w:rPr>
          <w:rFonts w:ascii="Arial" w:hAnsi="Arial" w:cs="Arial"/>
          <w:b/>
          <w:bCs/>
          <w:spacing w:val="-1"/>
        </w:rPr>
        <w:t xml:space="preserve"> </w:t>
      </w:r>
      <w:r>
        <w:rPr>
          <w:rFonts w:ascii="Arial" w:hAnsi="Arial" w:cs="Arial"/>
          <w:b/>
          <w:bCs/>
        </w:rPr>
        <w:t>vysv</w:t>
      </w:r>
      <w:r>
        <w:rPr>
          <w:rFonts w:ascii="Arial" w:hAnsi="Arial" w:cs="Arial"/>
          <w:b/>
          <w:bCs/>
          <w:spacing w:val="1"/>
        </w:rPr>
        <w:t>e</w:t>
      </w:r>
      <w:r>
        <w:rPr>
          <w:rFonts w:ascii="Arial" w:hAnsi="Arial" w:cs="Arial"/>
          <w:b/>
          <w:bCs/>
        </w:rPr>
        <w:t>tľujú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dop</w:t>
      </w:r>
      <w:r>
        <w:rPr>
          <w:rFonts w:ascii="Arial" w:hAnsi="Arial" w:cs="Arial"/>
          <w:b/>
          <w:bCs/>
          <w:spacing w:val="-2"/>
        </w:rPr>
        <w:t>ĺ</w:t>
      </w:r>
      <w:r>
        <w:rPr>
          <w:rFonts w:ascii="Arial" w:hAnsi="Arial" w:cs="Arial"/>
          <w:b/>
          <w:bCs/>
        </w:rPr>
        <w:t>ňa</w:t>
      </w:r>
      <w:r>
        <w:rPr>
          <w:rFonts w:ascii="Arial" w:hAnsi="Arial" w:cs="Arial"/>
          <w:b/>
          <w:bCs/>
          <w:spacing w:val="-1"/>
        </w:rPr>
        <w:t>j</w:t>
      </w:r>
      <w:r>
        <w:rPr>
          <w:rFonts w:ascii="Arial" w:hAnsi="Arial" w:cs="Arial"/>
          <w:b/>
          <w:bCs/>
        </w:rPr>
        <w:t>ú súv</w:t>
      </w:r>
      <w:r>
        <w:rPr>
          <w:rFonts w:ascii="Arial" w:hAnsi="Arial" w:cs="Arial"/>
          <w:b/>
          <w:bCs/>
          <w:spacing w:val="-3"/>
        </w:rPr>
        <w:t>a</w:t>
      </w:r>
      <w:r>
        <w:rPr>
          <w:rFonts w:ascii="Arial" w:hAnsi="Arial" w:cs="Arial"/>
          <w:b/>
          <w:bCs/>
          <w:spacing w:val="-2"/>
        </w:rPr>
        <w:t>h</w:t>
      </w:r>
      <w:r>
        <w:rPr>
          <w:rFonts w:ascii="Arial" w:hAnsi="Arial" w:cs="Arial"/>
          <w:b/>
          <w:bCs/>
        </w:rPr>
        <w:t>u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výkaz</w:t>
      </w:r>
      <w:r>
        <w:rPr>
          <w:rFonts w:ascii="Arial" w:hAnsi="Arial" w:cs="Arial"/>
          <w:b/>
          <w:bCs/>
          <w:spacing w:val="-1"/>
        </w:rPr>
        <w:t xml:space="preserve"> z</w:t>
      </w:r>
      <w:r>
        <w:rPr>
          <w:rFonts w:ascii="Arial" w:hAnsi="Arial" w:cs="Arial"/>
          <w:b/>
          <w:bCs/>
        </w:rPr>
        <w:t>is</w:t>
      </w:r>
      <w:r>
        <w:rPr>
          <w:rFonts w:ascii="Arial" w:hAnsi="Arial" w:cs="Arial"/>
          <w:b/>
          <w:bCs/>
          <w:spacing w:val="1"/>
        </w:rPr>
        <w:t>k</w:t>
      </w:r>
      <w:r>
        <w:rPr>
          <w:rFonts w:ascii="Arial" w:hAnsi="Arial" w:cs="Arial"/>
          <w:b/>
          <w:bCs/>
        </w:rPr>
        <w:t>ov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st</w:t>
      </w:r>
      <w:r>
        <w:rPr>
          <w:rFonts w:ascii="Arial" w:hAnsi="Arial" w:cs="Arial"/>
          <w:b/>
          <w:bCs/>
          <w:spacing w:val="-2"/>
        </w:rPr>
        <w:t>r</w:t>
      </w:r>
      <w:r>
        <w:rPr>
          <w:rFonts w:ascii="Arial" w:hAnsi="Arial" w:cs="Arial"/>
          <w:b/>
          <w:bCs/>
        </w:rPr>
        <w:t>át</w:t>
      </w:r>
    </w:p>
    <w:p w:rsidR="00BD600C" w:rsidRDefault="00BD600C">
      <w:pPr>
        <w:spacing w:before="11" w:line="260" w:lineRule="exact"/>
        <w:jc w:val="both"/>
        <w:rPr>
          <w:rFonts w:ascii="Arial" w:hAnsi="Arial" w:cs="Arial"/>
        </w:rPr>
      </w:pPr>
    </w:p>
    <w:p w:rsidR="00BD600C" w:rsidRDefault="00BD600C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z w:val="22"/>
          <w:szCs w:val="22"/>
        </w:rPr>
        <w:t>n</w:t>
      </w:r>
      <w:r>
        <w:rPr>
          <w:rFonts w:ascii="Arial" w:hAnsi="Arial" w:cs="Arial"/>
          <w:b/>
          <w:bCs/>
          <w:spacing w:val="-1"/>
          <w:sz w:val="22"/>
          <w:szCs w:val="22"/>
        </w:rPr>
        <w:t>á</w:t>
      </w:r>
      <w:r>
        <w:rPr>
          <w:rFonts w:ascii="Arial" w:hAnsi="Arial" w:cs="Arial"/>
          <w:b/>
          <w:bCs/>
          <w:sz w:val="22"/>
          <w:szCs w:val="22"/>
        </w:rPr>
        <w:t>kladov</w:t>
      </w:r>
      <w:r>
        <w:rPr>
          <w:rFonts w:ascii="Arial" w:hAnsi="Arial" w:cs="Arial"/>
          <w:b/>
          <w:bCs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pacing w:val="-1"/>
          <w:sz w:val="22"/>
          <w:szCs w:val="22"/>
        </w:rPr>
        <w:t>a</w:t>
      </w:r>
      <w:r>
        <w:rPr>
          <w:rFonts w:ascii="Arial" w:hAnsi="Arial" w:cs="Arial"/>
          <w:b/>
          <w:bCs/>
          <w:sz w:val="22"/>
          <w:szCs w:val="22"/>
        </w:rPr>
        <w:t>lebo</w:t>
      </w:r>
      <w:r>
        <w:rPr>
          <w:rFonts w:ascii="Arial" w:hAnsi="Arial" w:cs="Arial"/>
          <w:b/>
          <w:bCs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pacing w:val="2"/>
          <w:sz w:val="22"/>
          <w:szCs w:val="22"/>
        </w:rPr>
        <w:t>v</w:t>
      </w:r>
      <w:r>
        <w:rPr>
          <w:rFonts w:ascii="Arial" w:hAnsi="Arial" w:cs="Arial"/>
          <w:b/>
          <w:bCs/>
          <w:spacing w:val="-5"/>
          <w:sz w:val="22"/>
          <w:szCs w:val="22"/>
        </w:rPr>
        <w:t>ý</w:t>
      </w:r>
      <w:r>
        <w:rPr>
          <w:rFonts w:ascii="Arial" w:hAnsi="Arial" w:cs="Arial"/>
          <w:b/>
          <w:bCs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</w:t>
      </w:r>
    </w:p>
    <w:p w:rsidR="00BD600C" w:rsidRDefault="00BD600C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:rsidR="00BD600C" w:rsidRDefault="00BD600C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i/>
          <w:iCs/>
          <w:sz w:val="22"/>
          <w:szCs w:val="22"/>
        </w:rPr>
      </w:pPr>
      <w:r>
        <w:rPr>
          <w:rFonts w:ascii="Arial" w:hAnsi="Arial" w:cs="Arial"/>
          <w:i/>
          <w:iCs/>
          <w:sz w:val="22"/>
          <w:szCs w:val="22"/>
        </w:rPr>
        <w:t xml:space="preserve">Spoločnosť nemá účtované výnimočné výnosy a náklady. </w:t>
      </w:r>
    </w:p>
    <w:p w:rsidR="00BD600C" w:rsidRDefault="00BD600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BD600C" w:rsidRDefault="00BD600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BD600C" w:rsidRDefault="00BD600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D600C" w:rsidRDefault="00BD600C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</w:t>
      </w:r>
    </w:p>
    <w:p w:rsidR="00BD600C" w:rsidRDefault="00BD600C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:rsidR="00BD600C" w:rsidRDefault="00BD600C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i/>
          <w:iCs/>
          <w:sz w:val="22"/>
          <w:szCs w:val="22"/>
        </w:rPr>
      </w:pPr>
      <w:r>
        <w:rPr>
          <w:rFonts w:ascii="Arial" w:hAnsi="Arial" w:cs="Arial"/>
          <w:i/>
          <w:iCs/>
          <w:sz w:val="22"/>
          <w:szCs w:val="22"/>
        </w:rPr>
        <w:t>Spoločnosť neeviduje dlhodobé záväzky s dobou splatnosti dlhšou ako päť rokov</w:t>
      </w:r>
    </w:p>
    <w:p w:rsidR="00BD600C" w:rsidRDefault="00BD600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D600C" w:rsidRDefault="00BD600C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</w:t>
      </w:r>
    </w:p>
    <w:p w:rsidR="00BD600C" w:rsidRDefault="00BD600C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:rsidR="00BD600C" w:rsidRDefault="00BD600C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i/>
          <w:iCs/>
          <w:sz w:val="22"/>
          <w:szCs w:val="22"/>
        </w:rPr>
      </w:pPr>
      <w:r>
        <w:rPr>
          <w:rFonts w:ascii="Arial" w:hAnsi="Arial" w:cs="Arial"/>
          <w:i/>
          <w:iCs/>
          <w:sz w:val="22"/>
          <w:szCs w:val="22"/>
        </w:rPr>
        <w:t>Spoločnosť nemá obsahovú náplň</w:t>
      </w:r>
    </w:p>
    <w:p w:rsidR="00BD600C" w:rsidRDefault="00BD600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D600C" w:rsidRDefault="00BD600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 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lastRenderedPageBreak/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</w:t>
      </w:r>
      <w:r>
        <w:rPr>
          <w:rFonts w:ascii="Arial" w:hAnsi="Arial" w:cs="Arial"/>
          <w:spacing w:val="-1"/>
          <w:sz w:val="22"/>
          <w:szCs w:val="22"/>
        </w:rPr>
        <w:t>čet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</w:t>
      </w:r>
    </w:p>
    <w:p w:rsidR="00BD600C" w:rsidRDefault="00BD600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D600C" w:rsidRDefault="00BD600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D600C" w:rsidRDefault="00BD600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iCs/>
          <w:sz w:val="22"/>
          <w:szCs w:val="22"/>
        </w:rPr>
      </w:pPr>
      <w:r>
        <w:rPr>
          <w:rFonts w:ascii="Arial" w:hAnsi="Arial" w:cs="Arial"/>
          <w:i/>
          <w:iCs/>
          <w:sz w:val="22"/>
          <w:szCs w:val="22"/>
        </w:rPr>
        <w:t>Spoločnosť nemá obsahovú náplň.</w:t>
      </w:r>
    </w:p>
    <w:p w:rsidR="00BD600C" w:rsidRDefault="00BD600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D600C" w:rsidRDefault="00BD600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BD600C" w:rsidRDefault="00BD600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D600C" w:rsidRDefault="00BD600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BD600C" w:rsidRDefault="00BD600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D600C" w:rsidRDefault="00BD600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iCs/>
          <w:sz w:val="22"/>
          <w:szCs w:val="22"/>
        </w:rPr>
      </w:pPr>
      <w:r>
        <w:rPr>
          <w:rFonts w:ascii="Arial" w:hAnsi="Arial" w:cs="Arial"/>
          <w:i/>
          <w:iCs/>
          <w:sz w:val="22"/>
          <w:szCs w:val="22"/>
        </w:rPr>
        <w:t>Spoločnosť nemá obsahovú náplň.</w:t>
      </w:r>
    </w:p>
    <w:p w:rsidR="00BD600C" w:rsidRDefault="00BD600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D600C" w:rsidRDefault="00BD600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obdobia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</w:t>
      </w:r>
    </w:p>
    <w:p w:rsidR="00BD600C" w:rsidRDefault="00BD600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</w:p>
    <w:p w:rsidR="00BD600C" w:rsidRDefault="00BD600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iCs/>
          <w:sz w:val="22"/>
          <w:szCs w:val="22"/>
        </w:rPr>
      </w:pPr>
      <w:r>
        <w:rPr>
          <w:rFonts w:ascii="Arial" w:hAnsi="Arial" w:cs="Arial"/>
          <w:i/>
          <w:iCs/>
          <w:sz w:val="22"/>
          <w:szCs w:val="22"/>
        </w:rPr>
        <w:t>Spoločnosť nemá obsahovú náplň.</w:t>
      </w:r>
    </w:p>
    <w:p w:rsidR="00BD600C" w:rsidRDefault="00BD600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D600C" w:rsidRDefault="00BD600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D600C" w:rsidRDefault="00BD600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BD600C" w:rsidRDefault="00BD600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BD600C" w:rsidRDefault="00BD600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i/>
          <w:iCs/>
          <w:sz w:val="22"/>
          <w:szCs w:val="22"/>
        </w:rPr>
        <w:t>Spoločnosť nemá obsahovú náplň.</w:t>
      </w:r>
    </w:p>
    <w:p w:rsidR="00BD600C" w:rsidRDefault="00BD600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BD600C" w:rsidRDefault="00BD600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tovať:</w:t>
      </w:r>
    </w:p>
    <w:p w:rsidR="00BD600C" w:rsidRDefault="00BD600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D600C" w:rsidRDefault="00BD600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i/>
          <w:iCs/>
          <w:sz w:val="22"/>
          <w:szCs w:val="22"/>
        </w:rPr>
        <w:t>Spoločnosť nemá obsahovú náplň.</w:t>
      </w:r>
    </w:p>
    <w:p w:rsidR="00BD600C" w:rsidRDefault="00BD600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D600C" w:rsidRDefault="00BD600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a 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:rsidR="00BD600C" w:rsidRDefault="00BD600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BD600C" w:rsidRDefault="00BD600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</w:t>
      </w:r>
      <w:r>
        <w:rPr>
          <w:rFonts w:ascii="Arial" w:hAnsi="Arial" w:cs="Arial"/>
          <w:spacing w:val="-2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</w:t>
      </w:r>
    </w:p>
    <w:p w:rsidR="00BD600C" w:rsidRDefault="00BD600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BD600C" w:rsidRDefault="00BD600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BD600C" w:rsidRDefault="00BD600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iCs/>
          <w:sz w:val="22"/>
          <w:szCs w:val="22"/>
        </w:rPr>
      </w:pPr>
      <w:r>
        <w:rPr>
          <w:rFonts w:ascii="Arial" w:hAnsi="Arial" w:cs="Arial"/>
          <w:i/>
          <w:iCs/>
          <w:sz w:val="22"/>
          <w:szCs w:val="22"/>
        </w:rPr>
        <w:t>Spoločnosť nemá obsahovú náplň.</w:t>
      </w:r>
    </w:p>
    <w:p w:rsidR="00BD600C" w:rsidRDefault="00BD600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iCs/>
          <w:sz w:val="22"/>
          <w:szCs w:val="22"/>
        </w:rPr>
      </w:pPr>
    </w:p>
    <w:p w:rsidR="00BD600C" w:rsidRDefault="00BD600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BD600C" w:rsidRDefault="00BD600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</w:t>
      </w:r>
    </w:p>
    <w:p w:rsidR="00BD600C" w:rsidRDefault="00BD600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D600C" w:rsidRDefault="00BD600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i/>
          <w:iCs/>
          <w:sz w:val="22"/>
          <w:szCs w:val="22"/>
        </w:rPr>
        <w:lastRenderedPageBreak/>
        <w:t>Spoločnosť nemá obsahovú náplň.</w:t>
      </w:r>
    </w:p>
    <w:p w:rsidR="00BD600C" w:rsidRDefault="00BD600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D600C" w:rsidRDefault="00BD600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 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</w:t>
      </w:r>
    </w:p>
    <w:p w:rsidR="00BD600C" w:rsidRDefault="00BD600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D600C" w:rsidRDefault="00BD600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iCs/>
          <w:sz w:val="22"/>
          <w:szCs w:val="22"/>
        </w:rPr>
      </w:pPr>
      <w:r>
        <w:rPr>
          <w:rFonts w:ascii="Arial" w:hAnsi="Arial" w:cs="Arial"/>
          <w:i/>
          <w:iCs/>
          <w:sz w:val="22"/>
          <w:szCs w:val="22"/>
        </w:rPr>
        <w:t>Spoločnosť nemá obsahovú náplň.</w:t>
      </w:r>
    </w:p>
    <w:p w:rsidR="00BD600C" w:rsidRDefault="00BD600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iCs/>
          <w:sz w:val="22"/>
          <w:szCs w:val="22"/>
        </w:rPr>
      </w:pPr>
    </w:p>
    <w:p w:rsidR="00BD600C" w:rsidRDefault="00BD600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D600C" w:rsidRDefault="00BD600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> 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</w:t>
      </w:r>
    </w:p>
    <w:p w:rsidR="00BD600C" w:rsidRDefault="00BD600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D600C" w:rsidRDefault="00BD600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i/>
          <w:iCs/>
          <w:sz w:val="22"/>
          <w:szCs w:val="22"/>
        </w:rPr>
        <w:t>Spoločnosť nemá obsahovú náplň.</w:t>
      </w:r>
    </w:p>
    <w:p w:rsidR="00BD600C" w:rsidRDefault="00BD600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D600C" w:rsidRDefault="00BD600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ascii="Arial" w:hAnsi="Arial" w:cs="Arial"/>
          <w:b/>
          <w:bCs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BD600C" w:rsidRDefault="00BD600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D600C" w:rsidRDefault="00BD600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i/>
          <w:iCs/>
          <w:sz w:val="22"/>
          <w:szCs w:val="22"/>
        </w:rPr>
        <w:t>Spoločnosť nemá obsahovú náplň.</w:t>
      </w:r>
    </w:p>
    <w:sectPr w:rsidR="00BD600C" w:rsidSect="00BD600C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90260" w:rsidRDefault="00090260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separator/>
      </w:r>
    </w:p>
  </w:endnote>
  <w:endnote w:type="continuationSeparator" w:id="0">
    <w:p w:rsidR="00090260" w:rsidRDefault="00090260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D600C" w:rsidRDefault="0008238E">
    <w:pPr>
      <w:spacing w:line="200" w:lineRule="exact"/>
      <w:rPr>
        <w:rFonts w:ascii="Times New Roman" w:hAnsi="Times New Roman" w:cs="Times New Roman"/>
        <w:sz w:val="20"/>
        <w:szCs w:val="20"/>
      </w:rPr>
    </w:pPr>
    <w:r w:rsidRPr="0008238E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BD600C" w:rsidRDefault="00BD600C">
                <w:pPr>
                  <w:pStyle w:val="Zkladntext"/>
                  <w:spacing w:line="265" w:lineRule="exact"/>
                  <w:ind w:left="20" w:firstLine="0"/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>Str</w:t>
                </w:r>
                <w:r>
                  <w:rPr>
                    <w:rFonts w:ascii="Times New Roman" w:hAnsi="Times New Roman" w:cs="Times New Roman"/>
                    <w:spacing w:val="-2"/>
                  </w:rPr>
                  <w:t>a</w:t>
                </w:r>
                <w:r>
                  <w:rPr>
                    <w:rFonts w:ascii="Times New Roman" w:hAnsi="Times New Roman" w:cs="Times New Roman"/>
                  </w:rPr>
                  <w:t>na</w:t>
                </w:r>
                <w:r>
                  <w:rPr>
                    <w:rFonts w:ascii="Times New Roman" w:hAnsi="Times New Roman" w:cs="Times New Roman"/>
                    <w:spacing w:val="-1"/>
                  </w:rPr>
                  <w:t xml:space="preserve"> </w:t>
                </w:r>
                <w:r w:rsidR="0008238E">
                  <w:rPr>
                    <w:rFonts w:ascii="Times New Roman" w:hAnsi="Times New Roman" w:cs="Times New Roman"/>
                  </w:rPr>
                  <w:fldChar w:fldCharType="begin"/>
                </w:r>
                <w:r>
                  <w:rPr>
                    <w:rFonts w:ascii="Times New Roman" w:hAnsi="Times New Roman" w:cs="Times New Roman"/>
                  </w:rPr>
                  <w:instrText xml:space="preserve"> PAGE </w:instrText>
                </w:r>
                <w:r w:rsidR="0008238E">
                  <w:rPr>
                    <w:rFonts w:ascii="Times New Roman" w:hAnsi="Times New Roman" w:cs="Times New Roman"/>
                  </w:rPr>
                  <w:fldChar w:fldCharType="separate"/>
                </w:r>
                <w:r w:rsidR="009373FD">
                  <w:rPr>
                    <w:rFonts w:ascii="Times New Roman" w:hAnsi="Times New Roman" w:cs="Times New Roman"/>
                    <w:noProof/>
                  </w:rPr>
                  <w:t>4</w:t>
                </w:r>
                <w:r w:rsidR="0008238E">
                  <w:rPr>
                    <w:rFonts w:ascii="Times New Roman" w:hAnsi="Times New Roman" w:cs="Times New Roman"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90260" w:rsidRDefault="00090260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separator/>
      </w:r>
    </w:p>
  </w:footnote>
  <w:footnote w:type="continuationSeparator" w:id="0">
    <w:p w:rsidR="00090260" w:rsidRDefault="00090260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D600C" w:rsidRDefault="00BD600C">
    <w:pPr>
      <w:pStyle w:val="Hlavika"/>
      <w:rPr>
        <w:rFonts w:ascii="Times New Roman" w:hAnsi="Times New Roman" w:cs="Times New Roman"/>
      </w:rPr>
    </w:pPr>
  </w:p>
  <w:p w:rsidR="00BD600C" w:rsidRDefault="00BD600C">
    <w:pPr>
      <w:pStyle w:val="Hlavika"/>
      <w:rPr>
        <w:rFonts w:ascii="Times New Roman" w:hAnsi="Times New Roman" w:cs="Times New Roman"/>
      </w:rPr>
    </w:pPr>
  </w:p>
  <w:p w:rsidR="00BD600C" w:rsidRDefault="00BD600C">
    <w:pPr>
      <w:pStyle w:val="Hlavika"/>
      <w:rPr>
        <w:rFonts w:ascii="Times New Roman" w:hAnsi="Times New Roman" w:cs="Times New Roman"/>
      </w:rPr>
    </w:pPr>
  </w:p>
  <w:p w:rsidR="00BD600C" w:rsidRDefault="00BD600C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bdr w:val="single" w:sz="4" w:space="0" w:color="auto"/>
      </w:rPr>
      <w:t>Po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>
      <w:rPr>
        <w:rFonts w:ascii="Arial" w:hAnsi="Arial" w:cs="Arial"/>
        <w:sz w:val="22"/>
        <w:szCs w:val="22"/>
        <w:bdr w:val="single" w:sz="4" w:space="0" w:color="auto"/>
      </w:rPr>
      <w:t>n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>
      <w:rPr>
        <w:rFonts w:ascii="Arial" w:hAnsi="Arial" w:cs="Arial"/>
        <w:sz w:val="22"/>
        <w:szCs w:val="22"/>
        <w:bdr w:val="single" w:sz="4" w:space="0" w:color="auto"/>
      </w:rPr>
      <w:t>m</w:t>
    </w:r>
    <w:r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>
      <w:rPr>
        <w:rFonts w:ascii="Arial" w:hAnsi="Arial" w:cs="Arial"/>
        <w:sz w:val="22"/>
        <w:szCs w:val="22"/>
        <w:bdr w:val="single" w:sz="4" w:space="0" w:color="auto"/>
      </w:rPr>
      <w:t>y</w:t>
    </w:r>
    <w:r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/>
      </w:rPr>
      <w:t xml:space="preserve"> MÚJ 3 –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9373FD">
      <w:rPr>
        <w:rFonts w:ascii="Arial" w:hAnsi="Arial" w:cs="Arial"/>
        <w:sz w:val="22"/>
        <w:szCs w:val="22"/>
        <w:bdr w:val="single" w:sz="4" w:space="0" w:color="auto"/>
      </w:rPr>
      <w:t>36300497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9373FD">
      <w:rPr>
        <w:rFonts w:ascii="Arial" w:hAnsi="Arial" w:cs="Arial"/>
        <w:sz w:val="22"/>
        <w:szCs w:val="22"/>
        <w:bdr w:val="single" w:sz="4" w:space="0" w:color="auto"/>
      </w:rPr>
      <w:t>2020111588</w:t>
    </w:r>
  </w:p>
  <w:p w:rsidR="00BD600C" w:rsidRDefault="00BD600C">
    <w:pPr>
      <w:pStyle w:val="Hlavika"/>
      <w:rPr>
        <w:rFonts w:ascii="Times New Roman" w:hAnsi="Times New Roman" w:cs="Times New Roman"/>
        <w:sz w:val="24"/>
        <w:szCs w:val="24"/>
      </w:rPr>
    </w:pPr>
  </w:p>
  <w:p w:rsidR="00BD600C" w:rsidRDefault="00BD600C">
    <w:pPr>
      <w:pStyle w:val="Hlavika"/>
      <w:rPr>
        <w:rFonts w:ascii="Times New Roman" w:hAnsi="Times New Roman" w:cs="Times New Roman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2">
    <w:nsid w:val="36AA63E2"/>
    <w:multiLevelType w:val="hybridMultilevel"/>
    <w:tmpl w:val="4B94E778"/>
    <w:lvl w:ilvl="0" w:tplc="77625FA2">
      <w:start w:val="1"/>
      <w:numFmt w:val="decimal"/>
      <w:lvlText w:val="%1."/>
      <w:lvlJc w:val="left"/>
      <w:pPr>
        <w:tabs>
          <w:tab w:val="num" w:pos="461"/>
        </w:tabs>
        <w:ind w:left="461" w:hanging="360"/>
      </w:pPr>
      <w:rPr>
        <w:rFonts w:ascii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181"/>
        </w:tabs>
        <w:ind w:left="1181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1901"/>
        </w:tabs>
        <w:ind w:left="1901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621"/>
        </w:tabs>
        <w:ind w:left="2621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341"/>
        </w:tabs>
        <w:ind w:left="3341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061"/>
        </w:tabs>
        <w:ind w:left="4061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4781"/>
        </w:tabs>
        <w:ind w:left="4781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501"/>
        </w:tabs>
        <w:ind w:left="5501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221"/>
        </w:tabs>
        <w:ind w:left="6221" w:hanging="180"/>
      </w:pPr>
      <w:rPr>
        <w:rFonts w:ascii="Times New Roman" w:hAnsi="Times New Roman" w:cs="Times New Roman"/>
      </w:rPr>
    </w:lvl>
  </w:abstractNum>
  <w:abstractNum w:abstractNumId="3">
    <w:nsid w:val="45632093"/>
    <w:multiLevelType w:val="hybridMultilevel"/>
    <w:tmpl w:val="1CD465C8"/>
    <w:lvl w:ilvl="0" w:tplc="EF845B26">
      <w:start w:val="2"/>
      <w:numFmt w:val="bullet"/>
      <w:lvlText w:val="-"/>
      <w:lvlJc w:val="left"/>
      <w:pPr>
        <w:tabs>
          <w:tab w:val="num" w:pos="461"/>
        </w:tabs>
        <w:ind w:left="461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181"/>
        </w:tabs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1901"/>
        </w:tabs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621"/>
        </w:tabs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341"/>
        </w:tabs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061"/>
        </w:tabs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4781"/>
        </w:tabs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501"/>
        </w:tabs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221"/>
        </w:tabs>
        <w:ind w:left="6221" w:hanging="360"/>
      </w:pPr>
      <w:rPr>
        <w:rFonts w:ascii="Wingdings" w:hAnsi="Wingdings" w:cs="Wingdings" w:hint="default"/>
      </w:rPr>
    </w:lvl>
  </w:abstractNum>
  <w:abstractNum w:abstractNumId="4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5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541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261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981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701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421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141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861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581" w:hanging="180"/>
      </w:pPr>
      <w:rPr>
        <w:rFonts w:ascii="Times New Roman" w:hAnsi="Times New Roman" w:cs="Times New Roman"/>
      </w:rPr>
    </w:lvl>
  </w:abstractNum>
  <w:abstractNum w:abstractNumId="6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7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8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8"/>
  </w:num>
  <w:num w:numId="3">
    <w:abstractNumId w:val="7"/>
  </w:num>
  <w:num w:numId="4">
    <w:abstractNumId w:val="1"/>
  </w:num>
  <w:num w:numId="5">
    <w:abstractNumId w:val="6"/>
  </w:num>
  <w:num w:numId="6">
    <w:abstractNumId w:val="4"/>
  </w:num>
  <w:num w:numId="7">
    <w:abstractNumId w:val="5"/>
  </w:num>
  <w:num w:numId="8">
    <w:abstractNumId w:val="2"/>
  </w:num>
  <w:num w:numId="9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SystemFonts/>
  <w:proofState w:spelling="clean" w:grammar="clean"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13314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useFELayout/>
  </w:compat>
  <w:rsids>
    <w:rsidRoot w:val="00BD600C"/>
    <w:rsid w:val="0008238E"/>
    <w:rsid w:val="00090260"/>
    <w:rsid w:val="000A72FC"/>
    <w:rsid w:val="00176DF0"/>
    <w:rsid w:val="00285080"/>
    <w:rsid w:val="003577E6"/>
    <w:rsid w:val="00490271"/>
    <w:rsid w:val="007C2A47"/>
    <w:rsid w:val="008A352C"/>
    <w:rsid w:val="009373FD"/>
    <w:rsid w:val="00A562FA"/>
    <w:rsid w:val="00BD600C"/>
    <w:rsid w:val="00C104FB"/>
    <w:rsid w:val="00C24916"/>
    <w:rsid w:val="00D83AE3"/>
    <w:rsid w:val="00DB2ED1"/>
    <w:rsid w:val="00F26EB4"/>
    <w:rsid w:val="00F830F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Body Text 2" w:unhideWhenUsed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90271"/>
    <w:pPr>
      <w:widowControl w:val="0"/>
    </w:pPr>
    <w:rPr>
      <w:rFonts w:ascii="Calibri" w:hAnsi="Calibri" w:cs="Calibri"/>
      <w:lang w:val="sk-SK"/>
    </w:rPr>
  </w:style>
  <w:style w:type="paragraph" w:styleId="Nadpis1">
    <w:name w:val="heading 1"/>
    <w:basedOn w:val="Normlny"/>
    <w:link w:val="Nadpis1Char"/>
    <w:uiPriority w:val="99"/>
    <w:qFormat/>
    <w:rsid w:val="00490271"/>
    <w:pPr>
      <w:outlineLvl w:val="0"/>
    </w:pPr>
    <w:rPr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490271"/>
    <w:rPr>
      <w:rFonts w:ascii="Cambria" w:hAnsi="Cambria" w:cs="Cambria"/>
      <w:b/>
      <w:bCs/>
      <w:kern w:val="32"/>
      <w:sz w:val="32"/>
      <w:szCs w:val="32"/>
      <w:lang w:val="sk-SK"/>
    </w:rPr>
  </w:style>
  <w:style w:type="paragraph" w:styleId="Zkladntext">
    <w:name w:val="Body Text"/>
    <w:basedOn w:val="Normlny"/>
    <w:link w:val="ZkladntextChar"/>
    <w:uiPriority w:val="99"/>
    <w:rsid w:val="00490271"/>
    <w:pPr>
      <w:ind w:left="668" w:hanging="567"/>
    </w:pPr>
    <w:rPr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rsid w:val="00490271"/>
    <w:rPr>
      <w:rFonts w:ascii="Calibri" w:hAnsi="Calibri" w:cs="Calibri"/>
      <w:lang w:val="sk-SK"/>
    </w:rPr>
  </w:style>
  <w:style w:type="paragraph" w:styleId="Odsekzoznamu">
    <w:name w:val="List Paragraph"/>
    <w:basedOn w:val="Normlny"/>
    <w:uiPriority w:val="99"/>
    <w:qFormat/>
    <w:rsid w:val="00490271"/>
  </w:style>
  <w:style w:type="paragraph" w:customStyle="1" w:styleId="TableParagraph">
    <w:name w:val="Table Paragraph"/>
    <w:basedOn w:val="Normlny"/>
    <w:uiPriority w:val="99"/>
    <w:rsid w:val="00490271"/>
  </w:style>
  <w:style w:type="paragraph" w:styleId="Hlavika">
    <w:name w:val="header"/>
    <w:basedOn w:val="Normlny"/>
    <w:link w:val="HlavikaChar"/>
    <w:uiPriority w:val="99"/>
    <w:rsid w:val="00490271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490271"/>
    <w:rPr>
      <w:rFonts w:ascii="Times New Roman" w:hAnsi="Times New Roman" w:cs="Times New Roman"/>
    </w:rPr>
  </w:style>
  <w:style w:type="paragraph" w:styleId="Pta">
    <w:name w:val="footer"/>
    <w:basedOn w:val="Normlny"/>
    <w:link w:val="PtaChar"/>
    <w:uiPriority w:val="99"/>
    <w:rsid w:val="00490271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490271"/>
    <w:rPr>
      <w:rFonts w:ascii="Times New Roman" w:hAnsi="Times New Roman" w:cs="Times New Roman"/>
    </w:rPr>
  </w:style>
  <w:style w:type="paragraph" w:styleId="Zkladntext2">
    <w:name w:val="Body Text 2"/>
    <w:basedOn w:val="Normlny"/>
    <w:link w:val="Zkladntext2Char"/>
    <w:uiPriority w:val="99"/>
    <w:rsid w:val="00490271"/>
    <w:pPr>
      <w:spacing w:before="1" w:line="280" w:lineRule="exact"/>
      <w:jc w:val="both"/>
    </w:pPr>
    <w:rPr>
      <w:rFonts w:ascii="Arial" w:hAnsi="Arial" w:cs="Arial"/>
      <w:i/>
      <w:iCs/>
    </w:rPr>
  </w:style>
  <w:style w:type="character" w:customStyle="1" w:styleId="Zkladntext2Char">
    <w:name w:val="Základný text 2 Char"/>
    <w:basedOn w:val="Predvolenpsmoodseku"/>
    <w:link w:val="Zkladntext2"/>
    <w:uiPriority w:val="99"/>
    <w:rsid w:val="00490271"/>
    <w:rPr>
      <w:rFonts w:ascii="Calibri" w:hAnsi="Calibri" w:cs="Calibri"/>
      <w:lang w:val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7C2A4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C2A47"/>
    <w:rPr>
      <w:rFonts w:ascii="Tahoma" w:hAnsi="Tahoma" w:cs="Tahoma"/>
      <w:sz w:val="16"/>
      <w:szCs w:val="16"/>
      <w:lang w:val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Body Text 2" w:unhideWhenUsed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pPr>
      <w:widowControl w:val="0"/>
    </w:pPr>
    <w:rPr>
      <w:rFonts w:ascii="Calibri" w:hAnsi="Calibri" w:cs="Calibri"/>
      <w:lang w:val="sk-SK"/>
    </w:rPr>
  </w:style>
  <w:style w:type="paragraph" w:styleId="Nadpis1">
    <w:name w:val="heading 1"/>
    <w:basedOn w:val="Normlny"/>
    <w:link w:val="Nadpis1Char"/>
    <w:uiPriority w:val="99"/>
    <w:qFormat/>
    <w:pPr>
      <w:outlineLvl w:val="0"/>
    </w:pPr>
    <w:rPr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Pr>
      <w:rFonts w:ascii="Cambria" w:hAnsi="Cambria" w:cs="Cambria"/>
      <w:b/>
      <w:bCs/>
      <w:kern w:val="32"/>
      <w:sz w:val="32"/>
      <w:szCs w:val="32"/>
      <w:lang w:val="sk-SK"/>
    </w:rPr>
  </w:style>
  <w:style w:type="paragraph" w:styleId="Zkladntext">
    <w:name w:val="Body Text"/>
    <w:basedOn w:val="Normlny"/>
    <w:link w:val="ZkladntextChar"/>
    <w:uiPriority w:val="99"/>
    <w:pPr>
      <w:ind w:left="668" w:hanging="567"/>
    </w:pPr>
    <w:rPr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rPr>
      <w:rFonts w:ascii="Calibri" w:hAnsi="Calibri" w:cs="Calibri"/>
      <w:lang w:val="sk-SK"/>
    </w:rPr>
  </w:style>
  <w:style w:type="paragraph" w:styleId="Odsekzoznamu">
    <w:name w:val="List Paragraph"/>
    <w:basedOn w:val="Normlny"/>
    <w:uiPriority w:val="99"/>
    <w:qFormat/>
  </w:style>
  <w:style w:type="paragraph" w:customStyle="1" w:styleId="TableParagraph">
    <w:name w:val="Table Paragraph"/>
    <w:basedOn w:val="Normlny"/>
    <w:uiPriority w:val="99"/>
  </w:style>
  <w:style w:type="paragraph" w:styleId="Hlavika">
    <w:name w:val="header"/>
    <w:basedOn w:val="Normlny"/>
    <w:link w:val="HlavikaChar"/>
    <w:uiPriority w:val="9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Pr>
      <w:rFonts w:ascii="Times New Roman" w:hAnsi="Times New Roman" w:cs="Times New Roman"/>
    </w:rPr>
  </w:style>
  <w:style w:type="paragraph" w:styleId="Pta">
    <w:name w:val="footer"/>
    <w:basedOn w:val="Normlny"/>
    <w:link w:val="PtaChar"/>
    <w:uiPriority w:val="9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Pr>
      <w:rFonts w:ascii="Times New Roman" w:hAnsi="Times New Roman" w:cs="Times New Roman"/>
    </w:rPr>
  </w:style>
  <w:style w:type="paragraph" w:styleId="Zkladntext2">
    <w:name w:val="Body Text 2"/>
    <w:basedOn w:val="Normlny"/>
    <w:link w:val="Zkladntext2Char"/>
    <w:uiPriority w:val="99"/>
    <w:pPr>
      <w:spacing w:before="1" w:line="280" w:lineRule="exact"/>
      <w:jc w:val="both"/>
    </w:pPr>
    <w:rPr>
      <w:rFonts w:ascii="Arial" w:hAnsi="Arial" w:cs="Arial"/>
      <w:i/>
      <w:iCs/>
    </w:rPr>
  </w:style>
  <w:style w:type="character" w:customStyle="1" w:styleId="Zkladntext2Char">
    <w:name w:val="Základný text 2 Char"/>
    <w:basedOn w:val="Predvolenpsmoodseku"/>
    <w:link w:val="Zkladntext2"/>
    <w:uiPriority w:val="99"/>
    <w:rPr>
      <w:rFonts w:ascii="Calibri" w:hAnsi="Calibri" w:cs="Calibri"/>
      <w:lang w:val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7C2A4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C2A47"/>
    <w:rPr>
      <w:rFonts w:ascii="Tahoma" w:hAnsi="Tahoma" w:cs="Tahoma"/>
      <w:sz w:val="16"/>
      <w:szCs w:val="16"/>
      <w:lang w:val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34</TotalTime>
  <Pages>1</Pages>
  <Words>1180</Words>
  <Characters>6730</Characters>
  <Application>Microsoft Office Word</Application>
  <DocSecurity>0</DocSecurity>
  <Lines>56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7895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PC</cp:lastModifiedBy>
  <cp:revision>11</cp:revision>
  <cp:lastPrinted>2015-06-21T14:44:00Z</cp:lastPrinted>
  <dcterms:created xsi:type="dcterms:W3CDTF">2015-03-22T18:14:00Z</dcterms:created>
  <dcterms:modified xsi:type="dcterms:W3CDTF">2015-06-21T14:45:00Z</dcterms:modified>
</cp:coreProperties>
</file>