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0C" w:rsidRDefault="00BD600C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2014</w:t>
      </w:r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BD600C" w:rsidRDefault="00BD6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BD600C" w:rsidRDefault="00BD600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D600C" w:rsidRDefault="00BD600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BD600C" w:rsidRDefault="00BD600C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BD600C" w:rsidRDefault="00BD600C">
      <w:pPr>
        <w:spacing w:before="7" w:line="24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D600C" w:rsidRDefault="009373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MODAS DESIGN 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D600C" w:rsidRDefault="009373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36300497</w:t>
            </w:r>
          </w:p>
        </w:tc>
      </w:tr>
      <w:tr w:rsidR="00BD600C">
        <w:tc>
          <w:tcPr>
            <w:tcW w:w="3085" w:type="dxa"/>
          </w:tcPr>
          <w:p w:rsidR="00BD600C" w:rsidRDefault="00BD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D600C" w:rsidRDefault="009373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A. Hlinku  25/30, 01701 Považská Bystrica</w:t>
            </w:r>
          </w:p>
        </w:tc>
      </w:tr>
    </w:tbl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BD600C">
        <w:tc>
          <w:tcPr>
            <w:tcW w:w="4219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BD600C" w:rsidRDefault="00BD600C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BD600C">
        <w:tc>
          <w:tcPr>
            <w:tcW w:w="4219" w:type="dxa"/>
          </w:tcPr>
          <w:p w:rsidR="00BD600C" w:rsidRDefault="00BD600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D600C" w:rsidRDefault="009373F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BD600C" w:rsidRDefault="00C104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BD600C" w:rsidRDefault="00BD600C">
      <w:pPr>
        <w:spacing w:line="260" w:lineRule="exact"/>
        <w:jc w:val="both"/>
        <w:rPr>
          <w:rFonts w:ascii="Arial" w:hAnsi="Arial" w:cs="Arial"/>
        </w:rPr>
      </w:pP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BD600C" w:rsidRDefault="00BD600C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BD600C" w:rsidRDefault="00BD600C">
      <w:pPr>
        <w:spacing w:before="11"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Účtovná závierka bola vypracovaná za predpokladu nepretržitého trvania účtovnej jednotky K zmenám účtovných zásad a metód nedošlo. Účtovná jednotka v roku 2014 </w:t>
      </w:r>
      <w:r w:rsidR="00D83AE3">
        <w:rPr>
          <w:rFonts w:ascii="Arial" w:hAnsi="Arial" w:cs="Arial"/>
          <w:i/>
          <w:iCs/>
          <w:sz w:val="22"/>
          <w:szCs w:val="22"/>
        </w:rPr>
        <w:t>vykazovala činnosť.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D600C">
        <w:tc>
          <w:tcPr>
            <w:tcW w:w="4843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D600C" w:rsidRDefault="00BD60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Majetok sa odpisuje podľa odpisového plánu, počas predpokladanej doby životnosti v trvaní 4,6 a 20 rokov. Majetok sa začína odpisovať počnúc mesiacom zaradenia do používania. V roku 2014 účtovná jednotka </w:t>
      </w:r>
      <w:r w:rsidR="00DB2ED1">
        <w:rPr>
          <w:rFonts w:ascii="Arial" w:hAnsi="Arial" w:cs="Arial"/>
          <w:i/>
          <w:iCs/>
          <w:sz w:val="22"/>
          <w:szCs w:val="22"/>
        </w:rPr>
        <w:t>neobstarala majetok.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Účtovné metódy a všeobecné zásady boli konzistentne aplikované počas celého účtovného obdobia. o nákladoch a výnosoch sa účtuje v momente vzniku, bez ohľadu na dátum úhrady, inkasa alebo vyrovnania iným spôsobom. Dodržuje sa zásada časovej a vecnej súvislosti nákladov a výnosov.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pacing w:val="-1"/>
          <w:sz w:val="22"/>
          <w:szCs w:val="22"/>
        </w:rPr>
        <w:t>Spoločnosť nemá obsahovú náplň</w:t>
      </w: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2"/>
      </w:pPr>
      <w:r>
        <w:t xml:space="preserve">Spoločnosť </w:t>
      </w:r>
      <w:r w:rsidR="00D83AE3">
        <w:t>v roku 2014  vykonávala činnosť</w:t>
      </w:r>
    </w:p>
    <w:p w:rsidR="00BD600C" w:rsidRDefault="00BD600C">
      <w:pPr>
        <w:pStyle w:val="Zkladntext2"/>
      </w:pPr>
    </w:p>
    <w:p w:rsidR="00BD600C" w:rsidRDefault="00BD600C">
      <w:pPr>
        <w:spacing w:before="1" w:line="280" w:lineRule="exact"/>
        <w:jc w:val="both"/>
        <w:rPr>
          <w:rFonts w:ascii="Arial" w:hAnsi="Arial" w:cs="Arial"/>
        </w:rPr>
      </w:pPr>
    </w:p>
    <w:p w:rsidR="00BD600C" w:rsidRDefault="00BD600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BD600C" w:rsidRDefault="00BD600C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BD600C" w:rsidRDefault="00BD600C">
      <w:pPr>
        <w:spacing w:before="11" w:line="260" w:lineRule="exact"/>
        <w:jc w:val="both"/>
        <w:rPr>
          <w:rFonts w:ascii="Arial" w:hAnsi="Arial" w:cs="Arial"/>
        </w:rPr>
      </w:pPr>
    </w:p>
    <w:p w:rsidR="00BD600C" w:rsidRDefault="00BD600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nemá účtované výnimočné výnosy a náklady. 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dlhodobé záväzky s dobou splatnosti dlhšou ako päť rokov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lastRenderedPageBreak/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D600C" w:rsidRDefault="00BD600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sectPr w:rsidR="00BD600C" w:rsidSect="00BD600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260" w:rsidRDefault="000902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90260" w:rsidRDefault="000902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0C" w:rsidRDefault="0008238E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08238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BD600C" w:rsidRDefault="00BD600C">
                <w:pPr>
                  <w:pStyle w:val="Zkladn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 w:rsidR="0008238E"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 w:rsidR="0008238E">
                  <w:rPr>
                    <w:rFonts w:ascii="Times New Roman" w:hAnsi="Times New Roman" w:cs="Times New Roman"/>
                  </w:rPr>
                  <w:fldChar w:fldCharType="separate"/>
                </w:r>
                <w:r w:rsidR="009373FD">
                  <w:rPr>
                    <w:rFonts w:ascii="Times New Roman" w:hAnsi="Times New Roman" w:cs="Times New Roman"/>
                    <w:noProof/>
                  </w:rPr>
                  <w:t>4</w:t>
                </w:r>
                <w:r w:rsidR="0008238E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260" w:rsidRDefault="000902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90260" w:rsidRDefault="000902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  <w:p w:rsidR="00BD600C" w:rsidRDefault="00BD600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73FD">
      <w:rPr>
        <w:rFonts w:ascii="Arial" w:hAnsi="Arial" w:cs="Arial"/>
        <w:sz w:val="22"/>
        <w:szCs w:val="22"/>
        <w:bdr w:val="single" w:sz="4" w:space="0" w:color="auto"/>
      </w:rPr>
      <w:t>36300497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373FD">
      <w:rPr>
        <w:rFonts w:ascii="Arial" w:hAnsi="Arial" w:cs="Arial"/>
        <w:sz w:val="22"/>
        <w:szCs w:val="22"/>
        <w:bdr w:val="single" w:sz="4" w:space="0" w:color="auto"/>
      </w:rPr>
      <w:t>2020111588</w:t>
    </w:r>
  </w:p>
  <w:p w:rsidR="00BD600C" w:rsidRDefault="00BD600C">
    <w:pPr>
      <w:pStyle w:val="Hlavika"/>
      <w:rPr>
        <w:rFonts w:ascii="Times New Roman" w:hAnsi="Times New Roman" w:cs="Times New Roman"/>
        <w:sz w:val="24"/>
        <w:szCs w:val="24"/>
      </w:rPr>
    </w:pPr>
  </w:p>
  <w:p w:rsidR="00BD600C" w:rsidRDefault="00BD600C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D600C"/>
    <w:rsid w:val="0008238E"/>
    <w:rsid w:val="00090260"/>
    <w:rsid w:val="000A72FC"/>
    <w:rsid w:val="00176DF0"/>
    <w:rsid w:val="00285080"/>
    <w:rsid w:val="003577E6"/>
    <w:rsid w:val="00490271"/>
    <w:rsid w:val="007C2A47"/>
    <w:rsid w:val="008A352C"/>
    <w:rsid w:val="009373FD"/>
    <w:rsid w:val="00A562FA"/>
    <w:rsid w:val="00BD600C"/>
    <w:rsid w:val="00C104FB"/>
    <w:rsid w:val="00C24916"/>
    <w:rsid w:val="00D83AE3"/>
    <w:rsid w:val="00DB2ED1"/>
    <w:rsid w:val="00F26EB4"/>
    <w:rsid w:val="00F83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271"/>
    <w:pPr>
      <w:widowControl w:val="0"/>
    </w:pPr>
    <w:rPr>
      <w:rFonts w:ascii="Calibri" w:hAnsi="Calibri" w:cs="Calibri"/>
      <w:lang w:val="sk-SK"/>
    </w:rPr>
  </w:style>
  <w:style w:type="paragraph" w:styleId="Nadpis1">
    <w:name w:val="heading 1"/>
    <w:basedOn w:val="Normlny"/>
    <w:link w:val="Nadpis1Char"/>
    <w:uiPriority w:val="99"/>
    <w:qFormat/>
    <w:rsid w:val="00490271"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90271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rsid w:val="00490271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0271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  <w:rsid w:val="00490271"/>
  </w:style>
  <w:style w:type="paragraph" w:customStyle="1" w:styleId="TableParagraph">
    <w:name w:val="Table Paragraph"/>
    <w:basedOn w:val="Normlny"/>
    <w:uiPriority w:val="99"/>
    <w:rsid w:val="00490271"/>
  </w:style>
  <w:style w:type="paragraph" w:styleId="Hlavika">
    <w:name w:val="header"/>
    <w:basedOn w:val="Normlny"/>
    <w:link w:val="HlavikaChar"/>
    <w:uiPriority w:val="99"/>
    <w:rsid w:val="004902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0271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902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0271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rsid w:val="00490271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0271"/>
    <w:rPr>
      <w:rFonts w:ascii="Calibri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A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A47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</w:pPr>
    <w:rPr>
      <w:rFonts w:ascii="Calibri" w:hAnsi="Calibri" w:cs="Calibri"/>
      <w:lang w:val="sk-SK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Pr>
      <w:rFonts w:ascii="Calibri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A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A47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11</cp:revision>
  <cp:lastPrinted>2015-06-21T14:44:00Z</cp:lastPrinted>
  <dcterms:created xsi:type="dcterms:W3CDTF">2015-03-22T18:14:00Z</dcterms:created>
  <dcterms:modified xsi:type="dcterms:W3CDTF">2015-06-21T14:45:00Z</dcterms:modified>
</cp:coreProperties>
</file>