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sz w:val="28"/>
          <w:szCs w:val="28"/>
        </w:rPr>
        <w:t xml:space="preserve">                                      </w:t>
      </w:r>
      <w:r>
        <w:rPr>
          <w:b/>
          <w:sz w:val="28"/>
          <w:szCs w:val="28"/>
        </w:rPr>
        <w:t xml:space="preserve">Poznámky </w:t>
      </w:r>
      <w:r>
        <w:rPr>
          <w:b/>
        </w:rPr>
        <w:t xml:space="preserve"> k 31.12.2014</w:t>
      </w:r>
    </w:p>
    <w:p>
      <w:pPr>
        <w:pStyle w:val="style0"/>
      </w:pPr>
      <w:r>
        <w:rPr/>
        <w:t xml:space="preserve">  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                             </w:t>
      </w:r>
      <w:r>
        <w:rPr>
          <w:b/>
        </w:rPr>
        <w:t>Čl. I</w:t>
      </w:r>
    </w:p>
    <w:p>
      <w:pPr>
        <w:pStyle w:val="style0"/>
      </w:pPr>
      <w:r>
        <w:rPr>
          <w:b/>
        </w:rPr>
        <w:t xml:space="preserve">                                                   </w:t>
      </w:r>
      <w:r>
        <w:rPr>
          <w:b/>
        </w:rPr>
        <w:t>Všeobecné údaje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</w:rPr>
        <w:t>1.</w:t>
      </w:r>
      <w:r>
        <w:rPr/>
        <w:t xml:space="preserve">  </w:t>
      </w:r>
      <w:r>
        <w:rPr>
          <w:b/>
        </w:rPr>
        <w:t>Názov Neziskovej organizácie</w:t>
      </w:r>
      <w:r>
        <w:rPr/>
        <w:t xml:space="preserve">  : </w:t>
        <w:tab/>
      </w:r>
      <w:r>
        <w:rPr>
          <w:b/>
        </w:rPr>
        <w:t>DIEŤA V NEMOCNICI,  n.o</w:t>
      </w:r>
      <w:r>
        <w:rPr/>
        <w:t xml:space="preserve">         </w:t>
      </w:r>
    </w:p>
    <w:p>
      <w:pPr>
        <w:pStyle w:val="style0"/>
      </w:pPr>
      <w:r>
        <w:rPr/>
        <w:t xml:space="preserve">     </w:t>
      </w:r>
      <w:r>
        <w:rPr/>
        <w:t xml:space="preserve">Sídlo:                                             Tr. SNP 1,040 11 Košice - Západ                           </w:t>
      </w:r>
    </w:p>
    <w:p>
      <w:pPr>
        <w:pStyle w:val="style0"/>
      </w:pPr>
      <w:r>
        <w:rPr/>
        <w:t xml:space="preserve">     </w:t>
      </w:r>
      <w:r>
        <w:rPr/>
        <w:t xml:space="preserve">IČO: </w:t>
        <w:tab/>
        <w:tab/>
        <w:t xml:space="preserve">                        45739846   </w:t>
      </w:r>
    </w:p>
    <w:p>
      <w:pPr>
        <w:pStyle w:val="style0"/>
      </w:pPr>
      <w:r>
        <w:rPr>
          <w:b/>
        </w:rPr>
        <w:t xml:space="preserve">     </w:t>
      </w:r>
      <w:r>
        <w:rPr/>
        <w:t>DIČ:</w:t>
        <w:tab/>
        <w:tab/>
        <w:tab/>
        <w:t xml:space="preserve">           2024055440 </w:t>
      </w:r>
    </w:p>
    <w:p>
      <w:pPr>
        <w:pStyle w:val="style0"/>
      </w:pPr>
      <w:r>
        <w:rPr/>
        <w:t xml:space="preserve">    </w:t>
      </w:r>
      <w:r>
        <w:rPr>
          <w:b/>
        </w:rPr>
        <w:t xml:space="preserve"> </w:t>
      </w:r>
    </w:p>
    <w:p>
      <w:pPr>
        <w:pStyle w:val="style0"/>
      </w:pPr>
      <w:r>
        <w:rPr/>
        <w:t xml:space="preserve">     </w:t>
      </w:r>
      <w:r>
        <w:rPr/>
        <w:t xml:space="preserve">Zaregistrovaná:                             Obvodný úrad Košice , Komenského 52      </w:t>
      </w:r>
    </w:p>
    <w:p>
      <w:pPr>
        <w:pStyle w:val="style0"/>
      </w:pPr>
      <w:r>
        <w:rPr>
          <w:b/>
        </w:rPr>
        <w:t xml:space="preserve">                                                           </w:t>
      </w:r>
      <w:r>
        <w:rPr>
          <w:b/>
        </w:rPr>
        <w:t>041 26 Košice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</w:rPr>
        <w:t>2.</w:t>
      </w:r>
      <w:r>
        <w:rPr/>
        <w:t xml:space="preserve">  </w:t>
      </w:r>
      <w:r>
        <w:rPr>
          <w:b/>
        </w:rPr>
        <w:t>Orgánmi Neziskovej organizácie</w:t>
      </w:r>
      <w:r>
        <w:rPr/>
        <w:t>:</w:t>
      </w:r>
    </w:p>
    <w:p>
      <w:pPr>
        <w:pStyle w:val="style0"/>
      </w:pPr>
      <w:r>
        <w:rPr/>
        <w:t xml:space="preserve"> </w:t>
      </w:r>
    </w:p>
    <w:p>
      <w:pPr>
        <w:pStyle w:val="style0"/>
      </w:pPr>
      <w:r>
        <w:rPr/>
        <w:t>Správna rada:</w:t>
      </w:r>
    </w:p>
    <w:p>
      <w:pPr>
        <w:pStyle w:val="style0"/>
      </w:pPr>
      <w:r>
        <w:rPr/>
      </w:r>
    </w:p>
    <w:p>
      <w:pPr>
        <w:pStyle w:val="style0"/>
      </w:pPr>
      <w:r>
        <w:rPr/>
        <w:t>JUDr .Slavomír Vorobel, nar. 26.10.1971,Stropkovská 27 ,Košice</w:t>
      </w:r>
    </w:p>
    <w:p>
      <w:pPr>
        <w:pStyle w:val="style0"/>
      </w:pPr>
      <w:r>
        <w:rPr/>
        <w:t>Ing. Daniela Fürstenzellerová MBA,narodená 13.5.1972,Beniakova9, Košice</w:t>
      </w:r>
    </w:p>
    <w:p>
      <w:pPr>
        <w:pStyle w:val="style0"/>
      </w:pPr>
      <w:r>
        <w:rPr/>
        <w:t>JUDr. Gabriela Ballaschová, narodená 13.7.1955,Golianova 4,Košice</w:t>
      </w:r>
    </w:p>
    <w:p>
      <w:pPr>
        <w:pStyle w:val="style0"/>
      </w:pPr>
      <w:r>
        <w:rPr/>
        <w:t>Jana Kuľbagová, narodená 14.8.1973,Považská 2,Košice</w:t>
      </w:r>
    </w:p>
    <w:p>
      <w:pPr>
        <w:pStyle w:val="style0"/>
      </w:pPr>
      <w:r>
        <w:rPr/>
        <w:t xml:space="preserve">Monika Grantnerová, narodená 12.5.1971,Slobody 36,Košice  </w:t>
      </w:r>
    </w:p>
    <w:p>
      <w:pPr>
        <w:pStyle w:val="style0"/>
        <w:ind w:hanging="0" w:left="645" w:right="0"/>
      </w:pPr>
      <w:r>
        <w:rPr/>
        <w:t xml:space="preserve">                          </w:t>
      </w:r>
    </w:p>
    <w:p>
      <w:pPr>
        <w:pStyle w:val="style0"/>
      </w:pPr>
      <w:r>
        <w:rPr/>
        <w:t xml:space="preserve">Revízor  :         </w:t>
      </w:r>
    </w:p>
    <w:p>
      <w:pPr>
        <w:pStyle w:val="style0"/>
      </w:pPr>
      <w:r>
        <w:rPr/>
      </w:r>
    </w:p>
    <w:p>
      <w:pPr>
        <w:pStyle w:val="style0"/>
      </w:pPr>
      <w:r>
        <w:rPr/>
        <w:t>Gabriela Heinrichová, narodená 11.7.1965,Jasov 551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Riaditeľka:   </w:t>
      </w:r>
    </w:p>
    <w:p>
      <w:pPr>
        <w:pStyle w:val="style0"/>
      </w:pPr>
      <w:r>
        <w:rPr/>
        <w:t xml:space="preserve">   </w:t>
      </w:r>
    </w:p>
    <w:p>
      <w:pPr>
        <w:pStyle w:val="style0"/>
      </w:pPr>
      <w:r>
        <w:rPr/>
        <w:t xml:space="preserve">MUDr. Ingrid Urbančíková PhD, MPH, narodená 12.6.1967, Moravská 83, Košice                                                   </w:t>
      </w:r>
    </w:p>
    <w:p>
      <w:pPr>
        <w:pStyle w:val="style0"/>
        <w:ind w:hanging="0" w:left="285" w:right="0"/>
      </w:pPr>
      <w:r>
        <w:rPr/>
        <w:t xml:space="preserve">                             </w:t>
      </w:r>
    </w:p>
    <w:p>
      <w:pPr>
        <w:pStyle w:val="style0"/>
        <w:jc w:val="both"/>
      </w:pPr>
      <w:r>
        <w:rPr>
          <w:b/>
        </w:rPr>
        <w:t>Nezisková organizácia nemá zamestnancov.</w:t>
      </w:r>
    </w:p>
    <w:p>
      <w:pPr>
        <w:pStyle w:val="style0"/>
        <w:jc w:val="both"/>
      </w:pPr>
      <w:r>
        <w:rPr/>
        <w:t>V hodnotenom období v roku 2014 odmeny za výkon funkcie riaditeľky  a iných orgánov neboli vyplatené.</w:t>
      </w:r>
    </w:p>
    <w:p>
      <w:pPr>
        <w:pStyle w:val="style0"/>
        <w:ind w:hanging="0" w:left="285" w:right="0"/>
      </w:pPr>
      <w:r>
        <w:rPr/>
      </w:r>
    </w:p>
    <w:p>
      <w:pPr>
        <w:pStyle w:val="style0"/>
        <w:ind w:hanging="0" w:left="285" w:right="0"/>
      </w:pPr>
      <w:r>
        <w:rPr/>
      </w:r>
    </w:p>
    <w:p>
      <w:pPr>
        <w:pStyle w:val="style0"/>
      </w:pPr>
      <w:r>
        <w:rPr>
          <w:b/>
        </w:rPr>
        <w:t>3.  Hlavnou úlohou Neziskovej organizácie je poskytovanie všeobecne prospešných       služieb v oblasti  zdravotnej, sociálnej a humanitárnej starostlivosti ,vzdelávania a rozvoja telesnej kultúry.</w:t>
      </w:r>
    </w:p>
    <w:p>
      <w:pPr>
        <w:pStyle w:val="style0"/>
      </w:pPr>
      <w:r>
        <w:rPr/>
        <w:t xml:space="preserve">   </w:t>
      </w:r>
    </w:p>
    <w:p>
      <w:pPr>
        <w:pStyle w:val="style0"/>
      </w:pPr>
      <w:r>
        <w:rPr/>
        <w:t xml:space="preserve">     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</w:t>
      </w:r>
    </w:p>
    <w:p>
      <w:pPr>
        <w:pStyle w:val="style0"/>
      </w:pPr>
      <w:r>
        <w:rPr>
          <w:b/>
        </w:rPr>
        <w:t xml:space="preserve">                                                           </w:t>
      </w:r>
      <w:r>
        <w:rPr>
          <w:b/>
        </w:rPr>
        <w:t>Čl. II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</w:rPr>
        <w:t xml:space="preserve">                              </w:t>
      </w:r>
      <w:r>
        <w:rPr>
          <w:b/>
        </w:rPr>
        <w:t>Informácie o účtovných zásadách a metódach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jc w:val="both"/>
      </w:pPr>
      <w:r>
        <w:rPr/>
        <w:t xml:space="preserve">Dôvod pre zostavenie účtov. závierky: </w:t>
      </w:r>
      <w:r>
        <w:rPr>
          <w:b/>
        </w:rPr>
        <w:t>§ 16 zákona o účtovníctve-riadna</w:t>
      </w:r>
    </w:p>
    <w:p>
      <w:pPr>
        <w:pStyle w:val="style0"/>
        <w:jc w:val="both"/>
      </w:pPr>
      <w:r>
        <w:rPr/>
        <w:t>Účtovná závierka bola zostavená za predpokladu nepretržitého pokračovania v činnosti.</w:t>
      </w:r>
    </w:p>
    <w:p>
      <w:pPr>
        <w:pStyle w:val="style0"/>
        <w:jc w:val="both"/>
      </w:pPr>
      <w:r>
        <w:rPr/>
      </w:r>
    </w:p>
    <w:p>
      <w:pPr>
        <w:pStyle w:val="style0"/>
        <w:ind w:hanging="0" w:left="-390" w:right="0"/>
        <w:jc w:val="both"/>
      </w:pPr>
      <w:r>
        <w:rPr/>
        <w:t xml:space="preserve">     </w:t>
      </w:r>
      <w:r>
        <w:rPr/>
        <w:t>1. Zmeny účtovných metód a zásad s uvedením dôvodov týchto zmien a vyčíslením</w:t>
      </w:r>
    </w:p>
    <w:p>
      <w:pPr>
        <w:pStyle w:val="style0"/>
        <w:jc w:val="both"/>
      </w:pPr>
      <w:r>
        <w:rPr/>
        <w:t xml:space="preserve">     </w:t>
      </w:r>
      <w:r>
        <w:rPr/>
        <w:t>peňažných súm týchto zmien ovplyvňujúcich výšku majetku, záväzkov a výsledku</w:t>
      </w:r>
    </w:p>
    <w:p>
      <w:pPr>
        <w:pStyle w:val="style0"/>
        <w:jc w:val="both"/>
      </w:pPr>
      <w:r>
        <w:rPr/>
        <w:t xml:space="preserve">     </w:t>
      </w:r>
      <w:r>
        <w:rPr/>
        <w:t>hospodárenie:  v roku 2014 neboli žiadne - len vyplývajúce zo zákona.</w:t>
      </w:r>
    </w:p>
    <w:p>
      <w:pPr>
        <w:pStyle w:val="style0"/>
        <w:jc w:val="both"/>
      </w:pPr>
      <w:r>
        <w:rPr/>
      </w:r>
    </w:p>
    <w:p>
      <w:pPr>
        <w:pStyle w:val="style0"/>
        <w:ind w:hanging="0" w:left="-375" w:right="0"/>
        <w:jc w:val="both"/>
      </w:pPr>
      <w:r>
        <w:rPr/>
        <w:t xml:space="preserve">    </w:t>
      </w:r>
      <w:r>
        <w:rPr/>
        <w:t>2. Spôsob ocenenia jednotlivých položiek:</w:t>
      </w:r>
    </w:p>
    <w:p>
      <w:pPr>
        <w:pStyle w:val="style0"/>
        <w:jc w:val="both"/>
      </w:pPr>
      <w:r>
        <w:rPr/>
        <w:t xml:space="preserve">    </w:t>
      </w:r>
      <w:r>
        <w:rPr/>
        <w:t>- dlhodobý hmotný majetok získaný darovaním: ROC obstarávacou cenou</w:t>
      </w:r>
    </w:p>
    <w:p>
      <w:pPr>
        <w:pStyle w:val="style0"/>
        <w:jc w:val="both"/>
      </w:pPr>
      <w:r>
        <w:rPr/>
        <w:t xml:space="preserve">    </w:t>
      </w:r>
      <w:r>
        <w:rPr/>
        <w:t>- krátkodobý  finančný majetok: menovitou hodnotou</w:t>
      </w:r>
    </w:p>
    <w:p>
      <w:pPr>
        <w:pStyle w:val="style0"/>
        <w:jc w:val="both"/>
      </w:pPr>
      <w:r>
        <w:rPr/>
      </w:r>
    </w:p>
    <w:p>
      <w:pPr>
        <w:pStyle w:val="style0"/>
        <w:ind w:hanging="0" w:left="-345" w:right="0"/>
        <w:jc w:val="both"/>
      </w:pPr>
      <w:r>
        <w:rPr/>
        <w:t xml:space="preserve">    </w:t>
      </w:r>
      <w:r>
        <w:rPr/>
        <w:t xml:space="preserve">3. Pri obstarávacej cene majetku a pri ocenení vlastnými nákladmi položiek uvedených </w:t>
      </w:r>
    </w:p>
    <w:p>
      <w:pPr>
        <w:pStyle w:val="style0"/>
        <w:tabs>
          <w:tab w:leader="none" w:pos="0" w:val="left"/>
          <w:tab w:leader="none" w:pos="708" w:val="left"/>
        </w:tabs>
        <w:jc w:val="both"/>
      </w:pPr>
      <w:r>
        <w:rPr/>
        <w:t xml:space="preserve">    </w:t>
      </w:r>
      <w:r>
        <w:rPr/>
        <w:t>v odseku 2 sa uvádza cena obstarania a náklady súvisiace s obstaraním:</w:t>
      </w:r>
    </w:p>
    <w:p>
      <w:pPr>
        <w:pStyle w:val="style0"/>
        <w:jc w:val="both"/>
      </w:pPr>
      <w:r>
        <w:rPr/>
        <w:t xml:space="preserve">    </w:t>
      </w:r>
      <w:r>
        <w:rPr/>
        <w:t>Nezisková organizácia  nevlastní takýto majetok.</w:t>
      </w:r>
    </w:p>
    <w:p>
      <w:pPr>
        <w:pStyle w:val="style0"/>
        <w:jc w:val="both"/>
      </w:pPr>
      <w:r>
        <w:rPr/>
      </w:r>
    </w:p>
    <w:p>
      <w:pPr>
        <w:pStyle w:val="style0"/>
        <w:ind w:hanging="600" w:left="240" w:right="0"/>
        <w:jc w:val="both"/>
      </w:pPr>
      <w:r>
        <w:rPr/>
        <w:t xml:space="preserve">     </w:t>
      </w:r>
      <w:r>
        <w:rPr/>
        <w:t>4. Spôsob zostavenia odpisového plánu pre dlhodobý majetok, doba odpisovania,   sadzby</w:t>
      </w:r>
    </w:p>
    <w:p>
      <w:pPr>
        <w:pStyle w:val="style0"/>
        <w:jc w:val="both"/>
      </w:pPr>
      <w:r>
        <w:rPr/>
        <w:t xml:space="preserve">    </w:t>
      </w:r>
      <w:r>
        <w:rPr/>
        <w:t>odpisov a odpisové metódy pri stanovení účtovných odpisov.</w:t>
      </w:r>
    </w:p>
    <w:p>
      <w:pPr>
        <w:pStyle w:val="style0"/>
        <w:jc w:val="both"/>
      </w:pPr>
      <w:r>
        <w:rPr/>
        <w:t xml:space="preserve">    </w:t>
      </w:r>
      <w:r>
        <w:rPr/>
        <w:t>Nezisková organizácia  nevlastní majetok.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</w:r>
    </w:p>
    <w:p>
      <w:pPr>
        <w:pStyle w:val="style0"/>
        <w:tabs>
          <w:tab w:leader="none" w:pos="-2115" w:val="left"/>
          <w:tab w:leader="none" w:pos="-2040" w:val="left"/>
          <w:tab w:leader="none" w:pos="-1755" w:val="left"/>
          <w:tab w:leader="none" w:pos="-1575" w:val="left"/>
          <w:tab w:leader="none" w:pos="-942" w:val="left"/>
          <w:tab w:leader="none" w:pos="-792" w:val="left"/>
          <w:tab w:leader="none" w:pos="-642" w:val="left"/>
          <w:tab w:leader="none" w:pos="-492" w:val="left"/>
          <w:tab w:leader="none" w:pos="-342" w:val="left"/>
          <w:tab w:leader="none" w:pos="-192" w:val="left"/>
          <w:tab w:leader="none" w:pos="-42" w:val="left"/>
          <w:tab w:leader="none" w:pos="108" w:val="left"/>
          <w:tab w:leader="none" w:pos="258" w:val="left"/>
          <w:tab w:leader="none" w:pos="408" w:val="left"/>
          <w:tab w:leader="none" w:pos="558" w:val="left"/>
        </w:tabs>
        <w:ind w:hanging="135" w:left="-150" w:right="0"/>
        <w:jc w:val="both"/>
      </w:pPr>
      <w:r>
        <w:rPr/>
        <w:t xml:space="preserve">  </w:t>
      </w:r>
      <w:r>
        <w:rPr/>
        <w:t>5. Oceňovanie majetku obstaraného z dotácii: Nezisková organizácia  nevlastní takýto           majetok</w:t>
      </w:r>
    </w:p>
    <w:p>
      <w:pPr>
        <w:pStyle w:val="style0"/>
        <w:jc w:val="both"/>
      </w:pPr>
      <w:r>
        <w:rPr/>
      </w:r>
    </w:p>
    <w:p>
      <w:pPr>
        <w:pStyle w:val="style0"/>
        <w:tabs>
          <w:tab w:leader="none" w:pos="828" w:val="left"/>
          <w:tab w:leader="none" w:pos="948" w:val="left"/>
          <w:tab w:leader="none" w:pos="1068" w:val="left"/>
          <w:tab w:leader="none" w:pos="1188" w:val="left"/>
          <w:tab w:leader="none" w:pos="1308" w:val="left"/>
          <w:tab w:leader="none" w:pos="1428" w:val="left"/>
          <w:tab w:leader="none" w:pos="1548" w:val="left"/>
          <w:tab w:leader="none" w:pos="1560" w:val="left"/>
          <w:tab w:leader="none" w:pos="1668" w:val="left"/>
          <w:tab w:leader="none" w:pos="1788" w:val="left"/>
          <w:tab w:leader="none" w:pos="1908" w:val="left"/>
          <w:tab w:leader="none" w:pos="2028" w:val="left"/>
        </w:tabs>
        <w:ind w:hanging="345" w:left="120" w:right="0"/>
        <w:jc w:val="both"/>
      </w:pPr>
      <w:r>
        <w:rPr/>
        <w:t xml:space="preserve"> </w:t>
      </w:r>
      <w:r>
        <w:rPr/>
        <w:t>6.  Spôsob prepočtu údajov v cudzích menách na euro: Nezisková organizácia nevlastní majetok  v cudzích menách.</w:t>
      </w:r>
    </w:p>
    <w:p>
      <w:pPr>
        <w:pStyle w:val="style0"/>
        <w:jc w:val="both"/>
      </w:pPr>
      <w:r>
        <w:rPr/>
        <w:t xml:space="preserve">  </w:t>
      </w:r>
    </w:p>
    <w:p>
      <w:pPr>
        <w:pStyle w:val="style0"/>
        <w:jc w:val="both"/>
      </w:pPr>
      <w:r>
        <w:rPr/>
      </w:r>
    </w:p>
    <w:p>
      <w:pPr>
        <w:pStyle w:val="style0"/>
        <w:ind w:hanging="0" w:left="-210" w:right="0"/>
        <w:jc w:val="both"/>
      </w:pPr>
      <w:r>
        <w:rPr/>
        <w:t xml:space="preserve"> </w:t>
      </w:r>
      <w:r>
        <w:rPr/>
        <w:t>7.  Pohľadávky, záväzky, peňažné prostriedky sú oceňované menovitou hodnotu.</w:t>
      </w:r>
    </w:p>
    <w:p>
      <w:pPr>
        <w:pStyle w:val="style0"/>
        <w:jc w:val="both"/>
      </w:pPr>
      <w:r>
        <w:rPr/>
        <w:t xml:space="preserve">     </w:t>
      </w:r>
    </w:p>
    <w:p>
      <w:pPr>
        <w:pStyle w:val="style0"/>
        <w:ind w:hanging="0" w:left="-225" w:right="0"/>
        <w:jc w:val="both"/>
      </w:pPr>
      <w:r>
        <w:rPr/>
        <w:t xml:space="preserve"> </w:t>
      </w:r>
      <w:r>
        <w:rPr/>
        <w:t xml:space="preserve">8.  Náklady, príjmy, výdavky a výnosy budúcich období sa vykazujú vo výške, ktorá je     </w:t>
      </w:r>
    </w:p>
    <w:p>
      <w:pPr>
        <w:pStyle w:val="style0"/>
        <w:jc w:val="both"/>
      </w:pPr>
      <w:r>
        <w:rPr/>
        <w:t xml:space="preserve">     </w:t>
      </w:r>
      <w:r>
        <w:rPr/>
        <w:t>potrebná na dodržiavanie zásady vecnej a časovej súvislosti s účtovným obdobím.</w:t>
      </w:r>
    </w:p>
    <w:p>
      <w:pPr>
        <w:pStyle w:val="style0"/>
        <w:jc w:val="both"/>
      </w:pPr>
      <w:r>
        <w:rPr/>
      </w:r>
    </w:p>
    <w:p>
      <w:pPr>
        <w:pStyle w:val="style0"/>
        <w:ind w:hanging="540" w:left="285" w:right="0"/>
        <w:jc w:val="both"/>
      </w:pPr>
      <w:r>
        <w:rPr/>
        <w:t xml:space="preserve"> </w:t>
      </w:r>
      <w:r>
        <w:rPr/>
        <w:t>9.  Rezervy tvoria sa na základe zásady opatrnosti. Oceňujú sa v očakávanej výške         záväzku.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  <w:t xml:space="preserve">                          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  <w:t xml:space="preserve">                                             </w:t>
      </w:r>
    </w:p>
    <w:p>
      <w:pPr>
        <w:pStyle w:val="style0"/>
        <w:jc w:val="both"/>
      </w:pPr>
      <w:r>
        <w:rPr/>
        <w:t xml:space="preserve">       </w:t>
      </w:r>
      <w:r>
        <w:rPr>
          <w:b/>
        </w:rPr>
        <w:t xml:space="preserve">                                               </w:t>
      </w:r>
      <w:r>
        <w:rPr>
          <w:b/>
        </w:rPr>
        <w:t>Čl.  III.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</w:rPr>
        <w:t xml:space="preserve">                                  </w:t>
      </w:r>
      <w:r>
        <w:rPr>
          <w:b/>
        </w:rPr>
        <w:t xml:space="preserve">Doplňujúce informácie k súvahe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1. Dlhodobý hmotný majetok a dlhodobý nehmotný majetok:</w:t>
      </w:r>
    </w:p>
    <w:p>
      <w:pPr>
        <w:pStyle w:val="style0"/>
      </w:pPr>
      <w:r>
        <w:rPr/>
        <w:t xml:space="preserve">   </w:t>
      </w:r>
      <w:r>
        <w:rPr/>
        <w:t xml:space="preserve">Nezisková organizácia v  roku  2014 neúčtovala o takomto majetku   </w:t>
      </w:r>
    </w:p>
    <w:p>
      <w:pPr>
        <w:pStyle w:val="style0"/>
      </w:pPr>
      <w:r>
        <w:rPr/>
        <w:t xml:space="preserve">    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2. Finančné účty:</w:t>
      </w:r>
      <w:r>
        <w:rPr/>
        <w:t xml:space="preserve">  </w:t>
      </w:r>
    </w:p>
    <w:p>
      <w:pPr>
        <w:pStyle w:val="style0"/>
      </w:pPr>
      <w:r>
        <w:rPr/>
      </w:r>
    </w:p>
    <w:p>
      <w:pPr>
        <w:pStyle w:val="style0"/>
      </w:pPr>
      <w:r>
        <w:rPr/>
        <w:t>Stav finančných prostriedkov:</w:t>
      </w:r>
    </w:p>
    <w:tbl>
      <w:tblPr>
        <w:jc w:val="left"/>
        <w:tblInd w:type="dxa" w:w="-1365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2928"/>
        <w:gridCol w:w="3155"/>
        <w:gridCol w:w="3166"/>
      </w:tblGrid>
      <w:tr>
        <w:trPr>
          <w:cantSplit w:val="false"/>
        </w:trPr>
        <w:tc>
          <w:tcPr>
            <w:tcW w:type="dxa" w:w="292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31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cantSplit w:val="false"/>
        </w:trPr>
        <w:tc>
          <w:tcPr>
            <w:tcW w:type="dxa" w:w="292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type="dxa" w:w="31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92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type="dxa" w:w="31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213"/>
          <w:cantSplit w:val="false"/>
        </w:trPr>
        <w:tc>
          <w:tcPr>
            <w:tcW w:type="dxa" w:w="292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6"/>
                <w:szCs w:val="16"/>
              </w:rPr>
              <w:t>Bežné bankové účty</w:t>
            </w:r>
          </w:p>
        </w:tc>
        <w:tc>
          <w:tcPr>
            <w:tcW w:type="dxa" w:w="31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  <w:t>16 074,06</w:t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  <w:t>5 481,66</w:t>
            </w:r>
          </w:p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92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type="dxa" w:w="31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92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type="dxa" w:w="31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92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>
                <w:rFonts w:ascii="Arial" w:hAnsi="Arial"/>
                <w:b/>
                <w:sz w:val="18"/>
                <w:szCs w:val="18"/>
              </w:rPr>
              <w:t>Spolu</w:t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1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  <w:t>16 074,06</w:t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  <w:t>5 481,66</w:t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Cs w:val="20"/>
        </w:rPr>
        <w:t xml:space="preserve">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Cs w:val="20"/>
        </w:rPr>
        <w:t xml:space="preserve">3. Vlastné zdroje krytia: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tbl>
      <w:tblPr>
        <w:jc w:val="left"/>
        <w:tblInd w:type="dxa" w:w="-1404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1548"/>
        <w:gridCol w:w="1548"/>
        <w:gridCol w:w="1936"/>
        <w:gridCol w:w="1137"/>
        <w:gridCol w:w="1546"/>
        <w:gridCol w:w="1574"/>
      </w:tblGrid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gridSpan w:val="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 xml:space="preserve">Fondy tvorené podľa </w:t>
            </w:r>
          </w:p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osobitného predpisu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gridSpan w:val="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tabs>
                <w:tab w:leader="none" w:pos="-153" w:val="left"/>
                <w:tab w:leader="none" w:pos="-30" w:val="left"/>
                <w:tab w:leader="none" w:pos="93" w:val="left"/>
                <w:tab w:leader="none" w:pos="216" w:val="left"/>
                <w:tab w:leader="none" w:pos="339" w:val="left"/>
                <w:tab w:leader="none" w:pos="462" w:val="left"/>
                <w:tab w:leader="none" w:pos="489" w:val="left"/>
                <w:tab w:leader="none" w:pos="585" w:val="left"/>
                <w:tab w:leader="none" w:pos="1065" w:val="left"/>
                <w:tab w:leader="none" w:pos="1131" w:val="left"/>
                <w:tab w:leader="none" w:pos="1773" w:val="left"/>
              </w:tabs>
              <w:ind w:hanging="0" w:left="-123" w:right="-3"/>
              <w:jc w:val="center"/>
            </w:pPr>
            <w:r>
              <w:rPr/>
              <w:t xml:space="preserve"> </w:t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82"/>
              <w:jc w:val="center"/>
            </w:pPr>
            <w:r>
              <w:rPr/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82"/>
              <w:numPr>
                <w:ilvl w:val="0"/>
                <w:numId w:val="1"/>
              </w:numPr>
              <w:tabs>
                <w:tab w:leader="none" w:pos="2205" w:val="left"/>
                <w:tab w:leader="none" w:pos="3702" w:val="left"/>
                <w:tab w:leader="none" w:pos="5199" w:val="left"/>
                <w:tab w:leader="none" w:pos="6696" w:val="left"/>
                <w:tab w:leader="none" w:pos="8193" w:val="left"/>
                <w:tab w:leader="none" w:pos="9690" w:val="left"/>
                <w:tab w:leader="none" w:pos="11187" w:val="left"/>
                <w:tab w:leader="none" w:pos="12684" w:val="left"/>
                <w:tab w:leader="none" w:pos="14181" w:val="left"/>
                <w:tab w:leader="none" w:pos="14970" w:val="left"/>
                <w:tab w:leader="none" w:pos="15678" w:val="left"/>
              </w:tabs>
              <w:ind w:hanging="1575" w:left="1497" w:right="-3"/>
              <w:jc w:val="center"/>
            </w:pPr>
            <w:r>
              <w:rPr/>
              <w:t>+5 481,66</w:t>
            </w:r>
          </w:p>
        </w:tc>
      </w:tr>
      <w:tr>
        <w:trPr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  <w:t>+5 481,66</w:t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 xml:space="preserve">            </w:t>
            </w:r>
            <w:r>
              <w:rPr/>
              <w:t>+1 124,31</w:t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  <w:t xml:space="preserve"> 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20"/>
                <w:szCs w:val="20"/>
              </w:rPr>
              <w:t>Spolu</w:t>
            </w:r>
          </w:p>
        </w:tc>
        <w:tc>
          <w:tcPr>
            <w:tcW w:type="dxa" w:w="154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  <w:t>+5 481,66</w:t>
            </w:r>
          </w:p>
        </w:tc>
        <w:tc>
          <w:tcPr>
            <w:tcW w:type="dxa" w:w="193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82"/>
              <w:jc w:val="center"/>
            </w:pPr>
            <w:r>
              <w:rPr/>
              <w:t>+1 124,31</w:t>
            </w:r>
          </w:p>
        </w:tc>
        <w:tc>
          <w:tcPr>
            <w:tcW w:type="dxa" w:w="113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4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5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jc w:val="center"/>
            </w:pPr>
            <w:r>
              <w:rPr/>
              <w:t>+6 605,97</w:t>
            </w:r>
          </w:p>
        </w:tc>
      </w:tr>
    </w:tbl>
    <w:p>
      <w:pPr>
        <w:pStyle w:val="style0"/>
        <w:jc w:val="center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 xml:space="preserve">4. </w:t>
      </w:r>
      <w:r>
        <w:rPr>
          <w:b/>
          <w:sz w:val="22"/>
          <w:szCs w:val="22"/>
        </w:rPr>
        <w:t>Tvorba a použitie</w:t>
      </w:r>
      <w:bookmarkStart w:id="0" w:name="_GoBack"/>
      <w:bookmarkEnd w:id="0"/>
      <w:r>
        <w:rPr>
          <w:b/>
          <w:sz w:val="22"/>
          <w:szCs w:val="22"/>
        </w:rPr>
        <w:t xml:space="preserve"> rezerv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tbl>
      <w:tblPr>
        <w:jc w:val="left"/>
        <w:tblInd w:type="dxa" w:w="-1223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1886"/>
        <w:gridCol w:w="1655"/>
        <w:gridCol w:w="1249"/>
        <w:gridCol w:w="1242"/>
        <w:gridCol w:w="1387"/>
        <w:gridCol w:w="1683"/>
      </w:tblGrid>
      <w:tr>
        <w:trPr>
          <w:cantSplit w:val="false"/>
        </w:trPr>
        <w:tc>
          <w:tcPr>
            <w:tcW w:type="dxa" w:w="188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type="dxa" w:w="16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type="dxa" w:w="124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type="dxa" w:w="124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type="dxa" w:w="138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type="dxa" w:w="168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rPr>
          <w:cantSplit w:val="false"/>
        </w:trPr>
        <w:tc>
          <w:tcPr>
            <w:tcW w:type="dxa" w:w="188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Rezerva na audit</w:t>
            </w:r>
          </w:p>
        </w:tc>
        <w:tc>
          <w:tcPr>
            <w:tcW w:type="dxa" w:w="16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8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8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type="dxa" w:w="16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8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8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Zákonné rezervy spolu</w:t>
            </w:r>
          </w:p>
        </w:tc>
        <w:tc>
          <w:tcPr>
            <w:tcW w:type="dxa" w:w="16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8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8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Ostatné rezervy spolu</w:t>
            </w:r>
          </w:p>
        </w:tc>
        <w:tc>
          <w:tcPr>
            <w:tcW w:type="dxa" w:w="16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8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489"/>
          <w:cantSplit w:val="false"/>
        </w:trPr>
        <w:tc>
          <w:tcPr>
            <w:tcW w:type="dxa" w:w="188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type="dxa" w:w="165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24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8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68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  <w:t>Rezervy. Nezisková organizácia  neúčtovala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Záväzky:</w:t>
      </w:r>
      <w:r>
        <w:rPr/>
        <w:t xml:space="preserve"> Nezisková organizácia nemá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5. Bankové úvery a výpomoci:</w:t>
      </w:r>
      <w:r>
        <w:rPr/>
        <w:t xml:space="preserve"> Nezisková organizácia nemá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6. Časové rozlíšenie:</w:t>
      </w:r>
      <w:r>
        <w:rPr/>
        <w:t xml:space="preserve"> Výnosy  bud. období (účet: 384). </w:t>
      </w:r>
    </w:p>
    <w:p>
      <w:pPr>
        <w:pStyle w:val="style0"/>
      </w:pPr>
      <w:r>
        <w:rPr/>
        <w:t xml:space="preserve">              </w:t>
      </w:r>
    </w:p>
    <w:p>
      <w:pPr>
        <w:pStyle w:val="style0"/>
      </w:pPr>
      <w:r>
        <w:rPr/>
        <w:t xml:space="preserve">                   </w:t>
      </w:r>
    </w:p>
    <w:p>
      <w:pPr>
        <w:pStyle w:val="style0"/>
      </w:pPr>
      <w:r>
        <w:rPr/>
      </w:r>
    </w:p>
    <w:tbl>
      <w:tblPr>
        <w:jc w:val="left"/>
        <w:tblInd w:type="dxa" w:w="-1365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2034"/>
        <w:gridCol w:w="2460"/>
        <w:gridCol w:w="1405"/>
        <w:gridCol w:w="1374"/>
        <w:gridCol w:w="1980"/>
      </w:tblGrid>
      <w:tr>
        <w:trPr>
          <w:cantSplit w:val="false"/>
        </w:trPr>
        <w:tc>
          <w:tcPr>
            <w:tcW w:type="dxa" w:w="20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type="dxa" w:w="24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type="dxa" w:w="140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type="dxa" w:w="13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type="dxa" w:w="198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>
        <w:trPr>
          <w:cantSplit w:val="false"/>
        </w:trPr>
        <w:tc>
          <w:tcPr>
            <w:tcW w:type="dxa" w:w="20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type="dxa" w:w="24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8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0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type="dxa" w:w="24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8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0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type="dxa" w:w="24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8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0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type="dxa" w:w="24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8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0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type="dxa" w:w="24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8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194"/>
          <w:cantSplit w:val="false"/>
        </w:trPr>
        <w:tc>
          <w:tcPr>
            <w:tcW w:type="dxa" w:w="20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4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8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281"/>
          <w:cantSplit w:val="false"/>
        </w:trPr>
        <w:tc>
          <w:tcPr>
            <w:tcW w:type="dxa" w:w="20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type="dxa" w:w="24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10 468,09</w:t>
            </w:r>
          </w:p>
        </w:tc>
        <w:tc>
          <w:tcPr>
            <w:tcW w:type="dxa" w:w="13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8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10 468,09</w:t>
            </w:r>
          </w:p>
        </w:tc>
      </w:tr>
      <w:tr>
        <w:trPr>
          <w:cantSplit w:val="false"/>
        </w:trPr>
        <w:tc>
          <w:tcPr>
            <w:tcW w:type="dxa" w:w="20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type="dxa" w:w="246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0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37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8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</w:t>
      </w:r>
      <w:r>
        <w:rPr/>
        <w:t xml:space="preserve">- príjmy budúcich období - Nezisková organizácia  neúčtovala                                                                                          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</w:t>
      </w:r>
      <w:r>
        <w:rPr/>
        <w:t xml:space="preserve">- výdavky budúcich období  -Nezisková  organizácia neúčtovala                                                                                    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                              </w:t>
      </w:r>
      <w:r>
        <w:rPr>
          <w:b/>
        </w:rPr>
        <w:t xml:space="preserve">   </w:t>
      </w:r>
      <w:r>
        <w:rPr>
          <w:b/>
        </w:rPr>
        <w:t>Čl. IV.</w:t>
      </w:r>
    </w:p>
    <w:p>
      <w:pPr>
        <w:pStyle w:val="style0"/>
      </w:pPr>
      <w:r>
        <w:rPr/>
        <w:t xml:space="preserve">                                     </w:t>
      </w:r>
      <w:r>
        <w:rPr/>
        <w:t>Doplňujúce údaje vo výkaze ziskov a strát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1. Výnosy, náklady:</w:t>
      </w:r>
    </w:p>
    <w:p>
      <w:pPr>
        <w:pStyle w:val="style0"/>
      </w:pPr>
      <w:r>
        <w:rPr>
          <w:b/>
        </w:rPr>
        <w:t xml:space="preserve">    </w:t>
      </w:r>
    </w:p>
    <w:p>
      <w:pPr>
        <w:pStyle w:val="style0"/>
      </w:pPr>
      <w:r>
        <w:rPr/>
        <w:t xml:space="preserve">     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</w:t>
      </w:r>
      <w:r>
        <w:rPr/>
        <w:t xml:space="preserve">- tržby za vlastné výkony: </w:t>
        <w:tab/>
        <w:t>Nezisková organizácia  nemá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ind w:firstLine="284" w:left="0" w:right="0"/>
      </w:pPr>
      <w:r>
        <w:rPr/>
        <w:t xml:space="preserve">- iné významné výnosy: </w:t>
        <w:tab/>
        <w:t xml:space="preserve">prijaté príspevky z podielu zaplatenej dane           4 595,80  €      </w:t>
      </w:r>
    </w:p>
    <w:p>
      <w:pPr>
        <w:pStyle w:val="style0"/>
        <w:ind w:hanging="0" w:left="2832" w:right="0"/>
      </w:pPr>
      <w:r>
        <w:rPr/>
        <w:t>prijaté príspevky od iných organizácií:                  3 020,00  €</w:t>
      </w:r>
    </w:p>
    <w:p>
      <w:pPr>
        <w:pStyle w:val="style0"/>
        <w:ind w:hanging="0" w:left="2832" w:right="0"/>
      </w:pPr>
      <w:r>
        <w:rPr/>
        <w:t>úroky                                                                             1,37  €</w:t>
      </w:r>
    </w:p>
    <w:p>
      <w:pPr>
        <w:pStyle w:val="style0"/>
      </w:pPr>
      <w:r>
        <w:rPr>
          <w:i/>
        </w:rPr>
        <w:t xml:space="preserve">   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ind w:hanging="105" w:left="90" w:right="0"/>
      </w:pPr>
      <w:r>
        <w:rPr/>
        <w:t>-   ostatné služby /odmena za notársky úkon./                                                         51,60 €                                                     -  iné ostatné náklady  / popl.,zráž.daň,pokuta a pod./                                             8,55 €               -  nákup posteľného prádla ,uterákov,terap.pomôcok                                       6 388,91 €</w:t>
      </w:r>
    </w:p>
    <w:p>
      <w:pPr>
        <w:pStyle w:val="style0"/>
        <w:ind w:hanging="105" w:left="90" w:right="0"/>
      </w:pPr>
      <w:r>
        <w:rPr/>
        <w:t>-  tlač na billboard- darujte vaše 2%                                                                        43,56 €</w:t>
      </w:r>
    </w:p>
    <w:p>
      <w:pPr>
        <w:pStyle w:val="style0"/>
      </w:pPr>
      <w:r>
        <w:rPr/>
        <w:t xml:space="preserve"> </w:t>
      </w:r>
      <w:r>
        <w:rPr/>
        <w:t>-  daň z úrokov                                                                                                          0,24 €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Cs w:val="20"/>
        </w:rPr>
        <w:t xml:space="preserve">2.   Tabuľka o účele a výške použitia podielu zaplatenej dane </w:t>
      </w:r>
    </w:p>
    <w:p>
      <w:pPr>
        <w:pStyle w:val="style0"/>
      </w:pPr>
      <w:r>
        <w:rPr>
          <w:b/>
          <w:i/>
          <w:szCs w:val="20"/>
        </w:rPr>
        <w:t xml:space="preserve">   </w:t>
      </w:r>
    </w:p>
    <w:tbl>
      <w:tblPr>
        <w:jc w:val="left"/>
        <w:tblInd w:type="dxa" w:w="-1389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3834"/>
        <w:gridCol w:w="2712"/>
        <w:gridCol w:w="3294"/>
      </w:tblGrid>
      <w:tr>
        <w:trPr>
          <w:trHeight w:hRule="atLeast" w:val="831"/>
          <w:cantSplit w:val="false"/>
        </w:trPr>
        <w:tc>
          <w:tcPr>
            <w:tcW w:type="dxa" w:w="38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type="dxa" w:w="271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Použitá suma z bezprostredne predchádzajúceho účtovného obdobia</w:t>
            </w:r>
          </w:p>
        </w:tc>
        <w:tc>
          <w:tcPr>
            <w:tcW w:type="dxa" w:w="329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hRule="atLeast" w:val="1074"/>
          <w:cantSplit w:val="false"/>
        </w:trPr>
        <w:tc>
          <w:tcPr>
            <w:tcW w:type="dxa" w:w="38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71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</w:pPr>
            <w:r>
              <w:rPr/>
            </w:r>
          </w:p>
        </w:tc>
        <w:tc>
          <w:tcPr>
            <w:tcW w:type="dxa" w:w="329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750"/>
          <w:cantSplit w:val="false"/>
        </w:trPr>
        <w:tc>
          <w:tcPr>
            <w:tcW w:type="dxa" w:w="38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ind w:hanging="0" w:left="0" w:right="1857"/>
              <w:jc w:val="center"/>
            </w:pPr>
            <w:r>
              <w:rPr>
                <w:rFonts w:ascii="Arial" w:hAnsi="Arial"/>
                <w:sz w:val="18"/>
                <w:szCs w:val="18"/>
              </w:rPr>
              <w:t xml:space="preserve">Nákup  posteľného    prádla </w:t>
            </w:r>
          </w:p>
        </w:tc>
        <w:tc>
          <w:tcPr>
            <w:tcW w:type="dxa" w:w="271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0,00</w:t>
            </w:r>
          </w:p>
        </w:tc>
        <w:tc>
          <w:tcPr>
            <w:tcW w:type="dxa" w:w="329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4 595,80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83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</w:rPr>
              <w:t>Zostatok podielu zaplatenej dane bežného          účtovného obdobia</w:t>
            </w:r>
          </w:p>
          <w:p>
            <w:pPr>
              <w:pStyle w:val="style0"/>
              <w:ind w:hanging="0" w:left="-2093" w:right="0"/>
              <w:jc w:val="center"/>
            </w:pPr>
            <w:r>
              <w:rPr/>
            </w:r>
          </w:p>
        </w:tc>
        <w:tc>
          <w:tcPr>
            <w:tcW w:type="dxa" w:w="2726"/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  <w:t xml:space="preserve">                                                              </w:t>
            </w:r>
            <w:r>
              <w:rPr/>
              <w:t>10 468,09</w:t>
            </w:r>
          </w:p>
          <w:p>
            <w:pPr>
              <w:pStyle w:val="style0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  <w:t>Nezisková organizácia účtovala  o použití zaplatenej dane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>3. Náklady vynaložené v súvislosti s auditom účtovnej závierky:</w:t>
      </w:r>
    </w:p>
    <w:p>
      <w:pPr>
        <w:pStyle w:val="style0"/>
      </w:pPr>
      <w:r>
        <w:rPr/>
      </w:r>
    </w:p>
    <w:tbl>
      <w:tblPr>
        <w:jc w:val="left"/>
        <w:tblInd w:type="dxa" w:w="-1365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</w:tblBorders>
      </w:tblPr>
      <w:tblGrid>
        <w:gridCol w:w="5727"/>
        <w:gridCol w:w="3508"/>
      </w:tblGrid>
      <w:tr>
        <w:trPr>
          <w:cantSplit w:val="false"/>
        </w:trPr>
        <w:tc>
          <w:tcPr>
            <w:tcW w:type="dxa" w:w="572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type="dxa" w:w="35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Arial" w:hAnsi="Arial"/>
                <w:b/>
                <w:sz w:val="18"/>
                <w:szCs w:val="18"/>
              </w:rPr>
              <w:t>Suma</w:t>
            </w:r>
          </w:p>
        </w:tc>
      </w:tr>
      <w:tr>
        <w:trPr>
          <w:cantSplit w:val="false"/>
        </w:trPr>
        <w:tc>
          <w:tcPr>
            <w:tcW w:type="dxa" w:w="572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type="dxa" w:w="35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2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uisťovacie audítorské služby s výnimkou overenia účtovnej závierky</w:t>
            </w:r>
          </w:p>
        </w:tc>
        <w:tc>
          <w:tcPr>
            <w:tcW w:type="dxa" w:w="35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2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type="dxa" w:w="35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2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type="dxa" w:w="35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2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type="dxa" w:w="35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572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</w:pPr>
            <w:r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type="dxa" w:w="350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  <w:t>Nezisková organizácia  v  roku 2014 nemala povinnosť auditu.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                   </w:t>
      </w:r>
      <w:r>
        <w:rPr>
          <w:b/>
        </w:rPr>
        <w:t>Čl.  V.VI.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</w:t>
      </w:r>
      <w:r>
        <w:rPr/>
        <w:t>Opis údajov na podsúvahových účtoch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             </w:t>
      </w:r>
      <w:r>
        <w:rPr/>
        <w:t>Ďalšie informácie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numPr>
          <w:ilvl w:val="0"/>
          <w:numId w:val="2"/>
        </w:numPr>
      </w:pPr>
      <w:r>
        <w:rPr>
          <w:b/>
          <w:i/>
        </w:rPr>
        <w:t>Prenajatý majetok a majetok zachytený na podsúvahových účtoch:</w:t>
      </w:r>
      <w:r>
        <w:rPr/>
        <w:t xml:space="preserve"> Nezisková organizácia  nemá</w:t>
      </w:r>
    </w:p>
    <w:p>
      <w:pPr>
        <w:pStyle w:val="style0"/>
        <w:tabs>
          <w:tab w:leader="none" w:pos="0" w:val="left"/>
          <w:tab w:leader="none" w:pos="30" w:val="left"/>
          <w:tab w:leader="none" w:pos="45" w:val="left"/>
          <w:tab w:leader="none" w:pos="90" w:val="left"/>
          <w:tab w:leader="none" w:pos="105" w:val="left"/>
          <w:tab w:leader="none" w:pos="708" w:val="left"/>
        </w:tabs>
      </w:pPr>
      <w:r>
        <w:rPr/>
      </w:r>
    </w:p>
    <w:p>
      <w:pPr>
        <w:pStyle w:val="style0"/>
        <w:tabs>
          <w:tab w:leader="none" w:pos="1083" w:val="left"/>
          <w:tab w:leader="none" w:pos="1458" w:val="left"/>
          <w:tab w:leader="none" w:pos="1833" w:val="left"/>
          <w:tab w:leader="none" w:pos="2208" w:val="left"/>
          <w:tab w:leader="none" w:pos="2583" w:val="left"/>
          <w:tab w:leader="none" w:pos="2625" w:val="left"/>
          <w:tab w:leader="none" w:pos="2655" w:val="left"/>
          <w:tab w:leader="none" w:pos="2670" w:val="left"/>
          <w:tab w:leader="none" w:pos="2715" w:val="left"/>
          <w:tab w:leader="none" w:pos="2730" w:val="left"/>
          <w:tab w:leader="none" w:pos="2958" w:val="left"/>
          <w:tab w:leader="none" w:pos="3333" w:val="left"/>
        </w:tabs>
        <w:ind w:hanging="360" w:left="375" w:right="0"/>
      </w:pPr>
      <w:r>
        <w:rPr>
          <w:b/>
          <w:i/>
        </w:rPr>
        <w:t xml:space="preserve">2.  </w:t>
      </w:r>
      <w:bookmarkStart w:id="1" w:name="__DdeLink__693_904441893"/>
      <w:bookmarkEnd w:id="1"/>
      <w:r>
        <w:rPr>
          <w:b/>
          <w:i/>
        </w:rPr>
        <w:t>Prípadné  ďalšie záväzky:     Nezisková organizácia  nemá</w:t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</w:rPr>
        <w:t xml:space="preserve">      </w:t>
      </w:r>
      <w:r>
        <w:rPr>
          <w:b/>
          <w:i/>
        </w:rPr>
        <w:t>3. Ostatné finančné povinnosti:</w:t>
      </w:r>
      <w:r>
        <w:rPr/>
        <w:t xml:space="preserve">  Nezisková organizácia  nemá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ind w:hanging="0" w:left="465" w:right="0"/>
      </w:pPr>
      <w:r>
        <w:rPr/>
      </w:r>
    </w:p>
    <w:p>
      <w:pPr>
        <w:pStyle w:val="style0"/>
      </w:pPr>
      <w:r>
        <w:rPr/>
        <w:t xml:space="preserve">                                                            </w:t>
      </w:r>
    </w:p>
    <w:sectPr>
      <w:headerReference r:id="rId2" w:type="default"/>
      <w:type w:val="nextPage"/>
      <w:pgSz w:h="16838" w:w="11906"/>
      <w:pgMar w:bottom="1417" w:footer="0" w:gutter="0" w:header="708" w:left="1620" w:right="1421" w:top="1417"/>
      <w:pgNumType w:fmt="decimal"/>
      <w:formProt w:val="false"/>
      <w:textDirection w:val="lrTb"/>
      <w:docGrid w:charSpace="0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Times New Roman">
    <w:charset w:val="80"/>
    <w:family w:val="roman"/>
    <w:pitch w:val="variable"/>
  </w:font>
  <w:font w:name="Courier New">
    <w:charset w:val="80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80"/>
    </w:pPr>
    <w:r>
      <w:rPr/>
    </w:r>
  </w:p>
  <w:p>
    <w:pPr>
      <w:pStyle w:val="style0"/>
      <w:keepNext/>
    </w:pPr>
    <w:r>
      <w:rPr>
        <w:sz w:val="22"/>
        <w:szCs w:val="22"/>
      </w:rPr>
      <w:t>Poznámky (Úč  NUJ 3 – 01)</w:t>
    </w:r>
  </w:p>
  <w:p>
    <w:pPr>
      <w:pStyle w:val="style0"/>
      <w:keepNext/>
      <w:jc w:val="right"/>
    </w:pPr>
    <w:r>
      <w:rPr>
        <w:b/>
        <w:bCs/>
        <w:sz w:val="22"/>
        <w:szCs w:val="22"/>
      </w:rPr>
      <w:t>IČO  45739846</w:t>
    </w:r>
  </w:p>
  <w:p>
    <w:pPr>
      <w:pStyle w:val="style0"/>
      <w:keepNext/>
    </w:pPr>
    <w:r>
      <w:rPr/>
    </w:r>
  </w:p>
  <w:p>
    <w:pPr>
      <w:pStyle w:val="style0"/>
      <w:keepNext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6"/>
      <w:numFmt w:val="bullet"/>
      <w:lvlText w:val="-"/>
      <w:lvlJc w:val="left"/>
      <w:pPr>
        <w:ind w:hanging="360" w:left="645"/>
      </w:pPr>
      <w:rPr>
        <w:rFonts w:ascii="Times New Roman" w:cs="Times New Roman" w:hAnsi="Times New Roman" w:hint="default"/>
      </w:rPr>
    </w:lvl>
    <w:lvl w:ilvl="1">
      <w:start w:val="1"/>
      <w:numFmt w:val="bullet"/>
      <w:lvlText w:val="o"/>
      <w:lvlJc w:val="left"/>
      <w:pPr>
        <w:ind w:hanging="360" w:left="1365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085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05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525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245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4965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685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05"/>
      </w:pPr>
      <w:rPr>
        <w:rFonts w:ascii="Wingdings" w:cs="Wingdings" w:hAnsi="Wingdings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pos="720" w:val="num"/>
        </w:tabs>
        <w:ind w:hanging="360" w:left="720"/>
      </w:pPr>
    </w:lvl>
    <w:lvl w:ilvl="1">
      <w:start w:val="1"/>
      <w:numFmt w:val="decimal"/>
      <w:lvlText w:val="%2."/>
      <w:lvlJc w:val="left"/>
      <w:pPr>
        <w:tabs>
          <w:tab w:pos="1080" w:val="num"/>
        </w:tabs>
        <w:ind w:hanging="360" w:left="1080"/>
      </w:pPr>
    </w:lvl>
    <w:lvl w:ilvl="2">
      <w:start w:val="1"/>
      <w:numFmt w:val="decimal"/>
      <w:lvlText w:val="%3."/>
      <w:lvlJc w:val="left"/>
      <w:pPr>
        <w:tabs>
          <w:tab w:pos="1440" w:val="num"/>
        </w:tabs>
        <w:ind w:hanging="360" w:left="1440"/>
      </w:pPr>
    </w:lvl>
    <w:lvl w:ilvl="3">
      <w:start w:val="1"/>
      <w:numFmt w:val="decimal"/>
      <w:lvlText w:val="%4."/>
      <w:lvlJc w:val="left"/>
      <w:pPr>
        <w:tabs>
          <w:tab w:pos="1800" w:val="num"/>
        </w:tabs>
        <w:ind w:hanging="360" w:left="1800"/>
      </w:pPr>
    </w:lvl>
    <w:lvl w:ilvl="4">
      <w:start w:val="1"/>
      <w:numFmt w:val="decimal"/>
      <w:lvlText w:val="%5."/>
      <w:lvlJc w:val="left"/>
      <w:pPr>
        <w:tabs>
          <w:tab w:pos="2160" w:val="num"/>
        </w:tabs>
        <w:ind w:hanging="360" w:left="2160"/>
      </w:pPr>
    </w:lvl>
    <w:lvl w:ilvl="5">
      <w:start w:val="1"/>
      <w:numFmt w:val="decimal"/>
      <w:lvlText w:val="%6."/>
      <w:lvlJc w:val="left"/>
      <w:pPr>
        <w:tabs>
          <w:tab w:pos="2520" w:val="num"/>
        </w:tabs>
        <w:ind w:hanging="360" w:left="2520"/>
      </w:pPr>
    </w:lvl>
    <w:lvl w:ilvl="6">
      <w:start w:val="1"/>
      <w:numFmt w:val="decimal"/>
      <w:lvlText w:val="%7."/>
      <w:lvlJc w:val="left"/>
      <w:pPr>
        <w:tabs>
          <w:tab w:pos="2880" w:val="num"/>
        </w:tabs>
        <w:ind w:hanging="360" w:left="2880"/>
      </w:pPr>
    </w:lvl>
    <w:lvl w:ilvl="7">
      <w:start w:val="1"/>
      <w:numFmt w:val="decimal"/>
      <w:lvlText w:val="%8."/>
      <w:lvlJc w:val="left"/>
      <w:pPr>
        <w:tabs>
          <w:tab w:pos="3240" w:val="num"/>
        </w:tabs>
        <w:ind w:hanging="360" w:left="3240"/>
      </w:pPr>
    </w:lvl>
    <w:lvl w:ilvl="8">
      <w:start w:val="1"/>
      <w:numFmt w:val="decimal"/>
      <w:lvlText w:val="%9."/>
      <w:lvlJc w:val="left"/>
      <w:pPr>
        <w:tabs>
          <w:tab w:pos="3600" w:val="num"/>
        </w:tabs>
        <w:ind w:hanging="360" w:left="360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>
        <w:tab w:leader="none" w:pos="708" w:val="left"/>
      </w:tabs>
      <w:suppressAutoHyphens w:val="true"/>
    </w:pPr>
    <w:rPr>
      <w:rFonts w:ascii="Times New Roman" w:cs="Times New Roman" w:eastAsia="Times New Roman" w:hAnsi="Times New Roman"/>
      <w:color w:val="00000A"/>
      <w:sz w:val="24"/>
      <w:szCs w:val="24"/>
      <w:lang w:bidi="ar-SA" w:eastAsia="sk-SK" w:val="sk-SK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>
      <w:sz w:val="24"/>
      <w:szCs w:val="24"/>
    </w:rPr>
  </w:style>
  <w:style w:styleId="style17" w:type="character">
    <w:name w:val="Päta Char"/>
    <w:basedOn w:val="style15"/>
    <w:next w:val="style17"/>
    <w:rPr>
      <w:sz w:val="24"/>
      <w:szCs w:val="24"/>
    </w:rPr>
  </w:style>
  <w:style w:styleId="style18" w:type="character">
    <w:name w:val="Text bubliny Char"/>
    <w:basedOn w:val="style15"/>
    <w:next w:val="style18"/>
    <w:rPr>
      <w:rFonts w:ascii="Tahoma" w:cs="Tahoma" w:hAnsi="Tahoma"/>
      <w:sz w:val="16"/>
      <w:szCs w:val="16"/>
    </w:rPr>
  </w:style>
  <w:style w:styleId="style19" w:type="character">
    <w:name w:val="ListLabel 1"/>
    <w:next w:val="style19"/>
    <w:rPr>
      <w:rFonts w:cs="Times New Roman" w:eastAsia="Times New Roman"/>
    </w:rPr>
  </w:style>
  <w:style w:styleId="style20" w:type="character">
    <w:name w:val="ListLabel 2"/>
    <w:next w:val="style20"/>
    <w:rPr>
      <w:rFonts w:cs="Courier New"/>
    </w:rPr>
  </w:style>
  <w:style w:styleId="style21" w:type="character">
    <w:name w:val="ListLabel 3"/>
    <w:next w:val="style21"/>
    <w:rPr>
      <w:rFonts w:cs="Times New Roman"/>
    </w:rPr>
  </w:style>
  <w:style w:styleId="style22" w:type="character">
    <w:name w:val="ListLabel 4"/>
    <w:next w:val="style22"/>
    <w:rPr>
      <w:rFonts w:cs="Courier New"/>
    </w:rPr>
  </w:style>
  <w:style w:styleId="style23" w:type="character">
    <w:name w:val="ListLabel 5"/>
    <w:next w:val="style23"/>
    <w:rPr>
      <w:rFonts w:cs="Wingdings"/>
    </w:rPr>
  </w:style>
  <w:style w:styleId="style24" w:type="character">
    <w:name w:val="ListLabel 6"/>
    <w:next w:val="style24"/>
    <w:rPr>
      <w:rFonts w:cs="Symbol"/>
    </w:rPr>
  </w:style>
  <w:style w:styleId="style25" w:type="character">
    <w:name w:val="Odrážky"/>
    <w:next w:val="style25"/>
    <w:rPr>
      <w:rFonts w:ascii="OpenSymbol" w:cs="OpenSymbol" w:eastAsia="OpenSymbol" w:hAnsi="OpenSymbol"/>
    </w:rPr>
  </w:style>
  <w:style w:styleId="style26" w:type="character">
    <w:name w:val="ListLabel 7"/>
    <w:next w:val="style26"/>
    <w:rPr>
      <w:rFonts w:cs="Times New Roman"/>
    </w:rPr>
  </w:style>
  <w:style w:styleId="style27" w:type="character">
    <w:name w:val="ListLabel 8"/>
    <w:next w:val="style27"/>
    <w:rPr>
      <w:rFonts w:cs="Courier New"/>
    </w:rPr>
  </w:style>
  <w:style w:styleId="style28" w:type="character">
    <w:name w:val="ListLabel 9"/>
    <w:next w:val="style28"/>
    <w:rPr>
      <w:rFonts w:cs="Wingdings"/>
    </w:rPr>
  </w:style>
  <w:style w:styleId="style29" w:type="character">
    <w:name w:val="ListLabel 10"/>
    <w:next w:val="style29"/>
    <w:rPr>
      <w:rFonts w:cs="Symbol"/>
    </w:rPr>
  </w:style>
  <w:style w:styleId="style30" w:type="character">
    <w:name w:val="ListLabel 11"/>
    <w:next w:val="style30"/>
    <w:rPr>
      <w:rFonts w:cs="Times New Roman"/>
    </w:rPr>
  </w:style>
  <w:style w:styleId="style31" w:type="character">
    <w:name w:val="ListLabel 12"/>
    <w:next w:val="style31"/>
    <w:rPr>
      <w:rFonts w:cs="Courier New"/>
    </w:rPr>
  </w:style>
  <w:style w:styleId="style32" w:type="character">
    <w:name w:val="ListLabel 13"/>
    <w:next w:val="style32"/>
    <w:rPr>
      <w:rFonts w:cs="Wingdings"/>
    </w:rPr>
  </w:style>
  <w:style w:styleId="style33" w:type="character">
    <w:name w:val="ListLabel 14"/>
    <w:next w:val="style33"/>
    <w:rPr>
      <w:rFonts w:cs="Symbol"/>
    </w:rPr>
  </w:style>
  <w:style w:styleId="style34" w:type="character">
    <w:name w:val="ListLabel 15"/>
    <w:next w:val="style34"/>
    <w:rPr>
      <w:rFonts w:cs="Times New Roman"/>
    </w:rPr>
  </w:style>
  <w:style w:styleId="style35" w:type="character">
    <w:name w:val="ListLabel 16"/>
    <w:next w:val="style35"/>
    <w:rPr>
      <w:rFonts w:cs="Courier New"/>
    </w:rPr>
  </w:style>
  <w:style w:styleId="style36" w:type="character">
    <w:name w:val="ListLabel 17"/>
    <w:next w:val="style36"/>
    <w:rPr>
      <w:rFonts w:cs="Wingdings"/>
    </w:rPr>
  </w:style>
  <w:style w:styleId="style37" w:type="character">
    <w:name w:val="ListLabel 18"/>
    <w:next w:val="style37"/>
    <w:rPr>
      <w:rFonts w:cs="Symbol"/>
    </w:rPr>
  </w:style>
  <w:style w:styleId="style38" w:type="character">
    <w:name w:val="ListLabel 19"/>
    <w:next w:val="style38"/>
    <w:rPr>
      <w:rFonts w:cs="Times New Roman"/>
    </w:rPr>
  </w:style>
  <w:style w:styleId="style39" w:type="character">
    <w:name w:val="ListLabel 20"/>
    <w:next w:val="style39"/>
    <w:rPr>
      <w:rFonts w:cs="Courier New"/>
    </w:rPr>
  </w:style>
  <w:style w:styleId="style40" w:type="character">
    <w:name w:val="ListLabel 21"/>
    <w:next w:val="style40"/>
    <w:rPr>
      <w:rFonts w:cs="Wingdings"/>
    </w:rPr>
  </w:style>
  <w:style w:styleId="style41" w:type="character">
    <w:name w:val="ListLabel 22"/>
    <w:next w:val="style41"/>
    <w:rPr>
      <w:rFonts w:cs="Symbol"/>
    </w:rPr>
  </w:style>
  <w:style w:styleId="style42" w:type="character">
    <w:name w:val="ListLabel 23"/>
    <w:next w:val="style42"/>
    <w:rPr>
      <w:rFonts w:cs="Times New Roman"/>
    </w:rPr>
  </w:style>
  <w:style w:styleId="style43" w:type="character">
    <w:name w:val="ListLabel 24"/>
    <w:next w:val="style43"/>
    <w:rPr>
      <w:rFonts w:cs="Courier New"/>
    </w:rPr>
  </w:style>
  <w:style w:styleId="style44" w:type="character">
    <w:name w:val="ListLabel 25"/>
    <w:next w:val="style44"/>
    <w:rPr>
      <w:rFonts w:cs="Wingdings"/>
    </w:rPr>
  </w:style>
  <w:style w:styleId="style45" w:type="character">
    <w:name w:val="ListLabel 26"/>
    <w:next w:val="style45"/>
    <w:rPr>
      <w:rFonts w:cs="Symbol"/>
    </w:rPr>
  </w:style>
  <w:style w:styleId="style46" w:type="character">
    <w:name w:val="ListLabel 27"/>
    <w:next w:val="style46"/>
    <w:rPr>
      <w:rFonts w:cs="Times New Roman"/>
    </w:rPr>
  </w:style>
  <w:style w:styleId="style47" w:type="character">
    <w:name w:val="ListLabel 28"/>
    <w:next w:val="style47"/>
    <w:rPr>
      <w:rFonts w:cs="Courier New"/>
    </w:rPr>
  </w:style>
  <w:style w:styleId="style48" w:type="character">
    <w:name w:val="ListLabel 29"/>
    <w:next w:val="style48"/>
    <w:rPr>
      <w:rFonts w:cs="Wingdings"/>
    </w:rPr>
  </w:style>
  <w:style w:styleId="style49" w:type="character">
    <w:name w:val="ListLabel 30"/>
    <w:next w:val="style49"/>
    <w:rPr>
      <w:rFonts w:cs="Symbol"/>
    </w:rPr>
  </w:style>
  <w:style w:styleId="style50" w:type="character">
    <w:name w:val="ListLabel 31"/>
    <w:next w:val="style50"/>
    <w:rPr>
      <w:rFonts w:cs="Times New Roman"/>
    </w:rPr>
  </w:style>
  <w:style w:styleId="style51" w:type="character">
    <w:name w:val="ListLabel 32"/>
    <w:next w:val="style51"/>
    <w:rPr>
      <w:rFonts w:cs="Courier New"/>
    </w:rPr>
  </w:style>
  <w:style w:styleId="style52" w:type="character">
    <w:name w:val="ListLabel 33"/>
    <w:next w:val="style52"/>
    <w:rPr>
      <w:rFonts w:cs="Wingdings"/>
    </w:rPr>
  </w:style>
  <w:style w:styleId="style53" w:type="character">
    <w:name w:val="ListLabel 34"/>
    <w:next w:val="style53"/>
    <w:rPr>
      <w:rFonts w:cs="Symbol"/>
    </w:rPr>
  </w:style>
  <w:style w:styleId="style54" w:type="character">
    <w:name w:val="ListLabel 35"/>
    <w:next w:val="style54"/>
    <w:rPr>
      <w:rFonts w:cs="Times New Roman"/>
    </w:rPr>
  </w:style>
  <w:style w:styleId="style55" w:type="character">
    <w:name w:val="ListLabel 36"/>
    <w:next w:val="style55"/>
    <w:rPr>
      <w:rFonts w:cs="Courier New"/>
    </w:rPr>
  </w:style>
  <w:style w:styleId="style56" w:type="character">
    <w:name w:val="ListLabel 37"/>
    <w:next w:val="style56"/>
    <w:rPr>
      <w:rFonts w:cs="Wingdings"/>
    </w:rPr>
  </w:style>
  <w:style w:styleId="style57" w:type="character">
    <w:name w:val="ListLabel 38"/>
    <w:next w:val="style57"/>
    <w:rPr>
      <w:rFonts w:cs="Symbol"/>
    </w:rPr>
  </w:style>
  <w:style w:styleId="style58" w:type="character">
    <w:name w:val="ListLabel 39"/>
    <w:next w:val="style58"/>
    <w:rPr>
      <w:rFonts w:cs="Times New Roman"/>
    </w:rPr>
  </w:style>
  <w:style w:styleId="style59" w:type="character">
    <w:name w:val="ListLabel 40"/>
    <w:next w:val="style59"/>
    <w:rPr>
      <w:rFonts w:cs="Courier New"/>
    </w:rPr>
  </w:style>
  <w:style w:styleId="style60" w:type="character">
    <w:name w:val="ListLabel 41"/>
    <w:next w:val="style60"/>
    <w:rPr>
      <w:rFonts w:cs="Wingdings"/>
    </w:rPr>
  </w:style>
  <w:style w:styleId="style61" w:type="character">
    <w:name w:val="ListLabel 42"/>
    <w:next w:val="style61"/>
    <w:rPr>
      <w:rFonts w:cs="Symbol"/>
    </w:rPr>
  </w:style>
  <w:style w:styleId="style62" w:type="character">
    <w:name w:val="ListLabel 43"/>
    <w:next w:val="style62"/>
    <w:rPr>
      <w:rFonts w:cs="Times New Roman"/>
    </w:rPr>
  </w:style>
  <w:style w:styleId="style63" w:type="character">
    <w:name w:val="ListLabel 44"/>
    <w:next w:val="style63"/>
    <w:rPr>
      <w:rFonts w:cs="Courier New"/>
    </w:rPr>
  </w:style>
  <w:style w:styleId="style64" w:type="character">
    <w:name w:val="ListLabel 45"/>
    <w:next w:val="style64"/>
    <w:rPr>
      <w:rFonts w:cs="Wingdings"/>
    </w:rPr>
  </w:style>
  <w:style w:styleId="style65" w:type="character">
    <w:name w:val="ListLabel 46"/>
    <w:next w:val="style65"/>
    <w:rPr>
      <w:rFonts w:cs="Symbol"/>
    </w:rPr>
  </w:style>
  <w:style w:styleId="style66" w:type="character">
    <w:name w:val="ListLabel 47"/>
    <w:next w:val="style66"/>
    <w:rPr>
      <w:rFonts w:cs="Times New Roman"/>
    </w:rPr>
  </w:style>
  <w:style w:styleId="style67" w:type="character">
    <w:name w:val="ListLabel 48"/>
    <w:next w:val="style67"/>
    <w:rPr>
      <w:rFonts w:cs="Courier New"/>
    </w:rPr>
  </w:style>
  <w:style w:styleId="style68" w:type="character">
    <w:name w:val="ListLabel 49"/>
    <w:next w:val="style68"/>
    <w:rPr>
      <w:rFonts w:cs="Wingdings"/>
    </w:rPr>
  </w:style>
  <w:style w:styleId="style69" w:type="character">
    <w:name w:val="ListLabel 50"/>
    <w:next w:val="style69"/>
    <w:rPr>
      <w:rFonts w:cs="Symbol"/>
    </w:rPr>
  </w:style>
  <w:style w:styleId="style70" w:type="character">
    <w:name w:val="ListLabel 51"/>
    <w:next w:val="style70"/>
    <w:rPr>
      <w:rFonts w:cs="Times New Roman"/>
    </w:rPr>
  </w:style>
  <w:style w:styleId="style71" w:type="character">
    <w:name w:val="ListLabel 52"/>
    <w:next w:val="style71"/>
    <w:rPr>
      <w:rFonts w:cs="Courier New"/>
    </w:rPr>
  </w:style>
  <w:style w:styleId="style72" w:type="character">
    <w:name w:val="ListLabel 53"/>
    <w:next w:val="style72"/>
    <w:rPr>
      <w:rFonts w:cs="Wingdings"/>
    </w:rPr>
  </w:style>
  <w:style w:styleId="style73" w:type="character">
    <w:name w:val="ListLabel 54"/>
    <w:next w:val="style73"/>
    <w:rPr>
      <w:rFonts w:cs="Symbol"/>
    </w:rPr>
  </w:style>
  <w:style w:styleId="style74" w:type="paragraph">
    <w:name w:val="Nadpis"/>
    <w:basedOn w:val="style0"/>
    <w:next w:val="style75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75" w:type="paragraph">
    <w:name w:val="Telo textu"/>
    <w:basedOn w:val="style0"/>
    <w:next w:val="style75"/>
    <w:pPr>
      <w:spacing w:after="120" w:before="0"/>
    </w:pPr>
    <w:rPr/>
  </w:style>
  <w:style w:styleId="style76" w:type="paragraph">
    <w:name w:val="Zoznam"/>
    <w:basedOn w:val="style75"/>
    <w:next w:val="style76"/>
    <w:pPr/>
    <w:rPr>
      <w:rFonts w:cs="Mangal"/>
    </w:rPr>
  </w:style>
  <w:style w:styleId="style77" w:type="paragraph">
    <w:name w:val="Popis"/>
    <w:basedOn w:val="style0"/>
    <w:next w:val="style77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78" w:type="paragraph">
    <w:name w:val="Index"/>
    <w:basedOn w:val="style0"/>
    <w:next w:val="style78"/>
    <w:pPr>
      <w:suppressLineNumbers/>
    </w:pPr>
    <w:rPr>
      <w:rFonts w:cs="Mangal"/>
    </w:rPr>
  </w:style>
  <w:style w:styleId="style79" w:type="paragraph">
    <w:name w:val="caption"/>
    <w:basedOn w:val="style0"/>
    <w:next w:val="style79"/>
    <w:pPr>
      <w:suppressLineNumbers/>
      <w:spacing w:after="120" w:before="120"/>
    </w:pPr>
    <w:rPr>
      <w:rFonts w:cs="Mangal"/>
      <w:i/>
      <w:iCs/>
    </w:rPr>
  </w:style>
  <w:style w:styleId="style80" w:type="paragraph">
    <w:name w:val="Hlavička"/>
    <w:basedOn w:val="style0"/>
    <w:next w:val="style80"/>
    <w:pPr>
      <w:suppressLineNumbers/>
      <w:tabs>
        <w:tab w:leader="none" w:pos="4536" w:val="center"/>
        <w:tab w:leader="none" w:pos="9072" w:val="right"/>
      </w:tabs>
    </w:pPr>
    <w:rPr/>
  </w:style>
  <w:style w:styleId="style81" w:type="paragraph">
    <w:name w:val="Päta"/>
    <w:basedOn w:val="style0"/>
    <w:next w:val="style81"/>
    <w:pPr>
      <w:suppressLineNumbers/>
      <w:tabs>
        <w:tab w:leader="none" w:pos="4536" w:val="center"/>
        <w:tab w:leader="none" w:pos="9072" w:val="right"/>
      </w:tabs>
    </w:pPr>
    <w:rPr/>
  </w:style>
  <w:style w:styleId="style82" w:type="paragraph">
    <w:name w:val="List Paragraph"/>
    <w:basedOn w:val="style0"/>
    <w:next w:val="style82"/>
    <w:pPr>
      <w:ind w:hanging="0" w:left="720" w:right="0"/>
    </w:pPr>
    <w:rPr/>
  </w:style>
  <w:style w:styleId="style83" w:type="paragraph">
    <w:name w:val="Balloon Text"/>
    <w:basedOn w:val="style0"/>
    <w:next w:val="style83"/>
    <w:pPr/>
    <w:rPr>
      <w:rFonts w:ascii="Tahoma" w:cs="Tahoma" w:hAnsi="Tahoma"/>
      <w:sz w:val="16"/>
      <w:szCs w:val="1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LibreOffice/3.5$Windows_x86 LibreOffice_project/dc9775d-05ecbee-0851ad3-1586698-727bf66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2014-07-11T08:23:00.00Z</dcterms:created>
  <dc:creator>bartkova</dc:creator>
  <cp:lastModifiedBy>NAMESTNIKEU</cp:lastModifiedBy>
  <cp:lastPrinted>2015-06-10T14:22:20.30Z</cp:lastPrinted>
  <dcterms:modified xsi:type="dcterms:W3CDTF">2014-07-11T08:23:00.00Z</dcterms:modified>
  <cp:revision>2</cp:revision>
  <dc:title>Poznámky k 31</dc:title>
</cp:coreProperties>
</file>