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5F4" w:rsidRDefault="005F25F4">
      <w:pPr>
        <w:spacing w:before="2" w:line="140" w:lineRule="exact"/>
        <w:rPr>
          <w:rFonts w:ascii="Times New Roman" w:hAnsi="Times New Roman" w:cs="Times New Roman"/>
          <w:sz w:val="14"/>
          <w:szCs w:val="14"/>
          <w:lang w:val="en-US"/>
        </w:rPr>
      </w:pPr>
    </w:p>
    <w:p w:rsidR="005F25F4" w:rsidRDefault="005F2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Poznámky k mikro účtovnej závierke za rok 2014</w:t>
      </w:r>
    </w:p>
    <w:p w:rsidR="005F25F4" w:rsidRDefault="005F2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 w:cs="Arial Narrow"/>
          <w:b/>
          <w:bCs/>
        </w:rPr>
        <w:t>mikro účtovné jednotky</w:t>
      </w:r>
      <w:r>
        <w:rPr>
          <w:rFonts w:ascii="Arial Narrow" w:hAnsi="Arial Narrow" w:cs="Arial Narrow"/>
        </w:rPr>
        <w:t xml:space="preserve"> v znení neskorších predpisov</w:t>
      </w:r>
    </w:p>
    <w:p w:rsidR="005F25F4" w:rsidRDefault="005F2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(ostatná novela č.MF/18008/2014-74 – FS č.10/2014)</w:t>
      </w:r>
    </w:p>
    <w:p w:rsidR="005F25F4" w:rsidRDefault="005F25F4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5F25F4" w:rsidRDefault="005F25F4">
      <w:pPr>
        <w:pStyle w:val="Heading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5F25F4" w:rsidRDefault="005F25F4">
      <w:pPr>
        <w:ind w:right="841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Vš</w:t>
      </w:r>
      <w:r>
        <w:rPr>
          <w:rFonts w:ascii="Arial" w:hAnsi="Arial" w:cs="Arial"/>
          <w:b/>
          <w:bCs/>
          <w:spacing w:val="-2"/>
        </w:rPr>
        <w:t>e</w:t>
      </w:r>
      <w:r>
        <w:rPr>
          <w:rFonts w:ascii="Arial" w:hAnsi="Arial" w:cs="Arial"/>
          <w:b/>
          <w:bCs/>
        </w:rPr>
        <w:t>ob</w:t>
      </w:r>
      <w:r>
        <w:rPr>
          <w:rFonts w:ascii="Arial" w:hAnsi="Arial" w:cs="Arial"/>
          <w:b/>
          <w:bCs/>
          <w:spacing w:val="-1"/>
        </w:rPr>
        <w:t>ec</w:t>
      </w:r>
      <w:r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</w:rPr>
        <w:t>úda</w:t>
      </w:r>
      <w:r>
        <w:rPr>
          <w:rFonts w:ascii="Arial" w:hAnsi="Arial" w:cs="Arial"/>
          <w:b/>
          <w:bCs/>
          <w:spacing w:val="-1"/>
        </w:rPr>
        <w:t>j</w:t>
      </w:r>
      <w:r>
        <w:rPr>
          <w:rFonts w:ascii="Arial" w:hAnsi="Arial" w:cs="Arial"/>
          <w:b/>
          <w:bCs/>
        </w:rPr>
        <w:t>e</w:t>
      </w:r>
    </w:p>
    <w:p w:rsidR="005F25F4" w:rsidRDefault="005F25F4">
      <w:pPr>
        <w:spacing w:before="7" w:line="240" w:lineRule="exact"/>
        <w:jc w:val="both"/>
        <w:rPr>
          <w:rFonts w:ascii="Arial" w:hAnsi="Arial" w:cs="Arial"/>
        </w:rPr>
      </w:pPr>
    </w:p>
    <w:p w:rsidR="005F25F4" w:rsidRDefault="005F25F4">
      <w:pPr>
        <w:pStyle w:val="Body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5F25F4" w:rsidRDefault="005F25F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85"/>
        <w:gridCol w:w="6602"/>
      </w:tblGrid>
      <w:tr w:rsidR="005F25F4">
        <w:tc>
          <w:tcPr>
            <w:tcW w:w="3085" w:type="dxa"/>
          </w:tcPr>
          <w:p w:rsidR="005F25F4" w:rsidRDefault="005F25F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5F25F4" w:rsidRDefault="005F25F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POVSPOL SPEDITION s.r.o.</w:t>
            </w:r>
          </w:p>
        </w:tc>
      </w:tr>
      <w:tr w:rsidR="005F25F4">
        <w:tc>
          <w:tcPr>
            <w:tcW w:w="3085" w:type="dxa"/>
          </w:tcPr>
          <w:p w:rsidR="005F25F4" w:rsidRDefault="005F25F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5F25F4" w:rsidRDefault="005F25F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36346861</w:t>
            </w:r>
          </w:p>
        </w:tc>
      </w:tr>
      <w:tr w:rsidR="005F25F4">
        <w:tc>
          <w:tcPr>
            <w:tcW w:w="3085" w:type="dxa"/>
          </w:tcPr>
          <w:p w:rsidR="005F25F4" w:rsidRDefault="005F25F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5F25F4" w:rsidRDefault="005F25F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Stupné 29, 018 12</w:t>
            </w:r>
          </w:p>
        </w:tc>
      </w:tr>
    </w:tbl>
    <w:p w:rsidR="005F25F4" w:rsidRDefault="005F25F4">
      <w:pPr>
        <w:spacing w:line="260" w:lineRule="exact"/>
        <w:jc w:val="both"/>
        <w:rPr>
          <w:rFonts w:ascii="Arial" w:hAnsi="Arial" w:cs="Arial"/>
        </w:rPr>
      </w:pPr>
    </w:p>
    <w:p w:rsidR="005F25F4" w:rsidRDefault="005F25F4">
      <w:pPr>
        <w:spacing w:line="260" w:lineRule="exact"/>
        <w:jc w:val="both"/>
        <w:rPr>
          <w:rFonts w:ascii="Arial" w:hAnsi="Arial" w:cs="Arial"/>
        </w:rPr>
      </w:pPr>
    </w:p>
    <w:p w:rsidR="005F25F4" w:rsidRDefault="005F25F4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5F25F4" w:rsidRDefault="005F25F4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5F25F4" w:rsidRDefault="005F25F4">
      <w:pPr>
        <w:pStyle w:val="BodyText"/>
        <w:tabs>
          <w:tab w:val="left" w:pos="808"/>
        </w:tabs>
        <w:ind w:left="0" w:firstLine="0"/>
        <w:rPr>
          <w:rFonts w:ascii="Arial" w:hAnsi="Arial" w:cs="Arial"/>
          <w:i/>
          <w:iCs/>
          <w:spacing w:val="-5"/>
          <w:sz w:val="22"/>
          <w:szCs w:val="22"/>
        </w:rPr>
      </w:pPr>
      <w:r>
        <w:rPr>
          <w:rFonts w:ascii="Arial" w:hAnsi="Arial" w:cs="Arial"/>
          <w:i/>
          <w:iCs/>
          <w:spacing w:val="-5"/>
          <w:sz w:val="22"/>
          <w:szCs w:val="22"/>
        </w:rPr>
        <w:t xml:space="preserve">    Spoločnosť nie je v konsolidovanom celku.</w:t>
      </w:r>
    </w:p>
    <w:p w:rsidR="005F25F4" w:rsidRDefault="005F25F4">
      <w:pPr>
        <w:pStyle w:val="BodyText"/>
        <w:tabs>
          <w:tab w:val="left" w:pos="808"/>
        </w:tabs>
        <w:ind w:left="0" w:firstLine="0"/>
        <w:rPr>
          <w:rFonts w:ascii="Arial" w:hAnsi="Arial" w:cs="Arial"/>
          <w:i/>
          <w:iCs/>
          <w:spacing w:val="-5"/>
          <w:sz w:val="22"/>
          <w:szCs w:val="22"/>
        </w:rPr>
      </w:pPr>
    </w:p>
    <w:p w:rsidR="005F25F4" w:rsidRDefault="005F25F4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5F25F4" w:rsidRDefault="005F25F4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5F25F4" w:rsidRDefault="005F25F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19"/>
        <w:gridCol w:w="2126"/>
        <w:gridCol w:w="3342"/>
      </w:tblGrid>
      <w:tr w:rsidR="005F25F4">
        <w:tc>
          <w:tcPr>
            <w:tcW w:w="4219" w:type="dxa"/>
          </w:tcPr>
          <w:p w:rsidR="005F25F4" w:rsidRDefault="005F25F4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Názov</w:t>
            </w:r>
          </w:p>
        </w:tc>
        <w:tc>
          <w:tcPr>
            <w:tcW w:w="2126" w:type="dxa"/>
          </w:tcPr>
          <w:p w:rsidR="005F25F4" w:rsidRDefault="005F25F4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Bežné účtovné</w:t>
            </w:r>
          </w:p>
          <w:p w:rsidR="005F25F4" w:rsidRDefault="005F25F4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obdobie</w:t>
            </w:r>
          </w:p>
        </w:tc>
        <w:tc>
          <w:tcPr>
            <w:tcW w:w="3342" w:type="dxa"/>
          </w:tcPr>
          <w:p w:rsidR="005F25F4" w:rsidRDefault="005F25F4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Bezprostredne predchádzajúce účtovné obdobie</w:t>
            </w:r>
          </w:p>
        </w:tc>
      </w:tr>
      <w:tr w:rsidR="005F25F4">
        <w:tc>
          <w:tcPr>
            <w:tcW w:w="4219" w:type="dxa"/>
          </w:tcPr>
          <w:p w:rsidR="005F25F4" w:rsidRDefault="005F25F4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5F25F4" w:rsidRDefault="005F25F4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342" w:type="dxa"/>
          </w:tcPr>
          <w:p w:rsidR="005F25F4" w:rsidRDefault="005F25F4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5F25F4" w:rsidRDefault="005F25F4">
      <w:pPr>
        <w:spacing w:line="260" w:lineRule="exact"/>
        <w:jc w:val="both"/>
        <w:rPr>
          <w:rFonts w:ascii="Arial" w:hAnsi="Arial" w:cs="Arial"/>
        </w:rPr>
      </w:pPr>
    </w:p>
    <w:p w:rsidR="005F25F4" w:rsidRDefault="005F25F4">
      <w:pPr>
        <w:spacing w:before="1" w:line="280" w:lineRule="exact"/>
        <w:jc w:val="both"/>
        <w:rPr>
          <w:rFonts w:ascii="Arial" w:hAnsi="Arial" w:cs="Arial"/>
        </w:rPr>
      </w:pPr>
    </w:p>
    <w:p w:rsidR="005F25F4" w:rsidRDefault="005F25F4">
      <w:pPr>
        <w:pStyle w:val="Heading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5F25F4" w:rsidRDefault="005F25F4">
      <w:pPr>
        <w:ind w:right="836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</w:t>
      </w:r>
      <w:r>
        <w:rPr>
          <w:rFonts w:ascii="Arial" w:hAnsi="Arial" w:cs="Arial"/>
          <w:b/>
          <w:bCs/>
          <w:spacing w:val="1"/>
        </w:rPr>
        <w:t>f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  <w:spacing w:val="-4"/>
        </w:rPr>
        <w:t>m</w:t>
      </w:r>
      <w:r>
        <w:rPr>
          <w:rFonts w:ascii="Arial" w:hAnsi="Arial" w:cs="Arial"/>
          <w:b/>
          <w:bCs/>
        </w:rPr>
        <w:t>á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ie o p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</w:rPr>
        <w:t>ij</w:t>
      </w:r>
      <w:r>
        <w:rPr>
          <w:rFonts w:ascii="Arial" w:hAnsi="Arial" w:cs="Arial"/>
          <w:b/>
          <w:bCs/>
          <w:spacing w:val="1"/>
        </w:rPr>
        <w:t>a</w:t>
      </w:r>
      <w:r>
        <w:rPr>
          <w:rFonts w:ascii="Arial" w:hAnsi="Arial" w:cs="Arial"/>
          <w:b/>
          <w:bCs/>
        </w:rPr>
        <w:t>tý</w:t>
      </w:r>
      <w:r>
        <w:rPr>
          <w:rFonts w:ascii="Arial" w:hAnsi="Arial" w:cs="Arial"/>
          <w:b/>
          <w:bCs/>
          <w:spacing w:val="-2"/>
        </w:rPr>
        <w:t>c</w:t>
      </w:r>
      <w:r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  <w:spacing w:val="2"/>
        </w:rPr>
        <w:t xml:space="preserve"> </w:t>
      </w:r>
      <w:r>
        <w:rPr>
          <w:rFonts w:ascii="Arial" w:hAnsi="Arial" w:cs="Arial"/>
          <w:b/>
          <w:bCs/>
        </w:rPr>
        <w:t>postu</w:t>
      </w:r>
      <w:r>
        <w:rPr>
          <w:rFonts w:ascii="Arial" w:hAnsi="Arial" w:cs="Arial"/>
          <w:b/>
          <w:bCs/>
          <w:spacing w:val="1"/>
        </w:rPr>
        <w:t>p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h</w:t>
      </w:r>
    </w:p>
    <w:p w:rsidR="005F25F4" w:rsidRDefault="005F25F4">
      <w:pPr>
        <w:spacing w:before="11" w:line="260" w:lineRule="exact"/>
        <w:jc w:val="both"/>
        <w:rPr>
          <w:rFonts w:ascii="Arial" w:hAnsi="Arial" w:cs="Arial"/>
        </w:rPr>
      </w:pP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</w:t>
      </w: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Účtovná závierka bola vypracovaná za predpokladu nepretržitého trvania účtovnej jednotky K zmenám účtovných zásad a metód nedošlo.</w:t>
      </w: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43"/>
        <w:gridCol w:w="4844"/>
      </w:tblGrid>
      <w:tr w:rsidR="005F25F4">
        <w:tc>
          <w:tcPr>
            <w:tcW w:w="4843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Spôsob oceňovania</w:t>
            </w:r>
          </w:p>
        </w:tc>
      </w:tr>
      <w:tr w:rsidR="005F25F4">
        <w:tc>
          <w:tcPr>
            <w:tcW w:w="4843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5F25F4">
        <w:tc>
          <w:tcPr>
            <w:tcW w:w="4843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5F25F4">
        <w:tc>
          <w:tcPr>
            <w:tcW w:w="4843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5F25F4">
        <w:tc>
          <w:tcPr>
            <w:tcW w:w="4843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5F25F4">
        <w:tc>
          <w:tcPr>
            <w:tcW w:w="4843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5F25F4">
        <w:tc>
          <w:tcPr>
            <w:tcW w:w="4843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5F25F4">
        <w:tc>
          <w:tcPr>
            <w:tcW w:w="4843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5F25F4">
        <w:tc>
          <w:tcPr>
            <w:tcW w:w="4843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5F25F4">
        <w:tc>
          <w:tcPr>
            <w:tcW w:w="4843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5F25F4">
        <w:tc>
          <w:tcPr>
            <w:tcW w:w="4843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5F25F4">
        <w:tc>
          <w:tcPr>
            <w:tcW w:w="4843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5F25F4">
        <w:tc>
          <w:tcPr>
            <w:tcW w:w="4843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5F25F4" w:rsidRDefault="005F25F4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Odpisový plán</w:t>
      </w: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Majetok sa odpisuje podľa odpisového plánu, počas predpokladanej doby životnosti v trvaní 4,6 a 20 rokov. Majetok sa začína odpisovať počnúc mesiacom zaradenia do používania.</w:t>
      </w: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i/>
          <w:iCs/>
          <w:spacing w:val="-5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Účtovné metódy a všeobecné zásady boli konzistentne aplikované počas celého účtovného obdobia. o nákladoch a výnosoch sa účtuje v momente vzniku, bez ohľadu na dátum úhrady, inkasa alebo vyrovnania iným spôsobom. Dodržuje sa zásada časovej a vecnej súvislosti nákladov a výnosov.</w:t>
      </w: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pacing w:val="-1"/>
          <w:sz w:val="22"/>
          <w:szCs w:val="22"/>
        </w:rPr>
        <w:t>Spoločnosť nemá obsahovú náplň</w:t>
      </w: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</w:p>
    <w:p w:rsidR="005F25F4" w:rsidRDefault="005F25F4">
      <w:pPr>
        <w:spacing w:before="1" w:line="280" w:lineRule="exact"/>
        <w:jc w:val="both"/>
        <w:rPr>
          <w:rFonts w:ascii="Arial" w:hAnsi="Arial" w:cs="Arial"/>
        </w:rPr>
      </w:pPr>
    </w:p>
    <w:p w:rsidR="005F25F4" w:rsidRDefault="005F25F4">
      <w:pPr>
        <w:pStyle w:val="BodyText2"/>
      </w:pPr>
      <w:r>
        <w:t>Spoločnosť v roku 2014 neúčtovala o významných a nevýznamných chybách minulých účtovných období</w:t>
      </w:r>
    </w:p>
    <w:p w:rsidR="005F25F4" w:rsidRDefault="005F25F4">
      <w:pPr>
        <w:pStyle w:val="BodyText2"/>
      </w:pPr>
    </w:p>
    <w:p w:rsidR="005F25F4" w:rsidRDefault="005F25F4">
      <w:pPr>
        <w:spacing w:before="1" w:line="280" w:lineRule="exact"/>
        <w:jc w:val="both"/>
        <w:rPr>
          <w:rFonts w:ascii="Arial" w:hAnsi="Arial" w:cs="Arial"/>
        </w:rPr>
      </w:pPr>
    </w:p>
    <w:p w:rsidR="005F25F4" w:rsidRDefault="005F25F4">
      <w:pPr>
        <w:pStyle w:val="Heading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5F25F4" w:rsidRDefault="005F25F4">
      <w:pPr>
        <w:ind w:right="157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</w:t>
      </w:r>
      <w:r>
        <w:rPr>
          <w:rFonts w:ascii="Arial" w:hAnsi="Arial" w:cs="Arial"/>
          <w:b/>
          <w:bCs/>
          <w:spacing w:val="1"/>
        </w:rPr>
        <w:t>f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  <w:spacing w:val="-4"/>
        </w:rPr>
        <w:t>m</w:t>
      </w:r>
      <w:r>
        <w:rPr>
          <w:rFonts w:ascii="Arial" w:hAnsi="Arial" w:cs="Arial"/>
          <w:b/>
          <w:bCs/>
        </w:rPr>
        <w:t>á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</w:rPr>
        <w:t>vysv</w:t>
      </w:r>
      <w:r>
        <w:rPr>
          <w:rFonts w:ascii="Arial" w:hAnsi="Arial" w:cs="Arial"/>
          <w:b/>
          <w:bCs/>
          <w:spacing w:val="1"/>
        </w:rPr>
        <w:t>e</w:t>
      </w:r>
      <w:r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dop</w:t>
      </w:r>
      <w:r>
        <w:rPr>
          <w:rFonts w:ascii="Arial" w:hAnsi="Arial" w:cs="Arial"/>
          <w:b/>
          <w:bCs/>
          <w:spacing w:val="-2"/>
        </w:rPr>
        <w:t>ĺ</w:t>
      </w:r>
      <w:r>
        <w:rPr>
          <w:rFonts w:ascii="Arial" w:hAnsi="Arial" w:cs="Arial"/>
          <w:b/>
          <w:bCs/>
        </w:rPr>
        <w:t>ňa</w:t>
      </w:r>
      <w:r>
        <w:rPr>
          <w:rFonts w:ascii="Arial" w:hAnsi="Arial" w:cs="Arial"/>
          <w:b/>
          <w:bCs/>
          <w:spacing w:val="-1"/>
        </w:rPr>
        <w:t>j</w:t>
      </w:r>
      <w:r>
        <w:rPr>
          <w:rFonts w:ascii="Arial" w:hAnsi="Arial" w:cs="Arial"/>
          <w:b/>
          <w:bCs/>
        </w:rPr>
        <w:t>ú súv</w:t>
      </w:r>
      <w:r>
        <w:rPr>
          <w:rFonts w:ascii="Arial" w:hAnsi="Arial" w:cs="Arial"/>
          <w:b/>
          <w:bCs/>
          <w:spacing w:val="-3"/>
        </w:rPr>
        <w:t>a</w:t>
      </w:r>
      <w:r>
        <w:rPr>
          <w:rFonts w:ascii="Arial" w:hAnsi="Arial" w:cs="Arial"/>
          <w:b/>
          <w:bCs/>
          <w:spacing w:val="-2"/>
        </w:rPr>
        <w:t>h</w:t>
      </w:r>
      <w:r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výkaz</w:t>
      </w:r>
      <w:r>
        <w:rPr>
          <w:rFonts w:ascii="Arial" w:hAnsi="Arial" w:cs="Arial"/>
          <w:b/>
          <w:bCs/>
          <w:spacing w:val="-1"/>
        </w:rPr>
        <w:t xml:space="preserve"> z</w:t>
      </w:r>
      <w:r>
        <w:rPr>
          <w:rFonts w:ascii="Arial" w:hAnsi="Arial" w:cs="Arial"/>
          <w:b/>
          <w:bCs/>
        </w:rPr>
        <w:t>is</w:t>
      </w:r>
      <w:r>
        <w:rPr>
          <w:rFonts w:ascii="Arial" w:hAnsi="Arial" w:cs="Arial"/>
          <w:b/>
          <w:bCs/>
          <w:spacing w:val="1"/>
        </w:rPr>
        <w:t>k</w:t>
      </w:r>
      <w:r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st</w:t>
      </w:r>
      <w:r>
        <w:rPr>
          <w:rFonts w:ascii="Arial" w:hAnsi="Arial" w:cs="Arial"/>
          <w:b/>
          <w:bCs/>
          <w:spacing w:val="-2"/>
        </w:rPr>
        <w:t>r</w:t>
      </w:r>
      <w:r>
        <w:rPr>
          <w:rFonts w:ascii="Arial" w:hAnsi="Arial" w:cs="Arial"/>
          <w:b/>
          <w:bCs/>
        </w:rPr>
        <w:t>át</w:t>
      </w:r>
    </w:p>
    <w:p w:rsidR="005F25F4" w:rsidRDefault="005F25F4">
      <w:pPr>
        <w:spacing w:before="11" w:line="260" w:lineRule="exact"/>
        <w:jc w:val="both"/>
        <w:rPr>
          <w:rFonts w:ascii="Arial" w:hAnsi="Arial" w:cs="Arial"/>
        </w:rPr>
      </w:pPr>
    </w:p>
    <w:p w:rsidR="005F25F4" w:rsidRDefault="005F25F4">
      <w:pPr>
        <w:pStyle w:val="Body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</w:t>
      </w:r>
      <w:r>
        <w:rPr>
          <w:rFonts w:ascii="Arial" w:hAnsi="Arial" w:cs="Arial"/>
          <w:b/>
          <w:bCs/>
          <w:spacing w:val="-1"/>
          <w:sz w:val="22"/>
          <w:szCs w:val="22"/>
        </w:rPr>
        <w:t>á</w:t>
      </w:r>
      <w:r>
        <w:rPr>
          <w:rFonts w:ascii="Arial" w:hAnsi="Arial" w:cs="Arial"/>
          <w:b/>
          <w:bCs/>
          <w:sz w:val="22"/>
          <w:szCs w:val="22"/>
        </w:rPr>
        <w:t>kladov</w:t>
      </w:r>
      <w:r>
        <w:rPr>
          <w:rFonts w:ascii="Arial" w:hAnsi="Arial" w:cs="Arial"/>
          <w:b/>
          <w:bCs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-1"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lebo</w:t>
      </w:r>
      <w:r>
        <w:rPr>
          <w:rFonts w:ascii="Arial" w:hAnsi="Arial" w:cs="Arial"/>
          <w:b/>
          <w:bCs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2"/>
          <w:sz w:val="22"/>
          <w:szCs w:val="22"/>
        </w:rPr>
        <w:t>v</w:t>
      </w:r>
      <w:r>
        <w:rPr>
          <w:rFonts w:ascii="Arial" w:hAnsi="Arial" w:cs="Arial"/>
          <w:b/>
          <w:bCs/>
          <w:spacing w:val="-5"/>
          <w:sz w:val="22"/>
          <w:szCs w:val="22"/>
        </w:rPr>
        <w:t>ý</w:t>
      </w:r>
      <w:r>
        <w:rPr>
          <w:rFonts w:ascii="Arial" w:hAnsi="Arial" w:cs="Arial"/>
          <w:b/>
          <w:bCs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</w:t>
      </w:r>
    </w:p>
    <w:p w:rsidR="005F25F4" w:rsidRDefault="005F25F4">
      <w:pPr>
        <w:pStyle w:val="Body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right="116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Spoločnosť nemá účtované výnimočné výnosy a náklady. 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</w:t>
      </w:r>
    </w:p>
    <w:p w:rsidR="005F25F4" w:rsidRDefault="005F25F4">
      <w:pPr>
        <w:pStyle w:val="Body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right="116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Spoločnosť neeviduje dlhodobé záväzky s dobou splatnosti dlhšou ako päť rokov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</w:p>
    <w:p w:rsidR="005F25F4" w:rsidRDefault="005F25F4">
      <w:pPr>
        <w:pStyle w:val="Body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right="116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Spoločnosť nemá obsahovú náplň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Spoločnosť nemá obsahovú náplň.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Spoločnosť nemá obsahovú náplň.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Spoločnosť nemá obsahovú náplň.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Spoločnosť nemá obsahovú náplň.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Spoločnosť nemá obsahovú náplň.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Spoločnosť nemá obsahovú náplň.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iCs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Spoločnosť nemá obsahovú náplň.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Spoločnosť nemá obsahovú náplň.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iCs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Spoločnosť nemá obsahovú náplň.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bCs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F25F4" w:rsidRDefault="005F25F4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Spoločnosť nemá obsahovú náplň.</w:t>
      </w:r>
    </w:p>
    <w:sectPr w:rsidR="005F25F4" w:rsidSect="005F25F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5F4" w:rsidRDefault="005F25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5F25F4" w:rsidRDefault="005F25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panose1 w:val="020B050602020203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F4" w:rsidRDefault="005F25F4">
    <w:pPr>
      <w:spacing w:line="200" w:lineRule="exact"/>
      <w:rPr>
        <w:rFonts w:ascii="Times New Roman" w:hAnsi="Times New Roman" w:cs="Times New Roman"/>
        <w:sz w:val="20"/>
        <w:szCs w:val="20"/>
      </w:rPr>
    </w:pPr>
    <w:r>
      <w:rPr>
        <w:noProof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6192;mso-position-horizontal-relative:page;mso-position-vertical-relative:page" filled="f" stroked="f">
          <v:textbox inset="0,0,0,0">
            <w:txbxContent>
              <w:p w:rsidR="005F25F4" w:rsidRDefault="005F25F4">
                <w:pPr>
                  <w:pStyle w:val="BodyText"/>
                  <w:spacing w:line="265" w:lineRule="exact"/>
                  <w:ind w:left="20" w:firstLine="0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Str</w:t>
                </w:r>
                <w:r>
                  <w:rPr>
                    <w:rFonts w:ascii="Times New Roman" w:hAnsi="Times New Roman" w:cs="Times New Roman"/>
                    <w:spacing w:val="-2"/>
                  </w:rPr>
                  <w:t>a</w:t>
                </w:r>
                <w:r>
                  <w:rPr>
                    <w:rFonts w:ascii="Times New Roman" w:hAnsi="Times New Roman" w:cs="Times New Roman"/>
                  </w:rPr>
                  <w:t>na</w:t>
                </w:r>
                <w:r>
                  <w:rPr>
                    <w:rFonts w:ascii="Times New Roman" w:hAnsi="Times New Roman" w:cs="Times New Roman"/>
                    <w:spacing w:val="-1"/>
                  </w:rPr>
                  <w:t xml:space="preserve"> </w:t>
                </w:r>
                <w:r>
                  <w:rPr>
                    <w:rFonts w:ascii="Times New Roman" w:hAnsi="Times New Roman" w:cs="Times New Roman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</w:rPr>
                  <w:instrText xml:space="preserve"> PAGE </w:instrText>
                </w:r>
                <w:r>
                  <w:rPr>
                    <w:rFonts w:ascii="Times New Roman" w:hAnsi="Times New Roman" w:cs="Times New Roman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noProof/>
                  </w:rPr>
                  <w:t>1</w:t>
                </w:r>
                <w:r>
                  <w:rPr>
                    <w:rFonts w:ascii="Times New Roman" w:hAnsi="Times New Roman" w:cs="Times New Roman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5F4" w:rsidRDefault="005F25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5F25F4" w:rsidRDefault="005F25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F4" w:rsidRDefault="005F25F4">
    <w:pPr>
      <w:pStyle w:val="Header"/>
      <w:rPr>
        <w:rFonts w:ascii="Times New Roman" w:hAnsi="Times New Roman" w:cs="Times New Roman"/>
      </w:rPr>
    </w:pPr>
  </w:p>
  <w:p w:rsidR="005F25F4" w:rsidRDefault="005F25F4">
    <w:pPr>
      <w:pStyle w:val="Header"/>
      <w:rPr>
        <w:rFonts w:ascii="Times New Roman" w:hAnsi="Times New Roman" w:cs="Times New Roman"/>
      </w:rPr>
    </w:pPr>
  </w:p>
  <w:p w:rsidR="005F25F4" w:rsidRDefault="005F25F4">
    <w:pPr>
      <w:pStyle w:val="Header"/>
      <w:rPr>
        <w:rFonts w:ascii="Times New Roman" w:hAnsi="Times New Roman" w:cs="Times New Roman"/>
      </w:rPr>
    </w:pPr>
  </w:p>
  <w:p w:rsidR="005F25F4" w:rsidRDefault="005F25F4">
    <w:pPr>
      <w:pStyle w:val="Body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>
      <w:rPr>
        <w:rFonts w:ascii="Arial" w:hAnsi="Arial" w:cs="Arial"/>
        <w:sz w:val="22"/>
        <w:szCs w:val="22"/>
        <w:bdr w:val="single" w:sz="4" w:space="0" w:color="auto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>
      <w:rPr>
        <w:rFonts w:ascii="Arial" w:hAnsi="Arial" w:cs="Arial"/>
        <w:sz w:val="22"/>
        <w:szCs w:val="22"/>
        <w:bdr w:val="single" w:sz="4" w:space="0" w:color="auto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>
      <w:rPr>
        <w:rFonts w:ascii="Arial" w:hAnsi="Arial" w:cs="Arial"/>
        <w:sz w:val="22"/>
        <w:szCs w:val="22"/>
        <w:bdr w:val="single" w:sz="4" w:space="0" w:color="auto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>
      <w:rPr>
        <w:rFonts w:ascii="Arial" w:hAnsi="Arial" w:cs="Arial"/>
        <w:sz w:val="22"/>
        <w:szCs w:val="22"/>
        <w:bdr w:val="single" w:sz="4" w:space="0" w:color="auto"/>
      </w:rPr>
      <w:t>č MÚJ 3 –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36346861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>Č: 2022049755</w:t>
    </w:r>
  </w:p>
  <w:p w:rsidR="005F25F4" w:rsidRDefault="005F25F4">
    <w:pPr>
      <w:pStyle w:val="Header"/>
      <w:rPr>
        <w:rFonts w:ascii="Times New Roman" w:hAnsi="Times New Roman" w:cs="Times New Roman"/>
        <w:sz w:val="24"/>
        <w:szCs w:val="24"/>
      </w:rPr>
    </w:pPr>
  </w:p>
  <w:p w:rsidR="005F25F4" w:rsidRDefault="005F25F4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2">
    <w:nsid w:val="36AA63E2"/>
    <w:multiLevelType w:val="hybridMultilevel"/>
    <w:tmpl w:val="4B94E778"/>
    <w:lvl w:ilvl="0" w:tplc="77625FA2">
      <w:start w:val="1"/>
      <w:numFmt w:val="decimal"/>
      <w:lvlText w:val="%1."/>
      <w:lvlJc w:val="left"/>
      <w:pPr>
        <w:tabs>
          <w:tab w:val="num" w:pos="461"/>
        </w:tabs>
        <w:ind w:left="461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181"/>
        </w:tabs>
        <w:ind w:left="1181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901"/>
        </w:tabs>
        <w:ind w:left="1901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621"/>
        </w:tabs>
        <w:ind w:left="2621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341"/>
        </w:tabs>
        <w:ind w:left="3341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061"/>
        </w:tabs>
        <w:ind w:left="4061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781"/>
        </w:tabs>
        <w:ind w:left="4781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501"/>
        </w:tabs>
        <w:ind w:left="5501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221"/>
        </w:tabs>
        <w:ind w:left="6221" w:hanging="180"/>
      </w:pPr>
      <w:rPr>
        <w:rFonts w:ascii="Times New Roman" w:hAnsi="Times New Roman" w:cs="Times New Roman"/>
      </w:rPr>
    </w:lvl>
  </w:abstractNum>
  <w:abstractNum w:abstractNumId="3">
    <w:nsid w:val="45632093"/>
    <w:multiLevelType w:val="hybridMultilevel"/>
    <w:tmpl w:val="1CD465C8"/>
    <w:lvl w:ilvl="0" w:tplc="EF845B26">
      <w:start w:val="2"/>
      <w:numFmt w:val="bullet"/>
      <w:lvlText w:val="-"/>
      <w:lvlJc w:val="left"/>
      <w:pPr>
        <w:tabs>
          <w:tab w:val="num" w:pos="461"/>
        </w:tabs>
        <w:ind w:left="461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181"/>
        </w:tabs>
        <w:ind w:left="118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1901"/>
        </w:tabs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621"/>
        </w:tabs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341"/>
        </w:tabs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061"/>
        </w:tabs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4781"/>
        </w:tabs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501"/>
        </w:tabs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221"/>
        </w:tabs>
        <w:ind w:left="6221" w:hanging="360"/>
      </w:pPr>
      <w:rPr>
        <w:rFonts w:ascii="Wingdings" w:hAnsi="Wingdings" w:cs="Wingdings" w:hint="default"/>
      </w:rPr>
    </w:lvl>
  </w:abstractNum>
  <w:abstractNum w:abstractNumId="4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5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ascii="Times New Roman" w:hAnsi="Times New Roman" w:cs="Times New Roman"/>
      </w:rPr>
    </w:lvl>
  </w:abstractNum>
  <w:abstractNum w:abstractNumId="6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7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25F4"/>
    <w:rsid w:val="005F2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rFonts w:ascii="Calibri" w:hAnsi="Calibri" w:cs="Calibri"/>
      <w:lang w:val="sk-SK"/>
    </w:rPr>
  </w:style>
  <w:style w:type="paragraph" w:styleId="Heading1">
    <w:name w:val="heading 1"/>
    <w:basedOn w:val="Normal"/>
    <w:link w:val="Heading1Char"/>
    <w:uiPriority w:val="99"/>
    <w:qFormat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  <w:lang w:val="sk-SK"/>
    </w:rPr>
  </w:style>
  <w:style w:type="paragraph" w:styleId="BodyText">
    <w:name w:val="Body Text"/>
    <w:basedOn w:val="Normal"/>
    <w:link w:val="BodyTextChar"/>
    <w:uiPriority w:val="99"/>
    <w:pPr>
      <w:ind w:left="668" w:hanging="567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Calibri" w:hAnsi="Calibri" w:cs="Calibri"/>
      <w:lang w:val="sk-SK"/>
    </w:rPr>
  </w:style>
  <w:style w:type="paragraph" w:styleId="ListParagraph">
    <w:name w:val="List Paragraph"/>
    <w:basedOn w:val="Normal"/>
    <w:uiPriority w:val="99"/>
    <w:qFormat/>
  </w:style>
  <w:style w:type="paragraph" w:customStyle="1" w:styleId="TableParagraph">
    <w:name w:val="Table Paragraph"/>
    <w:basedOn w:val="Normal"/>
    <w:uiPriority w:val="99"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pPr>
      <w:spacing w:before="1" w:line="280" w:lineRule="exact"/>
      <w:jc w:val="both"/>
    </w:pPr>
    <w:rPr>
      <w:rFonts w:ascii="Arial" w:hAnsi="Arial" w:cs="Arial"/>
      <w:i/>
      <w:iCs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Calibri" w:hAnsi="Calibri" w:cs="Calibri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4</Pages>
  <Words>1134</Words>
  <Characters>6464</Characters>
  <Application>Microsoft Office Outlook</Application>
  <DocSecurity>0</DocSecurity>
  <Lines>0</Lines>
  <Paragraphs>0</Paragraphs>
  <ScaleCrop>false</ScaleCrop>
  <Company>PKF Slovensko s.r.o.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XP</cp:lastModifiedBy>
  <cp:revision>2</cp:revision>
  <dcterms:created xsi:type="dcterms:W3CDTF">2015-06-28T14:19:00Z</dcterms:created>
  <dcterms:modified xsi:type="dcterms:W3CDTF">2015-06-28T14:19:00Z</dcterms:modified>
</cp:coreProperties>
</file>