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Normal"/>
        <w:tabs>
          <w:tab w:val="center" w:pos="4536" w:leader="none"/>
        </w:tabs>
        <w:jc w:val="center"/>
        <w:rPr>
          <w:rFonts w:cs="Traditional Arabic" w:ascii="Traditional Arabic" w:hAnsi="Traditional Arabic"/>
          <w:color w:val="0033CC"/>
        </w:rPr>
      </w:pPr>
      <w:r>
        <w:rPr>
          <w:rFonts w:cs="Traditional Arabic" w:ascii="Traditional Arabic" w:hAnsi="Traditional Arabic"/>
          <w:color w:val="0033CC"/>
        </w:rPr>
        <w:t>ALLEA, n.o., Komenského 1310/103, 024 01 Kysucké Nové Mesto</w:t>
        <w:pict>
          <v:line id="shape_0" from="0pt,19.5pt" to="458.95pt,19.5pt" stroked="t" style="position:absolute">
            <v:stroke color="#0033cc" joinstyle="round" endcap="flat"/>
            <v:fill on="false" detectmouseclick="t"/>
          </v:line>
        </w:pict>
        <w:pict>
          <v:shapetype id="shapetype_16" coordsize="21600,21600" o:spt="16" adj="5400" path="m0@0l@5@0l@5,21600l,21600xnsem@5@0l21600,l21600@1l@5,21600xnsem0@0l@0,l21600,l@5@0xnsem0@0l@0,l21600,l21600@1l@5,21600l,21600xm0@0l@5@0l21600,m@5@0l@5,21600nfe">
            <v:stroke joinstyle="miter"/>
            <v:formulas>
              <v:f eqn="val #0"/>
              <v:f eqn="sum height 0 @0"/>
              <v:f eqn="prod @1 1 2"/>
              <v:f eqn="sum @0 height 0"/>
              <v:f eqn="prod 1 @3 2"/>
              <v:f eqn="sum width 0 @0"/>
              <v:f eqn="prod @5 1 2"/>
              <v:f eqn="sum @0 width 0"/>
              <v:f eqn="prod 1 @7 2"/>
            </v:formulas>
            <v:path gradientshapeok="t" o:connecttype="rect" textboxrect="0,@0,@5,21600"/>
            <v:handles>
              <v:h position="0,@0"/>
            </v:handles>
          </v:shapetype>
          <v:shape id="shape_0" fillcolor="#4f81bd" stroked="f" style="position:absolute;margin-left:-0.25pt;margin-top:-0.25pt;width:23.6pt;height:20.05pt" type="shapetype_16">
            <v:wrap v:type="none"/>
            <v:fill type="solid" color2="#b07e42" detectmouseclick="t"/>
            <v:stroke color="#3465a4" joinstyle="round" endcap="flat"/>
          </v:shape>
        </w:pict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</w:r>
    </w:p>
    <w:p>
      <w:pPr>
        <w:pStyle w:val="Normal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VÝROČNÁ SPRÁVA</w:t>
      </w:r>
    </w:p>
    <w:p>
      <w:pPr>
        <w:pStyle w:val="Normal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ZA ROK 2014</w:t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Kysucké Nové Mesto</w:t>
      </w:r>
    </w:p>
    <w:p>
      <w:pPr>
        <w:pStyle w:val="Normal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jún 2015</w:t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/>
      </w:pPr>
      <w:r>
        <w:rPr/>
        <w:t>Predkladá:    Ing. Beáta Topoľská</w:t>
      </w:r>
    </w:p>
    <w:p>
      <w:pPr>
        <w:pStyle w:val="Normal"/>
        <w:rPr/>
      </w:pPr>
      <w:r>
        <w:rPr/>
        <w:t xml:space="preserve">                     </w:t>
      </w:r>
      <w:r>
        <w:rPr/>
        <w:t>riaditeľka n. o.</w:t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Základné údaje o neziskovej organizácii</w:t>
      </w:r>
    </w:p>
    <w:p>
      <w:pPr>
        <w:pStyle w:val="Normal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spacing w:lineRule="auto" w:line="360"/>
        <w:jc w:val="both"/>
        <w:rPr>
          <w:b/>
          <w:sz w:val="28"/>
          <w:szCs w:val="28"/>
        </w:rPr>
      </w:pPr>
      <w:r>
        <w:rPr>
          <w:sz w:val="28"/>
          <w:szCs w:val="28"/>
        </w:rPr>
        <w:t>Názov:</w:t>
        <w:tab/>
        <w:tab/>
      </w:r>
      <w:r>
        <w:rPr>
          <w:b/>
          <w:sz w:val="28"/>
          <w:szCs w:val="28"/>
        </w:rPr>
        <w:t>ALLEA, n.o.</w:t>
      </w:r>
    </w:p>
    <w:p>
      <w:pPr>
        <w:pStyle w:val="Normal"/>
        <w:spacing w:lineRule="auto" w:line="360"/>
        <w:jc w:val="both"/>
        <w:rPr>
          <w:b/>
          <w:sz w:val="28"/>
          <w:szCs w:val="28"/>
        </w:rPr>
      </w:pPr>
      <w:r>
        <w:rPr>
          <w:sz w:val="28"/>
          <w:szCs w:val="28"/>
        </w:rPr>
        <w:t>Právna forma:</w:t>
        <w:tab/>
      </w:r>
      <w:r>
        <w:rPr>
          <w:b/>
          <w:sz w:val="28"/>
          <w:szCs w:val="28"/>
        </w:rPr>
        <w:t>nezisková organizácia</w:t>
      </w:r>
    </w:p>
    <w:p>
      <w:pPr>
        <w:pStyle w:val="Normal"/>
        <w:spacing w:lineRule="auto" w:line="360"/>
        <w:jc w:val="both"/>
        <w:rPr>
          <w:b/>
          <w:sz w:val="28"/>
          <w:szCs w:val="28"/>
        </w:rPr>
      </w:pPr>
      <w:r>
        <w:rPr>
          <w:sz w:val="28"/>
          <w:szCs w:val="28"/>
        </w:rPr>
        <w:t>Sídlo:</w:t>
        <w:tab/>
        <w:tab/>
        <w:tab/>
      </w:r>
      <w:r>
        <w:rPr>
          <w:b/>
          <w:sz w:val="28"/>
          <w:szCs w:val="28"/>
        </w:rPr>
        <w:t>Komenského 1310/103, 024 01 Kysucké Nové Mesto</w:t>
      </w:r>
    </w:p>
    <w:p>
      <w:pPr>
        <w:pStyle w:val="Normal"/>
        <w:spacing w:lineRule="auto" w:line="360"/>
        <w:jc w:val="both"/>
        <w:rPr>
          <w:b/>
          <w:sz w:val="28"/>
          <w:szCs w:val="28"/>
        </w:rPr>
      </w:pPr>
      <w:r>
        <w:rPr>
          <w:sz w:val="28"/>
          <w:szCs w:val="28"/>
        </w:rPr>
        <w:t>IČO:</w:t>
        <w:tab/>
        <w:tab/>
        <w:tab/>
      </w:r>
      <w:r>
        <w:rPr>
          <w:b/>
          <w:sz w:val="28"/>
          <w:szCs w:val="28"/>
        </w:rPr>
        <w:t>42165732</w:t>
      </w:r>
    </w:p>
    <w:p>
      <w:pPr>
        <w:pStyle w:val="Normal"/>
        <w:spacing w:lineRule="auto" w:line="360"/>
        <w:jc w:val="both"/>
        <w:rPr>
          <w:b/>
          <w:sz w:val="28"/>
          <w:szCs w:val="28"/>
        </w:rPr>
      </w:pPr>
      <w:r>
        <w:rPr>
          <w:sz w:val="28"/>
          <w:szCs w:val="28"/>
        </w:rPr>
        <w:t>DIČ:</w:t>
        <w:tab/>
        <w:tab/>
        <w:tab/>
      </w:r>
      <w:r>
        <w:rPr>
          <w:b/>
          <w:sz w:val="28"/>
          <w:szCs w:val="28"/>
        </w:rPr>
        <w:t>2022724737</w:t>
      </w:r>
    </w:p>
    <w:p>
      <w:pPr>
        <w:pStyle w:val="Normal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360"/>
        <w:ind w:left="2120" w:right="0" w:hanging="2120"/>
        <w:jc w:val="both"/>
        <w:rPr>
          <w:sz w:val="28"/>
          <w:szCs w:val="28"/>
        </w:rPr>
      </w:pPr>
      <w:r>
        <w:rPr>
          <w:sz w:val="28"/>
          <w:szCs w:val="28"/>
        </w:rPr>
        <w:t>Registrácia:</w:t>
        <w:tab/>
        <w:tab/>
        <w:t>dňa 11.10.2008 pod č. OVVS/NO-15/08 ako nezisková organizácia poskytujúce všeobecne prospešné služby</w:t>
      </w:r>
    </w:p>
    <w:p>
      <w:pPr>
        <w:pStyle w:val="Normal"/>
        <w:spacing w:lineRule="auto" w:line="360"/>
        <w:ind w:left="2120" w:right="0" w:hanging="2120"/>
        <w:jc w:val="both"/>
        <w:rPr>
          <w:sz w:val="28"/>
          <w:szCs w:val="28"/>
        </w:rPr>
      </w:pPr>
      <w:r>
        <w:rPr>
          <w:sz w:val="28"/>
          <w:szCs w:val="28"/>
        </w:rPr>
        <w:t>Doba trvania:</w:t>
        <w:tab/>
        <w:t>nezisková organizácia založená na dobu neurčitú</w:t>
      </w:r>
    </w:p>
    <w:p>
      <w:pPr>
        <w:pStyle w:val="Normal"/>
        <w:spacing w:lineRule="auto" w:line="360"/>
        <w:ind w:left="2120" w:right="0" w:hanging="2120"/>
        <w:jc w:val="both"/>
        <w:rPr>
          <w:sz w:val="28"/>
          <w:szCs w:val="28"/>
        </w:rPr>
      </w:pPr>
      <w:r>
        <w:rPr>
          <w:sz w:val="28"/>
          <w:szCs w:val="28"/>
        </w:rPr>
        <w:t>Zakladatelia:</w:t>
        <w:tab/>
        <w:t>Naďa Ďurčeková</w:t>
      </w:r>
    </w:p>
    <w:p>
      <w:pPr>
        <w:pStyle w:val="Normal"/>
        <w:spacing w:lineRule="auto" w:line="360"/>
        <w:ind w:left="2120" w:right="0" w:hanging="2120"/>
        <w:jc w:val="both"/>
        <w:rPr>
          <w:sz w:val="28"/>
          <w:szCs w:val="28"/>
        </w:rPr>
      </w:pPr>
      <w:r>
        <w:rPr>
          <w:sz w:val="28"/>
          <w:szCs w:val="28"/>
        </w:rPr>
        <w:tab/>
        <w:t>Ing. Beáta Topoľská</w:t>
      </w:r>
    </w:p>
    <w:p>
      <w:pPr>
        <w:pStyle w:val="Normal"/>
        <w:spacing w:lineRule="auto" w:line="360"/>
        <w:ind w:left="2120" w:right="0" w:hanging="212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360"/>
        <w:ind w:left="2120" w:right="0" w:hanging="2120"/>
        <w:jc w:val="both"/>
        <w:rPr>
          <w:b/>
          <w:sz w:val="28"/>
          <w:szCs w:val="28"/>
        </w:rPr>
      </w:pPr>
      <w:r>
        <w:rPr>
          <w:sz w:val="28"/>
          <w:szCs w:val="28"/>
        </w:rPr>
        <w:t>Kontakt:</w:t>
        <w:tab/>
      </w:r>
      <w:r>
        <w:rPr>
          <w:b/>
          <w:sz w:val="28"/>
          <w:szCs w:val="28"/>
        </w:rPr>
        <w:t>Ing. Beáta Topoľská, riaditeľka n.o.</w:t>
      </w:r>
    </w:p>
    <w:p>
      <w:pPr>
        <w:pStyle w:val="Normal"/>
        <w:spacing w:lineRule="auto" w:line="360"/>
        <w:ind w:left="2120" w:right="0" w:hanging="0"/>
        <w:jc w:val="both"/>
        <w:rPr>
          <w:rStyle w:val="Internetovodkaz"/>
          <w:b/>
          <w:color w:val="00000A"/>
          <w:sz w:val="28"/>
          <w:szCs w:val="28"/>
          <w:u w:val="none"/>
        </w:rPr>
      </w:pPr>
      <w:r>
        <w:rPr>
          <w:b/>
          <w:sz w:val="28"/>
          <w:szCs w:val="28"/>
        </w:rPr>
        <w:t xml:space="preserve">e-mail: </w:t>
      </w:r>
      <w:hyperlink r:id="rId2">
        <w:r>
          <w:rPr>
            <w:rStyle w:val="Internetovodkaz"/>
            <w:b/>
            <w:color w:val="00000A"/>
            <w:sz w:val="28"/>
            <w:szCs w:val="28"/>
            <w:u w:val="none"/>
          </w:rPr>
          <w:t>alleanosk@gmail.com</w:t>
        </w:r>
      </w:hyperlink>
    </w:p>
    <w:p>
      <w:pPr>
        <w:pStyle w:val="Normal"/>
        <w:ind w:left="2120" w:right="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right="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right="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right="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right="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right="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right="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right="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right="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right="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História a identifikácia neziskovej organizácie</w:t>
      </w:r>
    </w:p>
    <w:p>
      <w:pPr>
        <w:pStyle w:val="Normal"/>
        <w:jc w:val="both"/>
        <w:rPr>
          <w:b/>
        </w:rPr>
      </w:pPr>
      <w:r>
        <w:rPr>
          <w:b/>
        </w:rPr>
      </w:r>
    </w:p>
    <w:p>
      <w:pPr>
        <w:pStyle w:val="Normal"/>
        <w:jc w:val="both"/>
        <w:rPr/>
      </w:pPr>
      <w:r>
        <w:rPr/>
        <w:t>ALLEA, n.o. vznikla na základe Zakladacej listiny zo dňa 14.8.2008 a podľa zýákona NR SR č. 213/1997 Z.z. o neziskových organizáciách poskytujúcich všetobecne prospešné služby.</w:t>
      </w:r>
    </w:p>
    <w:p>
      <w:pPr>
        <w:pStyle w:val="Normal"/>
        <w:jc w:val="both"/>
        <w:rPr/>
      </w:pPr>
      <w:r>
        <w:rPr/>
        <w:t>Nezisková organizácia ALLEA, n.o. bola právoplatne zaregistrovaná na Obvodno úrade v Žiline. Dňa 10.11.2008 nadobudlo rozhodnutie o registrácii právoplatnosť a bola zapísaná do Registra neziskových organizácií.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Predmetom činnosti neziskovej organizácie je poskytovanie nasledujúcich všeobecne prospešných služieb:</w:t>
      </w:r>
    </w:p>
    <w:p>
      <w:pPr>
        <w:pStyle w:val="Normal"/>
        <w:jc w:val="both"/>
        <w:rPr/>
      </w:pPr>
      <w:r>
        <w:rPr/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celoživotné vzdelávanie a výchova dospelých v oblasti práva, financií, daní a účtovníctva, riadenia a rozvoja ľudských zdrojov, marketingu a obchodu, manažmentu, európskej integrácie, výpočtovej techniky, jazykov, cestovného ruchu a umenia,</w:t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kariérne poradenstvo pre študentov základných, stredných a vysokých škôl,</w:t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organizovanie rôznych kultúrnych, spoločenských, športových a iných aktivít,</w:t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organizovanie víkendových programov (táborov) pre deti  a mládež,</w:t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organizovanie turistických jedno aj viacdňových výletov s cieľom prehĺbenia vzťahu detí, mldeže a dospelých k prírode,</w:t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organizačné poradenstvo (tvorba grantoých proejktov, analýza ponukových možností, poskytovanie prehľadov grantových schém),</w:t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vorba, odborná asistencia, vyplňovanie formulárov a manažovanie európskych projektov,</w:t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spracovanie a manažovanie grantových schém, posudzovanie a hodnotenie projektov.</w:t>
      </w:r>
    </w:p>
    <w:p>
      <w:pPr>
        <w:pStyle w:val="Normal"/>
        <w:jc w:val="both"/>
        <w:rPr/>
      </w:pPr>
      <w:r>
        <w:rPr/>
      </w:r>
    </w:p>
    <w:p>
      <w:pPr>
        <w:pStyle w:val="Normal"/>
        <w:ind w:left="360" w:right="0" w:hanging="0"/>
        <w:jc w:val="both"/>
        <w:rPr/>
      </w:pPr>
      <w:r>
        <w:rPr/>
      </w:r>
    </w:p>
    <w:p>
      <w:pPr>
        <w:pStyle w:val="Normal"/>
        <w:ind w:left="360" w:right="0" w:hanging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Orgány neziskovej organizácie:</w:t>
      </w:r>
    </w:p>
    <w:p>
      <w:pPr>
        <w:pStyle w:val="Normal"/>
        <w:ind w:left="360" w:right="0" w:hanging="0"/>
        <w:jc w:val="both"/>
        <w:rPr/>
      </w:pPr>
      <w:r>
        <w:rPr/>
      </w:r>
    </w:p>
    <w:p>
      <w:pPr>
        <w:pStyle w:val="Normal"/>
        <w:ind w:left="360" w:right="0" w:hanging="0"/>
        <w:jc w:val="both"/>
        <w:rPr/>
      </w:pPr>
      <w:r>
        <w:rPr/>
        <w:t>Správna rada  -  je najvyšší orgán</w:t>
      </w:r>
    </w:p>
    <w:p>
      <w:pPr>
        <w:pStyle w:val="Normal"/>
        <w:ind w:left="360" w:right="0" w:hanging="0"/>
        <w:jc w:val="both"/>
        <w:rPr/>
      </w:pPr>
      <w:r>
        <w:rPr/>
        <w:t>Riaditeľ          -  je štatutárnym orgánom</w:t>
      </w:r>
    </w:p>
    <w:p>
      <w:pPr>
        <w:pStyle w:val="Normal"/>
        <w:ind w:left="360" w:right="0" w:hanging="0"/>
        <w:jc w:val="both"/>
        <w:rPr/>
      </w:pPr>
      <w:r>
        <w:rPr/>
        <w:t>Revízor          -  je kontrolný orgán</w:t>
      </w:r>
    </w:p>
    <w:p>
      <w:pPr>
        <w:pStyle w:val="Normal"/>
        <w:ind w:left="360" w:right="0" w:hanging="0"/>
        <w:jc w:val="both"/>
        <w:rPr/>
      </w:pPr>
      <w:r>
        <w:rPr/>
      </w:r>
    </w:p>
    <w:p>
      <w:pPr>
        <w:pStyle w:val="Normal"/>
        <w:ind w:left="360" w:right="0" w:hanging="0"/>
        <w:jc w:val="both"/>
        <w:rPr/>
      </w:pPr>
      <w:r>
        <w:rPr/>
      </w:r>
    </w:p>
    <w:p>
      <w:pPr>
        <w:pStyle w:val="Normal"/>
        <w:ind w:left="360" w:right="0" w:hanging="0"/>
        <w:jc w:val="both"/>
        <w:rPr/>
      </w:pPr>
      <w:r>
        <w:rPr/>
        <w:t>Správna rada neziskovej organizácie má troch členov, z ktorých na prvom stretnutí bola jednomyseľne zvolená PhDr. Renáta Švarcová za predsedu správnej rady.</w:t>
      </w:r>
    </w:p>
    <w:p>
      <w:pPr>
        <w:pStyle w:val="Normal"/>
        <w:ind w:left="360" w:right="0" w:hanging="0"/>
        <w:jc w:val="both"/>
        <w:rPr/>
      </w:pPr>
      <w:r>
        <w:rPr/>
        <w:t>Členmi správnej rady sú :</w:t>
      </w:r>
    </w:p>
    <w:p>
      <w:pPr>
        <w:pStyle w:val="Normal"/>
        <w:ind w:left="360" w:right="0" w:hanging="0"/>
        <w:jc w:val="both"/>
        <w:rPr/>
      </w:pPr>
      <w:r>
        <w:rPr/>
        <w:t>PhDr. Renáta Švarcová</w:t>
      </w:r>
    </w:p>
    <w:p>
      <w:pPr>
        <w:pStyle w:val="Normal"/>
        <w:ind w:left="360" w:right="0" w:hanging="0"/>
        <w:jc w:val="both"/>
        <w:rPr/>
      </w:pPr>
      <w:r>
        <w:rPr/>
        <w:t>JUDr. Gabriela Marčanová</w:t>
      </w:r>
    </w:p>
    <w:p>
      <w:pPr>
        <w:pStyle w:val="Normal"/>
        <w:ind w:left="360" w:right="0" w:hanging="0"/>
        <w:jc w:val="both"/>
        <w:rPr/>
      </w:pPr>
      <w:r>
        <w:rPr/>
        <w:t>MUDr. Katarína Vargová</w:t>
      </w:r>
    </w:p>
    <w:p>
      <w:pPr>
        <w:pStyle w:val="Normal"/>
        <w:ind w:left="360" w:right="0" w:hanging="0"/>
        <w:jc w:val="both"/>
        <w:rPr/>
      </w:pPr>
      <w:r>
        <w:rPr/>
      </w:r>
    </w:p>
    <w:p>
      <w:pPr>
        <w:pStyle w:val="Normal"/>
        <w:ind w:left="360" w:right="0" w:hanging="0"/>
        <w:jc w:val="both"/>
        <w:rPr/>
      </w:pPr>
      <w:r>
        <w:rPr/>
        <w:t>Riaditeľom neziskovej organizácie je :</w:t>
      </w:r>
    </w:p>
    <w:p>
      <w:pPr>
        <w:pStyle w:val="Normal"/>
        <w:ind w:left="360" w:right="0" w:hanging="0"/>
        <w:jc w:val="both"/>
        <w:rPr/>
      </w:pPr>
      <w:r>
        <w:rPr/>
        <w:t>Ing. Beáta Topoľská</w:t>
      </w:r>
    </w:p>
    <w:p>
      <w:pPr>
        <w:pStyle w:val="Normal"/>
        <w:ind w:left="360" w:right="0" w:hanging="0"/>
        <w:jc w:val="both"/>
        <w:rPr/>
      </w:pPr>
      <w:r>
        <w:rPr/>
      </w:r>
    </w:p>
    <w:p>
      <w:pPr>
        <w:pStyle w:val="Normal"/>
        <w:ind w:left="360" w:right="0" w:hanging="0"/>
        <w:jc w:val="both"/>
        <w:rPr/>
      </w:pPr>
      <w:r>
        <w:rPr/>
        <w:t>Revízor neziskovej organizácie:</w:t>
      </w:r>
    </w:p>
    <w:p>
      <w:pPr>
        <w:pStyle w:val="Normal"/>
        <w:ind w:left="360" w:right="0" w:hanging="0"/>
        <w:jc w:val="both"/>
        <w:rPr/>
      </w:pPr>
      <w:r>
        <w:rPr/>
        <w:t>Bc. Jana Závodská</w:t>
      </w:r>
    </w:p>
    <w:p>
      <w:pPr>
        <w:pStyle w:val="Normal"/>
        <w:ind w:left="360" w:right="0" w:hanging="0"/>
        <w:jc w:val="both"/>
        <w:rPr/>
      </w:pPr>
      <w:r>
        <w:rPr/>
      </w:r>
    </w:p>
    <w:p>
      <w:pPr>
        <w:pStyle w:val="Normal"/>
        <w:ind w:left="360" w:right="0" w:hanging="0"/>
        <w:jc w:val="both"/>
        <w:rPr/>
      </w:pPr>
      <w:r>
        <w:rPr/>
        <w:t>V orgánoch neziskovej organizácie ALLEA, n.o. v priebehu roka 2014 nenastali nijaké personálne zmeny.</w:t>
      </w:r>
    </w:p>
    <w:p>
      <w:pPr>
        <w:pStyle w:val="Normal"/>
        <w:ind w:left="360" w:right="0" w:hanging="0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</w:t>
      </w:r>
      <w:r>
        <w:rPr/>
        <w:tab/>
        <w:tab/>
        <w:tab/>
      </w:r>
    </w:p>
    <w:p>
      <w:pPr>
        <w:pStyle w:val="Normal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Prehľad činnosti a hospodárenia neziskovej organizácie v roku 2014</w:t>
      </w:r>
    </w:p>
    <w:p>
      <w:pPr>
        <w:pStyle w:val="Normal"/>
        <w:jc w:val="both"/>
        <w:rPr>
          <w:b/>
        </w:rPr>
      </w:pPr>
      <w:r>
        <w:rPr>
          <w:b/>
        </w:rPr>
      </w:r>
    </w:p>
    <w:p>
      <w:pPr>
        <w:pStyle w:val="Normal"/>
        <w:jc w:val="both"/>
        <w:rPr/>
      </w:pPr>
      <w:r>
        <w:rPr/>
        <w:t>V období od 1.1.2014 do 31.12.2014 vykonala nezisková organizcáia všetky všeobecne prospešné služby uvedené v zakladacej listine a štatúre. Zrealizovala najmä nasledujúce činnosti:</w:t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celoživotné vzdelávanie a výchova dospelých – realizácia troch vzdelávacích projektov podporených z EPFRV a ŠR SR.</w:t>
      </w:r>
    </w:p>
    <w:p>
      <w:pPr>
        <w:pStyle w:val="Normal"/>
        <w:ind w:left="851" w:right="0" w:hanging="131"/>
        <w:jc w:val="both"/>
        <w:rPr/>
      </w:pPr>
      <w:r>
        <w:rPr/>
        <w:t>- Zlepšenie odbornosti legislatívnych poznatkov pracovníkov v prvovýrobe a získanie zásad hygieny potravinárskych výrobkov,</w:t>
      </w:r>
    </w:p>
    <w:p>
      <w:pPr>
        <w:pStyle w:val="Normal"/>
        <w:ind w:left="851" w:right="0" w:hanging="131"/>
        <w:rPr/>
      </w:pPr>
      <w:r>
        <w:rPr/>
        <w:t>- Právne vedomosti = krok k lepšej odbornosti zamestnancov verejnej správy,</w:t>
      </w:r>
    </w:p>
    <w:p>
      <w:pPr>
        <w:pStyle w:val="Normal"/>
        <w:ind w:left="851" w:right="0" w:hanging="131"/>
        <w:rPr/>
      </w:pPr>
      <w:r>
        <w:rPr/>
        <w:t>- Bezpečnosť a ochrana zdravia pri práci so zvieratami a strojnými poľnohospodárskymi zariadeniami</w:t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kariérne poradenstvo – spolupráca pri poskytovaní kariérneho poradenstva vysokoškolským študentom v spolupráci v Vedecko-technologickým inkubátorom Žilinskej Univerzity,</w:t>
      </w:r>
    </w:p>
    <w:p>
      <w:pPr>
        <w:pStyle w:val="ListParagraph"/>
        <w:numPr>
          <w:ilvl w:val="0"/>
          <w:numId w:val="1"/>
        </w:numPr>
        <w:jc w:val="both"/>
        <w:rPr>
          <w:lang w:val="en-US"/>
        </w:rPr>
      </w:pPr>
      <w:r>
        <w:rPr/>
        <w:t xml:space="preserve">organizovanie rôznych kultúrnych, spoločenských, športových a iných aktivít – </w:t>
      </w:r>
      <w:r>
        <w:rPr>
          <w:lang w:val="en-US"/>
        </w:rPr>
        <w:t>spoluorganizovanie prvých Majstrovstiev sveta v spoločenskej hre Klobúčik hop! k</w:t>
      </w:r>
      <w:bookmarkStart w:id="0" w:name="_GoBack"/>
      <w:bookmarkEnd w:id="0"/>
      <w:r>
        <w:rPr>
          <w:lang w:val="en-US"/>
        </w:rPr>
        <w:t>onanej dňa 27.9.2014 v Autocampingu Varín,</w:t>
      </w:r>
    </w:p>
    <w:p>
      <w:pPr>
        <w:pStyle w:val="ListParagraph"/>
        <w:numPr>
          <w:ilvl w:val="0"/>
          <w:numId w:val="1"/>
        </w:numPr>
        <w:jc w:val="both"/>
        <w:rPr>
          <w:lang w:val="en-US"/>
        </w:rPr>
      </w:pPr>
      <w:r>
        <w:rPr>
          <w:lang w:val="en-US"/>
        </w:rPr>
        <w:t>organizovanie víkendových programov pre deti a mládež – šiesty tematicky zameraný víkendový pobyt pre deti, mládež a dospelých v Kalinčiakove vrátane návštevy kúpaliska Margita a Ilona v Leviciach a iných športových aktivít,</w:t>
      </w:r>
    </w:p>
    <w:p>
      <w:pPr>
        <w:pStyle w:val="ListParagraph"/>
        <w:numPr>
          <w:ilvl w:val="0"/>
          <w:numId w:val="1"/>
        </w:numPr>
        <w:jc w:val="both"/>
        <w:rPr>
          <w:lang w:val="en-US"/>
        </w:rPr>
      </w:pPr>
      <w:r>
        <w:rPr>
          <w:lang w:val="en-US"/>
        </w:rPr>
        <w:t>organizovanie výletov – jednodňový výlet k vodnej nádrži Neslušanska v areáli Rybárskeho zväzu, miestna organizácia Kysucké Nové Mesto, jednodňový turistický výlet na Chatu pod Suchým,</w:t>
      </w:r>
    </w:p>
    <w:p>
      <w:pPr>
        <w:pStyle w:val="ListParagraph"/>
        <w:numPr>
          <w:ilvl w:val="0"/>
          <w:numId w:val="1"/>
        </w:numPr>
        <w:jc w:val="both"/>
        <w:rPr>
          <w:lang w:val="en-US"/>
        </w:rPr>
      </w:pPr>
      <w:r>
        <w:rPr>
          <w:lang w:val="en-US"/>
        </w:rPr>
        <w:t>Mikulášske posedenie pre deti členov Rybárskeho zväzu, miestna organizácia Kysucké Nové Mesto,</w:t>
      </w:r>
    </w:p>
    <w:p>
      <w:pPr>
        <w:pStyle w:val="ListParagraph"/>
        <w:numPr>
          <w:ilvl w:val="0"/>
          <w:numId w:val="1"/>
        </w:numPr>
        <w:jc w:val="both"/>
        <w:rPr>
          <w:lang w:val="en-US"/>
        </w:rPr>
      </w:pPr>
      <w:r>
        <w:rPr>
          <w:lang w:val="en-US"/>
        </w:rPr>
        <w:t>organizačné poradenstvo, asistencia a manažovanie – gratny a projekty – Oravský záchranný system, o.z.,</w:t>
      </w:r>
    </w:p>
    <w:p>
      <w:pPr>
        <w:pStyle w:val="ListParagraph"/>
        <w:numPr>
          <w:ilvl w:val="0"/>
          <w:numId w:val="1"/>
        </w:numPr>
        <w:jc w:val="both"/>
        <w:rPr>
          <w:lang w:val="en-US"/>
        </w:rPr>
      </w:pPr>
      <w:r>
        <w:rPr>
          <w:lang w:val="en-US"/>
        </w:rPr>
        <w:t>monitorovanie projektov realizovaných súkromnými podnikateľskými subjektami,  posudzovanie a hodnotenie realizácie projektov.</w:t>
      </w:r>
    </w:p>
    <w:p>
      <w:pPr>
        <w:pStyle w:val="Normal"/>
        <w:jc w:val="both"/>
        <w:rPr/>
      </w:pPr>
      <w:r>
        <w:rPr/>
        <w:t xml:space="preserve">          </w:t>
      </w:r>
    </w:p>
    <w:p>
      <w:pPr>
        <w:pStyle w:val="Normal"/>
        <w:jc w:val="center"/>
        <w:rPr>
          <w:b/>
        </w:rPr>
      </w:pPr>
      <w:r>
        <w:rPr>
          <w:b/>
        </w:rPr>
        <w:t>Prehľad o peňažných príjmoch podľa zdrojov a peňažných výdavkoch neziskovej organizácie za rok 2014</w:t>
      </w:r>
    </w:p>
    <w:p>
      <w:pPr>
        <w:pStyle w:val="Normal"/>
        <w:shd w:fill="auto" w:val="clear"/>
        <w:jc w:val="both"/>
        <w:rPr>
          <w:b/>
          <w:shd w:fill="auto" w:val="clear"/>
        </w:rPr>
      </w:pPr>
      <w:r>
        <w:rPr>
          <w:b/>
          <w:shd w:fill="auto" w:val="clear"/>
        </w:rPr>
      </w:r>
    </w:p>
    <w:p>
      <w:pPr>
        <w:pStyle w:val="Normal"/>
        <w:numPr>
          <w:ilvl w:val="0"/>
          <w:numId w:val="2"/>
        </w:numPr>
        <w:shd w:fill="auto" w:val="clear"/>
        <w:jc w:val="both"/>
        <w:rPr>
          <w:b/>
          <w:highlight w:val="yellow"/>
          <w:shd w:fill="auto" w:val="clear"/>
        </w:rPr>
      </w:pPr>
      <w:r>
        <w:rPr>
          <w:b/>
          <w:highlight w:val="yellow"/>
          <w:shd w:fill="auto" w:val="clear"/>
        </w:rPr>
        <w:t xml:space="preserve">Peňažné príjmy </w:t>
      </w:r>
    </w:p>
    <w:p>
      <w:pPr>
        <w:pStyle w:val="Normal"/>
        <w:numPr>
          <w:ilvl w:val="0"/>
          <w:numId w:val="4"/>
        </w:numPr>
        <w:shd w:fill="auto" w:val="clear"/>
        <w:jc w:val="both"/>
        <w:rPr>
          <w:highlight w:val="yellow"/>
          <w:shd w:fill="auto" w:val="clear"/>
        </w:rPr>
      </w:pPr>
      <w:r>
        <w:rPr>
          <w:highlight w:val="yellow"/>
          <w:shd w:fill="auto" w:val="clear"/>
        </w:rPr>
        <w:t>úhrada pohľadávok za poskytované služby:</w:t>
        <w:tab/>
        <w:tab/>
        <w:t xml:space="preserve"> EUR                      3 300,00 </w:t>
      </w:r>
    </w:p>
    <w:p>
      <w:pPr>
        <w:pStyle w:val="Normal"/>
        <w:numPr>
          <w:ilvl w:val="0"/>
          <w:numId w:val="4"/>
        </w:numPr>
        <w:shd w:fill="auto" w:val="clear"/>
        <w:jc w:val="both"/>
        <w:rPr>
          <w:b/>
          <w:highlight w:val="yellow"/>
          <w:shd w:fill="auto" w:val="clear"/>
        </w:rPr>
      </w:pPr>
      <w:r>
        <w:rPr>
          <w:highlight w:val="yellow"/>
          <w:shd w:fill="auto" w:val="clear"/>
        </w:rPr>
        <w:t>kreditné bankové úroky:</w:t>
        <w:tab/>
        <w:tab/>
        <w:tab/>
        <w:tab/>
        <w:t xml:space="preserve"> EUR</w:t>
      </w:r>
      <w:r>
        <w:rPr>
          <w:b/>
          <w:highlight w:val="yellow"/>
          <w:shd w:fill="auto" w:val="clear"/>
        </w:rPr>
        <w:tab/>
      </w:r>
      <w:r>
        <w:rPr>
          <w:highlight w:val="yellow"/>
          <w:shd w:fill="auto" w:val="clear"/>
        </w:rPr>
        <w:t xml:space="preserve">                          0,71</w:t>
      </w:r>
      <w:r>
        <w:rPr>
          <w:b/>
          <w:highlight w:val="yellow"/>
          <w:shd w:fill="auto" w:val="clear"/>
        </w:rPr>
        <w:t xml:space="preserve">  </w:t>
      </w:r>
    </w:p>
    <w:p>
      <w:pPr>
        <w:pStyle w:val="Normal"/>
        <w:shd w:fill="auto" w:val="clear"/>
        <w:jc w:val="both"/>
        <w:rPr>
          <w:b/>
          <w:highlight w:val="yellow"/>
          <w:shd w:fill="auto" w:val="clear"/>
        </w:rPr>
      </w:pPr>
      <w:r>
        <w:rPr>
          <w:b/>
          <w:highlight w:val="yellow"/>
          <w:shd w:fill="auto" w:val="clear"/>
        </w:rPr>
      </w:r>
    </w:p>
    <w:p>
      <w:pPr>
        <w:pStyle w:val="Normal"/>
        <w:shd w:fill="auto" w:val="clear"/>
        <w:ind w:left="0" w:right="0" w:firstLine="360"/>
        <w:jc w:val="both"/>
        <w:rPr>
          <w:highlight w:val="yellow"/>
          <w:shd w:fill="auto" w:val="clear"/>
        </w:rPr>
      </w:pPr>
      <w:r>
        <w:rPr>
          <w:highlight w:val="yellow"/>
          <w:shd w:fill="auto" w:val="clear"/>
        </w:rPr>
        <w:t>Nezisková organizácia neprijala v roku 2014 žiadne dary.</w:t>
      </w:r>
    </w:p>
    <w:p>
      <w:pPr>
        <w:pStyle w:val="Normal"/>
        <w:shd w:fill="auto" w:val="clear"/>
        <w:jc w:val="both"/>
        <w:rPr>
          <w:b/>
          <w:highlight w:val="yellow"/>
          <w:shd w:fill="auto" w:val="clear"/>
        </w:rPr>
      </w:pPr>
      <w:r>
        <w:rPr>
          <w:b/>
          <w:highlight w:val="yellow"/>
          <w:shd w:fill="auto" w:val="clear"/>
        </w:rPr>
      </w:r>
    </w:p>
    <w:p>
      <w:pPr>
        <w:pStyle w:val="Normal"/>
        <w:numPr>
          <w:ilvl w:val="0"/>
          <w:numId w:val="2"/>
        </w:numPr>
        <w:shd w:fill="auto" w:val="clear"/>
        <w:jc w:val="both"/>
        <w:rPr>
          <w:b/>
          <w:highlight w:val="yellow"/>
          <w:shd w:fill="auto" w:val="clear"/>
        </w:rPr>
      </w:pPr>
      <w:r>
        <w:rPr>
          <w:b/>
          <w:highlight w:val="yellow"/>
          <w:shd w:fill="auto" w:val="clear"/>
        </w:rPr>
        <w:t>Peňažné výdavky</w:t>
      </w:r>
    </w:p>
    <w:p>
      <w:pPr>
        <w:pStyle w:val="Normal"/>
        <w:numPr>
          <w:ilvl w:val="0"/>
          <w:numId w:val="3"/>
        </w:numPr>
        <w:shd w:fill="auto" w:val="clear"/>
        <w:jc w:val="both"/>
        <w:rPr>
          <w:highlight w:val="yellow"/>
          <w:shd w:fill="auto" w:val="clear"/>
        </w:rPr>
      </w:pPr>
      <w:r>
        <w:rPr>
          <w:highlight w:val="yellow"/>
          <w:shd w:fill="auto" w:val="clear"/>
        </w:rPr>
        <w:t>spotreba materiálu:</w:t>
        <w:tab/>
        <w:tab/>
        <w:tab/>
        <w:tab/>
        <w:tab/>
        <w:t xml:space="preserve"> EUR                        </w:t>
      </w:r>
      <w:r>
        <w:rPr>
          <w:highlight w:val="yellow"/>
          <w:shd w:fill="auto" w:val="clear"/>
        </w:rPr>
        <w:t>19307</w:t>
      </w:r>
      <w:r>
        <w:rPr>
          <w:highlight w:val="yellow"/>
          <w:shd w:fill="auto" w:val="clear"/>
        </w:rPr>
        <w:t xml:space="preserve">  </w:t>
      </w:r>
    </w:p>
    <w:p>
      <w:pPr>
        <w:pStyle w:val="Normal"/>
        <w:numPr>
          <w:ilvl w:val="0"/>
          <w:numId w:val="3"/>
        </w:numPr>
        <w:shd w:fill="auto" w:val="clear"/>
        <w:jc w:val="both"/>
        <w:rPr>
          <w:highlight w:val="yellow"/>
          <w:shd w:fill="auto" w:val="clear"/>
        </w:rPr>
      </w:pPr>
      <w:r>
        <w:rPr>
          <w:highlight w:val="yellow"/>
          <w:shd w:fill="auto" w:val="clear"/>
        </w:rPr>
        <w:t>reprezentačné:</w:t>
        <w:tab/>
        <w:tab/>
        <w:tab/>
        <w:tab/>
        <w:tab/>
        <w:tab/>
        <w:t xml:space="preserve"> EUR                            0,00</w:t>
      </w:r>
    </w:p>
    <w:p>
      <w:pPr>
        <w:pStyle w:val="Normal"/>
        <w:numPr>
          <w:ilvl w:val="0"/>
          <w:numId w:val="3"/>
        </w:numPr>
        <w:shd w:fill="auto" w:val="clear"/>
        <w:jc w:val="both"/>
        <w:rPr>
          <w:highlight w:val="yellow"/>
          <w:shd w:fill="auto" w:val="clear"/>
        </w:rPr>
      </w:pPr>
      <w:r>
        <w:rPr>
          <w:highlight w:val="yellow"/>
          <w:shd w:fill="auto" w:val="clear"/>
        </w:rPr>
        <w:t>poštovné, kolkové známky a overovanie:</w:t>
        <w:tab/>
        <w:t xml:space="preserve">             EUR                        2</w:t>
      </w:r>
      <w:r>
        <w:rPr>
          <w:highlight w:val="yellow"/>
          <w:shd w:fill="auto" w:val="clear"/>
        </w:rPr>
        <w:t xml:space="preserve">54 </w:t>
      </w:r>
    </w:p>
    <w:p>
      <w:pPr>
        <w:pStyle w:val="Normal"/>
        <w:numPr>
          <w:ilvl w:val="0"/>
          <w:numId w:val="3"/>
        </w:numPr>
        <w:shd w:fill="auto" w:val="clear"/>
        <w:jc w:val="both"/>
        <w:rPr>
          <w:highlight w:val="yellow"/>
          <w:shd w:fill="auto" w:val="clear"/>
        </w:rPr>
      </w:pPr>
      <w:r>
        <w:rPr>
          <w:highlight w:val="yellow"/>
          <w:shd w:fill="auto" w:val="clear"/>
        </w:rPr>
        <w:t>prenájom priestorov:</w:t>
        <w:tab/>
        <w:tab/>
        <w:tab/>
        <w:tab/>
        <w:t xml:space="preserve">             EUR                            0,00</w:t>
      </w:r>
    </w:p>
    <w:p>
      <w:pPr>
        <w:pStyle w:val="Normal"/>
        <w:numPr>
          <w:ilvl w:val="0"/>
          <w:numId w:val="3"/>
        </w:numPr>
        <w:shd w:fill="auto" w:val="clear"/>
        <w:jc w:val="both"/>
        <w:rPr>
          <w:highlight w:val="yellow"/>
          <w:shd w:fill="auto" w:val="clear"/>
        </w:rPr>
      </w:pPr>
      <w:r>
        <w:rPr>
          <w:highlight w:val="yellow"/>
          <w:shd w:fill="auto" w:val="clear"/>
        </w:rPr>
        <w:t>bankové a servisné poplatky:</w:t>
        <w:tab/>
        <w:tab/>
        <w:tab/>
        <w:t xml:space="preserve">   </w:t>
        <w:tab/>
        <w:t xml:space="preserve"> EUR                          </w:t>
      </w:r>
    </w:p>
    <w:p>
      <w:pPr>
        <w:pStyle w:val="Normal"/>
        <w:numPr>
          <w:ilvl w:val="0"/>
          <w:numId w:val="3"/>
        </w:numPr>
        <w:shd w:fill="auto" w:val="clear"/>
        <w:jc w:val="both"/>
        <w:rPr>
          <w:highlight w:val="yellow"/>
          <w:shd w:fill="auto" w:val="clear"/>
        </w:rPr>
      </w:pPr>
      <w:r>
        <w:rPr>
          <w:highlight w:val="yellow"/>
          <w:shd w:fill="auto" w:val="clear"/>
        </w:rPr>
        <w:t>zrážková daň z úrokov:</w:t>
      </w:r>
    </w:p>
    <w:p>
      <w:pPr>
        <w:pStyle w:val="Normal"/>
        <w:numPr>
          <w:ilvl w:val="0"/>
          <w:numId w:val="3"/>
        </w:numPr>
        <w:jc w:val="both"/>
        <w:rPr>
          <w:highlight w:val="yellow"/>
        </w:rPr>
      </w:pPr>
      <w:r>
        <w:rPr>
          <w:highlight w:val="yellow"/>
        </w:rPr>
        <w:t>služby</w:t>
        <w:tab/>
        <w:tab/>
        <w:tab/>
      </w:r>
      <w:r>
        <w:rPr>
          <w:highlight w:val="yellow"/>
        </w:rPr>
        <w:tab/>
        <w:tab/>
        <w:tab/>
        <w:tab/>
        <w:t xml:space="preserve"> EUR      </w:t>
        <w:tab/>
        <w:t xml:space="preserve">      </w:t>
      </w:r>
      <w:r>
        <w:rPr>
          <w:highlight w:val="yellow"/>
        </w:rPr>
        <w:tab/>
        <w:t>40950,00</w:t>
      </w:r>
    </w:p>
    <w:p>
      <w:pPr>
        <w:pStyle w:val="Normal"/>
        <w:jc w:val="both"/>
        <w:rPr>
          <w:highlight w:val="yellow"/>
        </w:rPr>
      </w:pPr>
      <w:r>
        <w:rPr>
          <w:highlight w:val="yellow"/>
        </w:rPr>
      </w:r>
    </w:p>
    <w:p>
      <w:pPr>
        <w:pStyle w:val="Normal"/>
        <w:jc w:val="both"/>
        <w:rPr>
          <w:highlight w:val="yellow"/>
        </w:rPr>
      </w:pPr>
      <w:r>
        <w:rPr>
          <w:highlight w:val="yellow"/>
        </w:rPr>
      </w:r>
    </w:p>
    <w:p>
      <w:pPr>
        <w:pStyle w:val="Normal"/>
        <w:numPr>
          <w:ilvl w:val="0"/>
          <w:numId w:val="2"/>
        </w:numPr>
        <w:jc w:val="both"/>
        <w:rPr>
          <w:b/>
          <w:highlight w:val="yellow"/>
        </w:rPr>
      </w:pPr>
      <w:r>
        <w:rPr>
          <w:b/>
          <w:highlight w:val="yellow"/>
        </w:rPr>
        <w:t>Mzdové a sociálne náklady</w:t>
      </w:r>
    </w:p>
    <w:p>
      <w:pPr>
        <w:pStyle w:val="Normal"/>
        <w:numPr>
          <w:ilvl w:val="0"/>
          <w:numId w:val="3"/>
        </w:numPr>
        <w:jc w:val="both"/>
        <w:rPr>
          <w:highlight w:val="yellow"/>
        </w:rPr>
      </w:pPr>
      <w:r>
        <w:rPr>
          <w:highlight w:val="yellow"/>
        </w:rPr>
        <w:t xml:space="preserve">predpis miezd (dohody v zmysle Zákonníka práce): EUR            </w:t>
        <w:tab/>
        <w:t xml:space="preserve">          </w:t>
      </w:r>
      <w:r>
        <w:rPr>
          <w:highlight w:val="yellow"/>
        </w:rPr>
        <w:t>27796</w:t>
      </w:r>
    </w:p>
    <w:p>
      <w:pPr>
        <w:pStyle w:val="Normal"/>
        <w:numPr>
          <w:ilvl w:val="0"/>
          <w:numId w:val="3"/>
        </w:numPr>
        <w:jc w:val="both"/>
        <w:rPr>
          <w:highlight w:val="yellow"/>
        </w:rPr>
      </w:pPr>
      <w:r>
        <w:rPr>
          <w:highlight w:val="yellow"/>
        </w:rPr>
        <w:t>zákonné sociálne poistenie:</w:t>
        <w:tab/>
        <w:tab/>
        <w:tab/>
        <w:tab/>
        <w:t xml:space="preserve"> EUR                          </w:t>
      </w:r>
      <w:r>
        <w:rPr>
          <w:highlight w:val="yellow"/>
        </w:rPr>
        <w:t>9782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b/>
          <w:highlight w:val="yellow"/>
        </w:rPr>
      </w:pPr>
      <w:r>
        <w:rPr>
          <w:b/>
          <w:highlight w:val="yellow"/>
        </w:rPr>
      </w:r>
    </w:p>
    <w:p>
      <w:pPr>
        <w:pStyle w:val="Normal"/>
        <w:jc w:val="center"/>
        <w:rPr>
          <w:b/>
          <w:highlight w:val="yellow"/>
        </w:rPr>
      </w:pPr>
      <w:r>
        <w:rPr>
          <w:b/>
          <w:highlight w:val="yellow"/>
        </w:rPr>
        <w:t xml:space="preserve"> </w:t>
      </w:r>
      <w:r>
        <w:rPr>
          <w:b/>
          <w:highlight w:val="yellow"/>
        </w:rPr>
        <w:t>Stav a pohyb majetku a záväzkov neziskovej organizácie</w:t>
      </w:r>
    </w:p>
    <w:p>
      <w:pPr>
        <w:pStyle w:val="Normal"/>
        <w:jc w:val="center"/>
        <w:rPr>
          <w:b/>
          <w:highlight w:val="yellow"/>
        </w:rPr>
      </w:pPr>
      <w:r>
        <w:rPr>
          <w:b/>
          <w:highlight w:val="yellow"/>
        </w:rPr>
      </w:r>
    </w:p>
    <w:p>
      <w:pPr>
        <w:pStyle w:val="Normal"/>
        <w:jc w:val="both"/>
        <w:rPr>
          <w:b/>
          <w:highlight w:val="yellow"/>
        </w:rPr>
      </w:pPr>
      <w:r>
        <w:rPr>
          <w:b/>
          <w:highlight w:val="yellow"/>
        </w:rPr>
        <w:t>Inventarizovaný majetok, záväzky a vlastné imanie k 31.12.2014</w:t>
      </w:r>
    </w:p>
    <w:p>
      <w:pPr>
        <w:pStyle w:val="Normal"/>
        <w:jc w:val="both"/>
        <w:rPr>
          <w:highlight w:val="yellow"/>
        </w:rPr>
      </w:pPr>
      <w:r>
        <w:rPr>
          <w:highlight w:val="yellow"/>
        </w:rPr>
      </w:r>
    </w:p>
    <w:p>
      <w:pPr>
        <w:pStyle w:val="Normal"/>
        <w:jc w:val="both"/>
        <w:rPr>
          <w:highlight w:val="yellow"/>
        </w:rPr>
      </w:pPr>
      <w:r>
        <w:rPr>
          <w:highlight w:val="yellow"/>
        </w:rPr>
        <w:t>Pokladnica:</w:t>
        <w:tab/>
        <w:tab/>
        <w:t xml:space="preserve">   EUR                                             </w:t>
      </w:r>
      <w:r>
        <w:rPr>
          <w:highlight w:val="yellow"/>
        </w:rPr>
        <w:t>362</w:t>
      </w:r>
    </w:p>
    <w:p>
      <w:pPr>
        <w:pStyle w:val="Normal"/>
        <w:jc w:val="both"/>
        <w:rPr>
          <w:highlight w:val="yellow"/>
        </w:rPr>
      </w:pPr>
      <w:r>
        <w:rPr>
          <w:highlight w:val="yellow"/>
        </w:rPr>
        <w:t>Bankové účty:</w:t>
        <w:tab/>
        <w:tab/>
        <w:t xml:space="preserve">   EUR                                             </w:t>
      </w:r>
      <w:r>
        <w:rPr>
          <w:highlight w:val="yellow"/>
        </w:rPr>
        <w:t>20378</w:t>
      </w:r>
    </w:p>
    <w:p>
      <w:pPr>
        <w:pStyle w:val="Normal"/>
        <w:jc w:val="both"/>
        <w:rPr>
          <w:highlight w:val="yellow"/>
        </w:rPr>
      </w:pPr>
      <w:r>
        <w:rPr>
          <w:highlight w:val="yellow"/>
        </w:rPr>
        <w:t>Dodávatelia:</w:t>
        <w:tab/>
        <w:tab/>
        <w:t xml:space="preserve">   EUR                                             </w:t>
      </w:r>
      <w:r>
        <w:rPr>
          <w:highlight w:val="yellow"/>
        </w:rPr>
        <w:t>0</w:t>
      </w:r>
    </w:p>
    <w:p>
      <w:pPr>
        <w:pStyle w:val="Normal"/>
        <w:jc w:val="both"/>
        <w:rPr>
          <w:highlight w:val="yellow"/>
        </w:rPr>
      </w:pPr>
      <w:r>
        <w:rPr>
          <w:highlight w:val="yellow"/>
        </w:rPr>
        <w:t>Ostatné záväzky:</w:t>
        <w:tab/>
        <w:t xml:space="preserve">   EUR                                             </w:t>
      </w:r>
      <w:r>
        <w:rPr>
          <w:highlight w:val="yellow"/>
        </w:rPr>
        <w:t>0</w:t>
      </w:r>
      <w:r>
        <w:rPr>
          <w:highlight w:val="yellow"/>
        </w:rPr>
        <w:t xml:space="preserve"> </w:t>
      </w:r>
    </w:p>
    <w:p>
      <w:pPr>
        <w:pStyle w:val="Normal"/>
        <w:jc w:val="both"/>
        <w:rPr>
          <w:highlight w:val="yellow"/>
        </w:rPr>
      </w:pPr>
      <w:r>
        <w:rPr>
          <w:highlight w:val="yellow"/>
        </w:rPr>
        <w:t>Základné imanie:</w:t>
        <w:tab/>
        <w:t xml:space="preserve">   EUR                                                 </w:t>
      </w:r>
      <w:r>
        <w:rPr>
          <w:highlight w:val="yellow"/>
        </w:rPr>
        <w:t>0</w:t>
      </w:r>
    </w:p>
    <w:p>
      <w:pPr>
        <w:pStyle w:val="Normal"/>
        <w:jc w:val="both"/>
        <w:rPr>
          <w:highlight w:val="yellow"/>
        </w:rPr>
      </w:pPr>
      <w:r>
        <w:rPr>
          <w:highlight w:val="yellow"/>
        </w:rPr>
        <w:t>Odberatelia:</w:t>
        <w:tab/>
        <w:tab/>
        <w:t xml:space="preserve">   EUR                                            </w:t>
      </w:r>
      <w:r>
        <w:rPr>
          <w:highlight w:val="yellow"/>
        </w:rPr>
        <w:t>0</w:t>
      </w:r>
    </w:p>
    <w:p>
      <w:pPr>
        <w:pStyle w:val="Normal"/>
        <w:jc w:val="both"/>
        <w:rPr>
          <w:highlight w:val="yellow"/>
        </w:rPr>
      </w:pPr>
      <w:r>
        <w:rPr>
          <w:highlight w:val="yellow"/>
        </w:rPr>
        <w:t>Nerozdelený zisk m.r.:  EUR                                                    0,00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Majetok neziskovej organizácie tvoria len peňažné prostriedky v pokladni a na bankovom účte organizácie. </w:t>
      </w:r>
    </w:p>
    <w:p>
      <w:pPr>
        <w:pStyle w:val="Normal"/>
        <w:jc w:val="both"/>
        <w:rPr>
          <w:b/>
        </w:rPr>
      </w:pPr>
      <w:r>
        <w:rPr>
          <w:b/>
        </w:rPr>
        <w:t xml:space="preserve">    </w:t>
      </w:r>
    </w:p>
    <w:p>
      <w:pPr>
        <w:pStyle w:val="Normal"/>
        <w:jc w:val="both"/>
        <w:rPr/>
      </w:pPr>
      <w:r>
        <w:rPr/>
        <w:t>Nezisková organizácie vedie účtovníctvo podľa zákona č. 431/2002 Z.z. o účtovníctve v znení neskorších predpisov. Ročná účtovná závierka a daňové priznanie boli spracované dodávateľským spôsobom.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b/>
        </w:rPr>
      </w:pPr>
      <w:r>
        <w:rPr>
          <w:b/>
        </w:rPr>
      </w:r>
    </w:p>
    <w:p>
      <w:pPr>
        <w:pStyle w:val="Normal"/>
        <w:jc w:val="both"/>
        <w:rPr>
          <w:b/>
        </w:rPr>
      </w:pPr>
      <w:r>
        <w:rPr>
          <w:b/>
        </w:rPr>
        <w:t>Záver</w:t>
      </w:r>
    </w:p>
    <w:p>
      <w:pPr>
        <w:pStyle w:val="Normal"/>
        <w:jc w:val="both"/>
        <w:rPr>
          <w:b/>
        </w:rPr>
      </w:pPr>
      <w:r>
        <w:rPr>
          <w:b/>
        </w:rPr>
      </w:r>
    </w:p>
    <w:p>
      <w:pPr>
        <w:pStyle w:val="Normal"/>
        <w:jc w:val="both"/>
        <w:rPr/>
      </w:pPr>
      <w:r>
        <w:rPr/>
        <w:t xml:space="preserve">Výročná správa neziskovej organizácie ALLEA, n.o za rok 2014 bude zverejnená po schválení správnou radou vo verejnej časti registra účtovných závierok najneskôr do 15.7.2015 a zároveň bude k dispozícii v sídle neziskovej organizácie.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Spracovala:</w:t>
      </w:r>
    </w:p>
    <w:p>
      <w:pPr>
        <w:pStyle w:val="Normal"/>
        <w:jc w:val="both"/>
        <w:rPr/>
      </w:pPr>
      <w:r>
        <w:rPr/>
        <w:t>Ing. Beáta Topoľská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raditional Arabic"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Calibri" w:hAnsi="Calibri" w:eastAsia="SimSun" w:cs="Calibri"/>
        <w:sz w:val="22"/>
        <w:szCs w:val="22"/>
        <w:lang w:val="sk-SK" w:eastAsia="en-US" w:bidi="ar-SA"/>
      </w:rPr>
    </w:rPrDefault>
    <w:pPrDefault>
      <w:pPr>
        <w:spacing w:lineRule="auto" w:line="276"/>
      </w:pPr>
    </w:pPrDefault>
  </w:docDefaults>
  <w:latentStyles w:count="276" w:defQFormat="0" w:defUnhideWhenUsed="1" w:defSemiHidden="1" w:defUIPriority="99" w:defLockedState="0">
    <w:lsdException w:qFormat="1" w:unhideWhenUsed="0" w:semiHidden="0" w:uiPriority="0" w:name="Normal"/>
    <w:lsdException w:qFormat="1" w:unhideWhenUsed="0" w:semiHidden="0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unhideWhenUsed="0" w:semiHidden="0" w:uiPriority="10" w:name="Title"/>
    <w:lsdException w:uiPriority="1" w:name="Default Paragraph Font"/>
    <w:lsdException w:qFormat="1" w:unhideWhenUsed="0" w:semiHidden="0" w:uiPriority="11" w:name="Subtitle"/>
    <w:lsdException w:qFormat="1" w:unhideWhenUsed="0" w:semiHidden="0" w:uiPriority="22" w:name="Strong"/>
    <w:lsdException w:qFormat="1" w:unhideWhenUsed="0" w:semiHidden="0" w:uiPriority="20" w:name="Emphasis"/>
    <w:lsdException w:uiPriority="0" w:name="Normal (Web)"/>
    <w:lsdException w:unhideWhenUsed="0" w:semiHidden="0" w:uiPriority="59" w:name="Table Grid"/>
    <w:lsdException w:unhideWhenUsed="0" w:name="Placeholder Text"/>
    <w:lsdException w:qFormat="1" w:unhideWhenUsed="0" w:semiHidden="0" w:uiPriority="1" w:name="No Spacing"/>
    <w:lsdException w:unhideWhenUsed="0" w:semiHidden="0" w:uiPriority="60" w:name="Light Shading"/>
    <w:lsdException w:unhideWhenUsed="0" w:semiHidden="0" w:uiPriority="61" w:name="Light List"/>
    <w:lsdException w:unhideWhenUsed="0" w:semiHidden="0" w:uiPriority="62" w:name="Light Grid"/>
    <w:lsdException w:unhideWhenUsed="0" w:semiHidden="0" w:uiPriority="63" w:name="Medium Shading 1"/>
    <w:lsdException w:unhideWhenUsed="0" w:semiHidden="0" w:uiPriority="64" w:name="Medium Shading 2"/>
    <w:lsdException w:unhideWhenUsed="0" w:semiHidden="0" w:uiPriority="65" w:name="Medium List 1"/>
    <w:lsdException w:unhideWhenUsed="0" w:semiHidden="0" w:uiPriority="66" w:name="Medium List 2"/>
    <w:lsdException w:unhideWhenUsed="0" w:semiHidden="0" w:uiPriority="67" w:name="Medium Grid 1"/>
    <w:lsdException w:unhideWhenUsed="0" w:semiHidden="0" w:uiPriority="68" w:name="Medium Grid 2"/>
    <w:lsdException w:unhideWhenUsed="0" w:semiHidden="0" w:uiPriority="69" w:name="Medium Grid 3"/>
    <w:lsdException w:unhideWhenUsed="0" w:semiHidden="0" w:uiPriority="70" w:name="Dark List"/>
    <w:lsdException w:unhideWhenUsed="0" w:semiHidden="0" w:uiPriority="71" w:name="Colorful Shading"/>
    <w:lsdException w:unhideWhenUsed="0" w:semiHidden="0" w:uiPriority="72" w:name="Colorful List"/>
    <w:lsdException w:unhideWhenUsed="0" w:semiHidden="0" w:uiPriority="73" w:name="Colorful Grid"/>
    <w:lsdException w:unhideWhenUsed="0" w:semiHidden="0" w:uiPriority="60" w:name="Light Shading Accent 1"/>
    <w:lsdException w:unhideWhenUsed="0" w:semiHidden="0" w:uiPriority="61" w:name="Light List Accent 1"/>
    <w:lsdException w:unhideWhenUsed="0" w:semiHidden="0" w:uiPriority="62" w:name="Light Grid Accent 1"/>
    <w:lsdException w:unhideWhenUsed="0" w:semiHidden="0" w:uiPriority="63" w:name="Medium Shading 1 Accent 1"/>
    <w:lsdException w:unhideWhenUsed="0" w:semiHidden="0" w:uiPriority="64" w:name="Medium Shading 2 Accent 1"/>
    <w:lsdException w:unhideWhenUsed="0" w:semiHidden="0" w:uiPriority="65" w:name="Medium List 1 Accent 1"/>
    <w:lsdException w:unhideWhenUsed="0" w:name="Revision"/>
    <w:lsdException w:qFormat="1" w:unhideWhenUsed="0" w:semiHidden="0" w:uiPriority="34" w:name="List Paragraph"/>
    <w:lsdException w:qFormat="1" w:unhideWhenUsed="0" w:semiHidden="0" w:uiPriority="29" w:name="Quote"/>
    <w:lsdException w:qFormat="1" w:unhideWhenUsed="0" w:semiHidden="0" w:uiPriority="30" w:name="Intense Quote"/>
    <w:lsdException w:unhideWhenUsed="0" w:semiHidden="0" w:uiPriority="66" w:name="Medium List 2 Accent 1"/>
    <w:lsdException w:unhideWhenUsed="0" w:semiHidden="0" w:uiPriority="67" w:name="Medium Grid 1 Accent 1"/>
    <w:lsdException w:unhideWhenUsed="0" w:semiHidden="0" w:uiPriority="68" w:name="Medium Grid 2 Accent 1"/>
    <w:lsdException w:unhideWhenUsed="0" w:semiHidden="0" w:uiPriority="69" w:name="Medium Grid 3 Accent 1"/>
    <w:lsdException w:unhideWhenUsed="0" w:semiHidden="0" w:uiPriority="70" w:name="Dark List Accent 1"/>
    <w:lsdException w:unhideWhenUsed="0" w:semiHidden="0" w:uiPriority="71" w:name="Colorful Shading Accent 1"/>
    <w:lsdException w:unhideWhenUsed="0" w:semiHidden="0" w:uiPriority="72" w:name="Colorful List Accent 1"/>
    <w:lsdException w:unhideWhenUsed="0" w:semiHidden="0" w:uiPriority="73" w:name="Colorful Grid Accent 1"/>
    <w:lsdException w:unhideWhenUsed="0" w:semiHidden="0" w:uiPriority="60" w:name="Light Shading Accent 2"/>
    <w:lsdException w:unhideWhenUsed="0" w:semiHidden="0" w:uiPriority="61" w:name="Light List Accent 2"/>
    <w:lsdException w:unhideWhenUsed="0" w:semiHidden="0" w:uiPriority="62" w:name="Light Grid Accent 2"/>
    <w:lsdException w:unhideWhenUsed="0" w:semiHidden="0" w:uiPriority="63" w:name="Medium Shading 1 Accent 2"/>
    <w:lsdException w:unhideWhenUsed="0" w:semiHidden="0" w:uiPriority="64" w:name="Medium Shading 2 Accent 2"/>
    <w:lsdException w:unhideWhenUsed="0" w:semiHidden="0" w:uiPriority="65" w:name="Medium List 1 Accent 2"/>
    <w:lsdException w:unhideWhenUsed="0" w:semiHidden="0" w:uiPriority="66" w:name="Medium List 2 Accent 2"/>
    <w:lsdException w:unhideWhenUsed="0" w:semiHidden="0" w:uiPriority="67" w:name="Medium Grid 1 Accent 2"/>
    <w:lsdException w:unhideWhenUsed="0" w:semiHidden="0" w:uiPriority="68" w:name="Medium Grid 2 Accent 2"/>
    <w:lsdException w:unhideWhenUsed="0" w:semiHidden="0" w:uiPriority="69" w:name="Medium Grid 3 Accent 2"/>
    <w:lsdException w:unhideWhenUsed="0" w:semiHidden="0" w:uiPriority="70" w:name="Dark List Accent 2"/>
    <w:lsdException w:unhideWhenUsed="0" w:semiHidden="0" w:uiPriority="71" w:name="Colorful Shading Accent 2"/>
    <w:lsdException w:unhideWhenUsed="0" w:semiHidden="0" w:uiPriority="72" w:name="Colorful List Accent 2"/>
    <w:lsdException w:unhideWhenUsed="0" w:semiHidden="0" w:uiPriority="73" w:name="Colorful Grid Accent 2"/>
    <w:lsdException w:unhideWhenUsed="0" w:semiHidden="0" w:uiPriority="60" w:name="Light Shading Accent 3"/>
    <w:lsdException w:unhideWhenUsed="0" w:semiHidden="0" w:uiPriority="61" w:name="Light List Accent 3"/>
    <w:lsdException w:unhideWhenUsed="0" w:semiHidden="0" w:uiPriority="62" w:name="Light Grid Accent 3"/>
    <w:lsdException w:unhideWhenUsed="0" w:semiHidden="0" w:uiPriority="63" w:name="Medium Shading 1 Accent 3"/>
    <w:lsdException w:unhideWhenUsed="0" w:semiHidden="0" w:uiPriority="64" w:name="Medium Shading 2 Accent 3"/>
    <w:lsdException w:unhideWhenUsed="0" w:semiHidden="0" w:uiPriority="65" w:name="Medium List 1 Accent 3"/>
    <w:lsdException w:unhideWhenUsed="0" w:semiHidden="0" w:uiPriority="66" w:name="Medium List 2 Accent 3"/>
    <w:lsdException w:unhideWhenUsed="0" w:semiHidden="0" w:uiPriority="67" w:name="Medium Grid 1 Accent 3"/>
    <w:lsdException w:unhideWhenUsed="0" w:semiHidden="0" w:uiPriority="68" w:name="Medium Grid 2 Accent 3"/>
    <w:lsdException w:unhideWhenUsed="0" w:semiHidden="0" w:uiPriority="69" w:name="Medium Grid 3 Accent 3"/>
    <w:lsdException w:unhideWhenUsed="0" w:semiHidden="0" w:uiPriority="70" w:name="Dark List Accent 3"/>
    <w:lsdException w:unhideWhenUsed="0" w:semiHidden="0" w:uiPriority="71" w:name="Colorful Shading Accent 3"/>
    <w:lsdException w:unhideWhenUsed="0" w:semiHidden="0" w:uiPriority="72" w:name="Colorful List Accent 3"/>
    <w:lsdException w:unhideWhenUsed="0" w:semiHidden="0" w:uiPriority="73" w:name="Colorful Grid Accent 3"/>
    <w:lsdException w:unhideWhenUsed="0" w:semiHidden="0" w:uiPriority="60" w:name="Light Shading Accent 4"/>
    <w:lsdException w:unhideWhenUsed="0" w:semiHidden="0" w:uiPriority="61" w:name="Light List Accent 4"/>
    <w:lsdException w:unhideWhenUsed="0" w:semiHidden="0" w:uiPriority="62" w:name="Light Grid Accent 4"/>
    <w:lsdException w:unhideWhenUsed="0" w:semiHidden="0" w:uiPriority="63" w:name="Medium Shading 1 Accent 4"/>
    <w:lsdException w:unhideWhenUsed="0" w:semiHidden="0" w:uiPriority="64" w:name="Medium Shading 2 Accent 4"/>
    <w:lsdException w:unhideWhenUsed="0" w:semiHidden="0" w:uiPriority="65" w:name="Medium List 1 Accent 4"/>
    <w:lsdException w:unhideWhenUsed="0" w:semiHidden="0" w:uiPriority="66" w:name="Medium List 2 Accent 4"/>
    <w:lsdException w:unhideWhenUsed="0" w:semiHidden="0" w:uiPriority="67" w:name="Medium Grid 1 Accent 4"/>
    <w:lsdException w:unhideWhenUsed="0" w:semiHidden="0" w:uiPriority="68" w:name="Medium Grid 2 Accent 4"/>
    <w:lsdException w:unhideWhenUsed="0" w:semiHidden="0" w:uiPriority="69" w:name="Medium Grid 3 Accent 4"/>
    <w:lsdException w:unhideWhenUsed="0" w:semiHidden="0" w:uiPriority="70" w:name="Dark List Accent 4"/>
    <w:lsdException w:unhideWhenUsed="0" w:semiHidden="0" w:uiPriority="71" w:name="Colorful Shading Accent 4"/>
    <w:lsdException w:unhideWhenUsed="0" w:semiHidden="0" w:uiPriority="72" w:name="Colorful List Accent 4"/>
    <w:lsdException w:unhideWhenUsed="0" w:semiHidden="0" w:uiPriority="73" w:name="Colorful Grid Accent 4"/>
    <w:lsdException w:unhideWhenUsed="0" w:semiHidden="0" w:uiPriority="60" w:name="Light Shading Accent 5"/>
    <w:lsdException w:unhideWhenUsed="0" w:semiHidden="0" w:uiPriority="61" w:name="Light List Accent 5"/>
    <w:lsdException w:unhideWhenUsed="0" w:semiHidden="0" w:uiPriority="62" w:name="Light Grid Accent 5"/>
    <w:lsdException w:unhideWhenUsed="0" w:semiHidden="0" w:uiPriority="63" w:name="Medium Shading 1 Accent 5"/>
    <w:lsdException w:unhideWhenUsed="0" w:semiHidden="0" w:uiPriority="64" w:name="Medium Shading 2 Accent 5"/>
    <w:lsdException w:unhideWhenUsed="0" w:semiHidden="0" w:uiPriority="65" w:name="Medium List 1 Accent 5"/>
    <w:lsdException w:unhideWhenUsed="0" w:semiHidden="0" w:uiPriority="66" w:name="Medium List 2 Accent 5"/>
    <w:lsdException w:unhideWhenUsed="0" w:semiHidden="0" w:uiPriority="67" w:name="Medium Grid 1 Accent 5"/>
    <w:lsdException w:unhideWhenUsed="0" w:semiHidden="0" w:uiPriority="68" w:name="Medium Grid 2 Accent 5"/>
    <w:lsdException w:unhideWhenUsed="0" w:semiHidden="0" w:uiPriority="69" w:name="Medium Grid 3 Accent 5"/>
    <w:lsdException w:unhideWhenUsed="0" w:semiHidden="0" w:uiPriority="70" w:name="Dark List Accent 5"/>
    <w:lsdException w:unhideWhenUsed="0" w:semiHidden="0" w:uiPriority="71" w:name="Colorful Shading Accent 5"/>
    <w:lsdException w:unhideWhenUsed="0" w:semiHidden="0" w:uiPriority="72" w:name="Colorful List Accent 5"/>
    <w:lsdException w:unhideWhenUsed="0" w:semiHidden="0" w:uiPriority="73" w:name="Colorful Grid Accent 5"/>
    <w:lsdException w:unhideWhenUsed="0" w:semiHidden="0" w:uiPriority="60" w:name="Light Shading Accent 6"/>
    <w:lsdException w:unhideWhenUsed="0" w:semiHidden="0" w:uiPriority="61" w:name="Light List Accent 6"/>
    <w:lsdException w:unhideWhenUsed="0" w:semiHidden="0" w:uiPriority="62" w:name="Light Grid Accent 6"/>
    <w:lsdException w:unhideWhenUsed="0" w:semiHidden="0" w:uiPriority="63" w:name="Medium Shading 1 Accent 6"/>
    <w:lsdException w:unhideWhenUsed="0" w:semiHidden="0" w:uiPriority="64" w:name="Medium Shading 2 Accent 6"/>
    <w:lsdException w:unhideWhenUsed="0" w:semiHidden="0" w:uiPriority="65" w:name="Medium List 1 Accent 6"/>
    <w:lsdException w:unhideWhenUsed="0" w:semiHidden="0" w:uiPriority="66" w:name="Medium List 2 Accent 6"/>
    <w:lsdException w:unhideWhenUsed="0" w:semiHidden="0" w:uiPriority="67" w:name="Medium Grid 1 Accent 6"/>
    <w:lsdException w:unhideWhenUsed="0" w:semiHidden="0" w:uiPriority="68" w:name="Medium Grid 2 Accent 6"/>
    <w:lsdException w:unhideWhenUsed="0" w:semiHidden="0" w:uiPriority="69" w:name="Medium Grid 3 Accent 6"/>
    <w:lsdException w:unhideWhenUsed="0" w:semiHidden="0" w:uiPriority="70" w:name="Dark List Accent 6"/>
    <w:lsdException w:unhideWhenUsed="0" w:semiHidden="0" w:uiPriority="71" w:name="Colorful Shading Accent 6"/>
    <w:lsdException w:unhideWhenUsed="0" w:semiHidden="0" w:uiPriority="72" w:name="Colorful List Accent 6"/>
    <w:lsdException w:unhideWhenUsed="0" w:semiHidden="0" w:uiPriority="73" w:name="Colorful Grid Accent 6"/>
    <w:lsdException w:qFormat="1" w:unhideWhenUsed="0" w:semiHidden="0" w:uiPriority="19" w:name="Subtle Emphasis"/>
    <w:lsdException w:qFormat="1" w:unhideWhenUsed="0" w:semiHidden="0" w:uiPriority="21" w:name="Intense Emphasis"/>
    <w:lsdException w:qFormat="1" w:unhideWhenUsed="0" w:semiHidden="0" w:uiPriority="31" w:name="Subtle Reference"/>
    <w:lsdException w:qFormat="1" w:unhideWhenUsed="0" w:semiHidden="0" w:uiPriority="32" w:name="Intense Reference"/>
    <w:lsdException w:qFormat="1" w:unhideWhenUsed="0" w:semiHidden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qFormat/>
    <w:rsid w:val="00250ccb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sz w:val="24"/>
      <w:szCs w:val="24"/>
      <w:lang w:eastAsia="sk-SK" w:val="sk-SK" w:bidi="ar-SA"/>
    </w:rPr>
  </w:style>
  <w:style w:type="character" w:styleId="DefaultParagraphFont" w:default="1">
    <w:name w:val="Default Paragraph Font"/>
    <w:uiPriority w:val="1"/>
    <w:unhideWhenUsed/>
    <w:rPr/>
  </w:style>
  <w:style w:type="character" w:styleId="Internetovodkaz">
    <w:name w:val="Internetový odkaz"/>
    <w:uiPriority w:val="99"/>
    <w:unhideWhenUsed/>
    <w:rsid w:val="00d26def"/>
    <w:basedOn w:val="DefaultParagraphFont"/>
    <w:rPr>
      <w:color w:val="0000FF"/>
      <w:u w:val="single"/>
      <w:lang w:val="zxx" w:eastAsia="zxx" w:bidi="zxx"/>
    </w:rPr>
  </w:style>
  <w:style w:type="character" w:styleId="ListLabel1">
    <w:name w:val="ListLabel 1"/>
    <w:rPr>
      <w:rFonts w:eastAsia="Times New Roman" w:cs="Times New Roman"/>
    </w:rPr>
  </w:style>
  <w:style w:type="character" w:styleId="ListLabel2">
    <w:name w:val="ListLabel 2"/>
    <w:rPr>
      <w:rFonts w:cs="Courier New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NormalWeb">
    <w:name w:val="Normal (Web)"/>
    <w:semiHidden/>
    <w:unhideWhenUsed/>
    <w:rsid w:val="00250ccb"/>
    <w:basedOn w:val="Normal"/>
    <w:pPr>
      <w:spacing w:before="0" w:after="280"/>
    </w:pPr>
    <w:rPr/>
  </w:style>
  <w:style w:type="paragraph" w:styleId="ListParagraph">
    <w:name w:val="List Paragraph"/>
    <w:uiPriority w:val="34"/>
    <w:qFormat/>
    <w:rsid w:val="00250ccb"/>
    <w:basedOn w:val="Normal"/>
    <w:pPr>
      <w:spacing w:before="0" w:after="0"/>
      <w:ind w:left="720" w:right="0" w:hanging="0"/>
      <w:contextualSpacing/>
    </w:pPr>
    <w:rPr/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alleanosk@gmail.com" TargetMode="Externa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Application>Microsoft Macintosh Word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2015-06-30T09:23:00Z</dcterms:created>
  <dc:creator>strakova</dc:creator>
  <dc:language>sk-SK</dc:language>
  <cp:lastModifiedBy>Beáta Topoľská</cp:lastModifiedBy>
  <dcterms:modified xsi:type="dcterms:W3CDTF">2015-06-30T09:27:00Z</dcterms:modified>
  <cp:revision>3</cp:revision>
</cp:coreProperties>
</file>