
<file path=[Content_Types].xml><?xml version="1.0" encoding="utf-8"?>
<Types xmlns="http://schemas.openxmlformats.org/package/2006/content-types">
  <Override PartName="/_rels/.rels" ContentType="application/vnd.openxmlformats-package.relationships+xml"/>
  <Override PartName="/customXml/_rels/item1.xml.rels" ContentType="application/vnd.openxmlformats-package.relationships+xml"/>
  <Override PartName="/customXml/itemProps1.xml" ContentType="application/vnd.openxmlformats-officedocument.customXmlProperties+xml"/>
  <Override PartName="/customXml/item1.xml" ContentType="application/xml"/>
  <Override PartName="/word/_rels/header1.xml.rels" ContentType="application/vnd.openxmlformats-package.relationships+xml"/>
  <Override PartName="/word/_rels/document.xml.rels" ContentType="application/vnd.openxmlformats-package.relationships+xml"/>
  <Override PartName="/word/settings.xml" ContentType="application/vnd.openxmlformats-officedocument.wordprocessingml.settings+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media/image114.png" ContentType="image/png"/>
  <Override PartName="/word/media/image113.jpeg" ContentType="image/jpeg"/>
  <Override PartName="/word/media/image112.gif" ContentType="image/gif"/>
  <Override PartName="/word/media/image108.wmf" ContentType="image/x-wmf"/>
  <Override PartName="/word/media/image107.wmf" ContentType="image/x-wmf"/>
  <Override PartName="/word/media/image106.wmf" ContentType="image/x-wmf"/>
  <Override PartName="/word/media/image99.png" ContentType="image/png"/>
  <Override PartName="/word/media/image104.wmf" ContentType="image/x-wmf"/>
  <Override PartName="/word/media/image96.jpeg" ContentType="image/jpeg"/>
  <Override PartName="/word/media/image97.wmf" ContentType="image/x-wmf"/>
  <Override PartName="/word/media/image103.jpeg" ContentType="image/jpeg"/>
  <Override PartName="/word/media/image98.jpeg" ContentType="image/jpeg"/>
  <Override PartName="/word/media/image102.wmf" ContentType="image/x-wmf"/>
  <Override PartName="/word/media/image101.wmf" ContentType="image/x-wmf"/>
  <Override PartName="/word/media/image100.jpeg" ContentType="image/jpeg"/>
  <Override PartName="/word/media/image105.wmf" ContentType="image/x-wmf"/>
  <Override PartName="/word/numbering.xml" ContentType="application/vnd.openxmlformats-officedocument.wordprocessingml.numbering+xml"/>
  <Override PartName="/word/styles.xml" ContentType="application/vnd.openxmlformats-officedocument.wordprocessingml.styles+xml"/>
  <Override PartName="/word/theme/theme1.xml" ContentType="application/vnd.openxmlformats-officedocument.theme+xml"/>
  <Override PartName="/word/document.xml" ContentType="application/vnd.openxmlformats-officedocument.wordprocessingml.document.main+xml"/>
  <Override PartName="/docProps/app.xml" ContentType="application/vnd.openxmlformats-officedocument.extended-properties+xml"/>
  <Override PartName="/docProps/core.xml" ContentType="application/vnd.openxmlformats-package.core-propertie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w:body>
    <w:p>
      <w:pPr>
        <w:pStyle w:val="Normal"/>
        <w:jc w:val="center"/>
        <w:rPr>
          <w:b/>
          <w:sz w:val="72"/>
          <w:szCs w:val="72"/>
        </w:rPr>
      </w:pPr>
      <w:r>
        <w:rPr>
          <w:b/>
          <w:sz w:val="72"/>
          <w:szCs w:val="72"/>
        </w:rPr>
        <w:t>Výročná správa</w:t>
      </w:r>
    </w:p>
    <w:p>
      <w:pPr>
        <w:pStyle w:val="Normal"/>
        <w:jc w:val="center"/>
        <w:rPr>
          <w:b/>
          <w:sz w:val="72"/>
          <w:szCs w:val="72"/>
        </w:rPr>
      </w:pPr>
      <w:r>
        <w:rPr>
          <w:b/>
          <w:sz w:val="72"/>
          <w:szCs w:val="72"/>
        </w:rPr>
      </w:r>
    </w:p>
    <w:p>
      <w:pPr>
        <w:pStyle w:val="Normal"/>
        <w:jc w:val="center"/>
        <w:rPr>
          <w:b/>
          <w:sz w:val="72"/>
          <w:szCs w:val="72"/>
        </w:rPr>
      </w:pPr>
      <w:r>
        <w:rPr>
          <w:b/>
          <w:sz w:val="72"/>
          <w:szCs w:val="72"/>
        </w:rPr>
        <w:t>Obce Horná Kráľová</w:t>
      </w:r>
    </w:p>
    <w:p>
      <w:pPr>
        <w:pStyle w:val="Normal"/>
        <w:jc w:val="center"/>
        <w:rPr>
          <w:b/>
          <w:sz w:val="72"/>
          <w:szCs w:val="72"/>
        </w:rPr>
      </w:pPr>
      <w:r>
        <w:rPr>
          <w:b/>
          <w:sz w:val="72"/>
          <w:szCs w:val="72"/>
        </w:rPr>
      </w:r>
    </w:p>
    <w:p>
      <w:pPr>
        <w:pStyle w:val="Normal"/>
        <w:jc w:val="center"/>
        <w:rPr>
          <w:b/>
          <w:sz w:val="72"/>
          <w:szCs w:val="72"/>
        </w:rPr>
      </w:pPr>
      <w:r>
        <w:rPr>
          <w:b/>
          <w:sz w:val="72"/>
          <w:szCs w:val="72"/>
        </w:rPr>
        <w:t>za rok 2014</w:t>
      </w:r>
    </w:p>
    <w:p>
      <w:pPr>
        <w:pStyle w:val="Normal"/>
        <w:rPr>
          <w:b/>
          <w:sz w:val="44"/>
          <w:szCs w:val="44"/>
        </w:rPr>
      </w:pPr>
      <w:r>
        <w:rPr>
          <w:b/>
          <w:sz w:val="44"/>
          <w:szCs w:val="44"/>
        </w:rPr>
      </w:r>
    </w:p>
    <w:p>
      <w:pPr>
        <w:pStyle w:val="Normal"/>
        <w:jc w:val="both"/>
        <w:rPr>
          <w:b/>
          <w:sz w:val="36"/>
          <w:szCs w:val="36"/>
        </w:rPr>
      </w:pPr>
      <w:r>
        <w:rPr>
          <w:b/>
          <w:sz w:val="36"/>
          <w:szCs w:val="36"/>
        </w:rPr>
        <w:t>Právna forma účtovnej jednotky: O B E C</w:t>
      </w:r>
    </w:p>
    <w:p>
      <w:pPr>
        <w:pStyle w:val="Normal"/>
        <w:jc w:val="both"/>
        <w:rPr>
          <w:b/>
          <w:sz w:val="36"/>
          <w:szCs w:val="36"/>
        </w:rPr>
      </w:pPr>
      <w:r>
        <w:rPr>
          <w:b/>
          <w:sz w:val="36"/>
          <w:szCs w:val="36"/>
        </w:rPr>
      </w:r>
    </w:p>
    <w:p>
      <w:pPr>
        <w:pStyle w:val="Normal"/>
        <w:jc w:val="both"/>
        <w:rPr>
          <w:b/>
          <w:sz w:val="36"/>
          <w:szCs w:val="36"/>
        </w:rPr>
      </w:pPr>
      <w:r>
        <w:rPr>
          <w:b/>
          <w:sz w:val="36"/>
          <w:szCs w:val="36"/>
        </w:rPr>
        <w:t>Obdobie: od 01.01.2014 do 31.12.2014</w:t>
      </w:r>
    </w:p>
    <w:p>
      <w:pPr>
        <w:pStyle w:val="Normal"/>
        <w:jc w:val="both"/>
        <w:rPr>
          <w:b/>
          <w:sz w:val="28"/>
          <w:szCs w:val="28"/>
        </w:rPr>
      </w:pPr>
      <w:r>
        <w:rPr>
          <w:b/>
          <w:sz w:val="28"/>
          <w:szCs w:val="28"/>
        </w:rPr>
      </w:r>
    </w:p>
    <w:p>
      <w:pPr>
        <w:pStyle w:val="Normal"/>
        <w:jc w:val="both"/>
        <w:rPr>
          <w:b/>
          <w:sz w:val="28"/>
          <w:szCs w:val="28"/>
        </w:rPr>
      </w:pPr>
      <w:r>
        <w:rPr>
          <w:b/>
          <w:sz w:val="28"/>
          <w:szCs w:val="28"/>
        </w:rPr>
      </w:r>
    </w:p>
    <w:p>
      <w:pPr>
        <w:pStyle w:val="Normal"/>
        <w:jc w:val="both"/>
        <w:rPr>
          <w:b/>
          <w:sz w:val="28"/>
          <w:szCs w:val="28"/>
        </w:rPr>
      </w:pPr>
      <w:r>
        <w:rPr>
          <w:b/>
          <w:sz w:val="28"/>
          <w:szCs w:val="28"/>
        </w:rPr>
      </w:r>
    </w:p>
    <w:p>
      <w:pPr>
        <w:pStyle w:val="Normal"/>
        <w:jc w:val="both"/>
        <w:rPr>
          <w:b/>
          <w:sz w:val="28"/>
          <w:szCs w:val="28"/>
        </w:rPr>
      </w:pPr>
      <w:r>
        <w:rPr>
          <w:b/>
          <w:sz w:val="28"/>
          <w:szCs w:val="28"/>
        </w:rPr>
        <w:t>Podpisový záznam štatutárneho orgánu:    .....................................................</w:t>
      </w:r>
    </w:p>
    <w:p>
      <w:pPr>
        <w:pStyle w:val="Normal"/>
        <w:jc w:val="both"/>
        <w:rPr>
          <w:b/>
          <w:sz w:val="28"/>
          <w:szCs w:val="28"/>
        </w:rPr>
      </w:pPr>
      <w:r>
        <w:rPr>
          <w:b/>
          <w:sz w:val="28"/>
          <w:szCs w:val="28"/>
        </w:rPr>
        <w:t xml:space="preserve">                                                                             </w:t>
      </w:r>
      <w:r>
        <w:rPr>
          <w:b/>
          <w:sz w:val="28"/>
          <w:szCs w:val="28"/>
        </w:rPr>
        <w:t>Emil Rábek, starosta obce</w:t>
      </w:r>
    </w:p>
    <w:p>
      <w:pPr>
        <w:pStyle w:val="Normal"/>
        <w:jc w:val="both"/>
        <w:rPr>
          <w:b/>
          <w:sz w:val="28"/>
          <w:szCs w:val="28"/>
        </w:rPr>
      </w:pPr>
      <w:r>
        <w:rPr>
          <w:b/>
          <w:sz w:val="28"/>
          <w:szCs w:val="28"/>
        </w:rPr>
      </w:r>
    </w:p>
    <w:p>
      <w:pPr>
        <w:pStyle w:val="Normal"/>
        <w:jc w:val="both"/>
        <w:rPr>
          <w:b/>
          <w:sz w:val="28"/>
          <w:szCs w:val="28"/>
        </w:rPr>
      </w:pPr>
      <w:r>
        <w:rPr>
          <w:b/>
          <w:sz w:val="28"/>
          <w:szCs w:val="28"/>
        </w:rPr>
      </w:r>
    </w:p>
    <w:p>
      <w:pPr>
        <w:pStyle w:val="Normal"/>
        <w:jc w:val="both"/>
        <w:rPr>
          <w:b/>
          <w:sz w:val="28"/>
          <w:szCs w:val="28"/>
        </w:rPr>
      </w:pPr>
      <w:r>
        <w:rPr>
          <w:b/>
          <w:sz w:val="28"/>
          <w:szCs w:val="28"/>
        </w:rPr>
        <w:t>Podpisový záznam osoby , ktorá vypracovala výročnú správu</w:t>
      </w:r>
    </w:p>
    <w:p>
      <w:pPr>
        <w:pStyle w:val="Normal"/>
        <w:jc w:val="both"/>
        <w:rPr>
          <w:b/>
          <w:sz w:val="28"/>
          <w:szCs w:val="28"/>
        </w:rPr>
      </w:pPr>
      <w:r>
        <w:rPr>
          <w:b/>
          <w:sz w:val="28"/>
          <w:szCs w:val="28"/>
        </w:rPr>
      </w:r>
    </w:p>
    <w:p>
      <w:pPr>
        <w:pStyle w:val="Normal"/>
        <w:jc w:val="both"/>
        <w:rPr>
          <w:b/>
          <w:sz w:val="28"/>
          <w:szCs w:val="28"/>
        </w:rPr>
      </w:pPr>
      <w:r>
        <w:rPr>
          <w:b/>
          <w:sz w:val="28"/>
          <w:szCs w:val="28"/>
        </w:rPr>
        <w:t xml:space="preserve">                                                                        </w:t>
      </w:r>
      <w:r>
        <w:rPr>
          <w:b/>
          <w:sz w:val="28"/>
          <w:szCs w:val="28"/>
        </w:rPr>
        <w:t>......................................................</w:t>
      </w:r>
    </w:p>
    <w:p>
      <w:pPr>
        <w:pStyle w:val="Normal"/>
        <w:jc w:val="center"/>
        <w:rPr>
          <w:b/>
          <w:sz w:val="28"/>
          <w:szCs w:val="28"/>
        </w:rPr>
      </w:pPr>
      <w:r>
        <w:rPr>
          <w:b/>
          <w:sz w:val="28"/>
          <w:szCs w:val="28"/>
        </w:rPr>
        <w:t xml:space="preserve">                                                                    </w:t>
      </w:r>
      <w:r>
        <w:rPr>
          <w:b/>
          <w:sz w:val="28"/>
          <w:szCs w:val="28"/>
        </w:rPr>
        <w:t>Eva Hippová , účtovníčka</w:t>
      </w:r>
    </w:p>
    <w:p>
      <w:pPr>
        <w:pStyle w:val="Normal"/>
        <w:jc w:val="both"/>
        <w:rPr>
          <w:b/>
          <w:sz w:val="28"/>
          <w:szCs w:val="28"/>
        </w:rPr>
      </w:pPr>
      <w:r>
        <w:rPr>
          <w:b/>
          <w:sz w:val="28"/>
          <w:szCs w:val="28"/>
        </w:rPr>
      </w:r>
    </w:p>
    <w:p>
      <w:pPr>
        <w:pStyle w:val="Normal"/>
        <w:jc w:val="both"/>
        <w:rPr>
          <w:b/>
          <w:sz w:val="28"/>
          <w:szCs w:val="28"/>
        </w:rPr>
      </w:pPr>
      <w:r>
        <w:rPr>
          <w:b/>
          <w:sz w:val="28"/>
          <w:szCs w:val="28"/>
        </w:rPr>
        <w:t>Podpisový záznam osoby zodpovednej za vedenie účtovníctva:</w:t>
      </w:r>
    </w:p>
    <w:p>
      <w:pPr>
        <w:pStyle w:val="Normal"/>
        <w:jc w:val="both"/>
        <w:rPr>
          <w:b/>
          <w:sz w:val="28"/>
          <w:szCs w:val="28"/>
        </w:rPr>
      </w:pPr>
      <w:r>
        <w:rPr>
          <w:b/>
          <w:sz w:val="28"/>
          <w:szCs w:val="28"/>
        </w:rPr>
      </w:r>
    </w:p>
    <w:p>
      <w:pPr>
        <w:pStyle w:val="Normal"/>
        <w:jc w:val="both"/>
        <w:rPr>
          <w:b/>
          <w:sz w:val="28"/>
          <w:szCs w:val="28"/>
        </w:rPr>
      </w:pPr>
      <w:r>
        <w:rPr>
          <w:b/>
          <w:sz w:val="28"/>
          <w:szCs w:val="28"/>
        </w:rPr>
        <w:t xml:space="preserve">                                                                       </w:t>
      </w:r>
      <w:r>
        <w:rPr>
          <w:b/>
          <w:sz w:val="28"/>
          <w:szCs w:val="28"/>
        </w:rPr>
        <w:t>......................................................</w:t>
      </w:r>
    </w:p>
    <w:p>
      <w:pPr>
        <w:pStyle w:val="Normal"/>
        <w:shd w:fill="FFFFFF" w:val="clear"/>
        <w:jc w:val="both"/>
        <w:rPr>
          <w:b/>
          <w:sz w:val="28"/>
          <w:szCs w:val="28"/>
        </w:rPr>
      </w:pPr>
      <w:r>
        <w:rPr>
          <w:b/>
          <w:sz w:val="28"/>
          <w:szCs w:val="28"/>
        </w:rPr>
        <w:t xml:space="preserve">                                                                        </w:t>
      </w:r>
      <w:r>
        <w:rPr>
          <w:b/>
          <w:sz w:val="28"/>
          <w:szCs w:val="28"/>
        </w:rPr>
        <w:t>Eva Hippová, účtovníčka</w:t>
      </w:r>
    </w:p>
    <w:p>
      <w:pPr>
        <w:pStyle w:val="Normal"/>
        <w:jc w:val="both"/>
        <w:rPr>
          <w:b/>
          <w:sz w:val="28"/>
          <w:szCs w:val="28"/>
        </w:rPr>
      </w:pPr>
      <w:r>
        <w:rPr>
          <w:b/>
          <w:sz w:val="28"/>
          <w:szCs w:val="28"/>
        </w:rPr>
      </w:r>
    </w:p>
    <w:p>
      <w:pPr>
        <w:pStyle w:val="Normal"/>
        <w:jc w:val="both"/>
        <w:rPr>
          <w:b/>
          <w:sz w:val="28"/>
          <w:szCs w:val="28"/>
        </w:rPr>
      </w:pPr>
      <w:r>
        <w:rPr>
          <w:b/>
          <w:sz w:val="28"/>
          <w:szCs w:val="28"/>
        </w:rPr>
      </w:r>
    </w:p>
    <w:p>
      <w:pPr>
        <w:pStyle w:val="Normal"/>
        <w:jc w:val="both"/>
        <w:rPr>
          <w:b/>
          <w:sz w:val="28"/>
          <w:szCs w:val="28"/>
        </w:rPr>
      </w:pPr>
      <w:r>
        <w:rPr>
          <w:b/>
          <w:sz w:val="28"/>
          <w:szCs w:val="28"/>
        </w:rPr>
      </w:r>
    </w:p>
    <w:p>
      <w:pPr>
        <w:pStyle w:val="Normal"/>
        <w:shd w:fill="auto" w:val="clear"/>
        <w:jc w:val="both"/>
        <w:rPr>
          <w:b/>
          <w:sz w:val="28"/>
          <w:szCs w:val="28"/>
        </w:rPr>
      </w:pPr>
      <w:r>
        <w:rPr>
          <w:b/>
          <w:sz w:val="28"/>
          <w:szCs w:val="28"/>
        </w:rPr>
        <w:t xml:space="preserve">V Hornej Kráľovej, </w:t>
      </w:r>
      <w:r>
        <w:rPr>
          <w:b/>
          <w:sz w:val="28"/>
          <w:szCs w:val="28"/>
        </w:rPr>
        <w:t>dňa 18.06.2015</w:t>
      </w:r>
    </w:p>
    <w:p>
      <w:pPr>
        <w:pStyle w:val="Normal"/>
        <w:shd w:fill="FFFFFF" w:val="clear"/>
        <w:tabs>
          <w:tab w:val="right" w:pos="8820" w:leader="none"/>
        </w:tabs>
        <w:spacing w:lineRule="auto" w:line="360"/>
        <w:jc w:val="both"/>
        <w:rPr>
          <w:b/>
        </w:rPr>
      </w:pPr>
      <w:r>
        <w:rPr>
          <w:b/>
        </w:rPr>
      </w:r>
    </w:p>
    <w:p>
      <w:pPr>
        <w:pStyle w:val="Normal"/>
        <w:tabs>
          <w:tab w:val="right" w:pos="8820" w:leader="none"/>
        </w:tabs>
        <w:jc w:val="both"/>
        <w:rPr/>
      </w:pPr>
      <w:r>
        <w:rPr/>
      </w:r>
    </w:p>
    <w:p>
      <w:pPr>
        <w:pStyle w:val="Normal"/>
        <w:tabs>
          <w:tab w:val="right" w:pos="8820" w:leader="none"/>
        </w:tabs>
        <w:jc w:val="both"/>
        <w:rPr/>
      </w:pPr>
      <w:r>
        <w:rPr/>
      </w:r>
    </w:p>
    <w:p>
      <w:pPr>
        <w:pStyle w:val="Normal"/>
        <w:tabs>
          <w:tab w:val="right" w:pos="8820" w:leader="none"/>
        </w:tabs>
        <w:jc w:val="both"/>
        <w:rPr/>
      </w:pPr>
      <w:r>
        <w:rPr/>
      </w:r>
    </w:p>
    <w:p>
      <w:pPr>
        <w:pStyle w:val="Normal"/>
        <w:tabs>
          <w:tab w:val="right" w:pos="8820" w:leader="none"/>
        </w:tabs>
        <w:jc w:val="both"/>
        <w:rPr/>
      </w:pPr>
      <w:r>
        <w:rPr/>
      </w:r>
    </w:p>
    <w:tbl>
      <w:tblPr>
        <w:jc w:val="left"/>
        <w:tblInd w:w="-15" w:type="dxa"/>
        <w:tblBorders>
          <w:top w:val="single" w:sz="4" w:space="0" w:color="00000A"/>
          <w:left w:val="single" w:sz="4" w:space="0" w:color="00000A"/>
          <w:bottom w:val="single" w:sz="4" w:space="0" w:color="00000A"/>
          <w:insideH w:val="single" w:sz="4" w:space="0" w:color="00000A"/>
          <w:right w:val="single" w:sz="4" w:space="0" w:color="00000A"/>
          <w:insideV w:val="single" w:sz="4" w:space="0" w:color="00000A"/>
        </w:tblBorders>
        <w:tblCellMar>
          <w:top w:w="0" w:type="dxa"/>
          <w:left w:w="93" w:type="dxa"/>
          <w:bottom w:w="0" w:type="dxa"/>
          <w:right w:w="108" w:type="dxa"/>
        </w:tblCellMar>
      </w:tblPr>
      <w:tblGrid>
        <w:gridCol w:w="8340"/>
        <w:gridCol w:w="941"/>
      </w:tblGrid>
      <w:tr>
        <w:trPr>
          <w:cantSplit w:val="false"/>
        </w:trPr>
        <w:tc>
          <w:tcPr>
            <w:tcW w:w="8340" w:type="dxa"/>
            <w:tcBorders>
              <w:top w:val="single" w:sz="4" w:space="0" w:color="00000A"/>
              <w:left w:val="single" w:sz="4" w:space="0" w:color="00000A"/>
              <w:bottom w:val="single" w:sz="4" w:space="0" w:color="00000A"/>
              <w:insideH w:val="single" w:sz="4" w:space="0" w:color="00000A"/>
              <w:right w:val="single" w:sz="4" w:space="0" w:color="00000A"/>
              <w:insideV w:val="single" w:sz="4" w:space="0" w:color="00000A"/>
            </w:tcBorders>
            <w:shd w:fill="FFFFFF" w:val="clear"/>
            <w:tcMar>
              <w:left w:w="93" w:type="dxa"/>
            </w:tcMar>
          </w:tcPr>
          <w:p>
            <w:pPr>
              <w:pStyle w:val="Normal"/>
              <w:tabs>
                <w:tab w:val="right" w:pos="8820" w:leader="none"/>
              </w:tabs>
              <w:jc w:val="both"/>
              <w:rPr>
                <w:b/>
              </w:rPr>
            </w:pPr>
            <w:r>
              <w:rPr>
                <w:b/>
              </w:rPr>
              <w:t>OBSAH</w:t>
            </w:r>
          </w:p>
        </w:tc>
        <w:tc>
          <w:tcPr>
            <w:tcW w:w="941" w:type="dxa"/>
            <w:tcBorders>
              <w:top w:val="single" w:sz="4" w:space="0" w:color="00000A"/>
              <w:left w:val="single" w:sz="4" w:space="0" w:color="00000A"/>
              <w:bottom w:val="single" w:sz="4" w:space="0" w:color="00000A"/>
              <w:insideH w:val="single" w:sz="4" w:space="0" w:color="00000A"/>
              <w:right w:val="single" w:sz="4" w:space="0" w:color="00000A"/>
              <w:insideV w:val="single" w:sz="4" w:space="0" w:color="00000A"/>
            </w:tcBorders>
            <w:shd w:fill="FFFFFF" w:val="clear"/>
            <w:tcMar>
              <w:left w:w="93" w:type="dxa"/>
            </w:tcMar>
          </w:tcPr>
          <w:p>
            <w:pPr>
              <w:pStyle w:val="Normal"/>
              <w:tabs>
                <w:tab w:val="right" w:pos="8820" w:leader="none"/>
              </w:tabs>
              <w:jc w:val="center"/>
              <w:rPr>
                <w:b/>
              </w:rPr>
            </w:pPr>
            <w:r>
              <w:rPr>
                <w:b/>
              </w:rPr>
              <w:t>St</w:t>
            </w:r>
            <w:r>
              <w:rPr>
                <w:b/>
              </w:rPr>
              <w:t>rana</w:t>
            </w:r>
          </w:p>
        </w:tc>
      </w:tr>
      <w:tr>
        <w:trPr>
          <w:cantSplit w:val="false"/>
        </w:trPr>
        <w:tc>
          <w:tcPr>
            <w:tcW w:w="8340" w:type="dxa"/>
            <w:tcBorders>
              <w:top w:val="single" w:sz="4" w:space="0" w:color="00000A"/>
              <w:left w:val="single" w:sz="4" w:space="0" w:color="00000A"/>
              <w:bottom w:val="single" w:sz="4" w:space="0" w:color="00000A"/>
              <w:insideH w:val="single" w:sz="4" w:space="0" w:color="00000A"/>
              <w:right w:val="single" w:sz="4" w:space="0" w:color="00000A"/>
              <w:insideV w:val="single" w:sz="4" w:space="0" w:color="00000A"/>
            </w:tcBorders>
            <w:shd w:fill="FFFFFF" w:val="clear"/>
            <w:tcMar>
              <w:left w:w="93" w:type="dxa"/>
            </w:tcMar>
          </w:tcPr>
          <w:p>
            <w:pPr>
              <w:pStyle w:val="Normal"/>
              <w:tabs>
                <w:tab w:val="right" w:pos="8820" w:leader="none"/>
              </w:tabs>
              <w:jc w:val="both"/>
              <w:rPr/>
            </w:pPr>
            <w:r>
              <w:rPr>
                <w:b/>
              </w:rPr>
              <w:t>1. Základná charakteristika obce</w:t>
            </w:r>
            <w:r>
              <w:rPr/>
              <w:tab/>
              <w:t xml:space="preserve">  </w:t>
            </w:r>
          </w:p>
        </w:tc>
        <w:tc>
          <w:tcPr>
            <w:tcW w:w="941" w:type="dxa"/>
            <w:tcBorders>
              <w:top w:val="single" w:sz="4" w:space="0" w:color="00000A"/>
              <w:left w:val="single" w:sz="4" w:space="0" w:color="00000A"/>
              <w:bottom w:val="single" w:sz="4" w:space="0" w:color="00000A"/>
              <w:insideH w:val="single" w:sz="4" w:space="0" w:color="00000A"/>
              <w:right w:val="single" w:sz="4" w:space="0" w:color="00000A"/>
              <w:insideV w:val="single" w:sz="4" w:space="0" w:color="00000A"/>
            </w:tcBorders>
            <w:shd w:fill="FFFFFF" w:val="clear"/>
            <w:tcMar>
              <w:left w:w="93" w:type="dxa"/>
            </w:tcMar>
          </w:tcPr>
          <w:p>
            <w:pPr>
              <w:pStyle w:val="Normal"/>
              <w:tabs>
                <w:tab w:val="right" w:pos="8820" w:leader="none"/>
              </w:tabs>
              <w:jc w:val="center"/>
              <w:rPr>
                <w:b/>
              </w:rPr>
            </w:pPr>
            <w:r>
              <w:rPr>
                <w:b/>
              </w:rPr>
            </w:r>
          </w:p>
        </w:tc>
      </w:tr>
      <w:tr>
        <w:trPr>
          <w:cantSplit w:val="false"/>
        </w:trPr>
        <w:tc>
          <w:tcPr>
            <w:tcW w:w="8340" w:type="dxa"/>
            <w:tcBorders>
              <w:top w:val="single" w:sz="4" w:space="0" w:color="00000A"/>
              <w:left w:val="single" w:sz="4" w:space="0" w:color="00000A"/>
              <w:bottom w:val="single" w:sz="4" w:space="0" w:color="00000A"/>
              <w:insideH w:val="single" w:sz="4" w:space="0" w:color="00000A"/>
              <w:right w:val="single" w:sz="4" w:space="0" w:color="00000A"/>
              <w:insideV w:val="single" w:sz="4" w:space="0" w:color="00000A"/>
            </w:tcBorders>
            <w:shd w:fill="FFFFFF" w:val="clear"/>
            <w:tcMar>
              <w:left w:w="93" w:type="dxa"/>
            </w:tcMar>
          </w:tcPr>
          <w:p>
            <w:pPr>
              <w:pStyle w:val="Normal"/>
              <w:tabs>
                <w:tab w:val="right" w:pos="8820" w:leader="none"/>
              </w:tabs>
              <w:jc w:val="both"/>
              <w:rPr/>
            </w:pPr>
            <w:r>
              <w:rPr/>
              <w:t xml:space="preserve">    </w:t>
            </w:r>
            <w:r>
              <w:rPr/>
              <w:t>1.1   Geografické údaje</w:t>
              <w:tab/>
            </w:r>
          </w:p>
        </w:tc>
        <w:tc>
          <w:tcPr>
            <w:tcW w:w="941" w:type="dxa"/>
            <w:tcBorders>
              <w:top w:val="single" w:sz="4" w:space="0" w:color="00000A"/>
              <w:left w:val="single" w:sz="4" w:space="0" w:color="00000A"/>
              <w:bottom w:val="single" w:sz="4" w:space="0" w:color="00000A"/>
              <w:insideH w:val="single" w:sz="4" w:space="0" w:color="00000A"/>
              <w:right w:val="single" w:sz="4" w:space="0" w:color="00000A"/>
              <w:insideV w:val="single" w:sz="4" w:space="0" w:color="00000A"/>
            </w:tcBorders>
            <w:shd w:fill="FFFFFF" w:val="clear"/>
            <w:tcMar>
              <w:left w:w="93" w:type="dxa"/>
            </w:tcMar>
          </w:tcPr>
          <w:p>
            <w:pPr>
              <w:pStyle w:val="Normal"/>
              <w:tabs>
                <w:tab w:val="right" w:pos="8820" w:leader="none"/>
              </w:tabs>
              <w:jc w:val="center"/>
              <w:rPr>
                <w:b/>
              </w:rPr>
            </w:pPr>
            <w:r>
              <w:rPr>
                <w:b/>
              </w:rPr>
              <w:t>3</w:t>
            </w:r>
          </w:p>
        </w:tc>
      </w:tr>
      <w:tr>
        <w:trPr>
          <w:cantSplit w:val="false"/>
        </w:trPr>
        <w:tc>
          <w:tcPr>
            <w:tcW w:w="8340" w:type="dxa"/>
            <w:tcBorders>
              <w:top w:val="single" w:sz="4" w:space="0" w:color="00000A"/>
              <w:left w:val="single" w:sz="4" w:space="0" w:color="00000A"/>
              <w:bottom w:val="single" w:sz="4" w:space="0" w:color="00000A"/>
              <w:insideH w:val="single" w:sz="4" w:space="0" w:color="00000A"/>
              <w:right w:val="single" w:sz="4" w:space="0" w:color="00000A"/>
              <w:insideV w:val="single" w:sz="4" w:space="0" w:color="00000A"/>
            </w:tcBorders>
            <w:shd w:fill="FFFFFF" w:val="clear"/>
            <w:tcMar>
              <w:left w:w="93" w:type="dxa"/>
            </w:tcMar>
          </w:tcPr>
          <w:p>
            <w:pPr>
              <w:pStyle w:val="Normal"/>
              <w:tabs>
                <w:tab w:val="right" w:pos="8820" w:leader="none"/>
              </w:tabs>
              <w:jc w:val="both"/>
              <w:rPr/>
            </w:pPr>
            <w:r>
              <w:rPr/>
              <w:t xml:space="preserve">    </w:t>
            </w:r>
            <w:r>
              <w:rPr/>
              <w:t>1.2   Demografické údaje</w:t>
              <w:tab/>
            </w:r>
          </w:p>
        </w:tc>
        <w:tc>
          <w:tcPr>
            <w:tcW w:w="941" w:type="dxa"/>
            <w:tcBorders>
              <w:top w:val="single" w:sz="4" w:space="0" w:color="00000A"/>
              <w:left w:val="single" w:sz="4" w:space="0" w:color="00000A"/>
              <w:bottom w:val="single" w:sz="4" w:space="0" w:color="00000A"/>
              <w:insideH w:val="single" w:sz="4" w:space="0" w:color="00000A"/>
              <w:right w:val="single" w:sz="4" w:space="0" w:color="00000A"/>
              <w:insideV w:val="single" w:sz="4" w:space="0" w:color="00000A"/>
            </w:tcBorders>
            <w:shd w:fill="FFFFFF" w:val="clear"/>
            <w:tcMar>
              <w:left w:w="93" w:type="dxa"/>
            </w:tcMar>
          </w:tcPr>
          <w:p>
            <w:pPr>
              <w:pStyle w:val="Normal"/>
              <w:tabs>
                <w:tab w:val="right" w:pos="8820" w:leader="none"/>
              </w:tabs>
              <w:jc w:val="center"/>
              <w:rPr>
                <w:b/>
              </w:rPr>
            </w:pPr>
            <w:r>
              <w:rPr>
                <w:b/>
              </w:rPr>
              <w:t>4</w:t>
            </w:r>
          </w:p>
        </w:tc>
      </w:tr>
      <w:tr>
        <w:trPr>
          <w:cantSplit w:val="false"/>
        </w:trPr>
        <w:tc>
          <w:tcPr>
            <w:tcW w:w="8340" w:type="dxa"/>
            <w:tcBorders>
              <w:top w:val="single" w:sz="4" w:space="0" w:color="00000A"/>
              <w:left w:val="single" w:sz="4" w:space="0" w:color="00000A"/>
              <w:bottom w:val="single" w:sz="4" w:space="0" w:color="00000A"/>
              <w:insideH w:val="single" w:sz="4" w:space="0" w:color="00000A"/>
              <w:right w:val="single" w:sz="4" w:space="0" w:color="00000A"/>
              <w:insideV w:val="single" w:sz="4" w:space="0" w:color="00000A"/>
            </w:tcBorders>
            <w:shd w:fill="FFFFFF" w:val="clear"/>
            <w:tcMar>
              <w:left w:w="93" w:type="dxa"/>
            </w:tcMar>
          </w:tcPr>
          <w:p>
            <w:pPr>
              <w:pStyle w:val="Normal"/>
              <w:tabs>
                <w:tab w:val="right" w:pos="8820" w:leader="none"/>
              </w:tabs>
              <w:jc w:val="both"/>
              <w:rPr/>
            </w:pPr>
            <w:r>
              <w:rPr/>
              <w:t xml:space="preserve">    </w:t>
            </w:r>
            <w:r>
              <w:rPr/>
              <w:t>1.3   Ekonomické údaje</w:t>
              <w:tab/>
            </w:r>
          </w:p>
        </w:tc>
        <w:tc>
          <w:tcPr>
            <w:tcW w:w="941" w:type="dxa"/>
            <w:tcBorders>
              <w:top w:val="single" w:sz="4" w:space="0" w:color="00000A"/>
              <w:left w:val="single" w:sz="4" w:space="0" w:color="00000A"/>
              <w:bottom w:val="single" w:sz="4" w:space="0" w:color="00000A"/>
              <w:insideH w:val="single" w:sz="4" w:space="0" w:color="00000A"/>
              <w:right w:val="single" w:sz="4" w:space="0" w:color="00000A"/>
              <w:insideV w:val="single" w:sz="4" w:space="0" w:color="00000A"/>
            </w:tcBorders>
            <w:shd w:fill="FFFFFF" w:val="clear"/>
            <w:tcMar>
              <w:left w:w="93" w:type="dxa"/>
            </w:tcMar>
          </w:tcPr>
          <w:p>
            <w:pPr>
              <w:pStyle w:val="Normal"/>
              <w:tabs>
                <w:tab w:val="right" w:pos="8820" w:leader="none"/>
              </w:tabs>
              <w:jc w:val="center"/>
              <w:rPr>
                <w:b/>
              </w:rPr>
            </w:pPr>
            <w:r>
              <w:rPr>
                <w:b/>
              </w:rPr>
              <w:t>5</w:t>
            </w:r>
          </w:p>
        </w:tc>
      </w:tr>
      <w:tr>
        <w:trPr>
          <w:cantSplit w:val="false"/>
        </w:trPr>
        <w:tc>
          <w:tcPr>
            <w:tcW w:w="8340" w:type="dxa"/>
            <w:tcBorders>
              <w:top w:val="single" w:sz="4" w:space="0" w:color="00000A"/>
              <w:left w:val="single" w:sz="4" w:space="0" w:color="00000A"/>
              <w:bottom w:val="single" w:sz="4" w:space="0" w:color="00000A"/>
              <w:insideH w:val="single" w:sz="4" w:space="0" w:color="00000A"/>
              <w:right w:val="single" w:sz="4" w:space="0" w:color="00000A"/>
              <w:insideV w:val="single" w:sz="4" w:space="0" w:color="00000A"/>
            </w:tcBorders>
            <w:shd w:fill="FFFFFF" w:val="clear"/>
            <w:tcMar>
              <w:left w:w="93" w:type="dxa"/>
            </w:tcMar>
          </w:tcPr>
          <w:p>
            <w:pPr>
              <w:pStyle w:val="Normal"/>
              <w:tabs>
                <w:tab w:val="right" w:pos="8820" w:leader="none"/>
              </w:tabs>
              <w:jc w:val="both"/>
              <w:rPr/>
            </w:pPr>
            <w:r>
              <w:rPr/>
              <w:t xml:space="preserve">    </w:t>
            </w:r>
            <w:r>
              <w:rPr/>
              <w:t>1.4   Symboly obce</w:t>
              <w:tab/>
            </w:r>
          </w:p>
        </w:tc>
        <w:tc>
          <w:tcPr>
            <w:tcW w:w="941" w:type="dxa"/>
            <w:tcBorders>
              <w:top w:val="single" w:sz="4" w:space="0" w:color="00000A"/>
              <w:left w:val="single" w:sz="4" w:space="0" w:color="00000A"/>
              <w:bottom w:val="single" w:sz="4" w:space="0" w:color="00000A"/>
              <w:insideH w:val="single" w:sz="4" w:space="0" w:color="00000A"/>
              <w:right w:val="single" w:sz="4" w:space="0" w:color="00000A"/>
              <w:insideV w:val="single" w:sz="4" w:space="0" w:color="00000A"/>
            </w:tcBorders>
            <w:shd w:fill="FFFFFF" w:val="clear"/>
            <w:tcMar>
              <w:left w:w="93" w:type="dxa"/>
            </w:tcMar>
          </w:tcPr>
          <w:p>
            <w:pPr>
              <w:pStyle w:val="Normal"/>
              <w:tabs>
                <w:tab w:val="right" w:pos="8820" w:leader="none"/>
              </w:tabs>
              <w:jc w:val="center"/>
              <w:rPr>
                <w:b/>
              </w:rPr>
            </w:pPr>
            <w:r>
              <w:rPr>
                <w:b/>
              </w:rPr>
              <w:t>5</w:t>
            </w:r>
          </w:p>
        </w:tc>
      </w:tr>
      <w:tr>
        <w:trPr>
          <w:cantSplit w:val="false"/>
        </w:trPr>
        <w:tc>
          <w:tcPr>
            <w:tcW w:w="8340" w:type="dxa"/>
            <w:tcBorders>
              <w:top w:val="single" w:sz="4" w:space="0" w:color="00000A"/>
              <w:left w:val="single" w:sz="4" w:space="0" w:color="00000A"/>
              <w:bottom w:val="single" w:sz="4" w:space="0" w:color="00000A"/>
              <w:insideH w:val="single" w:sz="4" w:space="0" w:color="00000A"/>
              <w:right w:val="single" w:sz="4" w:space="0" w:color="00000A"/>
              <w:insideV w:val="single" w:sz="4" w:space="0" w:color="00000A"/>
            </w:tcBorders>
            <w:shd w:fill="FFFFFF" w:val="clear"/>
            <w:tcMar>
              <w:left w:w="93" w:type="dxa"/>
            </w:tcMar>
          </w:tcPr>
          <w:p>
            <w:pPr>
              <w:pStyle w:val="Normal"/>
              <w:tabs>
                <w:tab w:val="right" w:pos="8820" w:leader="none"/>
              </w:tabs>
              <w:jc w:val="both"/>
              <w:rPr/>
            </w:pPr>
            <w:r>
              <w:rPr/>
              <w:t xml:space="preserve">    </w:t>
            </w:r>
            <w:r>
              <w:rPr/>
              <w:t>1.5   Logo obce</w:t>
              <w:tab/>
            </w:r>
          </w:p>
        </w:tc>
        <w:tc>
          <w:tcPr>
            <w:tcW w:w="941" w:type="dxa"/>
            <w:tcBorders>
              <w:top w:val="single" w:sz="4" w:space="0" w:color="00000A"/>
              <w:left w:val="single" w:sz="4" w:space="0" w:color="00000A"/>
              <w:bottom w:val="single" w:sz="4" w:space="0" w:color="00000A"/>
              <w:insideH w:val="single" w:sz="4" w:space="0" w:color="00000A"/>
              <w:right w:val="single" w:sz="4" w:space="0" w:color="00000A"/>
              <w:insideV w:val="single" w:sz="4" w:space="0" w:color="00000A"/>
            </w:tcBorders>
            <w:shd w:fill="FFFFFF" w:val="clear"/>
            <w:tcMar>
              <w:left w:w="93" w:type="dxa"/>
            </w:tcMar>
          </w:tcPr>
          <w:p>
            <w:pPr>
              <w:pStyle w:val="Normal"/>
              <w:tabs>
                <w:tab w:val="right" w:pos="8820" w:leader="none"/>
              </w:tabs>
              <w:jc w:val="center"/>
              <w:rPr>
                <w:b/>
              </w:rPr>
            </w:pPr>
            <w:r>
              <w:rPr>
                <w:b/>
              </w:rPr>
              <w:t>5</w:t>
            </w:r>
          </w:p>
        </w:tc>
      </w:tr>
      <w:tr>
        <w:trPr>
          <w:cantSplit w:val="false"/>
        </w:trPr>
        <w:tc>
          <w:tcPr>
            <w:tcW w:w="8340" w:type="dxa"/>
            <w:tcBorders>
              <w:top w:val="single" w:sz="4" w:space="0" w:color="00000A"/>
              <w:left w:val="single" w:sz="4" w:space="0" w:color="00000A"/>
              <w:bottom w:val="single" w:sz="4" w:space="0" w:color="00000A"/>
              <w:insideH w:val="single" w:sz="4" w:space="0" w:color="00000A"/>
              <w:right w:val="single" w:sz="4" w:space="0" w:color="00000A"/>
              <w:insideV w:val="single" w:sz="4" w:space="0" w:color="00000A"/>
            </w:tcBorders>
            <w:shd w:fill="FFFFFF" w:val="clear"/>
            <w:tcMar>
              <w:left w:w="93" w:type="dxa"/>
            </w:tcMar>
          </w:tcPr>
          <w:p>
            <w:pPr>
              <w:pStyle w:val="Normal"/>
              <w:tabs>
                <w:tab w:val="right" w:pos="8820" w:leader="none"/>
              </w:tabs>
              <w:jc w:val="both"/>
              <w:rPr/>
            </w:pPr>
            <w:r>
              <w:rPr/>
              <w:t xml:space="preserve">    </w:t>
            </w:r>
            <w:r>
              <w:rPr/>
              <w:t>1.6   História obce</w:t>
              <w:tab/>
            </w:r>
          </w:p>
        </w:tc>
        <w:tc>
          <w:tcPr>
            <w:tcW w:w="941" w:type="dxa"/>
            <w:tcBorders>
              <w:top w:val="single" w:sz="4" w:space="0" w:color="00000A"/>
              <w:left w:val="single" w:sz="4" w:space="0" w:color="00000A"/>
              <w:bottom w:val="single" w:sz="4" w:space="0" w:color="00000A"/>
              <w:insideH w:val="single" w:sz="4" w:space="0" w:color="00000A"/>
              <w:right w:val="single" w:sz="4" w:space="0" w:color="00000A"/>
              <w:insideV w:val="single" w:sz="4" w:space="0" w:color="00000A"/>
            </w:tcBorders>
            <w:shd w:fill="FFFFFF" w:val="clear"/>
            <w:tcMar>
              <w:left w:w="93" w:type="dxa"/>
            </w:tcMar>
          </w:tcPr>
          <w:p>
            <w:pPr>
              <w:pStyle w:val="Normal"/>
              <w:tabs>
                <w:tab w:val="right" w:pos="8820" w:leader="none"/>
              </w:tabs>
              <w:jc w:val="center"/>
              <w:rPr>
                <w:b/>
              </w:rPr>
            </w:pPr>
            <w:r>
              <w:rPr>
                <w:b/>
              </w:rPr>
              <w:t>6</w:t>
            </w:r>
          </w:p>
        </w:tc>
      </w:tr>
      <w:tr>
        <w:trPr>
          <w:cantSplit w:val="false"/>
        </w:trPr>
        <w:tc>
          <w:tcPr>
            <w:tcW w:w="8340" w:type="dxa"/>
            <w:tcBorders>
              <w:top w:val="single" w:sz="4" w:space="0" w:color="00000A"/>
              <w:left w:val="single" w:sz="4" w:space="0" w:color="00000A"/>
              <w:bottom w:val="single" w:sz="4" w:space="0" w:color="00000A"/>
              <w:insideH w:val="single" w:sz="4" w:space="0" w:color="00000A"/>
              <w:right w:val="single" w:sz="4" w:space="0" w:color="00000A"/>
              <w:insideV w:val="single" w:sz="4" w:space="0" w:color="00000A"/>
            </w:tcBorders>
            <w:shd w:fill="FFFFFF" w:val="clear"/>
            <w:tcMar>
              <w:left w:w="93" w:type="dxa"/>
            </w:tcMar>
          </w:tcPr>
          <w:p>
            <w:pPr>
              <w:pStyle w:val="Normal"/>
              <w:tabs>
                <w:tab w:val="right" w:pos="8820" w:leader="none"/>
              </w:tabs>
              <w:jc w:val="both"/>
              <w:rPr/>
            </w:pPr>
            <w:r>
              <w:rPr/>
              <w:t xml:space="preserve">    </w:t>
            </w:r>
            <w:r>
              <w:rPr/>
              <w:t>1.7   Pamiatky</w:t>
              <w:tab/>
            </w:r>
          </w:p>
        </w:tc>
        <w:tc>
          <w:tcPr>
            <w:tcW w:w="941" w:type="dxa"/>
            <w:tcBorders>
              <w:top w:val="single" w:sz="4" w:space="0" w:color="00000A"/>
              <w:left w:val="single" w:sz="4" w:space="0" w:color="00000A"/>
              <w:bottom w:val="single" w:sz="4" w:space="0" w:color="00000A"/>
              <w:insideH w:val="single" w:sz="4" w:space="0" w:color="00000A"/>
              <w:right w:val="single" w:sz="4" w:space="0" w:color="00000A"/>
              <w:insideV w:val="single" w:sz="4" w:space="0" w:color="00000A"/>
            </w:tcBorders>
            <w:shd w:fill="FFFFFF" w:val="clear"/>
            <w:tcMar>
              <w:left w:w="93" w:type="dxa"/>
            </w:tcMar>
          </w:tcPr>
          <w:p>
            <w:pPr>
              <w:pStyle w:val="Normal"/>
              <w:tabs>
                <w:tab w:val="right" w:pos="8820" w:leader="none"/>
              </w:tabs>
              <w:jc w:val="center"/>
              <w:rPr>
                <w:b/>
              </w:rPr>
            </w:pPr>
            <w:r>
              <w:rPr>
                <w:b/>
              </w:rPr>
              <w:t>6-7</w:t>
            </w:r>
          </w:p>
        </w:tc>
      </w:tr>
      <w:tr>
        <w:trPr>
          <w:cantSplit w:val="false"/>
        </w:trPr>
        <w:tc>
          <w:tcPr>
            <w:tcW w:w="8340" w:type="dxa"/>
            <w:tcBorders>
              <w:top w:val="single" w:sz="4" w:space="0" w:color="00000A"/>
              <w:left w:val="single" w:sz="4" w:space="0" w:color="00000A"/>
              <w:bottom w:val="single" w:sz="4" w:space="0" w:color="00000A"/>
              <w:insideH w:val="single" w:sz="4" w:space="0" w:color="00000A"/>
              <w:right w:val="single" w:sz="4" w:space="0" w:color="00000A"/>
              <w:insideV w:val="single" w:sz="4" w:space="0" w:color="00000A"/>
            </w:tcBorders>
            <w:shd w:fill="FFFFFF" w:val="clear"/>
            <w:tcMar>
              <w:left w:w="93" w:type="dxa"/>
            </w:tcMar>
          </w:tcPr>
          <w:p>
            <w:pPr>
              <w:pStyle w:val="Normal"/>
              <w:tabs>
                <w:tab w:val="right" w:pos="8820" w:leader="none"/>
              </w:tabs>
              <w:jc w:val="both"/>
              <w:rPr/>
            </w:pPr>
            <w:r>
              <w:rPr/>
              <w:tab/>
            </w:r>
          </w:p>
        </w:tc>
        <w:tc>
          <w:tcPr>
            <w:tcW w:w="941" w:type="dxa"/>
            <w:tcBorders>
              <w:top w:val="single" w:sz="4" w:space="0" w:color="00000A"/>
              <w:left w:val="single" w:sz="4" w:space="0" w:color="00000A"/>
              <w:bottom w:val="single" w:sz="4" w:space="0" w:color="00000A"/>
              <w:insideH w:val="single" w:sz="4" w:space="0" w:color="00000A"/>
              <w:right w:val="single" w:sz="4" w:space="0" w:color="00000A"/>
              <w:insideV w:val="single" w:sz="4" w:space="0" w:color="00000A"/>
            </w:tcBorders>
            <w:shd w:fill="FFFFFF" w:val="clear"/>
            <w:tcMar>
              <w:left w:w="93" w:type="dxa"/>
            </w:tcMar>
          </w:tcPr>
          <w:p>
            <w:pPr>
              <w:pStyle w:val="Normal"/>
              <w:tabs>
                <w:tab w:val="right" w:pos="8820" w:leader="none"/>
              </w:tabs>
              <w:jc w:val="center"/>
              <w:rPr>
                <w:b/>
              </w:rPr>
            </w:pPr>
            <w:r>
              <w:rPr>
                <w:b/>
              </w:rPr>
            </w:r>
          </w:p>
        </w:tc>
      </w:tr>
      <w:tr>
        <w:trPr>
          <w:cantSplit w:val="false"/>
        </w:trPr>
        <w:tc>
          <w:tcPr>
            <w:tcW w:w="8340" w:type="dxa"/>
            <w:tcBorders>
              <w:top w:val="single" w:sz="4" w:space="0" w:color="00000A"/>
              <w:left w:val="single" w:sz="4" w:space="0" w:color="00000A"/>
              <w:bottom w:val="single" w:sz="4" w:space="0" w:color="00000A"/>
              <w:insideH w:val="single" w:sz="4" w:space="0" w:color="00000A"/>
              <w:right w:val="single" w:sz="4" w:space="0" w:color="00000A"/>
              <w:insideV w:val="single" w:sz="4" w:space="0" w:color="00000A"/>
            </w:tcBorders>
            <w:shd w:fill="FFFFFF" w:val="clear"/>
            <w:tcMar>
              <w:left w:w="93" w:type="dxa"/>
            </w:tcMar>
          </w:tcPr>
          <w:p>
            <w:pPr>
              <w:pStyle w:val="Normal"/>
              <w:tabs>
                <w:tab w:val="right" w:pos="8820" w:leader="none"/>
              </w:tabs>
              <w:jc w:val="both"/>
              <w:rPr/>
            </w:pPr>
            <w:r>
              <w:rPr/>
              <w:t xml:space="preserve">    </w:t>
            </w:r>
            <w:r>
              <w:rPr/>
              <w:t>1.9   Výchova a vzdelávanie</w:t>
              <w:tab/>
            </w:r>
          </w:p>
        </w:tc>
        <w:tc>
          <w:tcPr>
            <w:tcW w:w="941" w:type="dxa"/>
            <w:tcBorders>
              <w:top w:val="single" w:sz="4" w:space="0" w:color="00000A"/>
              <w:left w:val="single" w:sz="4" w:space="0" w:color="00000A"/>
              <w:bottom w:val="single" w:sz="4" w:space="0" w:color="00000A"/>
              <w:insideH w:val="single" w:sz="4" w:space="0" w:color="00000A"/>
              <w:right w:val="single" w:sz="4" w:space="0" w:color="00000A"/>
              <w:insideV w:val="single" w:sz="4" w:space="0" w:color="00000A"/>
            </w:tcBorders>
            <w:shd w:fill="FFFFFF" w:val="clear"/>
            <w:tcMar>
              <w:left w:w="93" w:type="dxa"/>
            </w:tcMar>
          </w:tcPr>
          <w:p>
            <w:pPr>
              <w:pStyle w:val="Normal"/>
              <w:tabs>
                <w:tab w:val="right" w:pos="8820" w:leader="none"/>
              </w:tabs>
              <w:jc w:val="center"/>
              <w:rPr>
                <w:b/>
              </w:rPr>
            </w:pPr>
            <w:r>
              <w:rPr>
                <w:b/>
              </w:rPr>
              <w:t>8</w:t>
            </w:r>
          </w:p>
        </w:tc>
      </w:tr>
      <w:tr>
        <w:trPr>
          <w:cantSplit w:val="false"/>
        </w:trPr>
        <w:tc>
          <w:tcPr>
            <w:tcW w:w="8340" w:type="dxa"/>
            <w:tcBorders>
              <w:top w:val="single" w:sz="4" w:space="0" w:color="00000A"/>
              <w:left w:val="single" w:sz="4" w:space="0" w:color="00000A"/>
              <w:bottom w:val="single" w:sz="4" w:space="0" w:color="00000A"/>
              <w:insideH w:val="single" w:sz="4" w:space="0" w:color="00000A"/>
              <w:right w:val="single" w:sz="4" w:space="0" w:color="00000A"/>
              <w:insideV w:val="single" w:sz="4" w:space="0" w:color="00000A"/>
            </w:tcBorders>
            <w:shd w:fill="FFFFFF" w:val="clear"/>
            <w:tcMar>
              <w:left w:w="93" w:type="dxa"/>
            </w:tcMar>
          </w:tcPr>
          <w:p>
            <w:pPr>
              <w:pStyle w:val="Normal"/>
              <w:tabs>
                <w:tab w:val="right" w:pos="8820" w:leader="none"/>
              </w:tabs>
              <w:jc w:val="both"/>
              <w:rPr/>
            </w:pPr>
            <w:r>
              <w:rPr/>
              <w:t xml:space="preserve">    </w:t>
            </w:r>
            <w:r>
              <w:rPr/>
              <w:t>1.10 Zdravotníctvo</w:t>
              <w:tab/>
            </w:r>
          </w:p>
        </w:tc>
        <w:tc>
          <w:tcPr>
            <w:tcW w:w="941" w:type="dxa"/>
            <w:tcBorders>
              <w:top w:val="single" w:sz="4" w:space="0" w:color="00000A"/>
              <w:left w:val="single" w:sz="4" w:space="0" w:color="00000A"/>
              <w:bottom w:val="single" w:sz="4" w:space="0" w:color="00000A"/>
              <w:insideH w:val="single" w:sz="4" w:space="0" w:color="00000A"/>
              <w:right w:val="single" w:sz="4" w:space="0" w:color="00000A"/>
              <w:insideV w:val="single" w:sz="4" w:space="0" w:color="00000A"/>
            </w:tcBorders>
            <w:shd w:fill="FFFFFF" w:val="clear"/>
            <w:tcMar>
              <w:left w:w="93" w:type="dxa"/>
            </w:tcMar>
          </w:tcPr>
          <w:p>
            <w:pPr>
              <w:pStyle w:val="Normal"/>
              <w:tabs>
                <w:tab w:val="right" w:pos="8820" w:leader="none"/>
              </w:tabs>
              <w:jc w:val="center"/>
              <w:rPr>
                <w:b/>
              </w:rPr>
            </w:pPr>
            <w:r>
              <w:rPr>
                <w:b/>
              </w:rPr>
              <w:t>10</w:t>
            </w:r>
          </w:p>
        </w:tc>
      </w:tr>
      <w:tr>
        <w:trPr>
          <w:cantSplit w:val="false"/>
        </w:trPr>
        <w:tc>
          <w:tcPr>
            <w:tcW w:w="8340" w:type="dxa"/>
            <w:tcBorders>
              <w:top w:val="single" w:sz="4" w:space="0" w:color="00000A"/>
              <w:left w:val="single" w:sz="4" w:space="0" w:color="00000A"/>
              <w:bottom w:val="single" w:sz="4" w:space="0" w:color="00000A"/>
              <w:insideH w:val="single" w:sz="4" w:space="0" w:color="00000A"/>
              <w:right w:val="single" w:sz="4" w:space="0" w:color="00000A"/>
              <w:insideV w:val="single" w:sz="4" w:space="0" w:color="00000A"/>
            </w:tcBorders>
            <w:shd w:fill="FFFFFF" w:val="clear"/>
            <w:tcMar>
              <w:left w:w="93" w:type="dxa"/>
            </w:tcMar>
          </w:tcPr>
          <w:p>
            <w:pPr>
              <w:pStyle w:val="Normal"/>
              <w:tabs>
                <w:tab w:val="right" w:pos="8820" w:leader="none"/>
              </w:tabs>
              <w:jc w:val="both"/>
              <w:rPr/>
            </w:pPr>
            <w:r>
              <w:rPr/>
              <w:t xml:space="preserve">    </w:t>
            </w:r>
            <w:r>
              <w:rPr/>
              <w:t>1.11 Sociálne zabezpečenie</w:t>
              <w:tab/>
            </w:r>
          </w:p>
        </w:tc>
        <w:tc>
          <w:tcPr>
            <w:tcW w:w="941" w:type="dxa"/>
            <w:tcBorders>
              <w:top w:val="single" w:sz="4" w:space="0" w:color="00000A"/>
              <w:left w:val="single" w:sz="4" w:space="0" w:color="00000A"/>
              <w:bottom w:val="single" w:sz="4" w:space="0" w:color="00000A"/>
              <w:insideH w:val="single" w:sz="4" w:space="0" w:color="00000A"/>
              <w:right w:val="single" w:sz="4" w:space="0" w:color="00000A"/>
              <w:insideV w:val="single" w:sz="4" w:space="0" w:color="00000A"/>
            </w:tcBorders>
            <w:shd w:fill="FFFFFF" w:val="clear"/>
            <w:tcMar>
              <w:left w:w="93" w:type="dxa"/>
            </w:tcMar>
          </w:tcPr>
          <w:p>
            <w:pPr>
              <w:pStyle w:val="Normal"/>
              <w:tabs>
                <w:tab w:val="right" w:pos="8820" w:leader="none"/>
              </w:tabs>
              <w:jc w:val="center"/>
              <w:rPr>
                <w:b/>
              </w:rPr>
            </w:pPr>
            <w:r>
              <w:rPr>
                <w:b/>
              </w:rPr>
              <w:t>10</w:t>
            </w:r>
          </w:p>
        </w:tc>
      </w:tr>
      <w:tr>
        <w:trPr>
          <w:cantSplit w:val="false"/>
        </w:trPr>
        <w:tc>
          <w:tcPr>
            <w:tcW w:w="8340" w:type="dxa"/>
            <w:tcBorders>
              <w:top w:val="single" w:sz="4" w:space="0" w:color="00000A"/>
              <w:left w:val="single" w:sz="4" w:space="0" w:color="00000A"/>
              <w:bottom w:val="single" w:sz="4" w:space="0" w:color="00000A"/>
              <w:insideH w:val="single" w:sz="4" w:space="0" w:color="00000A"/>
              <w:right w:val="single" w:sz="4" w:space="0" w:color="00000A"/>
              <w:insideV w:val="single" w:sz="4" w:space="0" w:color="00000A"/>
            </w:tcBorders>
            <w:shd w:fill="FFFFFF" w:val="clear"/>
            <w:tcMar>
              <w:left w:w="93" w:type="dxa"/>
            </w:tcMar>
          </w:tcPr>
          <w:p>
            <w:pPr>
              <w:pStyle w:val="Normal"/>
              <w:tabs>
                <w:tab w:val="right" w:pos="8820" w:leader="none"/>
              </w:tabs>
              <w:jc w:val="both"/>
              <w:rPr/>
            </w:pPr>
            <w:r>
              <w:rPr/>
              <w:t xml:space="preserve">    </w:t>
            </w:r>
            <w:r>
              <w:rPr/>
              <w:t>1.12 Kultúra</w:t>
              <w:tab/>
            </w:r>
          </w:p>
        </w:tc>
        <w:tc>
          <w:tcPr>
            <w:tcW w:w="941" w:type="dxa"/>
            <w:tcBorders>
              <w:top w:val="single" w:sz="4" w:space="0" w:color="00000A"/>
              <w:left w:val="single" w:sz="4" w:space="0" w:color="00000A"/>
              <w:bottom w:val="single" w:sz="4" w:space="0" w:color="00000A"/>
              <w:insideH w:val="single" w:sz="4" w:space="0" w:color="00000A"/>
              <w:right w:val="single" w:sz="4" w:space="0" w:color="00000A"/>
              <w:insideV w:val="single" w:sz="4" w:space="0" w:color="00000A"/>
            </w:tcBorders>
            <w:shd w:fill="FFFFFF" w:val="clear"/>
            <w:tcMar>
              <w:left w:w="93" w:type="dxa"/>
            </w:tcMar>
          </w:tcPr>
          <w:p>
            <w:pPr>
              <w:pStyle w:val="Normal"/>
              <w:tabs>
                <w:tab w:val="right" w:pos="8820" w:leader="none"/>
              </w:tabs>
              <w:jc w:val="center"/>
              <w:rPr>
                <w:b/>
              </w:rPr>
            </w:pPr>
            <w:r>
              <w:rPr>
                <w:b/>
              </w:rPr>
              <w:t>10</w:t>
            </w:r>
          </w:p>
        </w:tc>
      </w:tr>
      <w:tr>
        <w:trPr>
          <w:cantSplit w:val="false"/>
        </w:trPr>
        <w:tc>
          <w:tcPr>
            <w:tcW w:w="8340" w:type="dxa"/>
            <w:tcBorders>
              <w:top w:val="single" w:sz="4" w:space="0" w:color="00000A"/>
              <w:left w:val="single" w:sz="4" w:space="0" w:color="00000A"/>
              <w:bottom w:val="single" w:sz="4" w:space="0" w:color="00000A"/>
              <w:insideH w:val="single" w:sz="4" w:space="0" w:color="00000A"/>
              <w:right w:val="single" w:sz="4" w:space="0" w:color="00000A"/>
              <w:insideV w:val="single" w:sz="4" w:space="0" w:color="00000A"/>
            </w:tcBorders>
            <w:shd w:fill="FFFFFF" w:val="clear"/>
            <w:tcMar>
              <w:left w:w="93" w:type="dxa"/>
            </w:tcMar>
          </w:tcPr>
          <w:p>
            <w:pPr>
              <w:pStyle w:val="Normal"/>
              <w:tabs>
                <w:tab w:val="right" w:pos="8820" w:leader="none"/>
              </w:tabs>
              <w:jc w:val="both"/>
              <w:rPr/>
            </w:pPr>
            <w:r>
              <w:rPr/>
              <w:t xml:space="preserve">    </w:t>
            </w:r>
            <w:r>
              <w:rPr/>
              <w:t>1.13 Hospodárstvo</w:t>
              <w:tab/>
            </w:r>
          </w:p>
        </w:tc>
        <w:tc>
          <w:tcPr>
            <w:tcW w:w="941" w:type="dxa"/>
            <w:tcBorders>
              <w:top w:val="single" w:sz="4" w:space="0" w:color="00000A"/>
              <w:left w:val="single" w:sz="4" w:space="0" w:color="00000A"/>
              <w:bottom w:val="single" w:sz="4" w:space="0" w:color="00000A"/>
              <w:insideH w:val="single" w:sz="4" w:space="0" w:color="00000A"/>
              <w:right w:val="single" w:sz="4" w:space="0" w:color="00000A"/>
              <w:insideV w:val="single" w:sz="4" w:space="0" w:color="00000A"/>
            </w:tcBorders>
            <w:shd w:fill="FFFFFF" w:val="clear"/>
            <w:tcMar>
              <w:left w:w="93" w:type="dxa"/>
            </w:tcMar>
          </w:tcPr>
          <w:p>
            <w:pPr>
              <w:pStyle w:val="Normal"/>
              <w:tabs>
                <w:tab w:val="right" w:pos="8820" w:leader="none"/>
              </w:tabs>
              <w:jc w:val="center"/>
              <w:rPr>
                <w:b/>
              </w:rPr>
            </w:pPr>
            <w:r>
              <w:rPr>
                <w:b/>
              </w:rPr>
              <w:t>15</w:t>
            </w:r>
          </w:p>
        </w:tc>
      </w:tr>
      <w:tr>
        <w:trPr>
          <w:cantSplit w:val="false"/>
        </w:trPr>
        <w:tc>
          <w:tcPr>
            <w:tcW w:w="8340" w:type="dxa"/>
            <w:tcBorders>
              <w:top w:val="single" w:sz="4" w:space="0" w:color="00000A"/>
              <w:left w:val="single" w:sz="4" w:space="0" w:color="00000A"/>
              <w:bottom w:val="single" w:sz="4" w:space="0" w:color="00000A"/>
              <w:insideH w:val="single" w:sz="4" w:space="0" w:color="00000A"/>
              <w:right w:val="single" w:sz="4" w:space="0" w:color="00000A"/>
              <w:insideV w:val="single" w:sz="4" w:space="0" w:color="00000A"/>
            </w:tcBorders>
            <w:shd w:fill="FFFFFF" w:val="clear"/>
            <w:tcMar>
              <w:left w:w="93" w:type="dxa"/>
            </w:tcMar>
          </w:tcPr>
          <w:p>
            <w:pPr>
              <w:pStyle w:val="Normal"/>
              <w:tabs>
                <w:tab w:val="right" w:pos="8820" w:leader="none"/>
              </w:tabs>
              <w:jc w:val="both"/>
              <w:rPr/>
            </w:pPr>
            <w:r>
              <w:rPr/>
              <w:t xml:space="preserve">    </w:t>
            </w:r>
            <w:r>
              <w:rPr/>
              <w:t>1.14 Organizačná štruktúra obce</w:t>
              <w:tab/>
            </w:r>
          </w:p>
        </w:tc>
        <w:tc>
          <w:tcPr>
            <w:tcW w:w="941" w:type="dxa"/>
            <w:tcBorders>
              <w:top w:val="single" w:sz="4" w:space="0" w:color="00000A"/>
              <w:left w:val="single" w:sz="4" w:space="0" w:color="00000A"/>
              <w:bottom w:val="single" w:sz="4" w:space="0" w:color="00000A"/>
              <w:insideH w:val="single" w:sz="4" w:space="0" w:color="00000A"/>
              <w:right w:val="single" w:sz="4" w:space="0" w:color="00000A"/>
              <w:insideV w:val="single" w:sz="4" w:space="0" w:color="00000A"/>
            </w:tcBorders>
            <w:shd w:fill="FFFFFF" w:val="clear"/>
            <w:tcMar>
              <w:left w:w="93" w:type="dxa"/>
            </w:tcMar>
          </w:tcPr>
          <w:p>
            <w:pPr>
              <w:pStyle w:val="Normal"/>
              <w:tabs>
                <w:tab w:val="right" w:pos="8820" w:leader="none"/>
              </w:tabs>
              <w:jc w:val="center"/>
              <w:rPr>
                <w:b/>
              </w:rPr>
            </w:pPr>
            <w:r>
              <w:rPr>
                <w:b/>
              </w:rPr>
              <w:t>11</w:t>
            </w:r>
          </w:p>
        </w:tc>
      </w:tr>
      <w:tr>
        <w:trPr>
          <w:cantSplit w:val="false"/>
        </w:trPr>
        <w:tc>
          <w:tcPr>
            <w:tcW w:w="8340" w:type="dxa"/>
            <w:tcBorders>
              <w:top w:val="single" w:sz="4" w:space="0" w:color="00000A"/>
              <w:left w:val="single" w:sz="4" w:space="0" w:color="00000A"/>
              <w:bottom w:val="single" w:sz="4" w:space="0" w:color="00000A"/>
              <w:insideH w:val="single" w:sz="4" w:space="0" w:color="00000A"/>
              <w:right w:val="single" w:sz="4" w:space="0" w:color="00000A"/>
              <w:insideV w:val="single" w:sz="4" w:space="0" w:color="00000A"/>
            </w:tcBorders>
            <w:shd w:fill="FFFFFF" w:val="clear"/>
            <w:tcMar>
              <w:left w:w="93" w:type="dxa"/>
            </w:tcMar>
          </w:tcPr>
          <w:p>
            <w:pPr>
              <w:pStyle w:val="Normal"/>
              <w:tabs>
                <w:tab w:val="right" w:pos="8820" w:leader="none"/>
              </w:tabs>
              <w:jc w:val="both"/>
              <w:rPr/>
            </w:pPr>
            <w:r>
              <w:rPr/>
            </w:r>
          </w:p>
        </w:tc>
        <w:tc>
          <w:tcPr>
            <w:tcW w:w="941" w:type="dxa"/>
            <w:tcBorders>
              <w:top w:val="single" w:sz="4" w:space="0" w:color="00000A"/>
              <w:left w:val="single" w:sz="4" w:space="0" w:color="00000A"/>
              <w:bottom w:val="single" w:sz="4" w:space="0" w:color="00000A"/>
              <w:insideH w:val="single" w:sz="4" w:space="0" w:color="00000A"/>
              <w:right w:val="single" w:sz="4" w:space="0" w:color="00000A"/>
              <w:insideV w:val="single" w:sz="4" w:space="0" w:color="00000A"/>
            </w:tcBorders>
            <w:shd w:fill="FFFFFF" w:val="clear"/>
            <w:tcMar>
              <w:left w:w="93" w:type="dxa"/>
            </w:tcMar>
          </w:tcPr>
          <w:p>
            <w:pPr>
              <w:pStyle w:val="Normal"/>
              <w:tabs>
                <w:tab w:val="right" w:pos="8820" w:leader="none"/>
              </w:tabs>
              <w:jc w:val="center"/>
              <w:rPr>
                <w:b/>
              </w:rPr>
            </w:pPr>
            <w:r>
              <w:rPr>
                <w:b/>
              </w:rPr>
            </w:r>
          </w:p>
        </w:tc>
      </w:tr>
      <w:tr>
        <w:trPr>
          <w:cantSplit w:val="false"/>
        </w:trPr>
        <w:tc>
          <w:tcPr>
            <w:tcW w:w="8340" w:type="dxa"/>
            <w:tcBorders>
              <w:top w:val="single" w:sz="4" w:space="0" w:color="00000A"/>
              <w:left w:val="single" w:sz="4" w:space="0" w:color="00000A"/>
              <w:bottom w:val="single" w:sz="4" w:space="0" w:color="00000A"/>
              <w:insideH w:val="single" w:sz="4" w:space="0" w:color="00000A"/>
              <w:right w:val="single" w:sz="4" w:space="0" w:color="00000A"/>
              <w:insideV w:val="single" w:sz="4" w:space="0" w:color="00000A"/>
            </w:tcBorders>
            <w:shd w:fill="FFFFFF" w:val="clear"/>
            <w:tcMar>
              <w:left w:w="93" w:type="dxa"/>
            </w:tcMar>
          </w:tcPr>
          <w:p>
            <w:pPr>
              <w:pStyle w:val="Normal"/>
              <w:tabs>
                <w:tab w:val="right" w:pos="8820" w:leader="none"/>
              </w:tabs>
              <w:jc w:val="both"/>
              <w:rPr/>
            </w:pPr>
            <w:r>
              <w:rPr>
                <w:b/>
              </w:rPr>
              <w:t>2. Rozpočet obce na rok 2014 a jeho plnenie</w:t>
            </w:r>
            <w:r>
              <w:rPr/>
              <w:tab/>
            </w:r>
          </w:p>
        </w:tc>
        <w:tc>
          <w:tcPr>
            <w:tcW w:w="941" w:type="dxa"/>
            <w:tcBorders>
              <w:top w:val="single" w:sz="4" w:space="0" w:color="00000A"/>
              <w:left w:val="single" w:sz="4" w:space="0" w:color="00000A"/>
              <w:bottom w:val="single" w:sz="4" w:space="0" w:color="00000A"/>
              <w:insideH w:val="single" w:sz="4" w:space="0" w:color="00000A"/>
              <w:right w:val="single" w:sz="4" w:space="0" w:color="00000A"/>
              <w:insideV w:val="single" w:sz="4" w:space="0" w:color="00000A"/>
            </w:tcBorders>
            <w:shd w:fill="FFFFFF" w:val="clear"/>
            <w:tcMar>
              <w:left w:w="93" w:type="dxa"/>
            </w:tcMar>
          </w:tcPr>
          <w:p>
            <w:pPr>
              <w:pStyle w:val="Normal"/>
              <w:tabs>
                <w:tab w:val="right" w:pos="8820" w:leader="none"/>
              </w:tabs>
              <w:jc w:val="center"/>
              <w:rPr>
                <w:b/>
              </w:rPr>
            </w:pPr>
            <w:r>
              <w:rPr>
                <w:b/>
              </w:rPr>
            </w:r>
          </w:p>
        </w:tc>
      </w:tr>
      <w:tr>
        <w:trPr>
          <w:cantSplit w:val="false"/>
        </w:trPr>
        <w:tc>
          <w:tcPr>
            <w:tcW w:w="8340" w:type="dxa"/>
            <w:tcBorders>
              <w:top w:val="single" w:sz="4" w:space="0" w:color="00000A"/>
              <w:left w:val="single" w:sz="4" w:space="0" w:color="00000A"/>
              <w:bottom w:val="single" w:sz="4" w:space="0" w:color="00000A"/>
              <w:insideH w:val="single" w:sz="4" w:space="0" w:color="00000A"/>
              <w:right w:val="single" w:sz="4" w:space="0" w:color="00000A"/>
              <w:insideV w:val="single" w:sz="4" w:space="0" w:color="00000A"/>
            </w:tcBorders>
            <w:shd w:fill="FFFFFF" w:val="clear"/>
            <w:tcMar>
              <w:left w:w="93" w:type="dxa"/>
            </w:tcMar>
          </w:tcPr>
          <w:p>
            <w:pPr>
              <w:pStyle w:val="Normal"/>
              <w:tabs>
                <w:tab w:val="right" w:pos="8820" w:leader="none"/>
              </w:tabs>
              <w:jc w:val="both"/>
              <w:rPr/>
            </w:pPr>
            <w:r>
              <w:rPr/>
              <w:t xml:space="preserve">    </w:t>
            </w:r>
            <w:r>
              <w:rPr/>
              <w:t>2.1   Plnenie príjmov za rok 2014</w:t>
              <w:tab/>
            </w:r>
          </w:p>
        </w:tc>
        <w:tc>
          <w:tcPr>
            <w:tcW w:w="941" w:type="dxa"/>
            <w:tcBorders>
              <w:top w:val="single" w:sz="4" w:space="0" w:color="00000A"/>
              <w:left w:val="single" w:sz="4" w:space="0" w:color="00000A"/>
              <w:bottom w:val="single" w:sz="4" w:space="0" w:color="00000A"/>
              <w:insideH w:val="single" w:sz="4" w:space="0" w:color="00000A"/>
              <w:right w:val="single" w:sz="4" w:space="0" w:color="00000A"/>
              <w:insideV w:val="single" w:sz="4" w:space="0" w:color="00000A"/>
            </w:tcBorders>
            <w:shd w:fill="FFFFFF" w:val="clear"/>
            <w:tcMar>
              <w:left w:w="93" w:type="dxa"/>
            </w:tcMar>
          </w:tcPr>
          <w:p>
            <w:pPr>
              <w:pStyle w:val="Normal"/>
              <w:tabs>
                <w:tab w:val="right" w:pos="8820" w:leader="none"/>
              </w:tabs>
              <w:jc w:val="center"/>
              <w:rPr>
                <w:b/>
              </w:rPr>
            </w:pPr>
            <w:r>
              <w:rPr>
                <w:b/>
              </w:rPr>
              <w:t>20</w:t>
            </w:r>
          </w:p>
        </w:tc>
      </w:tr>
      <w:tr>
        <w:trPr>
          <w:cantSplit w:val="false"/>
        </w:trPr>
        <w:tc>
          <w:tcPr>
            <w:tcW w:w="8340" w:type="dxa"/>
            <w:tcBorders>
              <w:top w:val="single" w:sz="4" w:space="0" w:color="00000A"/>
              <w:left w:val="single" w:sz="4" w:space="0" w:color="00000A"/>
              <w:bottom w:val="single" w:sz="4" w:space="0" w:color="00000A"/>
              <w:insideH w:val="single" w:sz="4" w:space="0" w:color="00000A"/>
              <w:right w:val="single" w:sz="4" w:space="0" w:color="00000A"/>
              <w:insideV w:val="single" w:sz="4" w:space="0" w:color="00000A"/>
            </w:tcBorders>
            <w:shd w:fill="FFFFFF" w:val="clear"/>
            <w:tcMar>
              <w:left w:w="93" w:type="dxa"/>
            </w:tcMar>
          </w:tcPr>
          <w:p>
            <w:pPr>
              <w:pStyle w:val="Normal"/>
              <w:tabs>
                <w:tab w:val="right" w:pos="9203" w:leader="none"/>
              </w:tabs>
              <w:jc w:val="both"/>
              <w:rPr/>
            </w:pPr>
            <w:r>
              <w:rPr/>
              <w:t xml:space="preserve">    </w:t>
            </w:r>
            <w:r>
              <w:rPr/>
              <w:t xml:space="preserve">2.2   Plnenie výdavkov za rok 2014                                                                                 </w:t>
            </w:r>
          </w:p>
        </w:tc>
        <w:tc>
          <w:tcPr>
            <w:tcW w:w="941" w:type="dxa"/>
            <w:tcBorders>
              <w:top w:val="single" w:sz="4" w:space="0" w:color="00000A"/>
              <w:left w:val="single" w:sz="4" w:space="0" w:color="00000A"/>
              <w:bottom w:val="single" w:sz="4" w:space="0" w:color="00000A"/>
              <w:insideH w:val="single" w:sz="4" w:space="0" w:color="00000A"/>
              <w:right w:val="single" w:sz="4" w:space="0" w:color="00000A"/>
              <w:insideV w:val="single" w:sz="4" w:space="0" w:color="00000A"/>
            </w:tcBorders>
            <w:shd w:fill="FFFFFF" w:val="clear"/>
            <w:tcMar>
              <w:left w:w="93" w:type="dxa"/>
            </w:tcMar>
          </w:tcPr>
          <w:p>
            <w:pPr>
              <w:pStyle w:val="Normal"/>
              <w:tabs>
                <w:tab w:val="right" w:pos="9203" w:leader="none"/>
              </w:tabs>
              <w:jc w:val="center"/>
              <w:rPr>
                <w:b/>
              </w:rPr>
            </w:pPr>
            <w:r>
              <w:rPr>
                <w:b/>
              </w:rPr>
              <w:t>26</w:t>
            </w:r>
          </w:p>
        </w:tc>
      </w:tr>
      <w:tr>
        <w:trPr>
          <w:cantSplit w:val="false"/>
        </w:trPr>
        <w:tc>
          <w:tcPr>
            <w:tcW w:w="8340" w:type="dxa"/>
            <w:tcBorders>
              <w:top w:val="single" w:sz="4" w:space="0" w:color="00000A"/>
              <w:left w:val="single" w:sz="4" w:space="0" w:color="00000A"/>
              <w:bottom w:val="single" w:sz="4" w:space="0" w:color="00000A"/>
              <w:insideH w:val="single" w:sz="4" w:space="0" w:color="00000A"/>
              <w:right w:val="single" w:sz="4" w:space="0" w:color="00000A"/>
              <w:insideV w:val="single" w:sz="4" w:space="0" w:color="00000A"/>
            </w:tcBorders>
            <w:shd w:fill="FFFFFF" w:val="clear"/>
            <w:tcMar>
              <w:left w:w="93" w:type="dxa"/>
            </w:tcMar>
          </w:tcPr>
          <w:p>
            <w:pPr>
              <w:pStyle w:val="Normal"/>
              <w:tabs>
                <w:tab w:val="right" w:pos="8820" w:leader="none"/>
              </w:tabs>
              <w:jc w:val="both"/>
              <w:rPr/>
            </w:pPr>
            <w:r>
              <w:rPr/>
              <w:t xml:space="preserve">    </w:t>
            </w:r>
            <w:r>
              <w:rPr/>
              <w:t xml:space="preserve">2.3   Bilancia príjmov a výdavkov za rok 2014                                                                 </w:t>
            </w:r>
          </w:p>
        </w:tc>
        <w:tc>
          <w:tcPr>
            <w:tcW w:w="941" w:type="dxa"/>
            <w:tcBorders>
              <w:top w:val="single" w:sz="4" w:space="0" w:color="00000A"/>
              <w:left w:val="single" w:sz="4" w:space="0" w:color="00000A"/>
              <w:bottom w:val="single" w:sz="4" w:space="0" w:color="00000A"/>
              <w:insideH w:val="single" w:sz="4" w:space="0" w:color="00000A"/>
              <w:right w:val="single" w:sz="4" w:space="0" w:color="00000A"/>
              <w:insideV w:val="single" w:sz="4" w:space="0" w:color="00000A"/>
            </w:tcBorders>
            <w:shd w:fill="FFFFFF" w:val="clear"/>
            <w:tcMar>
              <w:left w:w="93" w:type="dxa"/>
            </w:tcMar>
          </w:tcPr>
          <w:p>
            <w:pPr>
              <w:pStyle w:val="Normal"/>
              <w:tabs>
                <w:tab w:val="right" w:pos="8820" w:leader="none"/>
              </w:tabs>
              <w:jc w:val="center"/>
              <w:rPr>
                <w:b/>
              </w:rPr>
            </w:pPr>
            <w:r>
              <w:rPr>
                <w:b/>
              </w:rPr>
              <w:t>28</w:t>
            </w:r>
          </w:p>
        </w:tc>
      </w:tr>
      <w:tr>
        <w:trPr>
          <w:cantSplit w:val="false"/>
        </w:trPr>
        <w:tc>
          <w:tcPr>
            <w:tcW w:w="8340" w:type="dxa"/>
            <w:tcBorders>
              <w:top w:val="single" w:sz="4" w:space="0" w:color="00000A"/>
              <w:left w:val="single" w:sz="4" w:space="0" w:color="00000A"/>
              <w:bottom w:val="single" w:sz="4" w:space="0" w:color="00000A"/>
              <w:insideH w:val="single" w:sz="4" w:space="0" w:color="00000A"/>
              <w:right w:val="single" w:sz="4" w:space="0" w:color="00000A"/>
              <w:insideV w:val="single" w:sz="4" w:space="0" w:color="00000A"/>
            </w:tcBorders>
            <w:shd w:fill="FFFFFF" w:val="clear"/>
            <w:tcMar>
              <w:left w:w="93" w:type="dxa"/>
            </w:tcMar>
          </w:tcPr>
          <w:p>
            <w:pPr>
              <w:pStyle w:val="Normal"/>
              <w:tabs>
                <w:tab w:val="right" w:pos="8820" w:leader="none"/>
              </w:tabs>
              <w:jc w:val="both"/>
              <w:rPr/>
            </w:pPr>
            <w:r>
              <w:rPr/>
              <w:t xml:space="preserve">    </w:t>
            </w:r>
            <w:r>
              <w:rPr/>
              <w:t xml:space="preserve">2.4   Programový rozpočet obce na rok 2014                                                                    </w:t>
            </w:r>
          </w:p>
        </w:tc>
        <w:tc>
          <w:tcPr>
            <w:tcW w:w="941" w:type="dxa"/>
            <w:tcBorders>
              <w:top w:val="single" w:sz="4" w:space="0" w:color="00000A"/>
              <w:left w:val="single" w:sz="4" w:space="0" w:color="00000A"/>
              <w:bottom w:val="single" w:sz="4" w:space="0" w:color="00000A"/>
              <w:insideH w:val="single" w:sz="4" w:space="0" w:color="00000A"/>
              <w:right w:val="single" w:sz="4" w:space="0" w:color="00000A"/>
              <w:insideV w:val="single" w:sz="4" w:space="0" w:color="00000A"/>
            </w:tcBorders>
            <w:shd w:fill="FFFFFF" w:val="clear"/>
            <w:tcMar>
              <w:left w:w="93" w:type="dxa"/>
            </w:tcMar>
          </w:tcPr>
          <w:p>
            <w:pPr>
              <w:pStyle w:val="Normal"/>
              <w:tabs>
                <w:tab w:val="right" w:pos="8820" w:leader="none"/>
              </w:tabs>
              <w:jc w:val="center"/>
              <w:rPr>
                <w:b/>
              </w:rPr>
            </w:pPr>
            <w:r>
              <w:rPr>
                <w:b/>
              </w:rPr>
              <w:t>27</w:t>
            </w:r>
          </w:p>
        </w:tc>
      </w:tr>
      <w:tr>
        <w:trPr>
          <w:cantSplit w:val="false"/>
        </w:trPr>
        <w:tc>
          <w:tcPr>
            <w:tcW w:w="8340" w:type="dxa"/>
            <w:tcBorders>
              <w:top w:val="single" w:sz="4" w:space="0" w:color="00000A"/>
              <w:left w:val="single" w:sz="4" w:space="0" w:color="00000A"/>
              <w:bottom w:val="single" w:sz="4" w:space="0" w:color="00000A"/>
              <w:insideH w:val="single" w:sz="4" w:space="0" w:color="00000A"/>
              <w:right w:val="single" w:sz="4" w:space="0" w:color="00000A"/>
              <w:insideV w:val="single" w:sz="4" w:space="0" w:color="00000A"/>
            </w:tcBorders>
            <w:shd w:fill="FFFFFF" w:val="clear"/>
            <w:tcMar>
              <w:left w:w="93" w:type="dxa"/>
            </w:tcMar>
          </w:tcPr>
          <w:p>
            <w:pPr>
              <w:pStyle w:val="Normal"/>
              <w:tabs>
                <w:tab w:val="right" w:pos="8820" w:leader="none"/>
              </w:tabs>
              <w:jc w:val="both"/>
              <w:rPr/>
            </w:pPr>
            <w:r>
              <w:rPr/>
              <w:t xml:space="preserve">    </w:t>
            </w:r>
            <w:r>
              <w:rPr/>
              <w:t xml:space="preserve">2.5   Bilancia príjmov a výdavkov programového rozpočtu za rok 2014                                                                 </w:t>
            </w:r>
          </w:p>
        </w:tc>
        <w:tc>
          <w:tcPr>
            <w:tcW w:w="941" w:type="dxa"/>
            <w:tcBorders>
              <w:top w:val="single" w:sz="4" w:space="0" w:color="00000A"/>
              <w:left w:val="single" w:sz="4" w:space="0" w:color="00000A"/>
              <w:bottom w:val="single" w:sz="4" w:space="0" w:color="00000A"/>
              <w:insideH w:val="single" w:sz="4" w:space="0" w:color="00000A"/>
              <w:right w:val="single" w:sz="4" w:space="0" w:color="00000A"/>
              <w:insideV w:val="single" w:sz="4" w:space="0" w:color="00000A"/>
            </w:tcBorders>
            <w:shd w:fill="FFFFFF" w:val="clear"/>
            <w:tcMar>
              <w:left w:w="93" w:type="dxa"/>
            </w:tcMar>
          </w:tcPr>
          <w:p>
            <w:pPr>
              <w:pStyle w:val="Normal"/>
              <w:tabs>
                <w:tab w:val="right" w:pos="8820" w:leader="none"/>
              </w:tabs>
              <w:jc w:val="center"/>
              <w:rPr>
                <w:b/>
              </w:rPr>
            </w:pPr>
            <w:r>
              <w:rPr>
                <w:b/>
              </w:rPr>
              <w:t>28</w:t>
            </w:r>
          </w:p>
        </w:tc>
      </w:tr>
      <w:tr>
        <w:trPr>
          <w:cantSplit w:val="false"/>
        </w:trPr>
        <w:tc>
          <w:tcPr>
            <w:tcW w:w="8340" w:type="dxa"/>
            <w:tcBorders>
              <w:top w:val="single" w:sz="4" w:space="0" w:color="00000A"/>
              <w:left w:val="single" w:sz="4" w:space="0" w:color="00000A"/>
              <w:bottom w:val="single" w:sz="4" w:space="0" w:color="00000A"/>
              <w:insideH w:val="single" w:sz="4" w:space="0" w:color="00000A"/>
              <w:right w:val="single" w:sz="4" w:space="0" w:color="00000A"/>
              <w:insideV w:val="single" w:sz="4" w:space="0" w:color="00000A"/>
            </w:tcBorders>
            <w:shd w:fill="FFFFFF" w:val="clear"/>
            <w:tcMar>
              <w:left w:w="93" w:type="dxa"/>
            </w:tcMar>
          </w:tcPr>
          <w:p>
            <w:pPr>
              <w:pStyle w:val="Normal"/>
              <w:tabs>
                <w:tab w:val="right" w:pos="8820" w:leader="none"/>
              </w:tabs>
              <w:jc w:val="both"/>
              <w:rPr/>
            </w:pPr>
            <w:r>
              <w:rPr/>
              <w:t xml:space="preserve">    </w:t>
            </w:r>
            <w:r>
              <w:rPr/>
              <w:t xml:space="preserve">2.6   Stav bankových účtov k 31.12. 2014                                                                         </w:t>
            </w:r>
          </w:p>
        </w:tc>
        <w:tc>
          <w:tcPr>
            <w:tcW w:w="941" w:type="dxa"/>
            <w:tcBorders>
              <w:top w:val="single" w:sz="4" w:space="0" w:color="00000A"/>
              <w:left w:val="single" w:sz="4" w:space="0" w:color="00000A"/>
              <w:bottom w:val="single" w:sz="4" w:space="0" w:color="00000A"/>
              <w:insideH w:val="single" w:sz="4" w:space="0" w:color="00000A"/>
              <w:right w:val="single" w:sz="4" w:space="0" w:color="00000A"/>
              <w:insideV w:val="single" w:sz="4" w:space="0" w:color="00000A"/>
            </w:tcBorders>
            <w:shd w:fill="FFFFFF" w:val="clear"/>
            <w:tcMar>
              <w:left w:w="93" w:type="dxa"/>
            </w:tcMar>
          </w:tcPr>
          <w:p>
            <w:pPr>
              <w:pStyle w:val="Normal"/>
              <w:tabs>
                <w:tab w:val="right" w:pos="8820" w:leader="none"/>
              </w:tabs>
              <w:jc w:val="center"/>
              <w:rPr>
                <w:b/>
              </w:rPr>
            </w:pPr>
            <w:r>
              <w:rPr>
                <w:b/>
              </w:rPr>
              <w:t>27</w:t>
            </w:r>
          </w:p>
        </w:tc>
      </w:tr>
      <w:tr>
        <w:trPr>
          <w:cantSplit w:val="false"/>
        </w:trPr>
        <w:tc>
          <w:tcPr>
            <w:tcW w:w="8340" w:type="dxa"/>
            <w:tcBorders>
              <w:top w:val="single" w:sz="4" w:space="0" w:color="00000A"/>
              <w:left w:val="single" w:sz="4" w:space="0" w:color="00000A"/>
              <w:bottom w:val="single" w:sz="4" w:space="0" w:color="00000A"/>
              <w:insideH w:val="single" w:sz="4" w:space="0" w:color="00000A"/>
              <w:right w:val="single" w:sz="4" w:space="0" w:color="00000A"/>
              <w:insideV w:val="single" w:sz="4" w:space="0" w:color="00000A"/>
            </w:tcBorders>
            <w:shd w:fill="FFFFFF" w:val="clear"/>
            <w:tcMar>
              <w:left w:w="93" w:type="dxa"/>
            </w:tcMar>
          </w:tcPr>
          <w:p>
            <w:pPr>
              <w:pStyle w:val="Normal"/>
              <w:tabs>
                <w:tab w:val="right" w:pos="8820" w:leader="none"/>
              </w:tabs>
              <w:jc w:val="both"/>
              <w:rPr/>
            </w:pPr>
            <w:r>
              <w:rPr/>
              <w:t xml:space="preserve">    </w:t>
            </w:r>
            <w:r>
              <w:rPr/>
              <w:tab/>
            </w:r>
          </w:p>
        </w:tc>
        <w:tc>
          <w:tcPr>
            <w:tcW w:w="941" w:type="dxa"/>
            <w:tcBorders>
              <w:top w:val="single" w:sz="4" w:space="0" w:color="00000A"/>
              <w:left w:val="single" w:sz="4" w:space="0" w:color="00000A"/>
              <w:bottom w:val="single" w:sz="4" w:space="0" w:color="00000A"/>
              <w:insideH w:val="single" w:sz="4" w:space="0" w:color="00000A"/>
              <w:right w:val="single" w:sz="4" w:space="0" w:color="00000A"/>
              <w:insideV w:val="single" w:sz="4" w:space="0" w:color="00000A"/>
            </w:tcBorders>
            <w:shd w:fill="FFFFFF" w:val="clear"/>
            <w:tcMar>
              <w:left w:w="93" w:type="dxa"/>
            </w:tcMar>
          </w:tcPr>
          <w:p>
            <w:pPr>
              <w:pStyle w:val="Normal"/>
              <w:tabs>
                <w:tab w:val="right" w:pos="8820" w:leader="none"/>
              </w:tabs>
              <w:jc w:val="center"/>
              <w:rPr>
                <w:b/>
              </w:rPr>
            </w:pPr>
            <w:r>
              <w:rPr>
                <w:b/>
              </w:rPr>
            </w:r>
          </w:p>
        </w:tc>
      </w:tr>
      <w:tr>
        <w:trPr>
          <w:cantSplit w:val="false"/>
        </w:trPr>
        <w:tc>
          <w:tcPr>
            <w:tcW w:w="8340" w:type="dxa"/>
            <w:tcBorders>
              <w:top w:val="single" w:sz="4" w:space="0" w:color="00000A"/>
              <w:left w:val="single" w:sz="4" w:space="0" w:color="00000A"/>
              <w:bottom w:val="single" w:sz="4" w:space="0" w:color="00000A"/>
              <w:insideH w:val="single" w:sz="4" w:space="0" w:color="00000A"/>
              <w:right w:val="single" w:sz="4" w:space="0" w:color="00000A"/>
              <w:insideV w:val="single" w:sz="4" w:space="0" w:color="00000A"/>
            </w:tcBorders>
            <w:shd w:fill="FFFFFF" w:val="clear"/>
            <w:tcMar>
              <w:left w:w="93" w:type="dxa"/>
            </w:tcMar>
          </w:tcPr>
          <w:p>
            <w:pPr>
              <w:pStyle w:val="Normal"/>
              <w:tabs>
                <w:tab w:val="right" w:pos="8820" w:leader="none"/>
              </w:tabs>
              <w:jc w:val="both"/>
              <w:rPr/>
            </w:pPr>
            <w:r>
              <w:rPr/>
            </w:r>
          </w:p>
        </w:tc>
        <w:tc>
          <w:tcPr>
            <w:tcW w:w="941" w:type="dxa"/>
            <w:tcBorders>
              <w:top w:val="single" w:sz="4" w:space="0" w:color="00000A"/>
              <w:left w:val="single" w:sz="4" w:space="0" w:color="00000A"/>
              <w:bottom w:val="single" w:sz="4" w:space="0" w:color="00000A"/>
              <w:insideH w:val="single" w:sz="4" w:space="0" w:color="00000A"/>
              <w:right w:val="single" w:sz="4" w:space="0" w:color="00000A"/>
              <w:insideV w:val="single" w:sz="4" w:space="0" w:color="00000A"/>
            </w:tcBorders>
            <w:shd w:fill="FFFFFF" w:val="clear"/>
            <w:tcMar>
              <w:left w:w="93" w:type="dxa"/>
            </w:tcMar>
          </w:tcPr>
          <w:p>
            <w:pPr>
              <w:pStyle w:val="Normal"/>
              <w:tabs>
                <w:tab w:val="right" w:pos="8820" w:leader="none"/>
              </w:tabs>
              <w:jc w:val="center"/>
              <w:rPr>
                <w:b/>
              </w:rPr>
            </w:pPr>
            <w:r>
              <w:rPr>
                <w:b/>
              </w:rPr>
            </w:r>
          </w:p>
        </w:tc>
      </w:tr>
      <w:tr>
        <w:trPr>
          <w:cantSplit w:val="false"/>
        </w:trPr>
        <w:tc>
          <w:tcPr>
            <w:tcW w:w="8340" w:type="dxa"/>
            <w:tcBorders>
              <w:top w:val="single" w:sz="4" w:space="0" w:color="00000A"/>
              <w:left w:val="single" w:sz="4" w:space="0" w:color="00000A"/>
              <w:bottom w:val="single" w:sz="4" w:space="0" w:color="00000A"/>
              <w:insideH w:val="single" w:sz="4" w:space="0" w:color="00000A"/>
              <w:right w:val="single" w:sz="4" w:space="0" w:color="00000A"/>
              <w:insideV w:val="single" w:sz="4" w:space="0" w:color="00000A"/>
            </w:tcBorders>
            <w:shd w:fill="FFFFFF" w:val="clear"/>
            <w:tcMar>
              <w:left w:w="93" w:type="dxa"/>
            </w:tcMar>
          </w:tcPr>
          <w:p>
            <w:pPr>
              <w:pStyle w:val="Normal"/>
              <w:tabs>
                <w:tab w:val="right" w:pos="8820" w:leader="none"/>
              </w:tabs>
              <w:jc w:val="both"/>
              <w:rPr/>
            </w:pPr>
            <w:r>
              <w:rPr>
                <w:b/>
              </w:rPr>
              <w:t>3. Hospodárenie obce a rozdelenie výsledku hospodárenia za rok 2014</w:t>
            </w:r>
            <w:r>
              <w:rPr/>
              <w:tab/>
            </w:r>
          </w:p>
        </w:tc>
        <w:tc>
          <w:tcPr>
            <w:tcW w:w="941" w:type="dxa"/>
            <w:tcBorders>
              <w:top w:val="single" w:sz="4" w:space="0" w:color="00000A"/>
              <w:left w:val="single" w:sz="4" w:space="0" w:color="00000A"/>
              <w:bottom w:val="single" w:sz="4" w:space="0" w:color="00000A"/>
              <w:insideH w:val="single" w:sz="4" w:space="0" w:color="00000A"/>
              <w:right w:val="single" w:sz="4" w:space="0" w:color="00000A"/>
              <w:insideV w:val="single" w:sz="4" w:space="0" w:color="00000A"/>
            </w:tcBorders>
            <w:shd w:fill="FFFFFF" w:val="clear"/>
            <w:tcMar>
              <w:left w:w="93" w:type="dxa"/>
            </w:tcMar>
          </w:tcPr>
          <w:p>
            <w:pPr>
              <w:pStyle w:val="Normal"/>
              <w:tabs>
                <w:tab w:val="right" w:pos="8820" w:leader="none"/>
              </w:tabs>
              <w:jc w:val="center"/>
              <w:rPr>
                <w:b/>
              </w:rPr>
            </w:pPr>
            <w:r>
              <w:rPr>
                <w:b/>
              </w:rPr>
            </w:r>
          </w:p>
        </w:tc>
      </w:tr>
      <w:tr>
        <w:trPr>
          <w:cantSplit w:val="false"/>
        </w:trPr>
        <w:tc>
          <w:tcPr>
            <w:tcW w:w="8340" w:type="dxa"/>
            <w:tcBorders>
              <w:top w:val="single" w:sz="4" w:space="0" w:color="00000A"/>
              <w:left w:val="single" w:sz="4" w:space="0" w:color="00000A"/>
              <w:bottom w:val="single" w:sz="4" w:space="0" w:color="00000A"/>
              <w:insideH w:val="single" w:sz="4" w:space="0" w:color="00000A"/>
              <w:right w:val="single" w:sz="4" w:space="0" w:color="00000A"/>
              <w:insideV w:val="single" w:sz="4" w:space="0" w:color="00000A"/>
            </w:tcBorders>
            <w:shd w:fill="FFFFFF" w:val="clear"/>
            <w:tcMar>
              <w:left w:w="93" w:type="dxa"/>
            </w:tcMar>
          </w:tcPr>
          <w:p>
            <w:pPr>
              <w:pStyle w:val="Normal"/>
              <w:tabs>
                <w:tab w:val="right" w:pos="8820" w:leader="none"/>
              </w:tabs>
              <w:jc w:val="both"/>
              <w:rPr/>
            </w:pPr>
            <w:r>
              <w:rPr/>
            </w:r>
          </w:p>
        </w:tc>
        <w:tc>
          <w:tcPr>
            <w:tcW w:w="941" w:type="dxa"/>
            <w:tcBorders>
              <w:top w:val="single" w:sz="4" w:space="0" w:color="00000A"/>
              <w:left w:val="single" w:sz="4" w:space="0" w:color="00000A"/>
              <w:bottom w:val="single" w:sz="4" w:space="0" w:color="00000A"/>
              <w:insideH w:val="single" w:sz="4" w:space="0" w:color="00000A"/>
              <w:right w:val="single" w:sz="4" w:space="0" w:color="00000A"/>
              <w:insideV w:val="single" w:sz="4" w:space="0" w:color="00000A"/>
            </w:tcBorders>
            <w:shd w:fill="FFFFFF" w:val="clear"/>
            <w:tcMar>
              <w:left w:w="93" w:type="dxa"/>
            </w:tcMar>
          </w:tcPr>
          <w:p>
            <w:pPr>
              <w:pStyle w:val="Normal"/>
              <w:tabs>
                <w:tab w:val="right" w:pos="8820" w:leader="none"/>
              </w:tabs>
              <w:jc w:val="center"/>
              <w:rPr>
                <w:b/>
              </w:rPr>
            </w:pPr>
            <w:r>
              <w:rPr>
                <w:b/>
              </w:rPr>
            </w:r>
          </w:p>
        </w:tc>
      </w:tr>
      <w:tr>
        <w:trPr>
          <w:cantSplit w:val="false"/>
        </w:trPr>
        <w:tc>
          <w:tcPr>
            <w:tcW w:w="8340" w:type="dxa"/>
            <w:tcBorders>
              <w:top w:val="single" w:sz="4" w:space="0" w:color="00000A"/>
              <w:left w:val="single" w:sz="4" w:space="0" w:color="00000A"/>
              <w:bottom w:val="single" w:sz="4" w:space="0" w:color="00000A"/>
              <w:insideH w:val="single" w:sz="4" w:space="0" w:color="00000A"/>
              <w:right w:val="single" w:sz="4" w:space="0" w:color="00000A"/>
              <w:insideV w:val="single" w:sz="4" w:space="0" w:color="00000A"/>
            </w:tcBorders>
            <w:shd w:fill="FFFFFF" w:val="clear"/>
            <w:tcMar>
              <w:left w:w="93" w:type="dxa"/>
            </w:tcMar>
          </w:tcPr>
          <w:p>
            <w:pPr>
              <w:pStyle w:val="Normal"/>
              <w:tabs>
                <w:tab w:val="right" w:pos="8820" w:leader="none"/>
              </w:tabs>
              <w:jc w:val="both"/>
              <w:rPr/>
            </w:pPr>
            <w:r>
              <w:rPr>
                <w:b/>
              </w:rPr>
              <w:t>4. Vývoj pohľadávok a záväzkov v €</w:t>
            </w:r>
            <w:r>
              <w:rPr/>
              <w:tab/>
            </w:r>
          </w:p>
        </w:tc>
        <w:tc>
          <w:tcPr>
            <w:tcW w:w="941" w:type="dxa"/>
            <w:tcBorders>
              <w:top w:val="single" w:sz="4" w:space="0" w:color="00000A"/>
              <w:left w:val="single" w:sz="4" w:space="0" w:color="00000A"/>
              <w:bottom w:val="single" w:sz="4" w:space="0" w:color="00000A"/>
              <w:insideH w:val="single" w:sz="4" w:space="0" w:color="00000A"/>
              <w:right w:val="single" w:sz="4" w:space="0" w:color="00000A"/>
              <w:insideV w:val="single" w:sz="4" w:space="0" w:color="00000A"/>
            </w:tcBorders>
            <w:shd w:fill="FFFFFF" w:val="clear"/>
            <w:tcMar>
              <w:left w:w="93" w:type="dxa"/>
            </w:tcMar>
          </w:tcPr>
          <w:p>
            <w:pPr>
              <w:pStyle w:val="Normal"/>
              <w:tabs>
                <w:tab w:val="right" w:pos="8820" w:leader="none"/>
              </w:tabs>
              <w:jc w:val="center"/>
              <w:rPr>
                <w:b/>
              </w:rPr>
            </w:pPr>
            <w:r>
              <w:rPr>
                <w:b/>
              </w:rPr>
            </w:r>
          </w:p>
        </w:tc>
      </w:tr>
      <w:tr>
        <w:trPr>
          <w:cantSplit w:val="false"/>
        </w:trPr>
        <w:tc>
          <w:tcPr>
            <w:tcW w:w="8340" w:type="dxa"/>
            <w:tcBorders>
              <w:top w:val="single" w:sz="4" w:space="0" w:color="00000A"/>
              <w:left w:val="single" w:sz="4" w:space="0" w:color="00000A"/>
              <w:bottom w:val="single" w:sz="4" w:space="0" w:color="00000A"/>
              <w:insideH w:val="single" w:sz="4" w:space="0" w:color="00000A"/>
              <w:right w:val="single" w:sz="4" w:space="0" w:color="00000A"/>
              <w:insideV w:val="single" w:sz="4" w:space="0" w:color="00000A"/>
            </w:tcBorders>
            <w:shd w:fill="FFFFFF" w:val="clear"/>
            <w:tcMar>
              <w:left w:w="93" w:type="dxa"/>
            </w:tcMar>
          </w:tcPr>
          <w:p>
            <w:pPr>
              <w:pStyle w:val="Normal"/>
              <w:tabs>
                <w:tab w:val="right" w:pos="8820" w:leader="none"/>
              </w:tabs>
              <w:jc w:val="both"/>
              <w:rPr/>
            </w:pPr>
            <w:r>
              <w:rPr/>
              <w:t xml:space="preserve">    </w:t>
            </w:r>
            <w:r>
              <w:rPr/>
              <w:t>5.1   Pohľadávky</w:t>
              <w:tab/>
            </w:r>
          </w:p>
        </w:tc>
        <w:tc>
          <w:tcPr>
            <w:tcW w:w="941" w:type="dxa"/>
            <w:tcBorders>
              <w:top w:val="single" w:sz="4" w:space="0" w:color="00000A"/>
              <w:left w:val="single" w:sz="4" w:space="0" w:color="00000A"/>
              <w:bottom w:val="single" w:sz="4" w:space="0" w:color="00000A"/>
              <w:insideH w:val="single" w:sz="4" w:space="0" w:color="00000A"/>
              <w:right w:val="single" w:sz="4" w:space="0" w:color="00000A"/>
              <w:insideV w:val="single" w:sz="4" w:space="0" w:color="00000A"/>
            </w:tcBorders>
            <w:shd w:fill="FFFFFF" w:val="clear"/>
            <w:tcMar>
              <w:left w:w="93" w:type="dxa"/>
            </w:tcMar>
          </w:tcPr>
          <w:p>
            <w:pPr>
              <w:pStyle w:val="Normal"/>
              <w:tabs>
                <w:tab w:val="right" w:pos="8820" w:leader="none"/>
              </w:tabs>
              <w:jc w:val="center"/>
              <w:rPr>
                <w:b/>
              </w:rPr>
            </w:pPr>
            <w:r>
              <w:rPr>
                <w:b/>
              </w:rPr>
              <w:t>29</w:t>
            </w:r>
          </w:p>
        </w:tc>
      </w:tr>
      <w:tr>
        <w:trPr>
          <w:cantSplit w:val="false"/>
        </w:trPr>
        <w:tc>
          <w:tcPr>
            <w:tcW w:w="8340" w:type="dxa"/>
            <w:tcBorders>
              <w:top w:val="single" w:sz="4" w:space="0" w:color="00000A"/>
              <w:left w:val="single" w:sz="4" w:space="0" w:color="00000A"/>
              <w:bottom w:val="single" w:sz="4" w:space="0" w:color="00000A"/>
              <w:insideH w:val="single" w:sz="4" w:space="0" w:color="00000A"/>
              <w:right w:val="single" w:sz="4" w:space="0" w:color="00000A"/>
              <w:insideV w:val="single" w:sz="4" w:space="0" w:color="00000A"/>
            </w:tcBorders>
            <w:shd w:fill="FFFFFF" w:val="clear"/>
            <w:tcMar>
              <w:left w:w="93" w:type="dxa"/>
            </w:tcMar>
          </w:tcPr>
          <w:p>
            <w:pPr>
              <w:pStyle w:val="Normal"/>
              <w:tabs>
                <w:tab w:val="right" w:pos="8820" w:leader="none"/>
              </w:tabs>
              <w:jc w:val="both"/>
              <w:rPr/>
            </w:pPr>
            <w:r>
              <w:rPr/>
              <w:t xml:space="preserve">    </w:t>
            </w:r>
            <w:r>
              <w:rPr/>
              <w:t>5.2   Záväzky</w:t>
              <w:tab/>
            </w:r>
          </w:p>
        </w:tc>
        <w:tc>
          <w:tcPr>
            <w:tcW w:w="941" w:type="dxa"/>
            <w:tcBorders>
              <w:top w:val="single" w:sz="4" w:space="0" w:color="00000A"/>
              <w:left w:val="single" w:sz="4" w:space="0" w:color="00000A"/>
              <w:bottom w:val="single" w:sz="4" w:space="0" w:color="00000A"/>
              <w:insideH w:val="single" w:sz="4" w:space="0" w:color="00000A"/>
              <w:right w:val="single" w:sz="4" w:space="0" w:color="00000A"/>
              <w:insideV w:val="single" w:sz="4" w:space="0" w:color="00000A"/>
            </w:tcBorders>
            <w:shd w:fill="FFFFFF" w:val="clear"/>
            <w:tcMar>
              <w:left w:w="93" w:type="dxa"/>
            </w:tcMar>
          </w:tcPr>
          <w:p>
            <w:pPr>
              <w:pStyle w:val="Normal"/>
              <w:tabs>
                <w:tab w:val="right" w:pos="8820" w:leader="none"/>
              </w:tabs>
              <w:jc w:val="center"/>
              <w:rPr>
                <w:b/>
              </w:rPr>
            </w:pPr>
            <w:r>
              <w:rPr>
                <w:b/>
              </w:rPr>
              <w:t>29</w:t>
            </w:r>
          </w:p>
        </w:tc>
      </w:tr>
      <w:tr>
        <w:trPr>
          <w:cantSplit w:val="false"/>
        </w:trPr>
        <w:tc>
          <w:tcPr>
            <w:tcW w:w="8340" w:type="dxa"/>
            <w:tcBorders>
              <w:top w:val="single" w:sz="4" w:space="0" w:color="00000A"/>
              <w:left w:val="single" w:sz="4" w:space="0" w:color="00000A"/>
              <w:bottom w:val="single" w:sz="4" w:space="0" w:color="00000A"/>
              <w:insideH w:val="single" w:sz="4" w:space="0" w:color="00000A"/>
              <w:right w:val="single" w:sz="4" w:space="0" w:color="00000A"/>
              <w:insideV w:val="single" w:sz="4" w:space="0" w:color="00000A"/>
            </w:tcBorders>
            <w:shd w:fill="FFFFFF" w:val="clear"/>
            <w:tcMar>
              <w:left w:w="93" w:type="dxa"/>
            </w:tcMar>
          </w:tcPr>
          <w:p>
            <w:pPr>
              <w:pStyle w:val="Normal"/>
              <w:tabs>
                <w:tab w:val="right" w:pos="8820" w:leader="none"/>
              </w:tabs>
              <w:jc w:val="both"/>
              <w:rPr/>
            </w:pPr>
            <w:r>
              <w:rPr/>
            </w:r>
          </w:p>
        </w:tc>
        <w:tc>
          <w:tcPr>
            <w:tcW w:w="941" w:type="dxa"/>
            <w:tcBorders>
              <w:top w:val="single" w:sz="4" w:space="0" w:color="00000A"/>
              <w:left w:val="single" w:sz="4" w:space="0" w:color="00000A"/>
              <w:bottom w:val="single" w:sz="4" w:space="0" w:color="00000A"/>
              <w:insideH w:val="single" w:sz="4" w:space="0" w:color="00000A"/>
              <w:right w:val="single" w:sz="4" w:space="0" w:color="00000A"/>
              <w:insideV w:val="single" w:sz="4" w:space="0" w:color="00000A"/>
            </w:tcBorders>
            <w:shd w:fill="FFFFFF" w:val="clear"/>
            <w:tcMar>
              <w:left w:w="93" w:type="dxa"/>
            </w:tcMar>
          </w:tcPr>
          <w:p>
            <w:pPr>
              <w:pStyle w:val="Normal"/>
              <w:tabs>
                <w:tab w:val="right" w:pos="8820" w:leader="none"/>
              </w:tabs>
              <w:jc w:val="center"/>
              <w:rPr>
                <w:b/>
              </w:rPr>
            </w:pPr>
            <w:r>
              <w:rPr>
                <w:b/>
              </w:rPr>
            </w:r>
          </w:p>
        </w:tc>
      </w:tr>
      <w:tr>
        <w:trPr>
          <w:cantSplit w:val="false"/>
        </w:trPr>
        <w:tc>
          <w:tcPr>
            <w:tcW w:w="8340" w:type="dxa"/>
            <w:tcBorders>
              <w:top w:val="single" w:sz="4" w:space="0" w:color="00000A"/>
              <w:left w:val="single" w:sz="4" w:space="0" w:color="00000A"/>
              <w:bottom w:val="single" w:sz="4" w:space="0" w:color="00000A"/>
              <w:insideH w:val="single" w:sz="4" w:space="0" w:color="00000A"/>
              <w:right w:val="single" w:sz="4" w:space="0" w:color="00000A"/>
              <w:insideV w:val="single" w:sz="4" w:space="0" w:color="00000A"/>
            </w:tcBorders>
            <w:shd w:fill="FFFFFF" w:val="clear"/>
            <w:tcMar>
              <w:left w:w="93" w:type="dxa"/>
            </w:tcMar>
          </w:tcPr>
          <w:p>
            <w:pPr>
              <w:pStyle w:val="Normal"/>
              <w:tabs>
                <w:tab w:val="right" w:pos="8820" w:leader="none"/>
              </w:tabs>
              <w:jc w:val="both"/>
              <w:rPr/>
            </w:pPr>
            <w:r>
              <w:rPr>
                <w:b/>
              </w:rPr>
              <w:t>5. Ostatné dôležité informácie</w:t>
            </w:r>
            <w:r>
              <w:rPr/>
              <w:tab/>
            </w:r>
          </w:p>
        </w:tc>
        <w:tc>
          <w:tcPr>
            <w:tcW w:w="941" w:type="dxa"/>
            <w:tcBorders>
              <w:top w:val="single" w:sz="4" w:space="0" w:color="00000A"/>
              <w:left w:val="single" w:sz="4" w:space="0" w:color="00000A"/>
              <w:bottom w:val="single" w:sz="4" w:space="0" w:color="00000A"/>
              <w:insideH w:val="single" w:sz="4" w:space="0" w:color="00000A"/>
              <w:right w:val="single" w:sz="4" w:space="0" w:color="00000A"/>
              <w:insideV w:val="single" w:sz="4" w:space="0" w:color="00000A"/>
            </w:tcBorders>
            <w:shd w:fill="FFFFFF" w:val="clear"/>
            <w:tcMar>
              <w:left w:w="93" w:type="dxa"/>
            </w:tcMar>
          </w:tcPr>
          <w:p>
            <w:pPr>
              <w:pStyle w:val="Normal"/>
              <w:tabs>
                <w:tab w:val="right" w:pos="8820" w:leader="none"/>
              </w:tabs>
              <w:jc w:val="center"/>
              <w:rPr>
                <w:b/>
              </w:rPr>
            </w:pPr>
            <w:r>
              <w:rPr>
                <w:b/>
              </w:rPr>
            </w:r>
          </w:p>
        </w:tc>
      </w:tr>
      <w:tr>
        <w:trPr>
          <w:cantSplit w:val="false"/>
        </w:trPr>
        <w:tc>
          <w:tcPr>
            <w:tcW w:w="8340" w:type="dxa"/>
            <w:tcBorders>
              <w:top w:val="single" w:sz="4" w:space="0" w:color="00000A"/>
              <w:left w:val="single" w:sz="4" w:space="0" w:color="00000A"/>
              <w:bottom w:val="single" w:sz="4" w:space="0" w:color="00000A"/>
              <w:insideH w:val="single" w:sz="4" w:space="0" w:color="00000A"/>
              <w:right w:val="single" w:sz="4" w:space="0" w:color="00000A"/>
              <w:insideV w:val="single" w:sz="4" w:space="0" w:color="00000A"/>
            </w:tcBorders>
            <w:shd w:fill="FFFFFF" w:val="clear"/>
            <w:tcMar>
              <w:left w:w="93" w:type="dxa"/>
            </w:tcMar>
          </w:tcPr>
          <w:p>
            <w:pPr>
              <w:pStyle w:val="Normal"/>
              <w:tabs>
                <w:tab w:val="right" w:pos="8820" w:leader="none"/>
              </w:tabs>
              <w:jc w:val="both"/>
              <w:rPr/>
            </w:pPr>
            <w:r>
              <w:rPr/>
              <w:t xml:space="preserve">    </w:t>
            </w:r>
            <w:r>
              <w:rPr/>
              <w:tab/>
            </w:r>
          </w:p>
        </w:tc>
        <w:tc>
          <w:tcPr>
            <w:tcW w:w="941" w:type="dxa"/>
            <w:tcBorders>
              <w:top w:val="single" w:sz="4" w:space="0" w:color="00000A"/>
              <w:left w:val="single" w:sz="4" w:space="0" w:color="00000A"/>
              <w:bottom w:val="single" w:sz="4" w:space="0" w:color="00000A"/>
              <w:insideH w:val="single" w:sz="4" w:space="0" w:color="00000A"/>
              <w:right w:val="single" w:sz="4" w:space="0" w:color="00000A"/>
              <w:insideV w:val="single" w:sz="4" w:space="0" w:color="00000A"/>
            </w:tcBorders>
            <w:shd w:fill="FFFFFF" w:val="clear"/>
            <w:tcMar>
              <w:left w:w="93" w:type="dxa"/>
            </w:tcMar>
          </w:tcPr>
          <w:p>
            <w:pPr>
              <w:pStyle w:val="Normal"/>
              <w:tabs>
                <w:tab w:val="right" w:pos="8820" w:leader="none"/>
              </w:tabs>
              <w:jc w:val="center"/>
              <w:rPr>
                <w:b/>
              </w:rPr>
            </w:pPr>
            <w:r>
              <w:rPr>
                <w:b/>
              </w:rPr>
            </w:r>
          </w:p>
        </w:tc>
      </w:tr>
      <w:tr>
        <w:trPr>
          <w:cantSplit w:val="false"/>
        </w:trPr>
        <w:tc>
          <w:tcPr>
            <w:tcW w:w="8340" w:type="dxa"/>
            <w:tcBorders>
              <w:top w:val="single" w:sz="4" w:space="0" w:color="00000A"/>
              <w:left w:val="single" w:sz="4" w:space="0" w:color="00000A"/>
              <w:bottom w:val="single" w:sz="4" w:space="0" w:color="00000A"/>
              <w:insideH w:val="single" w:sz="4" w:space="0" w:color="00000A"/>
              <w:right w:val="single" w:sz="4" w:space="0" w:color="00000A"/>
              <w:insideV w:val="single" w:sz="4" w:space="0" w:color="00000A"/>
            </w:tcBorders>
            <w:shd w:fill="FFFFFF" w:val="clear"/>
            <w:tcMar>
              <w:left w:w="93" w:type="dxa"/>
            </w:tcMar>
          </w:tcPr>
          <w:p>
            <w:pPr>
              <w:pStyle w:val="Normal"/>
              <w:tabs>
                <w:tab w:val="right" w:pos="8820" w:leader="none"/>
              </w:tabs>
              <w:jc w:val="both"/>
              <w:rPr/>
            </w:pPr>
            <w:r>
              <w:rPr/>
              <w:t xml:space="preserve">    </w:t>
            </w:r>
            <w:r>
              <w:rPr/>
              <w:t>6.2   Poskytnuté dotácie</w:t>
              <w:tab/>
            </w:r>
          </w:p>
        </w:tc>
        <w:tc>
          <w:tcPr>
            <w:tcW w:w="941" w:type="dxa"/>
            <w:tcBorders>
              <w:top w:val="single" w:sz="4" w:space="0" w:color="00000A"/>
              <w:left w:val="single" w:sz="4" w:space="0" w:color="00000A"/>
              <w:bottom w:val="single" w:sz="4" w:space="0" w:color="00000A"/>
              <w:insideH w:val="single" w:sz="4" w:space="0" w:color="00000A"/>
              <w:right w:val="single" w:sz="4" w:space="0" w:color="00000A"/>
              <w:insideV w:val="single" w:sz="4" w:space="0" w:color="00000A"/>
            </w:tcBorders>
            <w:shd w:fill="FFFFFF" w:val="clear"/>
            <w:tcMar>
              <w:left w:w="93" w:type="dxa"/>
            </w:tcMar>
          </w:tcPr>
          <w:p>
            <w:pPr>
              <w:pStyle w:val="Normal"/>
              <w:tabs>
                <w:tab w:val="right" w:pos="8820" w:leader="none"/>
              </w:tabs>
              <w:jc w:val="center"/>
              <w:rPr>
                <w:b/>
              </w:rPr>
            </w:pPr>
            <w:r>
              <w:rPr>
                <w:b/>
              </w:rPr>
              <w:t>29</w:t>
            </w:r>
          </w:p>
        </w:tc>
      </w:tr>
      <w:tr>
        <w:trPr>
          <w:cantSplit w:val="false"/>
        </w:trPr>
        <w:tc>
          <w:tcPr>
            <w:tcW w:w="8340" w:type="dxa"/>
            <w:tcBorders>
              <w:top w:val="single" w:sz="4" w:space="0" w:color="00000A"/>
              <w:left w:val="single" w:sz="4" w:space="0" w:color="00000A"/>
              <w:bottom w:val="single" w:sz="4" w:space="0" w:color="00000A"/>
              <w:insideH w:val="single" w:sz="4" w:space="0" w:color="00000A"/>
              <w:right w:val="single" w:sz="4" w:space="0" w:color="00000A"/>
              <w:insideV w:val="single" w:sz="4" w:space="0" w:color="00000A"/>
            </w:tcBorders>
            <w:shd w:fill="FFFFFF" w:val="clear"/>
            <w:tcMar>
              <w:left w:w="93" w:type="dxa"/>
            </w:tcMar>
          </w:tcPr>
          <w:p>
            <w:pPr>
              <w:pStyle w:val="Normal"/>
              <w:tabs>
                <w:tab w:val="right" w:pos="8820" w:leader="none"/>
              </w:tabs>
              <w:jc w:val="both"/>
              <w:rPr/>
            </w:pPr>
            <w:r>
              <w:rPr/>
              <w:t xml:space="preserve">    </w:t>
            </w:r>
            <w:r>
              <w:rPr/>
              <w:t>6.3   Významné investičné akcie v roku 2014</w:t>
              <w:tab/>
            </w:r>
          </w:p>
        </w:tc>
        <w:tc>
          <w:tcPr>
            <w:tcW w:w="941" w:type="dxa"/>
            <w:tcBorders>
              <w:top w:val="single" w:sz="4" w:space="0" w:color="00000A"/>
              <w:left w:val="single" w:sz="4" w:space="0" w:color="00000A"/>
              <w:bottom w:val="single" w:sz="4" w:space="0" w:color="00000A"/>
              <w:insideH w:val="single" w:sz="4" w:space="0" w:color="00000A"/>
              <w:right w:val="single" w:sz="4" w:space="0" w:color="00000A"/>
              <w:insideV w:val="single" w:sz="4" w:space="0" w:color="00000A"/>
            </w:tcBorders>
            <w:shd w:fill="FFFFFF" w:val="clear"/>
            <w:tcMar>
              <w:left w:w="93" w:type="dxa"/>
            </w:tcMar>
          </w:tcPr>
          <w:p>
            <w:pPr>
              <w:pStyle w:val="Normal"/>
              <w:tabs>
                <w:tab w:val="right" w:pos="8820" w:leader="none"/>
              </w:tabs>
              <w:jc w:val="center"/>
              <w:rPr>
                <w:b/>
              </w:rPr>
            </w:pPr>
            <w:r>
              <w:rPr>
                <w:b/>
              </w:rPr>
              <w:t>30</w:t>
            </w:r>
          </w:p>
        </w:tc>
      </w:tr>
      <w:tr>
        <w:trPr>
          <w:cantSplit w:val="false"/>
        </w:trPr>
        <w:tc>
          <w:tcPr>
            <w:tcW w:w="8340" w:type="dxa"/>
            <w:tcBorders>
              <w:top w:val="single" w:sz="4" w:space="0" w:color="00000A"/>
              <w:left w:val="single" w:sz="4" w:space="0" w:color="00000A"/>
              <w:bottom w:val="single" w:sz="4" w:space="0" w:color="00000A"/>
              <w:insideH w:val="single" w:sz="4" w:space="0" w:color="00000A"/>
              <w:right w:val="single" w:sz="4" w:space="0" w:color="00000A"/>
              <w:insideV w:val="single" w:sz="4" w:space="0" w:color="00000A"/>
            </w:tcBorders>
            <w:shd w:fill="FFFFFF" w:val="clear"/>
            <w:tcMar>
              <w:left w:w="93" w:type="dxa"/>
            </w:tcMar>
          </w:tcPr>
          <w:p>
            <w:pPr>
              <w:pStyle w:val="Normal"/>
              <w:tabs>
                <w:tab w:val="right" w:pos="8820" w:leader="none"/>
              </w:tabs>
              <w:jc w:val="both"/>
              <w:rPr/>
            </w:pPr>
            <w:r>
              <w:rPr/>
              <w:t xml:space="preserve">    </w:t>
            </w:r>
            <w:r>
              <w:rPr/>
              <w:t>6.4   Predpokladaný budúci vývoj činnosti</w:t>
              <w:tab/>
            </w:r>
          </w:p>
        </w:tc>
        <w:tc>
          <w:tcPr>
            <w:tcW w:w="941" w:type="dxa"/>
            <w:tcBorders>
              <w:top w:val="single" w:sz="4" w:space="0" w:color="00000A"/>
              <w:left w:val="single" w:sz="4" w:space="0" w:color="00000A"/>
              <w:bottom w:val="single" w:sz="4" w:space="0" w:color="00000A"/>
              <w:insideH w:val="single" w:sz="4" w:space="0" w:color="00000A"/>
              <w:right w:val="single" w:sz="4" w:space="0" w:color="00000A"/>
              <w:insideV w:val="single" w:sz="4" w:space="0" w:color="00000A"/>
            </w:tcBorders>
            <w:shd w:fill="FFFFFF" w:val="clear"/>
            <w:tcMar>
              <w:left w:w="93" w:type="dxa"/>
            </w:tcMar>
          </w:tcPr>
          <w:p>
            <w:pPr>
              <w:pStyle w:val="Normal"/>
              <w:tabs>
                <w:tab w:val="right" w:pos="8820" w:leader="none"/>
              </w:tabs>
              <w:jc w:val="center"/>
              <w:rPr>
                <w:b/>
              </w:rPr>
            </w:pPr>
            <w:r>
              <w:rPr>
                <w:b/>
              </w:rPr>
              <w:t>30</w:t>
            </w:r>
          </w:p>
        </w:tc>
      </w:tr>
      <w:tr>
        <w:trPr>
          <w:cantSplit w:val="false"/>
        </w:trPr>
        <w:tc>
          <w:tcPr>
            <w:tcW w:w="8340" w:type="dxa"/>
            <w:tcBorders>
              <w:top w:val="single" w:sz="4" w:space="0" w:color="00000A"/>
              <w:left w:val="single" w:sz="4" w:space="0" w:color="00000A"/>
              <w:bottom w:val="single" w:sz="4" w:space="0" w:color="00000A"/>
              <w:insideH w:val="single" w:sz="4" w:space="0" w:color="00000A"/>
              <w:right w:val="single" w:sz="4" w:space="0" w:color="00000A"/>
              <w:insideV w:val="single" w:sz="4" w:space="0" w:color="00000A"/>
            </w:tcBorders>
            <w:shd w:fill="FFFFFF" w:val="clear"/>
            <w:tcMar>
              <w:left w:w="93" w:type="dxa"/>
            </w:tcMar>
          </w:tcPr>
          <w:p>
            <w:pPr>
              <w:pStyle w:val="Normal"/>
              <w:tabs>
                <w:tab w:val="right" w:pos="8820" w:leader="none"/>
              </w:tabs>
              <w:jc w:val="both"/>
              <w:rPr/>
            </w:pPr>
            <w:r>
              <w:rPr/>
              <w:t xml:space="preserve">    </w:t>
            </w:r>
            <w:r>
              <w:rPr/>
              <w:t>6.5   Udalosti osobitného významu po skončení účtovného obdobia</w:t>
              <w:tab/>
            </w:r>
          </w:p>
        </w:tc>
        <w:tc>
          <w:tcPr>
            <w:tcW w:w="941" w:type="dxa"/>
            <w:tcBorders>
              <w:top w:val="single" w:sz="4" w:space="0" w:color="00000A"/>
              <w:left w:val="single" w:sz="4" w:space="0" w:color="00000A"/>
              <w:bottom w:val="single" w:sz="4" w:space="0" w:color="00000A"/>
              <w:insideH w:val="single" w:sz="4" w:space="0" w:color="00000A"/>
              <w:right w:val="single" w:sz="4" w:space="0" w:color="00000A"/>
              <w:insideV w:val="single" w:sz="4" w:space="0" w:color="00000A"/>
            </w:tcBorders>
            <w:shd w:fill="FFFFFF" w:val="clear"/>
            <w:tcMar>
              <w:left w:w="93" w:type="dxa"/>
            </w:tcMar>
          </w:tcPr>
          <w:p>
            <w:pPr>
              <w:pStyle w:val="Normal"/>
              <w:tabs>
                <w:tab w:val="right" w:pos="8820" w:leader="none"/>
              </w:tabs>
              <w:jc w:val="center"/>
              <w:rPr>
                <w:b/>
              </w:rPr>
            </w:pPr>
            <w:r>
              <w:rPr>
                <w:b/>
              </w:rPr>
              <w:t>30</w:t>
            </w:r>
          </w:p>
        </w:tc>
      </w:tr>
      <w:tr>
        <w:trPr>
          <w:cantSplit w:val="false"/>
        </w:trPr>
        <w:tc>
          <w:tcPr>
            <w:tcW w:w="8340" w:type="dxa"/>
            <w:tcBorders>
              <w:top w:val="single" w:sz="4" w:space="0" w:color="00000A"/>
              <w:left w:val="single" w:sz="4" w:space="0" w:color="00000A"/>
              <w:bottom w:val="single" w:sz="4" w:space="0" w:color="00000A"/>
              <w:insideH w:val="single" w:sz="4" w:space="0" w:color="00000A"/>
              <w:right w:val="single" w:sz="4" w:space="0" w:color="00000A"/>
              <w:insideV w:val="single" w:sz="4" w:space="0" w:color="00000A"/>
            </w:tcBorders>
            <w:shd w:fill="FFFFFF" w:val="clear"/>
            <w:tcMar>
              <w:left w:w="93" w:type="dxa"/>
            </w:tcMar>
          </w:tcPr>
          <w:p>
            <w:pPr>
              <w:pStyle w:val="Normal"/>
              <w:tabs>
                <w:tab w:val="right" w:pos="8820" w:leader="none"/>
              </w:tabs>
              <w:jc w:val="both"/>
              <w:rPr/>
            </w:pPr>
            <w:r>
              <w:rPr/>
            </w:r>
          </w:p>
        </w:tc>
        <w:tc>
          <w:tcPr>
            <w:tcW w:w="941" w:type="dxa"/>
            <w:tcBorders>
              <w:top w:val="single" w:sz="4" w:space="0" w:color="00000A"/>
              <w:left w:val="single" w:sz="4" w:space="0" w:color="00000A"/>
              <w:bottom w:val="single" w:sz="4" w:space="0" w:color="00000A"/>
              <w:insideH w:val="single" w:sz="4" w:space="0" w:color="00000A"/>
              <w:right w:val="single" w:sz="4" w:space="0" w:color="00000A"/>
              <w:insideV w:val="single" w:sz="4" w:space="0" w:color="00000A"/>
            </w:tcBorders>
            <w:shd w:fill="FFFFFF" w:val="clear"/>
            <w:tcMar>
              <w:left w:w="93" w:type="dxa"/>
            </w:tcMar>
          </w:tcPr>
          <w:p>
            <w:pPr>
              <w:pStyle w:val="Normal"/>
              <w:tabs>
                <w:tab w:val="right" w:pos="8820" w:leader="none"/>
              </w:tabs>
              <w:jc w:val="center"/>
              <w:rPr>
                <w:b/>
              </w:rPr>
            </w:pPr>
            <w:r>
              <w:rPr>
                <w:b/>
              </w:rPr>
            </w:r>
          </w:p>
        </w:tc>
      </w:tr>
      <w:tr>
        <w:trPr>
          <w:cantSplit w:val="false"/>
        </w:trPr>
        <w:tc>
          <w:tcPr>
            <w:tcW w:w="8340" w:type="dxa"/>
            <w:tcBorders>
              <w:top w:val="single" w:sz="4" w:space="0" w:color="00000A"/>
              <w:left w:val="single" w:sz="4" w:space="0" w:color="00000A"/>
              <w:bottom w:val="single" w:sz="4" w:space="0" w:color="00000A"/>
              <w:insideH w:val="single" w:sz="4" w:space="0" w:color="00000A"/>
              <w:right w:val="single" w:sz="4" w:space="0" w:color="00000A"/>
              <w:insideV w:val="single" w:sz="4" w:space="0" w:color="00000A"/>
            </w:tcBorders>
            <w:shd w:fill="FFFFFF" w:val="clear"/>
            <w:tcMar>
              <w:left w:w="93" w:type="dxa"/>
            </w:tcMar>
          </w:tcPr>
          <w:p>
            <w:pPr>
              <w:pStyle w:val="Normal"/>
              <w:tabs>
                <w:tab w:val="right" w:pos="8820" w:leader="none"/>
              </w:tabs>
              <w:jc w:val="both"/>
              <w:rPr>
                <w:b/>
              </w:rPr>
            </w:pPr>
            <w:r>
              <w:rPr>
                <w:b/>
              </w:rPr>
              <w:t>6. Súvaha k 31.12.2014</w:t>
            </w:r>
          </w:p>
        </w:tc>
        <w:tc>
          <w:tcPr>
            <w:tcW w:w="941" w:type="dxa"/>
            <w:tcBorders>
              <w:top w:val="single" w:sz="4" w:space="0" w:color="00000A"/>
              <w:left w:val="single" w:sz="4" w:space="0" w:color="00000A"/>
              <w:bottom w:val="single" w:sz="4" w:space="0" w:color="00000A"/>
              <w:insideH w:val="single" w:sz="4" w:space="0" w:color="00000A"/>
              <w:right w:val="single" w:sz="4" w:space="0" w:color="00000A"/>
              <w:insideV w:val="single" w:sz="4" w:space="0" w:color="00000A"/>
            </w:tcBorders>
            <w:shd w:fill="FFFFFF" w:val="clear"/>
            <w:tcMar>
              <w:left w:w="93" w:type="dxa"/>
            </w:tcMar>
          </w:tcPr>
          <w:p>
            <w:pPr>
              <w:pStyle w:val="Normal"/>
              <w:tabs>
                <w:tab w:val="right" w:pos="8820" w:leader="none"/>
              </w:tabs>
              <w:jc w:val="center"/>
              <w:rPr>
                <w:b/>
              </w:rPr>
            </w:pPr>
            <w:r>
              <w:rPr>
                <w:b/>
              </w:rPr>
            </w:r>
          </w:p>
        </w:tc>
      </w:tr>
      <w:tr>
        <w:trPr>
          <w:cantSplit w:val="false"/>
        </w:trPr>
        <w:tc>
          <w:tcPr>
            <w:tcW w:w="8340" w:type="dxa"/>
            <w:tcBorders>
              <w:top w:val="single" w:sz="4" w:space="0" w:color="00000A"/>
              <w:left w:val="single" w:sz="4" w:space="0" w:color="00000A"/>
              <w:bottom w:val="single" w:sz="4" w:space="0" w:color="00000A"/>
              <w:insideH w:val="single" w:sz="4" w:space="0" w:color="00000A"/>
              <w:right w:val="single" w:sz="4" w:space="0" w:color="00000A"/>
              <w:insideV w:val="single" w:sz="4" w:space="0" w:color="00000A"/>
            </w:tcBorders>
            <w:shd w:fill="FFFFFF" w:val="clear"/>
            <w:tcMar>
              <w:left w:w="93" w:type="dxa"/>
            </w:tcMar>
          </w:tcPr>
          <w:p>
            <w:pPr>
              <w:pStyle w:val="Normal"/>
              <w:tabs>
                <w:tab w:val="right" w:pos="8820" w:leader="none"/>
              </w:tabs>
              <w:jc w:val="both"/>
              <w:rPr>
                <w:b/>
              </w:rPr>
            </w:pPr>
            <w:r>
              <w:rPr>
                <w:b/>
              </w:rPr>
              <w:t>7. Výkaz ziskov a strát k 31.12.2014</w:t>
            </w:r>
          </w:p>
        </w:tc>
        <w:tc>
          <w:tcPr>
            <w:tcW w:w="941" w:type="dxa"/>
            <w:tcBorders>
              <w:top w:val="single" w:sz="4" w:space="0" w:color="00000A"/>
              <w:left w:val="single" w:sz="4" w:space="0" w:color="00000A"/>
              <w:bottom w:val="single" w:sz="4" w:space="0" w:color="00000A"/>
              <w:insideH w:val="single" w:sz="4" w:space="0" w:color="00000A"/>
              <w:right w:val="single" w:sz="4" w:space="0" w:color="00000A"/>
              <w:insideV w:val="single" w:sz="4" w:space="0" w:color="00000A"/>
            </w:tcBorders>
            <w:shd w:fill="FFFFFF" w:val="clear"/>
            <w:tcMar>
              <w:left w:w="93" w:type="dxa"/>
            </w:tcMar>
          </w:tcPr>
          <w:p>
            <w:pPr>
              <w:pStyle w:val="Normal"/>
              <w:tabs>
                <w:tab w:val="right" w:pos="8820" w:leader="none"/>
              </w:tabs>
              <w:jc w:val="center"/>
              <w:rPr>
                <w:b/>
              </w:rPr>
            </w:pPr>
            <w:r>
              <w:rPr>
                <w:b/>
              </w:rPr>
            </w:r>
          </w:p>
        </w:tc>
      </w:tr>
      <w:tr>
        <w:trPr>
          <w:cantSplit w:val="false"/>
        </w:trPr>
        <w:tc>
          <w:tcPr>
            <w:tcW w:w="8340" w:type="dxa"/>
            <w:tcBorders>
              <w:top w:val="single" w:sz="4" w:space="0" w:color="00000A"/>
              <w:left w:val="single" w:sz="4" w:space="0" w:color="00000A"/>
              <w:bottom w:val="single" w:sz="4" w:space="0" w:color="00000A"/>
              <w:insideH w:val="single" w:sz="4" w:space="0" w:color="00000A"/>
              <w:right w:val="single" w:sz="4" w:space="0" w:color="00000A"/>
              <w:insideV w:val="single" w:sz="4" w:space="0" w:color="00000A"/>
            </w:tcBorders>
            <w:shd w:fill="FFFFFF" w:val="clear"/>
            <w:tcMar>
              <w:left w:w="93" w:type="dxa"/>
            </w:tcMar>
          </w:tcPr>
          <w:p>
            <w:pPr>
              <w:pStyle w:val="Normal"/>
              <w:tabs>
                <w:tab w:val="right" w:pos="8820" w:leader="none"/>
              </w:tabs>
              <w:jc w:val="both"/>
              <w:rPr>
                <w:b/>
              </w:rPr>
            </w:pPr>
            <w:r>
              <w:rPr>
                <w:b/>
              </w:rPr>
              <w:t>8. Poznámky za rok 2014</w:t>
            </w:r>
          </w:p>
        </w:tc>
        <w:tc>
          <w:tcPr>
            <w:tcW w:w="941" w:type="dxa"/>
            <w:tcBorders>
              <w:top w:val="single" w:sz="4" w:space="0" w:color="00000A"/>
              <w:left w:val="single" w:sz="4" w:space="0" w:color="00000A"/>
              <w:bottom w:val="single" w:sz="4" w:space="0" w:color="00000A"/>
              <w:insideH w:val="single" w:sz="4" w:space="0" w:color="00000A"/>
              <w:right w:val="single" w:sz="4" w:space="0" w:color="00000A"/>
              <w:insideV w:val="single" w:sz="4" w:space="0" w:color="00000A"/>
            </w:tcBorders>
            <w:shd w:fill="FFFFFF" w:val="clear"/>
            <w:tcMar>
              <w:left w:w="93" w:type="dxa"/>
            </w:tcMar>
          </w:tcPr>
          <w:p>
            <w:pPr>
              <w:pStyle w:val="Normal"/>
              <w:tabs>
                <w:tab w:val="right" w:pos="8820" w:leader="none"/>
              </w:tabs>
              <w:jc w:val="center"/>
              <w:rPr>
                <w:b/>
              </w:rPr>
            </w:pPr>
            <w:r>
              <w:rPr>
                <w:b/>
              </w:rPr>
            </w:r>
          </w:p>
        </w:tc>
      </w:tr>
      <w:tr>
        <w:trPr>
          <w:cantSplit w:val="false"/>
        </w:trPr>
        <w:tc>
          <w:tcPr>
            <w:tcW w:w="8340" w:type="dxa"/>
            <w:tcBorders>
              <w:top w:val="single" w:sz="4" w:space="0" w:color="00000A"/>
              <w:left w:val="single" w:sz="4" w:space="0" w:color="00000A"/>
              <w:bottom w:val="single" w:sz="4" w:space="0" w:color="00000A"/>
              <w:insideH w:val="single" w:sz="4" w:space="0" w:color="00000A"/>
              <w:right w:val="single" w:sz="4" w:space="0" w:color="00000A"/>
              <w:insideV w:val="single" w:sz="4" w:space="0" w:color="00000A"/>
            </w:tcBorders>
            <w:shd w:fill="FFFFFF" w:val="clear"/>
            <w:tcMar>
              <w:left w:w="93" w:type="dxa"/>
            </w:tcMar>
          </w:tcPr>
          <w:p>
            <w:pPr>
              <w:pStyle w:val="Normal"/>
              <w:tabs>
                <w:tab w:val="right" w:pos="8820" w:leader="none"/>
              </w:tabs>
              <w:jc w:val="both"/>
              <w:rPr>
                <w:b/>
              </w:rPr>
            </w:pPr>
            <w:r>
              <w:rPr>
                <w:b/>
              </w:rPr>
              <w:t>9. Správa nezávislého audítora</w:t>
            </w:r>
          </w:p>
        </w:tc>
        <w:tc>
          <w:tcPr>
            <w:tcW w:w="941" w:type="dxa"/>
            <w:tcBorders>
              <w:top w:val="single" w:sz="4" w:space="0" w:color="00000A"/>
              <w:left w:val="single" w:sz="4" w:space="0" w:color="00000A"/>
              <w:bottom w:val="single" w:sz="4" w:space="0" w:color="00000A"/>
              <w:insideH w:val="single" w:sz="4" w:space="0" w:color="00000A"/>
              <w:right w:val="single" w:sz="4" w:space="0" w:color="00000A"/>
              <w:insideV w:val="single" w:sz="4" w:space="0" w:color="00000A"/>
            </w:tcBorders>
            <w:shd w:fill="FFFFFF" w:val="clear"/>
            <w:tcMar>
              <w:left w:w="93" w:type="dxa"/>
            </w:tcMar>
          </w:tcPr>
          <w:p>
            <w:pPr>
              <w:pStyle w:val="Normal"/>
              <w:tabs>
                <w:tab w:val="right" w:pos="8820" w:leader="none"/>
              </w:tabs>
              <w:jc w:val="center"/>
              <w:rPr>
                <w:b/>
              </w:rPr>
            </w:pPr>
            <w:r>
              <w:rPr>
                <w:b/>
              </w:rPr>
            </w:r>
          </w:p>
        </w:tc>
      </w:tr>
    </w:tbl>
    <w:p>
      <w:pPr>
        <w:pStyle w:val="Normal"/>
        <w:tabs>
          <w:tab w:val="right" w:pos="8820" w:leader="none"/>
        </w:tabs>
        <w:jc w:val="both"/>
        <w:rPr/>
      </w:pPr>
      <w:r>
        <w:rPr/>
      </w:r>
    </w:p>
    <w:p>
      <w:pPr>
        <w:pStyle w:val="Normal"/>
        <w:tabs>
          <w:tab w:val="right" w:pos="8820" w:leader="none"/>
        </w:tabs>
        <w:jc w:val="both"/>
        <w:rPr/>
      </w:pPr>
      <w:r>
        <w:rPr/>
      </w:r>
    </w:p>
    <w:p>
      <w:pPr>
        <w:pStyle w:val="Normal"/>
        <w:tabs>
          <w:tab w:val="right" w:pos="8820" w:leader="none"/>
        </w:tabs>
        <w:jc w:val="both"/>
        <w:rPr/>
      </w:pPr>
      <w:r>
        <w:rPr/>
      </w:r>
    </w:p>
    <w:p>
      <w:pPr>
        <w:pStyle w:val="Normal"/>
        <w:tabs>
          <w:tab w:val="right" w:pos="8820" w:leader="none"/>
        </w:tabs>
        <w:jc w:val="both"/>
        <w:rPr/>
      </w:pPr>
      <w:r>
        <w:rPr/>
      </w:r>
    </w:p>
    <w:p>
      <w:pPr>
        <w:pStyle w:val="Normal"/>
        <w:tabs>
          <w:tab w:val="right" w:pos="8820" w:leader="none"/>
        </w:tabs>
        <w:jc w:val="both"/>
        <w:rPr/>
      </w:pPr>
      <w:r>
        <w:rPr/>
      </w:r>
    </w:p>
    <w:p>
      <w:pPr>
        <w:pStyle w:val="Nadpis1"/>
        <w:rPr/>
      </w:pPr>
      <w:r>
        <w:rPr/>
        <w:t>Obec Horná Kráľová</w:t>
      </w:r>
    </w:p>
    <w:p>
      <w:pPr>
        <w:pStyle w:val="Normal"/>
        <w:rPr>
          <w:lang w:eastAsia="cs-CZ"/>
        </w:rPr>
      </w:pPr>
      <w:r>
        <w:rPr>
          <w:lang w:eastAsia="cs-CZ"/>
        </w:rPr>
      </w:r>
    </w:p>
    <w:p>
      <w:pPr>
        <w:pStyle w:val="Normal"/>
        <w:rPr>
          <w:rStyle w:val="Printhtml"/>
          <w:b/>
          <w:sz w:val="28"/>
          <w:szCs w:val="28"/>
        </w:rPr>
      </w:pPr>
      <w:hyperlink r:id="rId2">
        <w:r>
          <w:rPr>
            <w:rStyle w:val="Printhtml"/>
            <w:b/>
            <w:sz w:val="28"/>
            <w:szCs w:val="28"/>
          </w:rPr>
          <w:t>1.1 Geografické údaje</w:t>
        </w:r>
      </w:hyperlink>
    </w:p>
    <w:p>
      <w:pPr>
        <w:pStyle w:val="Nadpis3"/>
        <w:rPr/>
      </w:pPr>
      <w:r>
        <w:rPr/>
        <w:t>Základné údaje</w:t>
      </w:r>
    </w:p>
    <w:p>
      <w:pPr>
        <w:pStyle w:val="NormalWeb"/>
        <w:rPr/>
      </w:pPr>
      <w:r>
        <w:rPr/>
        <w:t>Kraj: Nitriansky</w:t>
        <w:br/>
        <w:t>Okres: Šaľa</w:t>
        <w:br/>
        <w:t>Rozloha: 1912ha</w:t>
      </w:r>
    </w:p>
    <w:p>
      <w:pPr>
        <w:pStyle w:val="NormalWeb"/>
        <w:rPr/>
      </w:pPr>
      <w:r>
        <w:rPr/>
        <w:t>Obyvateľov:  1 919   k   31.12.2014</w:t>
      </w:r>
    </w:p>
    <w:p>
      <w:pPr>
        <w:pStyle w:val="Normal"/>
        <w:rPr/>
      </w:pPr>
      <w:r>
        <w:rPr/>
        <w:t>Prvý zápis mena Obce Kráľová je datovaný v druhej Zoborskej listine z r. 1113 z doby kráľa Kolomana.</w:t>
      </w:r>
    </w:p>
    <w:p>
      <w:pPr>
        <w:pStyle w:val="Normal"/>
        <w:jc w:val="both"/>
        <w:rPr/>
      </w:pPr>
      <w:r>
        <w:rPr/>
        <w:t>Horná Kráľová leží v Podunajskej nížine na juhozápadnom okraji Nitrianskej pahorkatiny,     v dolinke Dlhého kanála. Juhozápadná rovinná časť chotára je na terasách pokrytých sprašou a viatymi pieskami, severovýchodná časť leží na pahorkatine z pontských uloženín pokrytých sprašami. Má lužné a černozemné pôdy. Nadmorská výška 145 - stred obce, 142-200 m n. m. v chotári. V západnej časti katastra na rozhraní k. ú. Hájske a Horná Kráľová sa nachádza Slanisko „Bačove slaniská- SKUEV 0080“ so slanomilnou vegetáciou.</w:t>
        <w:drawing>
          <wp:anchor behindDoc="0" distT="0" distB="0" distL="114300" distR="114300" simplePos="0" locked="0" layoutInCell="1" allowOverlap="1" relativeHeight="0">
            <wp:simplePos x="0" y="0"/>
            <wp:positionH relativeFrom="column">
              <wp:posOffset>3145790</wp:posOffset>
            </wp:positionH>
            <wp:positionV relativeFrom="paragraph">
              <wp:posOffset>617220</wp:posOffset>
            </wp:positionV>
            <wp:extent cx="2647950" cy="2866390"/>
            <wp:effectExtent l="0" t="0" r="0" b="0"/>
            <wp:wrapSquare wrapText="bothSides"/>
            <wp:docPr id="0" name="Picture" descr="11042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descr="110427-1"/>
                    <pic:cNvPicPr>
                      <a:picLocks noChangeAspect="1" noChangeArrowheads="1"/>
                    </pic:cNvPicPr>
                  </pic:nvPicPr>
                  <pic:blipFill>
                    <a:blip r:embed="rId3"/>
                    <a:stretch>
                      <a:fillRect/>
                    </a:stretch>
                  </pic:blipFill>
                  <pic:spPr bwMode="auto">
                    <a:xfrm>
                      <a:off x="0" y="0"/>
                      <a:ext cx="2647950" cy="2866390"/>
                    </a:xfrm>
                    <a:prstGeom prst="rect">
                      <a:avLst/>
                    </a:prstGeom>
                    <a:noFill/>
                    <a:ln w="9525">
                      <a:noFill/>
                      <a:miter lim="800000"/>
                      <a:headEnd/>
                      <a:tailEnd/>
                    </a:ln>
                  </pic:spPr>
                </pic:pic>
              </a:graphicData>
            </a:graphic>
          </wp:anchor>
        </w:drawing>
      </w:r>
    </w:p>
    <w:p>
      <w:pPr>
        <w:pStyle w:val="Normal"/>
        <w:rPr/>
      </w:pPr>
      <w:r>
        <w:rPr/>
      </w:r>
    </w:p>
    <w:p>
      <w:pPr>
        <w:pStyle w:val="Normal"/>
        <w:jc w:val="both"/>
        <w:rPr/>
      </w:pPr>
      <w:r>
        <w:rPr/>
        <w:t>Obec od stredoveku administratívne patrila do Nitrianskeho hradného panstva, do Nitrianskej stolice - župy, ale aj do Nitrianskeho okresu. Pri reorganizácii okresov pričlenili Kráľovú v roku 1882 do okresu Trnovec (Tornok) a v r. 1922 do šaľského okresu. V rokoch 1939-1945 v čase Slovenského štátu patrila opäť do Nitrianskeho okresu, v rokoch 1945-1960 znova do okresu Šaľa, v rokoch 1960-1996 do okresu Nitra a napokon od roku 1996 do okresu Šaľa.</w:t>
      </w:r>
    </w:p>
    <w:p>
      <w:pPr>
        <w:pStyle w:val="NormalWeb"/>
        <w:jc w:val="center"/>
        <w:rPr/>
      </w:pPr>
      <w:r>
        <w:rPr/>
      </w:r>
    </w:p>
    <w:p>
      <w:pPr>
        <w:pStyle w:val="Normal"/>
        <w:rPr>
          <w:rFonts w:ascii="Cambria" w:hAnsi="Cambria"/>
          <w:b/>
          <w:bCs/>
          <w:sz w:val="26"/>
          <w:szCs w:val="26"/>
        </w:rPr>
      </w:pPr>
      <w:r>
        <w:rPr>
          <w:rFonts w:ascii="Cambria" w:hAnsi="Cambria"/>
          <w:b/>
          <w:bCs/>
          <w:sz w:val="26"/>
          <w:szCs w:val="26"/>
        </w:rPr>
        <w:t>Rekreačné územie</w:t>
      </w:r>
    </w:p>
    <w:p>
      <w:pPr>
        <w:pStyle w:val="Normal"/>
        <w:rPr>
          <w:rFonts w:cs="Arial" w:ascii="Arial" w:hAnsi="Arial"/>
          <w:b/>
          <w:bCs/>
          <w:sz w:val="22"/>
          <w:szCs w:val="22"/>
        </w:rPr>
      </w:pPr>
      <w:r>
        <w:rPr>
          <w:rFonts w:cs="Arial" w:ascii="Arial" w:hAnsi="Arial"/>
          <w:b/>
          <w:bCs/>
          <w:sz w:val="22"/>
          <w:szCs w:val="22"/>
        </w:rPr>
      </w:r>
    </w:p>
    <w:p>
      <w:pPr>
        <w:pStyle w:val="Normal"/>
        <w:jc w:val="both"/>
        <w:rPr/>
      </w:pPr>
      <w:r>
        <w:rPr/>
        <w:t>Obec Horná Kráľová t.č. nemá charakter rekreačnej obce. Jedná sa o obec, ktorá sa nachádza v blízkosti centra osídlenia, ležiaca v úvaline potoka Dlhý kanál, obec ležiaca na ceste III.tr. s prevažujúcou priebežnou dopravou. Čiastočne pahorkatinný ráz k.ú. obce má poľnohospodársky charakter. Vinice sa nachádzajú na východnom okraji k.ú. obce, bez možnosti rekreačného využitia. Športový areál sa nachádza v náväznosti na centrálnu časť obce. Tesne za hranicou k.ú. sa nachádza vodná nádrž Jarok.</w:t>
      </w:r>
    </w:p>
    <w:p>
      <w:pPr>
        <w:pStyle w:val="Normal"/>
        <w:jc w:val="both"/>
        <w:rPr/>
      </w:pPr>
      <w:r>
        <w:rPr/>
        <w:t>Uvedené geografické danosti dávajú predpoklady pre uplatnenie najmä nasledovných foriem rekreácie:</w:t>
      </w:r>
    </w:p>
    <w:p>
      <w:pPr>
        <w:pStyle w:val="Normal"/>
        <w:jc w:val="both"/>
        <w:rPr/>
      </w:pPr>
      <w:r>
        <w:rPr/>
        <w:t>- pobyt pri vode – umožňujú vodné plochy v Jarku.</w:t>
      </w:r>
    </w:p>
    <w:p>
      <w:pPr>
        <w:pStyle w:val="Normal"/>
        <w:jc w:val="both"/>
        <w:rPr/>
      </w:pPr>
      <w:r>
        <w:rPr/>
        <w:t>- pobyt v lesíkoch a horách – v k.ú obce nie sú vytvorené žiadne možnosti,</w:t>
      </w:r>
    </w:p>
    <w:p>
      <w:pPr>
        <w:pStyle w:val="Normal"/>
        <w:jc w:val="both"/>
        <w:rPr/>
      </w:pPr>
      <w:r>
        <w:rPr/>
        <w:t>- cykloturistika má t.č. v samotnej obci len čiastočné miestne uplatnenie vzhľadom na malú segregáciu dopravných trás.</w:t>
      </w:r>
    </w:p>
    <w:p>
      <w:pPr>
        <w:pStyle w:val="Normal"/>
        <w:jc w:val="both"/>
        <w:rPr/>
      </w:pPr>
      <w:r>
        <w:rPr/>
        <w:t>- špecifické formy cestovného ruchu - v k.ú obce nie sú vytvorené žiadne možnosti,</w:t>
      </w:r>
    </w:p>
    <w:p>
      <w:pPr>
        <w:pStyle w:val="Normal"/>
        <w:jc w:val="both"/>
        <w:rPr/>
      </w:pPr>
      <w:r>
        <w:rPr/>
        <w:t>- vidiecky turizmus – nemá v obci tradíciu. Predpoklady pre zapojenie do procesu turizmu     v obci môžu mať aktivity: Vinohradníctvo, renesancia remesiel, kultúrnych a národopisných aktivít.</w:t>
      </w:r>
    </w:p>
    <w:p>
      <w:pPr>
        <w:pStyle w:val="Normal"/>
        <w:jc w:val="both"/>
        <w:rPr/>
      </w:pPr>
      <w:r>
        <w:rPr/>
        <w:t>- tranzitný turizmus - zapojenie do tohto systému umožňuje prítomnosť cesty III.tr., ktorá tvorí prepojenie na celoštátnu komunikačnú sieť.</w:t>
      </w:r>
    </w:p>
    <w:p>
      <w:pPr>
        <w:pStyle w:val="Normal"/>
        <w:jc w:val="both"/>
        <w:rPr/>
      </w:pPr>
      <w:r>
        <w:rPr/>
        <w:t>- poznávací turizmus - vysoký stupeň národného cítenia a vzťah k miestnym kultúrno-historickým hodnotám umožňuje zhodnotenie a prezentáciu týchto daností na regionálnej úrovni.</w:t>
      </w:r>
    </w:p>
    <w:tbl>
      <w:tblPr>
        <w:tblW w:w="9070" w:type="dxa"/>
        <w:jc w:val="left"/>
        <w:tblInd w:w="55" w:type="dxa"/>
        <w:tblBorders>
          <w:top w:val="single" w:sz="2" w:space="0" w:color="000000"/>
          <w:left w:val="single" w:sz="2" w:space="0" w:color="000000"/>
          <w:bottom w:val="single" w:sz="2" w:space="0" w:color="000000"/>
          <w:insideH w:val="single" w:sz="2" w:space="0" w:color="000000"/>
          <w:right w:val="nil"/>
          <w:insideV w:val="nil"/>
        </w:tblBorders>
        <w:tblCellMar>
          <w:top w:w="55" w:type="dxa"/>
          <w:left w:w="54" w:type="dxa"/>
          <w:bottom w:w="55" w:type="dxa"/>
          <w:right w:w="55" w:type="dxa"/>
        </w:tblCellMar>
      </w:tblPr>
      <w:tblGrid>
        <w:gridCol w:w="4535"/>
        <w:gridCol w:w="4535"/>
      </w:tblGrid>
      <w:tr>
        <w:trPr>
          <w:cantSplit w:val="false"/>
        </w:trPr>
        <w:tc>
          <w:tcPr>
            <w:tcW w:w="4535" w:type="dxa"/>
            <w:tcBorders>
              <w:top w:val="single" w:sz="2" w:space="0" w:color="000000"/>
              <w:left w:val="single" w:sz="2" w:space="0" w:color="000000"/>
              <w:bottom w:val="single" w:sz="2" w:space="0" w:color="000000"/>
              <w:insideH w:val="single" w:sz="2" w:space="0" w:color="000000"/>
              <w:right w:val="nil"/>
              <w:insideV w:val="nil"/>
            </w:tcBorders>
            <w:shd w:fill="auto" w:val="clear"/>
            <w:tcMar>
              <w:left w:w="54" w:type="dxa"/>
            </w:tcMar>
          </w:tcPr>
          <w:p>
            <w:pPr>
              <w:pStyle w:val="Obsahtabuky"/>
              <w:rPr>
                <w:b/>
                <w:bCs/>
              </w:rPr>
            </w:pPr>
            <w:r>
              <w:rPr>
                <w:b/>
                <w:bCs/>
              </w:rPr>
              <w:t>Druh pozemku</w:t>
            </w:r>
          </w:p>
        </w:tc>
        <w:tc>
          <w:tcPr>
            <w:tcW w:w="4535" w:type="dxa"/>
            <w:tcBorders>
              <w:top w:val="single" w:sz="2" w:space="0" w:color="000000"/>
              <w:left w:val="single" w:sz="2" w:space="0" w:color="000000"/>
              <w:bottom w:val="single" w:sz="2" w:space="0" w:color="000000"/>
              <w:insideH w:val="single" w:sz="2" w:space="0" w:color="000000"/>
              <w:right w:val="single" w:sz="2" w:space="0" w:color="000000"/>
              <w:insideV w:val="single" w:sz="2" w:space="0" w:color="000000"/>
            </w:tcBorders>
            <w:shd w:fill="auto" w:val="clear"/>
            <w:tcMar>
              <w:left w:w="54" w:type="dxa"/>
            </w:tcMar>
          </w:tcPr>
          <w:p>
            <w:pPr>
              <w:pStyle w:val="Obsahtabuky"/>
              <w:rPr>
                <w:b/>
                <w:bCs/>
              </w:rPr>
            </w:pPr>
            <w:r>
              <w:rPr>
                <w:b/>
                <w:bCs/>
              </w:rPr>
              <w:t>Celková výmera v ha</w:t>
            </w:r>
          </w:p>
        </w:tc>
      </w:tr>
      <w:tr>
        <w:trPr>
          <w:cantSplit w:val="false"/>
        </w:trPr>
        <w:tc>
          <w:tcPr>
            <w:tcW w:w="4535" w:type="dxa"/>
            <w:tcBorders>
              <w:top w:val="nil"/>
              <w:left w:val="single" w:sz="2" w:space="0" w:color="000000"/>
              <w:bottom w:val="single" w:sz="2" w:space="0" w:color="000000"/>
              <w:insideH w:val="single" w:sz="2" w:space="0" w:color="000000"/>
              <w:right w:val="nil"/>
              <w:insideV w:val="nil"/>
            </w:tcBorders>
            <w:shd w:fill="auto" w:val="clear"/>
            <w:tcMar>
              <w:left w:w="54" w:type="dxa"/>
            </w:tcMar>
          </w:tcPr>
          <w:p>
            <w:pPr>
              <w:pStyle w:val="Obsahtabuky"/>
              <w:rPr/>
            </w:pPr>
            <w:r>
              <w:rPr/>
              <w:t>Orná pôda</w:t>
            </w:r>
          </w:p>
        </w:tc>
        <w:tc>
          <w:tcPr>
            <w:tcW w:w="4535" w:type="dxa"/>
            <w:tcBorders>
              <w:top w:val="nil"/>
              <w:left w:val="single" w:sz="2" w:space="0" w:color="000000"/>
              <w:bottom w:val="single" w:sz="2" w:space="0" w:color="000000"/>
              <w:insideH w:val="single" w:sz="2" w:space="0" w:color="000000"/>
              <w:right w:val="single" w:sz="2" w:space="0" w:color="000000"/>
              <w:insideV w:val="single" w:sz="2" w:space="0" w:color="000000"/>
            </w:tcBorders>
            <w:shd w:fill="auto" w:val="clear"/>
            <w:tcMar>
              <w:left w:w="54" w:type="dxa"/>
            </w:tcMar>
          </w:tcPr>
          <w:p>
            <w:pPr>
              <w:pStyle w:val="Obsahtabuky"/>
              <w:jc w:val="right"/>
              <w:rPr/>
            </w:pPr>
            <w:r>
              <w:rPr/>
              <w:t>1551,93</w:t>
            </w:r>
          </w:p>
        </w:tc>
      </w:tr>
      <w:tr>
        <w:trPr>
          <w:cantSplit w:val="false"/>
        </w:trPr>
        <w:tc>
          <w:tcPr>
            <w:tcW w:w="4535" w:type="dxa"/>
            <w:tcBorders>
              <w:top w:val="nil"/>
              <w:left w:val="single" w:sz="2" w:space="0" w:color="000000"/>
              <w:bottom w:val="single" w:sz="2" w:space="0" w:color="000000"/>
              <w:insideH w:val="single" w:sz="2" w:space="0" w:color="000000"/>
              <w:right w:val="nil"/>
              <w:insideV w:val="nil"/>
            </w:tcBorders>
            <w:shd w:fill="auto" w:val="clear"/>
            <w:tcMar>
              <w:left w:w="54" w:type="dxa"/>
            </w:tcMar>
          </w:tcPr>
          <w:p>
            <w:pPr>
              <w:pStyle w:val="Obsahtabuky"/>
              <w:rPr/>
            </w:pPr>
            <w:r>
              <w:rPr/>
              <w:t>Vinice</w:t>
            </w:r>
          </w:p>
        </w:tc>
        <w:tc>
          <w:tcPr>
            <w:tcW w:w="4535" w:type="dxa"/>
            <w:tcBorders>
              <w:top w:val="nil"/>
              <w:left w:val="single" w:sz="2" w:space="0" w:color="000000"/>
              <w:bottom w:val="single" w:sz="2" w:space="0" w:color="000000"/>
              <w:insideH w:val="single" w:sz="2" w:space="0" w:color="000000"/>
              <w:right w:val="single" w:sz="2" w:space="0" w:color="000000"/>
              <w:insideV w:val="single" w:sz="2" w:space="0" w:color="000000"/>
            </w:tcBorders>
            <w:shd w:fill="auto" w:val="clear"/>
            <w:tcMar>
              <w:left w:w="54" w:type="dxa"/>
            </w:tcMar>
          </w:tcPr>
          <w:p>
            <w:pPr>
              <w:pStyle w:val="Obsahtabuky"/>
              <w:jc w:val="right"/>
              <w:rPr/>
            </w:pPr>
            <w:r>
              <w:rPr/>
              <w:t>16,20</w:t>
            </w:r>
          </w:p>
        </w:tc>
      </w:tr>
      <w:tr>
        <w:trPr>
          <w:cantSplit w:val="false"/>
        </w:trPr>
        <w:tc>
          <w:tcPr>
            <w:tcW w:w="4535" w:type="dxa"/>
            <w:tcBorders>
              <w:top w:val="nil"/>
              <w:left w:val="single" w:sz="2" w:space="0" w:color="000000"/>
              <w:bottom w:val="single" w:sz="2" w:space="0" w:color="000000"/>
              <w:insideH w:val="single" w:sz="2" w:space="0" w:color="000000"/>
              <w:right w:val="nil"/>
              <w:insideV w:val="nil"/>
            </w:tcBorders>
            <w:shd w:fill="auto" w:val="clear"/>
            <w:tcMar>
              <w:left w:w="54" w:type="dxa"/>
            </w:tcMar>
          </w:tcPr>
          <w:p>
            <w:pPr>
              <w:pStyle w:val="Obsahtabuky"/>
              <w:rPr/>
            </w:pPr>
            <w:r>
              <w:rPr/>
              <w:t>Záhrady</w:t>
            </w:r>
          </w:p>
        </w:tc>
        <w:tc>
          <w:tcPr>
            <w:tcW w:w="4535" w:type="dxa"/>
            <w:tcBorders>
              <w:top w:val="nil"/>
              <w:left w:val="single" w:sz="2" w:space="0" w:color="000000"/>
              <w:bottom w:val="single" w:sz="2" w:space="0" w:color="000000"/>
              <w:insideH w:val="single" w:sz="2" w:space="0" w:color="000000"/>
              <w:right w:val="single" w:sz="2" w:space="0" w:color="000000"/>
              <w:insideV w:val="single" w:sz="2" w:space="0" w:color="000000"/>
            </w:tcBorders>
            <w:shd w:fill="auto" w:val="clear"/>
            <w:tcMar>
              <w:left w:w="54" w:type="dxa"/>
            </w:tcMar>
          </w:tcPr>
          <w:p>
            <w:pPr>
              <w:pStyle w:val="Obsahtabuky"/>
              <w:jc w:val="right"/>
              <w:rPr/>
            </w:pPr>
            <w:r>
              <w:rPr/>
              <w:t>42,91</w:t>
            </w:r>
          </w:p>
        </w:tc>
      </w:tr>
      <w:tr>
        <w:trPr>
          <w:cantSplit w:val="false"/>
        </w:trPr>
        <w:tc>
          <w:tcPr>
            <w:tcW w:w="4535" w:type="dxa"/>
            <w:tcBorders>
              <w:top w:val="nil"/>
              <w:left w:val="single" w:sz="2" w:space="0" w:color="000000"/>
              <w:bottom w:val="single" w:sz="2" w:space="0" w:color="000000"/>
              <w:insideH w:val="single" w:sz="2" w:space="0" w:color="000000"/>
              <w:right w:val="nil"/>
              <w:insideV w:val="nil"/>
            </w:tcBorders>
            <w:shd w:fill="auto" w:val="clear"/>
            <w:tcMar>
              <w:left w:w="54" w:type="dxa"/>
            </w:tcMar>
          </w:tcPr>
          <w:p>
            <w:pPr>
              <w:pStyle w:val="Obsahtabuky"/>
              <w:rPr/>
            </w:pPr>
            <w:r>
              <w:rPr/>
              <w:t>Ovocné sady</w:t>
            </w:r>
          </w:p>
        </w:tc>
        <w:tc>
          <w:tcPr>
            <w:tcW w:w="4535" w:type="dxa"/>
            <w:tcBorders>
              <w:top w:val="nil"/>
              <w:left w:val="single" w:sz="2" w:space="0" w:color="000000"/>
              <w:bottom w:val="single" w:sz="2" w:space="0" w:color="000000"/>
              <w:insideH w:val="single" w:sz="2" w:space="0" w:color="000000"/>
              <w:right w:val="single" w:sz="2" w:space="0" w:color="000000"/>
              <w:insideV w:val="single" w:sz="2" w:space="0" w:color="000000"/>
            </w:tcBorders>
            <w:shd w:fill="auto" w:val="clear"/>
            <w:tcMar>
              <w:left w:w="54" w:type="dxa"/>
            </w:tcMar>
          </w:tcPr>
          <w:p>
            <w:pPr>
              <w:pStyle w:val="Obsahtabuky"/>
              <w:jc w:val="right"/>
              <w:rPr/>
            </w:pPr>
            <w:r>
              <w:rPr/>
              <w:t>0,17</w:t>
            </w:r>
          </w:p>
        </w:tc>
      </w:tr>
      <w:tr>
        <w:trPr>
          <w:cantSplit w:val="false"/>
        </w:trPr>
        <w:tc>
          <w:tcPr>
            <w:tcW w:w="4535" w:type="dxa"/>
            <w:tcBorders>
              <w:top w:val="nil"/>
              <w:left w:val="single" w:sz="2" w:space="0" w:color="000000"/>
              <w:bottom w:val="single" w:sz="2" w:space="0" w:color="000000"/>
              <w:insideH w:val="single" w:sz="2" w:space="0" w:color="000000"/>
              <w:right w:val="nil"/>
              <w:insideV w:val="nil"/>
            </w:tcBorders>
            <w:shd w:fill="auto" w:val="clear"/>
            <w:tcMar>
              <w:left w:w="54" w:type="dxa"/>
            </w:tcMar>
          </w:tcPr>
          <w:p>
            <w:pPr>
              <w:pStyle w:val="Obsahtabuky"/>
              <w:rPr/>
            </w:pPr>
            <w:r>
              <w:rPr/>
              <w:t>Trvalé trávnaté porasty</w:t>
            </w:r>
          </w:p>
        </w:tc>
        <w:tc>
          <w:tcPr>
            <w:tcW w:w="4535" w:type="dxa"/>
            <w:tcBorders>
              <w:top w:val="nil"/>
              <w:left w:val="single" w:sz="2" w:space="0" w:color="000000"/>
              <w:bottom w:val="single" w:sz="2" w:space="0" w:color="000000"/>
              <w:insideH w:val="single" w:sz="2" w:space="0" w:color="000000"/>
              <w:right w:val="single" w:sz="2" w:space="0" w:color="000000"/>
              <w:insideV w:val="single" w:sz="2" w:space="0" w:color="000000"/>
            </w:tcBorders>
            <w:shd w:fill="auto" w:val="clear"/>
            <w:tcMar>
              <w:left w:w="54" w:type="dxa"/>
            </w:tcMar>
          </w:tcPr>
          <w:p>
            <w:pPr>
              <w:pStyle w:val="Obsahtabuky"/>
              <w:jc w:val="right"/>
              <w:rPr/>
            </w:pPr>
            <w:r>
              <w:rPr/>
              <w:t>106,84</w:t>
            </w:r>
          </w:p>
        </w:tc>
      </w:tr>
      <w:tr>
        <w:trPr>
          <w:cantSplit w:val="false"/>
        </w:trPr>
        <w:tc>
          <w:tcPr>
            <w:tcW w:w="4535" w:type="dxa"/>
            <w:tcBorders>
              <w:top w:val="nil"/>
              <w:left w:val="single" w:sz="2" w:space="0" w:color="000000"/>
              <w:bottom w:val="single" w:sz="2" w:space="0" w:color="000000"/>
              <w:insideH w:val="single" w:sz="2" w:space="0" w:color="000000"/>
              <w:right w:val="nil"/>
              <w:insideV w:val="nil"/>
            </w:tcBorders>
            <w:shd w:fill="auto" w:val="clear"/>
            <w:tcMar>
              <w:left w:w="54" w:type="dxa"/>
            </w:tcMar>
          </w:tcPr>
          <w:p>
            <w:pPr>
              <w:pStyle w:val="Obsahtabuky"/>
              <w:rPr/>
            </w:pPr>
            <w:r>
              <w:rPr/>
              <w:t>Lesné pozemky</w:t>
            </w:r>
          </w:p>
        </w:tc>
        <w:tc>
          <w:tcPr>
            <w:tcW w:w="4535" w:type="dxa"/>
            <w:tcBorders>
              <w:top w:val="nil"/>
              <w:left w:val="single" w:sz="2" w:space="0" w:color="000000"/>
              <w:bottom w:val="single" w:sz="2" w:space="0" w:color="000000"/>
              <w:insideH w:val="single" w:sz="2" w:space="0" w:color="000000"/>
              <w:right w:val="single" w:sz="2" w:space="0" w:color="000000"/>
              <w:insideV w:val="single" w:sz="2" w:space="0" w:color="000000"/>
            </w:tcBorders>
            <w:shd w:fill="auto" w:val="clear"/>
            <w:tcMar>
              <w:left w:w="54" w:type="dxa"/>
            </w:tcMar>
          </w:tcPr>
          <w:p>
            <w:pPr>
              <w:pStyle w:val="Obsahtabuky"/>
              <w:jc w:val="right"/>
              <w:rPr/>
            </w:pPr>
            <w:r>
              <w:rPr/>
              <w:t>77,97</w:t>
            </w:r>
          </w:p>
        </w:tc>
      </w:tr>
      <w:tr>
        <w:trPr>
          <w:cantSplit w:val="false"/>
        </w:trPr>
        <w:tc>
          <w:tcPr>
            <w:tcW w:w="4535" w:type="dxa"/>
            <w:tcBorders>
              <w:top w:val="nil"/>
              <w:left w:val="single" w:sz="2" w:space="0" w:color="000000"/>
              <w:bottom w:val="single" w:sz="2" w:space="0" w:color="000000"/>
              <w:insideH w:val="single" w:sz="2" w:space="0" w:color="000000"/>
              <w:right w:val="nil"/>
              <w:insideV w:val="nil"/>
            </w:tcBorders>
            <w:shd w:fill="auto" w:val="clear"/>
            <w:tcMar>
              <w:left w:w="54" w:type="dxa"/>
            </w:tcMar>
          </w:tcPr>
          <w:p>
            <w:pPr>
              <w:pStyle w:val="Obsahtabuky"/>
              <w:rPr/>
            </w:pPr>
            <w:r>
              <w:rPr/>
              <w:t>Vodné plochy</w:t>
            </w:r>
          </w:p>
        </w:tc>
        <w:tc>
          <w:tcPr>
            <w:tcW w:w="4535" w:type="dxa"/>
            <w:tcBorders>
              <w:top w:val="nil"/>
              <w:left w:val="single" w:sz="2" w:space="0" w:color="000000"/>
              <w:bottom w:val="single" w:sz="2" w:space="0" w:color="000000"/>
              <w:insideH w:val="single" w:sz="2" w:space="0" w:color="000000"/>
              <w:right w:val="single" w:sz="2" w:space="0" w:color="000000"/>
              <w:insideV w:val="single" w:sz="2" w:space="0" w:color="000000"/>
            </w:tcBorders>
            <w:shd w:fill="auto" w:val="clear"/>
            <w:tcMar>
              <w:left w:w="54" w:type="dxa"/>
            </w:tcMar>
          </w:tcPr>
          <w:p>
            <w:pPr>
              <w:pStyle w:val="Obsahtabuky"/>
              <w:jc w:val="right"/>
              <w:rPr/>
            </w:pPr>
            <w:r>
              <w:rPr/>
              <w:t>20,33</w:t>
            </w:r>
          </w:p>
        </w:tc>
      </w:tr>
      <w:tr>
        <w:trPr>
          <w:cantSplit w:val="false"/>
        </w:trPr>
        <w:tc>
          <w:tcPr>
            <w:tcW w:w="4535" w:type="dxa"/>
            <w:tcBorders>
              <w:top w:val="nil"/>
              <w:left w:val="single" w:sz="2" w:space="0" w:color="000000"/>
              <w:bottom w:val="single" w:sz="2" w:space="0" w:color="000000"/>
              <w:insideH w:val="single" w:sz="2" w:space="0" w:color="000000"/>
              <w:right w:val="nil"/>
              <w:insideV w:val="nil"/>
            </w:tcBorders>
            <w:shd w:fill="auto" w:val="clear"/>
            <w:tcMar>
              <w:left w:w="54" w:type="dxa"/>
            </w:tcMar>
          </w:tcPr>
          <w:p>
            <w:pPr>
              <w:pStyle w:val="Obsahtabuky"/>
              <w:rPr/>
            </w:pPr>
            <w:r>
              <w:rPr/>
              <w:t>Zastavané plochy a nádvoria</w:t>
            </w:r>
          </w:p>
        </w:tc>
        <w:tc>
          <w:tcPr>
            <w:tcW w:w="4535" w:type="dxa"/>
            <w:tcBorders>
              <w:top w:val="nil"/>
              <w:left w:val="single" w:sz="2" w:space="0" w:color="000000"/>
              <w:bottom w:val="single" w:sz="2" w:space="0" w:color="000000"/>
              <w:insideH w:val="single" w:sz="2" w:space="0" w:color="000000"/>
              <w:right w:val="single" w:sz="2" w:space="0" w:color="000000"/>
              <w:insideV w:val="single" w:sz="2" w:space="0" w:color="000000"/>
            </w:tcBorders>
            <w:shd w:fill="auto" w:val="clear"/>
            <w:tcMar>
              <w:left w:w="54" w:type="dxa"/>
            </w:tcMar>
          </w:tcPr>
          <w:p>
            <w:pPr>
              <w:pStyle w:val="Obsahtabuky"/>
              <w:jc w:val="right"/>
              <w:rPr/>
            </w:pPr>
            <w:r>
              <w:rPr/>
              <w:t>89,80</w:t>
            </w:r>
          </w:p>
        </w:tc>
      </w:tr>
      <w:tr>
        <w:trPr>
          <w:cantSplit w:val="false"/>
        </w:trPr>
        <w:tc>
          <w:tcPr>
            <w:tcW w:w="4535" w:type="dxa"/>
            <w:tcBorders>
              <w:top w:val="nil"/>
              <w:left w:val="single" w:sz="2" w:space="0" w:color="000000"/>
              <w:bottom w:val="single" w:sz="2" w:space="0" w:color="000000"/>
              <w:insideH w:val="single" w:sz="2" w:space="0" w:color="000000"/>
              <w:right w:val="nil"/>
              <w:insideV w:val="nil"/>
            </w:tcBorders>
            <w:shd w:fill="auto" w:val="clear"/>
            <w:tcMar>
              <w:left w:w="54" w:type="dxa"/>
            </w:tcMar>
          </w:tcPr>
          <w:p>
            <w:pPr>
              <w:pStyle w:val="Obsahtabuky"/>
              <w:rPr/>
            </w:pPr>
            <w:r>
              <w:rPr/>
              <w:t>Ostatné plochy</w:t>
            </w:r>
          </w:p>
        </w:tc>
        <w:tc>
          <w:tcPr>
            <w:tcW w:w="4535" w:type="dxa"/>
            <w:tcBorders>
              <w:top w:val="nil"/>
              <w:left w:val="single" w:sz="2" w:space="0" w:color="000000"/>
              <w:bottom w:val="single" w:sz="2" w:space="0" w:color="000000"/>
              <w:insideH w:val="single" w:sz="2" w:space="0" w:color="000000"/>
              <w:right w:val="single" w:sz="2" w:space="0" w:color="000000"/>
              <w:insideV w:val="single" w:sz="2" w:space="0" w:color="000000"/>
            </w:tcBorders>
            <w:shd w:fill="auto" w:val="clear"/>
            <w:tcMar>
              <w:left w:w="54" w:type="dxa"/>
            </w:tcMar>
          </w:tcPr>
          <w:p>
            <w:pPr>
              <w:pStyle w:val="Obsahtabuky"/>
              <w:jc w:val="right"/>
              <w:rPr/>
            </w:pPr>
            <w:r>
              <w:rPr/>
              <w:t>5,50</w:t>
            </w:r>
          </w:p>
        </w:tc>
      </w:tr>
      <w:tr>
        <w:trPr>
          <w:trHeight w:val="435" w:hRule="atLeast"/>
          <w:cantSplit w:val="false"/>
        </w:trPr>
        <w:tc>
          <w:tcPr>
            <w:tcW w:w="4535" w:type="dxa"/>
            <w:tcBorders>
              <w:top w:val="nil"/>
              <w:left w:val="single" w:sz="2" w:space="0" w:color="000000"/>
              <w:bottom w:val="single" w:sz="2" w:space="0" w:color="000000"/>
              <w:insideH w:val="single" w:sz="2" w:space="0" w:color="000000"/>
              <w:right w:val="nil"/>
              <w:insideV w:val="nil"/>
            </w:tcBorders>
            <w:shd w:fill="auto" w:val="clear"/>
            <w:tcMar>
              <w:left w:w="54" w:type="dxa"/>
            </w:tcMar>
          </w:tcPr>
          <w:p>
            <w:pPr>
              <w:pStyle w:val="Obsahtabuky"/>
              <w:rPr>
                <w:b/>
                <w:bCs/>
              </w:rPr>
            </w:pPr>
            <w:r>
              <w:rPr>
                <w:b/>
                <w:bCs/>
              </w:rPr>
              <w:t>Spolu</w:t>
            </w:r>
          </w:p>
        </w:tc>
        <w:tc>
          <w:tcPr>
            <w:tcW w:w="4535" w:type="dxa"/>
            <w:tcBorders>
              <w:top w:val="nil"/>
              <w:left w:val="single" w:sz="2" w:space="0" w:color="000000"/>
              <w:bottom w:val="single" w:sz="2" w:space="0" w:color="000000"/>
              <w:insideH w:val="single" w:sz="2" w:space="0" w:color="000000"/>
              <w:right w:val="single" w:sz="2" w:space="0" w:color="000000"/>
              <w:insideV w:val="single" w:sz="2" w:space="0" w:color="000000"/>
            </w:tcBorders>
            <w:shd w:fill="auto" w:val="clear"/>
            <w:tcMar>
              <w:left w:w="54" w:type="dxa"/>
            </w:tcMar>
          </w:tcPr>
          <w:p>
            <w:pPr>
              <w:pStyle w:val="Obsahtabuky"/>
              <w:jc w:val="right"/>
              <w:rPr>
                <w:b/>
                <w:bCs/>
              </w:rPr>
            </w:pPr>
            <w:r>
              <w:rPr>
                <w:b/>
                <w:bCs/>
              </w:rPr>
              <w:t>1911,70</w:t>
            </w:r>
          </w:p>
        </w:tc>
      </w:tr>
    </w:tbl>
    <w:p>
      <w:pPr>
        <w:pStyle w:val="Normal"/>
        <w:jc w:val="both"/>
        <w:rPr>
          <w:rFonts w:cs="TimesNewRomanPS-ItalicMT" w:ascii="TimesNewRomanPS-ItalicMT" w:hAnsi="TimesNewRomanPS-ItalicMT"/>
          <w:i/>
          <w:iCs/>
        </w:rPr>
      </w:pPr>
      <w:r>
        <w:rPr>
          <w:rFonts w:cs="TimesNewRomanPS-ItalicMT" w:ascii="TimesNewRomanPS-ItalicMT" w:hAnsi="TimesNewRomanPS-ItalicMT"/>
          <w:i/>
          <w:iCs/>
        </w:rPr>
      </w:r>
    </w:p>
    <w:p>
      <w:pPr>
        <w:pStyle w:val="Normal"/>
        <w:rPr>
          <w:rFonts w:cs="TimesNewRomanPS-ItalicMT" w:ascii="TimesNewRomanPS-ItalicMT" w:hAnsi="TimesNewRomanPS-ItalicMT"/>
          <w:i/>
          <w:iCs/>
        </w:rPr>
      </w:pPr>
      <w:r>
        <w:rPr>
          <w:rFonts w:cs="TimesNewRomanPS-ItalicMT" w:ascii="TimesNewRomanPS-ItalicMT" w:hAnsi="TimesNewRomanPS-ItalicMT"/>
          <w:i/>
          <w:iCs/>
        </w:rPr>
      </w:r>
    </w:p>
    <w:p>
      <w:pPr>
        <w:pStyle w:val="Normal"/>
        <w:rPr>
          <w:rStyle w:val="Printhtml"/>
          <w:b/>
          <w:sz w:val="28"/>
          <w:szCs w:val="28"/>
        </w:rPr>
      </w:pPr>
      <w:r>
        <w:rPr>
          <w:rStyle w:val="Printhtml"/>
          <w:b/>
          <w:sz w:val="28"/>
          <w:szCs w:val="28"/>
        </w:rPr>
        <w:t xml:space="preserve">1.2.Demografické údaje   </w:t>
      </w:r>
    </w:p>
    <w:p>
      <w:pPr>
        <w:pStyle w:val="Normal"/>
        <w:rPr>
          <w:b/>
          <w:sz w:val="28"/>
          <w:szCs w:val="28"/>
        </w:rPr>
      </w:pPr>
      <w:r>
        <w:rPr>
          <w:b/>
          <w:sz w:val="28"/>
          <w:szCs w:val="28"/>
        </w:rPr>
      </w:r>
    </w:p>
    <w:p>
      <w:pPr>
        <w:pStyle w:val="Normal"/>
        <w:jc w:val="both"/>
        <w:rPr/>
      </w:pPr>
      <w:r>
        <w:rPr/>
        <w:t>Obyvatelia trvale bývajúci v obci podľa pohlavia  podľa sčítania v r. 2011 – 1881</w:t>
      </w:r>
    </w:p>
    <w:p>
      <w:pPr>
        <w:pStyle w:val="Normal"/>
        <w:jc w:val="both"/>
        <w:rPr/>
      </w:pPr>
      <w:r>
        <w:rPr/>
        <w:t>z toho muži 949 a ženy 932</w:t>
      </w:r>
    </w:p>
    <w:p>
      <w:pPr>
        <w:pStyle w:val="Normal"/>
        <w:jc w:val="both"/>
        <w:rPr/>
      </w:pPr>
      <w:r>
        <w:rPr/>
        <w:t>Národnosť :</w:t>
      </w:r>
    </w:p>
    <w:p>
      <w:pPr>
        <w:pStyle w:val="Normal"/>
        <w:numPr>
          <w:ilvl w:val="0"/>
          <w:numId w:val="5"/>
        </w:numPr>
        <w:jc w:val="both"/>
        <w:rPr/>
      </w:pPr>
      <w:r>
        <w:rPr/>
        <w:t>Slovenská 1632</w:t>
      </w:r>
    </w:p>
    <w:p>
      <w:pPr>
        <w:pStyle w:val="Normal"/>
        <w:numPr>
          <w:ilvl w:val="0"/>
          <w:numId w:val="5"/>
        </w:numPr>
        <w:jc w:val="both"/>
        <w:rPr/>
      </w:pPr>
      <w:r>
        <w:rPr/>
        <w:t>Maďarská 242</w:t>
      </w:r>
    </w:p>
    <w:p>
      <w:pPr>
        <w:pStyle w:val="Normal"/>
        <w:numPr>
          <w:ilvl w:val="0"/>
          <w:numId w:val="5"/>
        </w:numPr>
        <w:jc w:val="both"/>
        <w:rPr/>
      </w:pPr>
      <w:r>
        <w:rPr/>
        <w:t>Česká 5</w:t>
      </w:r>
    </w:p>
    <w:p>
      <w:pPr>
        <w:pStyle w:val="Normal"/>
        <w:numPr>
          <w:ilvl w:val="0"/>
          <w:numId w:val="5"/>
        </w:numPr>
        <w:jc w:val="both"/>
        <w:rPr/>
      </w:pPr>
      <w:r>
        <w:rPr/>
        <w:t>Rusínska 1</w:t>
      </w:r>
    </w:p>
    <w:p>
      <w:pPr>
        <w:pStyle w:val="Normal"/>
        <w:numPr>
          <w:ilvl w:val="0"/>
          <w:numId w:val="5"/>
        </w:numPr>
        <w:jc w:val="both"/>
        <w:rPr/>
      </w:pPr>
      <w:r>
        <w:rPr/>
        <w:t>Srbská 1</w:t>
      </w:r>
    </w:p>
    <w:p>
      <w:pPr>
        <w:pStyle w:val="Normal"/>
        <w:ind w:left="720" w:right="0" w:hanging="0"/>
        <w:rPr>
          <w:rFonts w:cs="TimesNewRomanPSMT" w:ascii="TimesNewRomanPSMT" w:hAnsi="TimesNewRomanPSMT"/>
        </w:rPr>
      </w:pPr>
      <w:r>
        <w:rPr>
          <w:rFonts w:cs="TimesNewRomanPSMT" w:ascii="TimesNewRomanPSMT" w:hAnsi="TimesNewRomanPSMT"/>
        </w:rPr>
      </w:r>
    </w:p>
    <w:p>
      <w:pPr>
        <w:pStyle w:val="Normal"/>
        <w:jc w:val="both"/>
        <w:rPr/>
      </w:pPr>
      <w:r>
        <w:rPr/>
        <w:t xml:space="preserve">Stav obyvateľov k 31.12.2014: </w:t>
      </w:r>
    </w:p>
    <w:p>
      <w:pPr>
        <w:pStyle w:val="Normal"/>
        <w:numPr>
          <w:ilvl w:val="0"/>
          <w:numId w:val="5"/>
        </w:numPr>
        <w:jc w:val="both"/>
        <w:rPr/>
      </w:pPr>
      <w:r>
        <w:rPr/>
        <w:t>zomrelí        24</w:t>
      </w:r>
    </w:p>
    <w:p>
      <w:pPr>
        <w:pStyle w:val="Normal"/>
        <w:numPr>
          <w:ilvl w:val="0"/>
          <w:numId w:val="5"/>
        </w:numPr>
        <w:jc w:val="both"/>
        <w:rPr/>
      </w:pPr>
      <w:r>
        <w:rPr/>
        <w:t>odhlásení     20</w:t>
      </w:r>
    </w:p>
    <w:p>
      <w:pPr>
        <w:pStyle w:val="Normal"/>
        <w:numPr>
          <w:ilvl w:val="0"/>
          <w:numId w:val="5"/>
        </w:numPr>
        <w:jc w:val="both"/>
        <w:rPr/>
      </w:pPr>
      <w:r>
        <w:rPr/>
        <w:t>narodení      23</w:t>
      </w:r>
    </w:p>
    <w:p>
      <w:pPr>
        <w:pStyle w:val="Normal"/>
        <w:numPr>
          <w:ilvl w:val="0"/>
          <w:numId w:val="5"/>
        </w:numPr>
        <w:jc w:val="both"/>
        <w:rPr/>
      </w:pPr>
      <w:r>
        <w:rPr/>
        <w:t>prihlásení     16</w:t>
      </w:r>
    </w:p>
    <w:p>
      <w:pPr>
        <w:pStyle w:val="Normal"/>
        <w:rPr>
          <w:rFonts w:cs="TimesNewRomanPSMT" w:ascii="TimesNewRomanPSMT" w:hAnsi="TimesNewRomanPSMT"/>
        </w:rPr>
      </w:pPr>
      <w:r>
        <w:rPr>
          <w:rFonts w:cs="TimesNewRomanPSMT" w:ascii="TimesNewRomanPSMT" w:hAnsi="TimesNewRomanPSMT"/>
        </w:rPr>
      </w:r>
    </w:p>
    <w:p>
      <w:pPr>
        <w:pStyle w:val="Normal"/>
        <w:rPr>
          <w:rFonts w:cs="TimesNewRomanPS-BoldMT" w:ascii="TimesNewRomanPS-BoldMT" w:hAnsi="TimesNewRomanPS-BoldMT"/>
          <w:b/>
          <w:bCs/>
        </w:rPr>
      </w:pPr>
      <w:r>
        <w:rPr>
          <w:rFonts w:cs="TimesNewRomanPS-BoldMT" w:ascii="TimesNewRomanPS-BoldMT" w:hAnsi="TimesNewRomanPS-BoldMT"/>
          <w:b/>
          <w:bCs/>
        </w:rPr>
      </w:r>
    </w:p>
    <w:p>
      <w:pPr>
        <w:pStyle w:val="Normal"/>
        <w:rPr>
          <w:rStyle w:val="Printhtml"/>
          <w:b/>
          <w:sz w:val="28"/>
          <w:szCs w:val="28"/>
        </w:rPr>
      </w:pPr>
      <w:r>
        <w:rPr>
          <w:rStyle w:val="Printhtml"/>
          <w:b/>
          <w:sz w:val="28"/>
          <w:szCs w:val="28"/>
        </w:rPr>
        <w:t>1.3 Ekonomické údaje</w:t>
      </w:r>
    </w:p>
    <w:p>
      <w:pPr>
        <w:pStyle w:val="Normal"/>
        <w:rPr>
          <w:b/>
          <w:sz w:val="28"/>
          <w:szCs w:val="28"/>
        </w:rPr>
      </w:pPr>
      <w:r>
        <w:rPr>
          <w:b/>
          <w:sz w:val="28"/>
          <w:szCs w:val="28"/>
        </w:rPr>
      </w:r>
    </w:p>
    <w:p>
      <w:pPr>
        <w:pStyle w:val="Normal"/>
        <w:jc w:val="both"/>
        <w:rPr/>
      </w:pPr>
      <w:r>
        <w:rPr/>
        <w:t xml:space="preserve">Nezamestnanosť v okrese: 8,00%(december 2014) </w:t>
      </w:r>
    </w:p>
    <w:p>
      <w:pPr>
        <w:pStyle w:val="Normal"/>
        <w:tabs>
          <w:tab w:val="right" w:pos="8820" w:leader="none"/>
        </w:tabs>
        <w:jc w:val="both"/>
        <w:rPr/>
      </w:pPr>
      <w:r>
        <w:rPr/>
      </w:r>
    </w:p>
    <w:p>
      <w:pPr>
        <w:pStyle w:val="Normal"/>
        <w:rPr>
          <w:rStyle w:val="Printhtml"/>
          <w:b/>
          <w:sz w:val="28"/>
          <w:szCs w:val="28"/>
        </w:rPr>
      </w:pPr>
      <w:r>
        <w:rPr>
          <w:rStyle w:val="Printhtml"/>
          <w:b/>
          <w:sz w:val="28"/>
          <w:szCs w:val="28"/>
        </w:rPr>
        <w:t>1.4 Symboly obce</w:t>
      </w:r>
    </w:p>
    <w:p>
      <w:pPr>
        <w:pStyle w:val="Normal"/>
        <w:jc w:val="both"/>
        <w:rPr/>
      </w:pPr>
      <w:r>
        <w:rPr/>
        <w:t>Dňa 8. septembra 1996 sa v miestnom kostole konala slávnostná posviacka obecných symbolov – erb obce, pečať obce a obecná vlajka. Erbom je vybavená pečiatka obce Horná Kráľová, v záhlaví sú ním označené úradné tlačivá a listy vydávané obecným úradom. Erb a vlajka zdobia budovy orgánov miestnej samosprávy a vnútorné priestory obecného úradu. Tiež sa môžu používať pri významných udalostiach, výročiach a sviatkoch /napr. hodoch/.</w:t>
      </w:r>
    </w:p>
    <w:p>
      <w:pPr>
        <w:pStyle w:val="NormalWeb"/>
        <w:spacing w:before="280" w:after="280"/>
        <w:jc w:val="both"/>
        <w:rPr/>
      </w:pPr>
      <w:r>
        <w:rPr/>
      </w:r>
    </w:p>
    <w:p>
      <w:pPr>
        <w:pStyle w:val="NormalWeb"/>
        <w:spacing w:before="280" w:after="280"/>
        <w:jc w:val="both"/>
        <w:rPr>
          <w:b/>
        </w:rPr>
      </w:pPr>
      <w:r>
        <w:rPr>
          <w:b/>
        </w:rPr>
        <w:t>Obecná pečať</w:t>
      </w:r>
    </w:p>
    <w:p>
      <w:pPr>
        <w:pStyle w:val="NormalWeb"/>
        <w:spacing w:before="280" w:after="280"/>
        <w:jc w:val="both"/>
        <w:rPr>
          <w:b/>
        </w:rPr>
      </w:pPr>
      <w:r>
        <w:rPr>
          <w:b/>
        </w:rPr>
      </w:r>
    </w:p>
    <w:p>
      <w:pPr>
        <w:pStyle w:val="Normal"/>
        <w:jc w:val="both"/>
        <w:rPr/>
      </w:pPr>
      <w:r>
        <w:rPr/>
        <w:t>Na starých listinách sa zachovali nám odtlačky obecnej pečate z rokov 1706 a 1708. V kolopise pečate je text KIRALYI IGASAGH -1706 a na druhej je rok 1708. V texte teda ide o RICHTÁRSTVO KRÁĽOVÁ či KRÁĽOVSKÉ RICHTÁRSTVO. Roky udávajú čas, kedy pečať vyrobili. V prostriedku pečate bol v štíte obraz nástrojov, ktoré poddaní používali pri svojich robotách. Oblečená ruka drží v pästi bič, krížom je preložený rýľ a voľne na boku je kresba lemeša (rezná časť pluhu). Bič reprezentuje sedliakov, vozárov a pastierov, rýľ je náradie na kopanie, okopávanie vo vinohradoch a na roliach, a lemeš je dôležitý ostrý nástroj na oranie zeme, ktorý je zo železa a predkrajuje – predoráva brázdu, ktorú potom pluh (drevený) prehadzuje, naddvihuje.</w:t>
      </w:r>
    </w:p>
    <w:p>
      <w:pPr>
        <w:pStyle w:val="NormalWeb"/>
        <w:spacing w:before="280" w:after="280"/>
        <w:jc w:val="both"/>
        <w:rPr/>
      </w:pPr>
      <w:r>
        <w:rPr/>
      </w:r>
    </w:p>
    <w:p>
      <w:pPr>
        <w:pStyle w:val="NormalWeb"/>
        <w:spacing w:before="280" w:after="280"/>
        <w:jc w:val="both"/>
        <w:rPr/>
      </w:pPr>
      <w:r>
        <w:rPr/>
        <w:drawing>
          <wp:inline distT="0" distB="0" distL="0" distR="0">
            <wp:extent cx="2114550" cy="2095500"/>
            <wp:effectExtent l="0" t="0" r="0" b="0"/>
            <wp:docPr id="1" name="Pictur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descr=""/>
                    <pic:cNvPicPr>
                      <a:picLocks noChangeAspect="1" noChangeArrowheads="1"/>
                    </pic:cNvPicPr>
                  </pic:nvPicPr>
                  <pic:blipFill>
                    <a:blip r:embed="rId4"/>
                    <a:stretch>
                      <a:fillRect/>
                    </a:stretch>
                  </pic:blipFill>
                  <pic:spPr bwMode="auto">
                    <a:xfrm>
                      <a:off x="0" y="0"/>
                      <a:ext cx="2114550" cy="2095500"/>
                    </a:xfrm>
                    <a:prstGeom prst="rect">
                      <a:avLst/>
                    </a:prstGeom>
                    <a:noFill/>
                    <a:ln w="9525">
                      <a:noFill/>
                      <a:miter lim="800000"/>
                      <a:headEnd/>
                      <a:tailEnd/>
                    </a:ln>
                  </pic:spPr>
                </pic:pic>
              </a:graphicData>
            </a:graphic>
          </wp:inline>
        </w:drawing>
      </w:r>
      <w:r>
        <w:rPr/>
        <w:drawing>
          <wp:inline distT="0" distB="0" distL="0" distR="0">
            <wp:extent cx="2038350" cy="2019300"/>
            <wp:effectExtent l="0" t="0" r="0" b="0"/>
            <wp:docPr id="2" name="Picture" descr="Peca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descr="Pecat"/>
                    <pic:cNvPicPr>
                      <a:picLocks noChangeAspect="1" noChangeArrowheads="1"/>
                    </pic:cNvPicPr>
                  </pic:nvPicPr>
                  <pic:blipFill>
                    <a:blip r:embed="rId5"/>
                    <a:stretch>
                      <a:fillRect/>
                    </a:stretch>
                  </pic:blipFill>
                  <pic:spPr bwMode="auto">
                    <a:xfrm>
                      <a:off x="0" y="0"/>
                      <a:ext cx="2038350" cy="2019300"/>
                    </a:xfrm>
                    <a:prstGeom prst="rect">
                      <a:avLst/>
                    </a:prstGeom>
                    <a:noFill/>
                    <a:ln w="9525">
                      <a:noFill/>
                      <a:miter lim="800000"/>
                      <a:headEnd/>
                      <a:tailEnd/>
                    </a:ln>
                  </pic:spPr>
                </pic:pic>
              </a:graphicData>
            </a:graphic>
          </wp:inline>
        </w:drawing>
      </w:r>
    </w:p>
    <w:p>
      <w:pPr>
        <w:pStyle w:val="NormalWeb"/>
        <w:spacing w:before="280" w:after="280"/>
        <w:jc w:val="both"/>
        <w:rPr/>
      </w:pPr>
      <w:hyperlink r:id="rId6">
        <w:r>
          <w:rPr/>
        </w:r>
      </w:hyperlink>
    </w:p>
    <w:p>
      <w:pPr>
        <w:pStyle w:val="NormalWeb"/>
        <w:spacing w:before="280" w:after="280"/>
        <w:jc w:val="both"/>
        <w:rPr/>
      </w:pPr>
      <w:r>
        <w:rPr>
          <w:b/>
          <w:bCs/>
        </w:rPr>
        <w:t>Erb obce</w:t>
      </w:r>
      <w:r>
        <w:rPr/>
        <w:t xml:space="preserve">: </w:t>
      </w:r>
    </w:p>
    <w:p>
      <w:pPr>
        <w:pStyle w:val="NormalWeb"/>
        <w:spacing w:before="280" w:after="280"/>
        <w:jc w:val="both"/>
        <w:rPr/>
      </w:pPr>
      <w:r>
        <w:rPr/>
        <w:pict>
          <v:rect id="shape_0" stroked="f" style="position:absolute;margin-left:13.55pt;margin-top:-5.25pt;width:92pt;height:118.65pt">
            <v:imagedata r:id="rId7" detectmouseclick="t"/>
            <v:wrap v:type="none"/>
            <v:stroke color="#3465a4" joinstyle="round" endcap="flat"/>
          </v:rect>
        </w:pict>
      </w:r>
    </w:p>
    <w:p>
      <w:pPr>
        <w:pStyle w:val="NormalWeb"/>
        <w:spacing w:before="280" w:after="280"/>
        <w:jc w:val="both"/>
        <w:rPr/>
      </w:pPr>
      <w:r>
        <w:rPr/>
      </w:r>
    </w:p>
    <w:p>
      <w:pPr>
        <w:pStyle w:val="NormalWeb"/>
        <w:spacing w:before="280" w:after="280"/>
        <w:jc w:val="both"/>
        <w:rPr/>
      </w:pPr>
      <w:r>
        <w:rPr/>
      </w:r>
    </w:p>
    <w:p>
      <w:pPr>
        <w:pStyle w:val="NormalWeb"/>
        <w:spacing w:before="280" w:after="280"/>
        <w:jc w:val="both"/>
        <w:rPr/>
      </w:pPr>
      <w:r>
        <w:rPr/>
      </w:r>
    </w:p>
    <w:p>
      <w:pPr>
        <w:pStyle w:val="NormalWeb"/>
        <w:spacing w:before="280" w:after="280"/>
        <w:jc w:val="both"/>
        <w:rPr/>
      </w:pPr>
      <w:r>
        <w:rPr/>
      </w:r>
    </w:p>
    <w:p>
      <w:pPr>
        <w:pStyle w:val="NormalWeb"/>
        <w:spacing w:before="280" w:after="280"/>
        <w:jc w:val="both"/>
        <w:rPr/>
      </w:pPr>
      <w:r>
        <w:rPr/>
        <w:t>Je zaevidovaný do heraldického registra Slovenskej republiky v tejto podobe: v zelenom štíte strieborné zlatoodeté rameno, držiace strieborný, do ľavého horného rohu smerujúci bič, skrížený striebornou otkou, v pravom výseku figúr je strieborný hrotom nadol postavený lemeš. Expertízu na obecný erb vypracoval Prof. PhDr.Jozef Novák, DrSc., ktorý si za základ zobral najstaršie známe pečatidlo obce z roku 1706, na ktorom je vyrytý erb Hornej Kráľovej v pravom zmysle slova.</w:t>
      </w:r>
    </w:p>
    <w:p>
      <w:pPr>
        <w:pStyle w:val="NormalWeb"/>
        <w:jc w:val="both"/>
        <w:rPr/>
      </w:pPr>
      <w:r>
        <w:rPr/>
      </w:r>
    </w:p>
    <w:p>
      <w:pPr>
        <w:pStyle w:val="NormalWeb"/>
        <w:jc w:val="both"/>
        <w:rPr/>
      </w:pPr>
      <w:r>
        <w:rPr>
          <w:rStyle w:val="Strong"/>
        </w:rPr>
        <w:t>Vlajka obce</w:t>
      </w:r>
      <w:r>
        <w:rPr/>
        <w:t>: Pozostáva z piatich pozdĺžnych pruhov vo farbách bielej, zelenej, bielej, žltej a zelenej. Vlajka má pomer strán 2:3 a ukončená je tromi cípmi, t.j. dvomi zástrihmi, siahajúcimi do tretiny jej listu.</w:t>
      </w:r>
    </w:p>
    <w:p>
      <w:pPr>
        <w:pStyle w:val="NormalWeb"/>
        <w:jc w:val="both"/>
        <w:rPr/>
      </w:pPr>
      <w:r>
        <w:rPr/>
        <w:drawing>
          <wp:anchor behindDoc="0" distT="0" distB="0" distL="0" distR="0" simplePos="0" locked="0" layoutInCell="1" allowOverlap="1" relativeHeight="48">
            <wp:simplePos x="0" y="0"/>
            <wp:positionH relativeFrom="column">
              <wp:posOffset>-72390</wp:posOffset>
            </wp:positionH>
            <wp:positionV relativeFrom="paragraph">
              <wp:posOffset>-161925</wp:posOffset>
            </wp:positionV>
            <wp:extent cx="1560830" cy="1325880"/>
            <wp:effectExtent l="0" t="0" r="0" b="0"/>
            <wp:wrapSquare wrapText="largest"/>
            <wp:docPr id="3" name="Pictur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descr=""/>
                    <pic:cNvPicPr>
                      <a:picLocks noChangeAspect="1" noChangeArrowheads="1"/>
                    </pic:cNvPicPr>
                  </pic:nvPicPr>
                  <pic:blipFill>
                    <a:blip r:embed="rId8"/>
                    <a:stretch>
                      <a:fillRect/>
                    </a:stretch>
                  </pic:blipFill>
                  <pic:spPr bwMode="auto">
                    <a:xfrm>
                      <a:off x="0" y="0"/>
                      <a:ext cx="1560830" cy="1325880"/>
                    </a:xfrm>
                    <a:prstGeom prst="rect">
                      <a:avLst/>
                    </a:prstGeom>
                    <a:noFill/>
                    <a:ln w="9525">
                      <a:noFill/>
                      <a:miter lim="800000"/>
                      <a:headEnd/>
                      <a:tailEnd/>
                    </a:ln>
                  </pic:spPr>
                </pic:pic>
              </a:graphicData>
            </a:graphic>
          </wp:anchor>
        </w:drawing>
      </w:r>
    </w:p>
    <w:p>
      <w:pPr>
        <w:pStyle w:val="NormalWeb"/>
        <w:jc w:val="both"/>
        <w:rPr/>
      </w:pPr>
      <w:r>
        <w:rPr/>
      </w:r>
    </w:p>
    <w:p>
      <w:pPr>
        <w:pStyle w:val="NormalWeb"/>
        <w:jc w:val="both"/>
        <w:rPr/>
      </w:pPr>
      <w:r>
        <w:rPr/>
      </w:r>
    </w:p>
    <w:p>
      <w:pPr>
        <w:pStyle w:val="NormalWeb"/>
        <w:jc w:val="both"/>
        <w:rPr/>
      </w:pPr>
      <w:r>
        <w:rPr/>
      </w:r>
    </w:p>
    <w:p>
      <w:pPr>
        <w:pStyle w:val="NormalWeb"/>
        <w:jc w:val="both"/>
        <w:rPr/>
      </w:pPr>
      <w:r>
        <w:rPr/>
        <w:t>Symboli obce sú zaevidované v Heraldickom registri Slovenskej republiky pod signatúrou H-54/95.</w:t>
      </w:r>
    </w:p>
    <w:p>
      <w:pPr>
        <w:pStyle w:val="Normal"/>
        <w:tabs>
          <w:tab w:val="right" w:pos="8820" w:leader="none"/>
        </w:tabs>
        <w:jc w:val="both"/>
        <w:rPr>
          <w:b/>
          <w:sz w:val="28"/>
          <w:szCs w:val="28"/>
        </w:rPr>
      </w:pPr>
      <w:r>
        <w:rPr>
          <w:b/>
          <w:sz w:val="28"/>
          <w:szCs w:val="28"/>
        </w:rPr>
      </w:r>
    </w:p>
    <w:p>
      <w:pPr>
        <w:pStyle w:val="Normal"/>
        <w:tabs>
          <w:tab w:val="right" w:pos="8820" w:leader="none"/>
        </w:tabs>
        <w:jc w:val="both"/>
        <w:rPr>
          <w:b/>
          <w:sz w:val="28"/>
          <w:szCs w:val="28"/>
        </w:rPr>
      </w:pPr>
      <w:r>
        <w:rPr>
          <w:b/>
          <w:sz w:val="28"/>
          <w:szCs w:val="28"/>
        </w:rPr>
        <w:t>1.7. Pamiatky obce</w:t>
      </w:r>
    </w:p>
    <w:p>
      <w:pPr>
        <w:pStyle w:val="Normal"/>
        <w:tabs>
          <w:tab w:val="right" w:pos="8820" w:leader="none"/>
        </w:tabs>
        <w:jc w:val="both"/>
        <w:rPr>
          <w:b/>
          <w:sz w:val="28"/>
          <w:szCs w:val="28"/>
        </w:rPr>
      </w:pPr>
      <w:r>
        <w:rPr>
          <w:b/>
          <w:sz w:val="28"/>
          <w:szCs w:val="28"/>
        </w:rPr>
      </w:r>
    </w:p>
    <w:p>
      <w:pPr>
        <w:pStyle w:val="Normal"/>
        <w:jc w:val="both"/>
        <w:rPr>
          <w:rStyle w:val="Internetovodkaz"/>
        </w:rPr>
      </w:pPr>
      <w:hyperlink r:id="rId9">
        <w:r>
          <w:rPr>
            <w:rStyle w:val="Internetovodkaz"/>
          </w:rPr>
          <w:t>Stará stredoveká Kráľová mala svojich zemepánov a to kráľa, zoborský kláštor a Nitrianske biskupstvo a v listine sa spomína, že tu bol aj zemepanský dom a zemianska kúria. Nepriazeň času však stavby zlikvidovala. Z verejných stavieb v obci zostala zo 17. storočia renesančná zvonica. Je postavená v strede hlavnej ulice a slúži pekným a tradičným zvyklostiam obyvateľov. Keďže obec patrila od roku 1494 do nitrianskej biskupskej kanonizácie, žiadneho iného zemepána už nemala. Pravdepodobne i preto ani kostol ani žiadna zemepanská usadlosť v obci postavená nebola. Cirkevne i svetsky bola spravovaná susednou obcou Močenok.</w:t>
        </w:r>
      </w:hyperlink>
    </w:p>
    <w:p>
      <w:pPr>
        <w:pStyle w:val="Nadpis4"/>
        <w:rPr>
          <w:rFonts w:ascii="Times New Roman" w:hAnsi="Times New Roman"/>
        </w:rPr>
      </w:pPr>
      <w:r>
        <w:rPr>
          <w:rFonts w:ascii="Times New Roman" w:hAnsi="Times New Roman"/>
        </w:rPr>
        <w:t>Zvonica</w:t>
      </w:r>
    </w:p>
    <w:p>
      <w:pPr>
        <w:pStyle w:val="Normal"/>
        <w:jc w:val="both"/>
        <w:rPr>
          <w:color w:val="000000"/>
        </w:rPr>
      </w:pPr>
      <w:r>
        <w:rPr>
          <w:color w:val="000000"/>
        </w:rPr>
        <w:t>Je to najvzácnejšia stavebná a historická pamiatka v obci. Pochádza zo 17. storočia a ako jediná bola postavená z kameňa. Nachádza sa v strede obce. Dnes patrí táto zvonica medzi ojedinelé zachované zvonice postavené v renesančnom slohu. Je pekne zachovaná a udržiavaná. Je to dvojpodlažná štvorcová stavba, ktorá je ukončená ihlanom. Na hornom podlaží sú umiestnené zvony.</w:t>
        <w:drawing>
          <wp:anchor behindDoc="0" distT="0" distB="0" distL="114300" distR="114300" simplePos="0" locked="0" layoutInCell="1" allowOverlap="1" relativeHeight="1">
            <wp:simplePos x="0" y="0"/>
            <wp:positionH relativeFrom="column">
              <wp:posOffset>4128135</wp:posOffset>
            </wp:positionH>
            <wp:positionV relativeFrom="paragraph">
              <wp:posOffset>40005</wp:posOffset>
            </wp:positionV>
            <wp:extent cx="1590675" cy="2562225"/>
            <wp:effectExtent l="0" t="0" r="0" b="0"/>
            <wp:wrapSquare wrapText="bothSides"/>
            <wp:docPr id="4" name="Pictur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descr=""/>
                    <pic:cNvPicPr>
                      <a:picLocks noChangeAspect="1" noChangeArrowheads="1"/>
                    </pic:cNvPicPr>
                  </pic:nvPicPr>
                  <pic:blipFill>
                    <a:blip r:embed="rId10"/>
                    <a:stretch>
                      <a:fillRect/>
                    </a:stretch>
                  </pic:blipFill>
                  <pic:spPr bwMode="auto">
                    <a:xfrm>
                      <a:off x="0" y="0"/>
                      <a:ext cx="1590675" cy="2562225"/>
                    </a:xfrm>
                    <a:prstGeom prst="rect">
                      <a:avLst/>
                    </a:prstGeom>
                    <a:noFill/>
                    <a:ln w="9525">
                      <a:noFill/>
                      <a:miter lim="800000"/>
                      <a:headEnd/>
                      <a:tailEnd/>
                    </a:ln>
                  </pic:spPr>
                </pic:pic>
              </a:graphicData>
            </a:graphic>
          </wp:anchor>
        </w:drawing>
      </w:r>
    </w:p>
    <w:p>
      <w:pPr>
        <w:pStyle w:val="Normal"/>
        <w:jc w:val="both"/>
        <w:rPr>
          <w:color w:val="000000"/>
        </w:rPr>
      </w:pPr>
      <w:r>
        <w:rPr>
          <w:color w:val="000000"/>
        </w:rPr>
      </w:r>
    </w:p>
    <w:p>
      <w:pPr>
        <w:pStyle w:val="Normal"/>
        <w:rPr>
          <w:b/>
          <w:bCs/>
          <w:sz w:val="28"/>
          <w:szCs w:val="28"/>
        </w:rPr>
      </w:pPr>
      <w:r>
        <w:rPr>
          <w:b/>
          <w:bCs/>
          <w:sz w:val="28"/>
          <w:szCs w:val="28"/>
        </w:rPr>
        <w:t>Kríž pri zvonici</w:t>
      </w:r>
    </w:p>
    <w:p>
      <w:pPr>
        <w:pStyle w:val="Normal"/>
        <w:jc w:val="both"/>
        <w:rPr>
          <w:color w:val="000000"/>
        </w:rPr>
      </w:pPr>
      <w:r>
        <w:rPr>
          <w:color w:val="000000"/>
        </w:rPr>
        <w:t>Pred vchodom do zvonice stojí kamenný kríž na ktorom je vyrytí rok 1894. V roku 2001 sa uskutočnili reštaurátorské práce na tomto sakrálnom objekte za účelom obnovy jeho zničených a poškodených častí a vykonania rozsiahlych údržbárskych prác na telese kríža, pretože od jeho vybudovania v roku 1894 obdobné pamiatkové ošetrenie nedostal. Náročné práce na obnove vykonal odborník na reštaurovanie pamiatkových stavieb pán Ladislav Cserba z Maďarskej republiky.</w:t>
      </w:r>
    </w:p>
    <w:p>
      <w:pPr>
        <w:pStyle w:val="Normal"/>
        <w:jc w:val="both"/>
        <w:rPr>
          <w:color w:val="000000"/>
        </w:rPr>
      </w:pPr>
      <w:r>
        <w:rPr>
          <w:color w:val="000000"/>
        </w:rPr>
      </w:r>
    </w:p>
    <w:p>
      <w:pPr>
        <w:pStyle w:val="Normal"/>
        <w:rPr>
          <w:b/>
          <w:bCs/>
          <w:sz w:val="28"/>
          <w:szCs w:val="28"/>
        </w:rPr>
      </w:pPr>
      <w:r>
        <w:rPr>
          <w:b/>
          <w:bCs/>
          <w:sz w:val="28"/>
          <w:szCs w:val="28"/>
        </w:rPr>
        <w:t>Socha Božské srdce</w:t>
      </w:r>
    </w:p>
    <w:p>
      <w:pPr>
        <w:pStyle w:val="Normal"/>
        <w:jc w:val="both"/>
        <w:rPr/>
      </w:pPr>
      <w:r>
        <w:rPr/>
        <w:t xml:space="preserve">Socha Božského srdca bola postavená v roku 1937. Popri renesančnej zvonici patrí k historickým pamiatkam v obci. Nevie sa, z akých pohnútok ju dali obyvatelia dediny postaviť, no už desiatky rokov víta tých, ktorí prichádzajú, alebo prechádzajú cez obec. V dobe, keď ju postavili bola na okraji obce. Od tých čias sa obec rozrástla. Dnes je socha včlenená medzi príbytkami. Socha je postavená na kamennom podstavci, do ktorého je vsadená tabuľa z čierneho mramoru. Na nej je nápis : </w:t>
      </w:r>
      <w:r>
        <w:rPr>
          <w:i/>
          <w:iCs/>
        </w:rPr>
        <w:t xml:space="preserve">Jézus sz. szíve irgalmazz nekúnk – 1937 </w:t>
      </w:r>
      <w:r>
        <w:rPr/>
        <w:t>(Sväté srdce Ježišovo, zmiluj sa nad nami). Socha i podstavce sú z kameňa - pieskovca. O jej výstavbu sa postaral vtedajší farár Július Ludvigh za veľkej pomoci obyvateľov obce a obecného úradu. Obyvatelia prispeli sumou 7 000,- Sk. Farár bol sprostredkovateľ celej stavby a hľadal firmu, ktorá by sochu zhotovila. Našla sa firma ŠTÁBLA HODONÍN, ktorá sochu postavila. Socha Božského Srdca Ježiša patrí ku kresťanským tradíciám miestnych občanov. Posledná rozsiahla rekonštrukcia bola uskutočnená v roku 2004.</w:t>
        <w:drawing>
          <wp:anchor behindDoc="0" distT="0" distB="0" distL="114300" distR="114300" simplePos="0" locked="0" layoutInCell="1" allowOverlap="1" relativeHeight="2">
            <wp:simplePos x="0" y="0"/>
            <wp:positionH relativeFrom="column">
              <wp:posOffset>31750</wp:posOffset>
            </wp:positionH>
            <wp:positionV relativeFrom="paragraph">
              <wp:posOffset>59690</wp:posOffset>
            </wp:positionV>
            <wp:extent cx="1590675" cy="2352675"/>
            <wp:effectExtent l="0" t="0" r="0" b="0"/>
            <wp:wrapSquare wrapText="bothSides"/>
            <wp:docPr id="5" name="Pictur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descr=""/>
                    <pic:cNvPicPr>
                      <a:picLocks noChangeAspect="1" noChangeArrowheads="1"/>
                    </pic:cNvPicPr>
                  </pic:nvPicPr>
                  <pic:blipFill>
                    <a:blip r:embed="rId11"/>
                    <a:stretch>
                      <a:fillRect/>
                    </a:stretch>
                  </pic:blipFill>
                  <pic:spPr bwMode="auto">
                    <a:xfrm>
                      <a:off x="0" y="0"/>
                      <a:ext cx="1590675" cy="2352675"/>
                    </a:xfrm>
                    <a:prstGeom prst="rect">
                      <a:avLst/>
                    </a:prstGeom>
                    <a:noFill/>
                    <a:ln w="9525">
                      <a:noFill/>
                      <a:miter lim="800000"/>
                      <a:headEnd/>
                      <a:tailEnd/>
                    </a:ln>
                  </pic:spPr>
                </pic:pic>
              </a:graphicData>
            </a:graphic>
          </wp:anchor>
        </w:drawing>
      </w:r>
    </w:p>
    <w:p>
      <w:pPr>
        <w:pStyle w:val="Normal"/>
        <w:rPr/>
      </w:pPr>
      <w:r>
        <w:rPr/>
      </w:r>
    </w:p>
    <w:p>
      <w:pPr>
        <w:pStyle w:val="Normal"/>
        <w:rPr>
          <w:b/>
          <w:bCs/>
          <w:sz w:val="28"/>
          <w:szCs w:val="28"/>
        </w:rPr>
      </w:pPr>
      <w:r>
        <w:rPr>
          <w:b/>
          <w:bCs/>
          <w:sz w:val="28"/>
          <w:szCs w:val="28"/>
        </w:rPr>
        <w:t>Kostol</w:t>
      </w:r>
    </w:p>
    <w:p>
      <w:pPr>
        <w:pStyle w:val="Normal"/>
        <w:jc w:val="both"/>
        <w:rPr/>
      </w:pPr>
      <w:r>
        <w:rPr/>
        <w:t>Kostol je moderné architektonické dielo. Základný kameň kostola posvätil Svätý Otec Ján Pavol II. 30. apríla 1990 vo Vajnoroch. Výstavba začala 13. októbra 1990 a bola ukončená v auguste 1994. Rozloha kostola je 650 m</w:t>
      </w:r>
      <w:r>
        <w:rPr>
          <w:sz w:val="16"/>
          <w:szCs w:val="16"/>
          <w:vertAlign w:val="superscript"/>
        </w:rPr>
        <w:t>2</w:t>
      </w:r>
      <w:r>
        <w:rPr/>
        <w:t>, maximálna kapacita 1 050 miest, z toho 260 miest na sedenie v hlavnej chrámovej lodi a 120 na chóre. Kostolná veža má tvar písmena M, ktoré vystihuje meno patrónky kostola. Finančné náklady podľa pôvodného projektu na celú výstavbu predstavovali cca 12 mil. Sk. Pri realizácii výstavby sa preinvestovalo 6,5 mil. Sk vrátane interiéru. V roku 1993 stavba kostola dostáva už výraznú podobu. Na dokončenú vežu bol osadený 7,5 m vysoký nerezový kríž – dar firmy Midop. Strecha veže je zhotovená z netradičného laminátu o čo sa postarala firma Test. 7. novembra 2003 sa konala vysviacka zvonov ktoré sú tri. Uliali ich vo zvonárskej dielni Jozefa Dytrycha v Brodku u Přerova.</w:t>
        <w:drawing>
          <wp:anchor behindDoc="0" distT="0" distB="0" distL="114300" distR="114300" simplePos="0" locked="0" layoutInCell="1" allowOverlap="1" relativeHeight="3">
            <wp:simplePos x="0" y="0"/>
            <wp:positionH relativeFrom="column">
              <wp:posOffset>41910</wp:posOffset>
            </wp:positionH>
            <wp:positionV relativeFrom="paragraph">
              <wp:posOffset>1294130</wp:posOffset>
            </wp:positionV>
            <wp:extent cx="2296160" cy="3061335"/>
            <wp:effectExtent l="0" t="0" r="0" b="0"/>
            <wp:wrapSquare wrapText="bothSides"/>
            <wp:docPr id="6" name="Picture" descr="http://sintava.fara.sk/gallbh2007/img_1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descr="http://sintava.fara.sk/gallbh2007/img_14.jpg"/>
                    <pic:cNvPicPr>
                      <a:picLocks noChangeAspect="1" noChangeArrowheads="1"/>
                    </pic:cNvPicPr>
                  </pic:nvPicPr>
                  <pic:blipFill>
                    <a:blip r:embed="rId12"/>
                    <a:stretch>
                      <a:fillRect/>
                    </a:stretch>
                  </pic:blipFill>
                  <pic:spPr bwMode="auto">
                    <a:xfrm>
                      <a:off x="0" y="0"/>
                      <a:ext cx="2296160" cy="3061335"/>
                    </a:xfrm>
                    <a:prstGeom prst="rect">
                      <a:avLst/>
                    </a:prstGeom>
                    <a:noFill/>
                    <a:ln w="9525">
                      <a:noFill/>
                      <a:miter lim="800000"/>
                      <a:headEnd/>
                      <a:tailEnd/>
                    </a:ln>
                  </pic:spPr>
                </pic:pic>
              </a:graphicData>
            </a:graphic>
          </wp:anchor>
        </w:drawing>
      </w:r>
    </w:p>
    <w:p>
      <w:pPr>
        <w:pStyle w:val="Normal"/>
        <w:jc w:val="both"/>
        <w:rPr/>
      </w:pPr>
      <w:r>
        <w:rPr/>
        <w:t>V auguste 1994 sa dokončilo zariadenie interiéru: Kaplnka Božského srdca - plastika s božím hrobom v predsieni vo výklenku na priečelí obradnej siene- patrónka kostola Panna Mária, štrnásť plastík Krížovej cesty po oboch stranách obradnej siene, tri plastiky pod orgánom. Drevorezby sú zhotovené z lipového dreva, autorom je majster PaedDr. Miroslav Polák z Nitry. Oltár, kazateľnica, krstiteľnica sú zhotovené z carrarského bieleho mramoru firmou ASTA v Nitre. Organ vyrobila talianska firma Genn. Slávnostnú posviacku kostola vykonal otec Ján Chryzostom kardinál Korec dňa 11. Septembra 1994.</w:t>
      </w:r>
    </w:p>
    <w:p>
      <w:pPr>
        <w:pStyle w:val="Normal"/>
        <w:jc w:val="both"/>
        <w:rPr/>
      </w:pPr>
      <w:r>
        <w:rPr/>
      </w:r>
    </w:p>
    <w:p>
      <w:pPr>
        <w:pStyle w:val="Normal"/>
        <w:tabs>
          <w:tab w:val="right" w:pos="8820" w:leader="none"/>
        </w:tabs>
        <w:jc w:val="both"/>
        <w:rPr>
          <w:b/>
          <w:color w:val="000000"/>
          <w:sz w:val="28"/>
          <w:szCs w:val="28"/>
        </w:rPr>
      </w:pPr>
      <w:r>
        <w:rPr>
          <w:b/>
          <w:color w:val="000000"/>
          <w:sz w:val="28"/>
          <w:szCs w:val="28"/>
        </w:rPr>
      </w:r>
    </w:p>
    <w:p>
      <w:pPr>
        <w:pStyle w:val="Normal"/>
        <w:tabs>
          <w:tab w:val="right" w:pos="8820" w:leader="none"/>
        </w:tabs>
        <w:jc w:val="both"/>
        <w:rPr>
          <w:b/>
          <w:sz w:val="28"/>
          <w:szCs w:val="28"/>
        </w:rPr>
      </w:pPr>
      <w:r>
        <w:rPr>
          <w:b/>
          <w:sz w:val="28"/>
          <w:szCs w:val="28"/>
        </w:rPr>
        <w:t>1.9 Výchova a vzdelávanie</w:t>
      </w:r>
    </w:p>
    <w:p>
      <w:pPr>
        <w:pStyle w:val="Normal"/>
        <w:tabs>
          <w:tab w:val="right" w:pos="8820" w:leader="none"/>
        </w:tabs>
        <w:jc w:val="both"/>
        <w:rPr>
          <w:b/>
          <w:color w:val="000000"/>
          <w:sz w:val="28"/>
          <w:szCs w:val="28"/>
        </w:rPr>
      </w:pPr>
      <w:r>
        <w:rPr>
          <w:b/>
          <w:color w:val="000000"/>
          <w:sz w:val="28"/>
          <w:szCs w:val="28"/>
        </w:rPr>
      </w:r>
    </w:p>
    <w:p>
      <w:pPr>
        <w:pStyle w:val="Nadpis1"/>
        <w:rPr>
          <w:sz w:val="28"/>
          <w:szCs w:val="28"/>
        </w:rPr>
      </w:pPr>
      <w:r>
        <w:rPr>
          <w:sz w:val="28"/>
          <w:szCs w:val="28"/>
        </w:rPr>
        <w:t>Školstvo</w:t>
      </w:r>
    </w:p>
    <w:p>
      <w:pPr>
        <w:pStyle w:val="Normal"/>
        <w:rPr/>
      </w:pPr>
      <w:hyperlink r:id="rId13">
        <w:r>
          <w:rPr/>
        </w:r>
      </w:hyperlink>
    </w:p>
    <w:p>
      <w:pPr>
        <w:pStyle w:val="Normal"/>
        <w:rPr>
          <w:rStyle w:val="Internetovodkaz"/>
          <w:b/>
        </w:rPr>
      </w:pPr>
      <w:r>
        <w:rPr>
          <w:b/>
        </w:rPr>
        <w:t>Webstránka Základnej školy v Hornej Kráľovej:</w:t>
      </w:r>
      <w:hyperlink r:id="rId14">
        <w:r>
          <w:rPr>
            <w:rStyle w:val="Internetovodkaz"/>
            <w:b/>
            <w:color w:val="0000FF"/>
            <w:u w:val="single"/>
          </w:rPr>
          <w:br/>
        </w:r>
        <w:r>
          <w:rPr>
            <w:rStyle w:val="Internetovodkaz"/>
            <w:b/>
          </w:rPr>
          <w:t>http://zseduhornakralova.edupage.org/</w:t>
        </w:r>
      </w:hyperlink>
    </w:p>
    <w:p>
      <w:pPr>
        <w:pStyle w:val="NormalWeb"/>
        <w:jc w:val="both"/>
        <w:rPr>
          <w:b/>
        </w:rPr>
      </w:pPr>
      <w:r>
        <w:rPr>
          <w:b/>
        </w:rPr>
        <w:t>História školy </w:t>
      </w:r>
    </w:p>
    <w:p>
      <w:pPr>
        <w:pStyle w:val="Normal"/>
        <w:jc w:val="both"/>
        <w:rPr/>
      </w:pPr>
      <w:r>
        <w:rPr/>
        <w:t xml:space="preserve">Prvá škola v obci vznikla v roku 1887. Odvtedy škola viackrát zmenila svoje miesto až do roku 1962, kedy 1. septembra bolo zahájené vyučovanie v novovybudovanej 9-triednej budove terajšej školy. Vyučovacím jazykom prvej školy bol maďarský jazyk. V roku 1926 bola zriadená trieda s vyučovacím jazykom slovenským. Od 1. septembra 1985 sa v obci vyučuje len v slovenskom jazyku. V školskom roku 2010/2011, presne 5. júna 2010 začala rozsiahla rekonštrukcia budovy školy. Realizáciou projektu došlo ku kompletnému zatepleniu stien budovy, k vybudovaniu sedlovej strechy, k výmene okien a vchodových dverí za plastové, k výmene rozvodov vykurovania, vody, kanalizácie, elektriny. Vykonala sa generálna oprava plynovej kotolne, WC s umyvárňami, obnovila sa maľovka a nátery v celej budove. V lete 2012 sa upravilo aj okolie školy vysadením nových rastlín, stromov a zasiatím trávy. Takto vynovená škola v roku 2012 dôstojne oslávila 50. výročie otvorenia. Okrem toho v lete 2010 sa v areáli školy vybudovalo multifunkčné ihrisko s umelou trávou. V roku 2007 sa základná a materská škola zlúčili a vznikla Základná škola s materskou školou Horná Kráľová. V priebehu roka 2011 sa pristúpilo k rozšíreniu priestorov MŠ formou prístavby. Stavbou sa vyriešilo zriadenie a vybavenie prevádzkových miestností škôlky účelovým sociálnym zariadením pre personál, rozšíreniu kuchynského komplexu, zriadením skladu suchých potravín, archívnych priestorov a rekonštrukciu kotolne. Práce boli ukončené v máji 2012. </w:t>
      </w:r>
    </w:p>
    <w:p>
      <w:pPr>
        <w:pStyle w:val="Normal"/>
        <w:rPr>
          <w:b/>
        </w:rPr>
      </w:pPr>
      <w:r>
        <w:rPr>
          <w:b/>
        </w:rPr>
      </w:r>
    </w:p>
    <w:p>
      <w:pPr>
        <w:pStyle w:val="Nadpis1"/>
        <w:rPr>
          <w:sz w:val="28"/>
          <w:szCs w:val="28"/>
        </w:rPr>
      </w:pPr>
      <w:r>
        <w:rPr>
          <w:sz w:val="28"/>
          <w:szCs w:val="28"/>
        </w:rPr>
        <w:t>Súčasnosť</w:t>
      </w:r>
    </w:p>
    <w:p>
      <w:pPr>
        <w:pStyle w:val="NormalWeb"/>
        <w:jc w:val="both"/>
        <w:rPr/>
      </w:pPr>
      <w:r>
        <w:rPr/>
        <w:t xml:space="preserve">Základná škola s materskou školou Horná Kráľová je vidieckou, plno organizovanou školou, ktorej zriaďovateľom je Obec Horná Kráľová. Základnú školu v Hornej Kráľovej navštevuje 156 detí. Na škole pracuje 13 pedagogických a 5 nepedagogických pracovníkov a 5 asistentov. Riaditeľkou školy je Mgr. Katarína Porhajášová, zástupkyňou pre základnú školu je Mgr. Katarína Chrenková a pre  materskú školu Mária Verešová. Materskú školu navštevuje 50 detí. V materskej škole pracujú 4 pedagogické a 2 nepedagogické pracovníčky. V školskej jedálni sú 4 zamestnankyne a stravuje sa tam viac než 130 stravníkov. </w:t>
        <w:drawing>
          <wp:anchor behindDoc="0" distT="0" distB="0" distL="114300" distR="114300" simplePos="0" locked="0" layoutInCell="1" allowOverlap="1" relativeHeight="4">
            <wp:simplePos x="0" y="0"/>
            <wp:positionH relativeFrom="column">
              <wp:posOffset>13335</wp:posOffset>
            </wp:positionH>
            <wp:positionV relativeFrom="paragraph">
              <wp:posOffset>504825</wp:posOffset>
            </wp:positionV>
            <wp:extent cx="1951990" cy="1438275"/>
            <wp:effectExtent l="0" t="0" r="0" b="0"/>
            <wp:wrapSquare wrapText="bothSides"/>
            <wp:docPr id="7" name="Pictur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descr=""/>
                    <pic:cNvPicPr>
                      <a:picLocks noChangeAspect="1" noChangeArrowheads="1"/>
                    </pic:cNvPicPr>
                  </pic:nvPicPr>
                  <pic:blipFill>
                    <a:blip r:embed="rId15"/>
                    <a:stretch>
                      <a:fillRect/>
                    </a:stretch>
                  </pic:blipFill>
                  <pic:spPr bwMode="auto">
                    <a:xfrm>
                      <a:off x="0" y="0"/>
                      <a:ext cx="1951990" cy="1438275"/>
                    </a:xfrm>
                    <a:prstGeom prst="rect">
                      <a:avLst/>
                    </a:prstGeom>
                    <a:noFill/>
                    <a:ln w="9525">
                      <a:noFill/>
                      <a:miter lim="800000"/>
                      <a:headEnd/>
                      <a:tailEnd/>
                    </a:ln>
                  </pic:spPr>
                </pic:pic>
              </a:graphicData>
            </a:graphic>
          </wp:anchor>
        </w:drawing>
      </w:r>
    </w:p>
    <w:p>
      <w:pPr>
        <w:pStyle w:val="NormalWeb"/>
        <w:jc w:val="both"/>
        <w:rPr/>
      </w:pPr>
      <w:r>
        <w:rPr/>
        <w:t xml:space="preserve">Žiakom základnej školy je k dispozícii telocvičňa, multifunkčné ihrisko, počítačová učebňa, oddelenie školského klubu a školská jedáleň. Výstavba telocvične sa začala realizovať v roku 1996 a kolaudácia sa uskutočnila 9.11.1999. Stavba organicky zapadá do krásneho komplexu základnej a materskej školy. Rozmery športovej haly sú 32x16 m, k nej prevádzkovo nadväzujú sociálne zariadenia – umyvárne, WC, sprchy, kabinet, sauna s rehabilitáciou a komunikačné priestory. V roku 2010 bolo do prevádzky uvedené novovybudované multifunkčné ihrisko s umelým trávnikom z polyetylénu o rozmeroch 40x20 m vybavené mantinelovým systémom a večerným osvetlením. </w:t>
        <w:drawing>
          <wp:anchor behindDoc="0" distT="0" distB="0" distL="114300" distR="114300" simplePos="0" locked="0" layoutInCell="1" allowOverlap="1" relativeHeight="5">
            <wp:simplePos x="0" y="0"/>
            <wp:positionH relativeFrom="column">
              <wp:posOffset>3927475</wp:posOffset>
            </wp:positionH>
            <wp:positionV relativeFrom="paragraph">
              <wp:posOffset>71120</wp:posOffset>
            </wp:positionV>
            <wp:extent cx="1857375" cy="1400175"/>
            <wp:effectExtent l="0" t="0" r="0" b="0"/>
            <wp:wrapSquare wrapText="bothSides"/>
            <wp:docPr id="8" name="Pictur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icture" descr=""/>
                    <pic:cNvPicPr>
                      <a:picLocks noChangeAspect="1" noChangeArrowheads="1"/>
                    </pic:cNvPicPr>
                  </pic:nvPicPr>
                  <pic:blipFill>
                    <a:blip r:embed="rId16"/>
                    <a:stretch>
                      <a:fillRect/>
                    </a:stretch>
                  </pic:blipFill>
                  <pic:spPr bwMode="auto">
                    <a:xfrm>
                      <a:off x="0" y="0"/>
                      <a:ext cx="1857375" cy="1400175"/>
                    </a:xfrm>
                    <a:prstGeom prst="rect">
                      <a:avLst/>
                    </a:prstGeom>
                    <a:noFill/>
                    <a:ln w="9525">
                      <a:noFill/>
                      <a:miter lim="800000"/>
                      <a:headEnd/>
                      <a:tailEnd/>
                    </a:ln>
                  </pic:spPr>
                </pic:pic>
              </a:graphicData>
            </a:graphic>
          </wp:anchor>
        </w:drawing>
      </w:r>
    </w:p>
    <w:p>
      <w:pPr>
        <w:pStyle w:val="NormalWeb"/>
        <w:jc w:val="both"/>
        <w:rPr/>
      </w:pPr>
      <w:r>
        <w:rPr/>
      </w:r>
    </w:p>
    <w:p>
      <w:pPr>
        <w:pStyle w:val="Rtecenter"/>
        <w:rPr/>
      </w:pPr>
      <w:r>
        <w:rPr/>
        <w:t>Ciele:</w:t>
      </w:r>
    </w:p>
    <w:p>
      <w:pPr>
        <w:pStyle w:val="Normal"/>
        <w:numPr>
          <w:ilvl w:val="0"/>
          <w:numId w:val="1"/>
        </w:numPr>
        <w:spacing w:beforeAutospacing="1" w:afterAutospacing="1"/>
        <w:jc w:val="both"/>
        <w:rPr/>
      </w:pPr>
      <w:r>
        <w:rPr/>
        <w:t>Umožniť prístup žiakom, najmä zo sociálne znevýhodneného prostredia ku kvalitnému záujmovému vzdelávaniu a voľnočasovým aktivitám.</w:t>
      </w:r>
    </w:p>
    <w:p>
      <w:pPr>
        <w:pStyle w:val="Normal"/>
        <w:numPr>
          <w:ilvl w:val="0"/>
          <w:numId w:val="1"/>
        </w:numPr>
        <w:spacing w:beforeAutospacing="1" w:afterAutospacing="1"/>
        <w:jc w:val="both"/>
        <w:rPr/>
      </w:pPr>
      <w:r>
        <w:rPr/>
        <w:t>Poskytovať rôzne formy záujmovej činnosti</w:t>
      </w:r>
    </w:p>
    <w:p>
      <w:pPr>
        <w:pStyle w:val="Normal"/>
        <w:numPr>
          <w:ilvl w:val="0"/>
          <w:numId w:val="1"/>
        </w:numPr>
        <w:spacing w:beforeAutospacing="1" w:afterAutospacing="1"/>
        <w:jc w:val="both"/>
        <w:rPr/>
      </w:pPr>
      <w:r>
        <w:rPr/>
        <w:t>Spolupracovať s rodičmi, s občianskym združením, samosprávou. Využívať počítačovú učebňu vo vyučovacom aj mimovyučovacom čase.</w:t>
      </w:r>
    </w:p>
    <w:p>
      <w:pPr>
        <w:pStyle w:val="Normal"/>
        <w:numPr>
          <w:ilvl w:val="0"/>
          <w:numId w:val="1"/>
        </w:numPr>
        <w:spacing w:beforeAutospacing="1" w:afterAutospacing="1"/>
        <w:jc w:val="both"/>
        <w:rPr/>
      </w:pPr>
      <w:r>
        <w:rPr/>
        <w:t xml:space="preserve">Na škole sa vyučuje nemecký jazyk. Žiaci sa zapájajú do rôznych predmetových súťaží, kde si overujú svoje poznatky. Pravidelne sa zapájajú do matematických súťaží ako sú Pytagoriáda a matematická olympiáda. </w:t>
      </w:r>
    </w:p>
    <w:p>
      <w:pPr>
        <w:pStyle w:val="Normal"/>
        <w:spacing w:beforeAutospacing="1" w:afterAutospacing="1"/>
        <w:ind w:left="142" w:right="0" w:hanging="0"/>
        <w:jc w:val="both"/>
        <w:rPr/>
      </w:pPr>
      <w:r>
        <w:rPr/>
        <w:t>Po vyučovaní väčšina žiakov pracuje v niektorom z nasledujúcich krúžkov:</w:t>
      </w:r>
    </w:p>
    <w:p>
      <w:pPr>
        <w:pStyle w:val="Normal"/>
        <w:numPr>
          <w:ilvl w:val="0"/>
          <w:numId w:val="2"/>
        </w:numPr>
        <w:spacing w:beforeAutospacing="1" w:afterAutospacing="1"/>
        <w:jc w:val="both"/>
        <w:rPr/>
      </w:pPr>
      <w:r>
        <w:rPr>
          <w:rStyle w:val="Strong"/>
        </w:rPr>
        <w:t>Krúžok Anglický jazyk hrou</w:t>
      </w:r>
      <w:r>
        <w:rPr/>
        <w:t xml:space="preserve"> navštevujú žiaci 1.-4.ročníka. Žiaci sa učia čo najviac rozprávať po anglicky, spievať anglické piesne, básničky a používať anglický jazyk v rôznych situáciách.</w:t>
      </w:r>
    </w:p>
    <w:p>
      <w:pPr>
        <w:pStyle w:val="Normal"/>
        <w:numPr>
          <w:ilvl w:val="0"/>
          <w:numId w:val="2"/>
        </w:numPr>
        <w:spacing w:beforeAutospacing="1" w:afterAutospacing="1"/>
        <w:jc w:val="both"/>
        <w:rPr>
          <w:rStyle w:val="Strong"/>
          <w:b w:val="false"/>
        </w:rPr>
      </w:pPr>
      <w:r>
        <w:rPr>
          <w:rStyle w:val="Strong"/>
        </w:rPr>
        <w:t>Konverzácia v anglickom jazyku</w:t>
      </w:r>
      <w:r>
        <w:rPr>
          <w:rStyle w:val="Strong"/>
          <w:b w:val="false"/>
        </w:rPr>
        <w:t xml:space="preserve"> pre žiakov 5.-9. ročníka</w:t>
      </w:r>
    </w:p>
    <w:p>
      <w:pPr>
        <w:pStyle w:val="Normal"/>
        <w:numPr>
          <w:ilvl w:val="0"/>
          <w:numId w:val="2"/>
        </w:numPr>
        <w:spacing w:beforeAutospacing="1" w:afterAutospacing="1"/>
        <w:jc w:val="both"/>
        <w:rPr/>
      </w:pPr>
      <w:r>
        <w:rPr>
          <w:rStyle w:val="Strong"/>
        </w:rPr>
        <w:t xml:space="preserve">Cvičenia zo slovenského jazyka a literatúry – </w:t>
      </w:r>
      <w:r>
        <w:rPr/>
        <w:t>Je zameraný na prípravu žiakov 9. ročníka na celoslovenské testovanie v slovenskom jazyku a na prípravu žiakov na prijímacie pohovory na stredné školy.</w:t>
      </w:r>
    </w:p>
    <w:p>
      <w:pPr>
        <w:pStyle w:val="Normal"/>
        <w:numPr>
          <w:ilvl w:val="0"/>
          <w:numId w:val="2"/>
        </w:numPr>
        <w:spacing w:beforeAutospacing="1" w:afterAutospacing="1"/>
        <w:jc w:val="both"/>
        <w:rPr/>
      </w:pPr>
      <w:r>
        <w:rPr>
          <w:rStyle w:val="Strong"/>
        </w:rPr>
        <w:t>Matematický krúžok –</w:t>
      </w:r>
      <w:r>
        <w:rPr>
          <w:rStyle w:val="Strong"/>
          <w:b w:val="false"/>
        </w:rPr>
        <w:t xml:space="preserve"> </w:t>
      </w:r>
      <w:r>
        <w:rPr/>
        <w:t>Je zameraný na prípravu žiakov 9. ročníka na celoslovenské testovanie v matematike a na prípravu žiakov na prijímacie pohovory na stredné školy.</w:t>
      </w:r>
    </w:p>
    <w:p>
      <w:pPr>
        <w:pStyle w:val="Normal"/>
        <w:numPr>
          <w:ilvl w:val="0"/>
          <w:numId w:val="2"/>
        </w:numPr>
        <w:spacing w:beforeAutospacing="1" w:afterAutospacing="1"/>
        <w:jc w:val="both"/>
        <w:rPr/>
      </w:pPr>
      <w:r>
        <w:rPr>
          <w:rStyle w:val="Strong"/>
        </w:rPr>
        <w:t>Divadelný krúžok –</w:t>
      </w:r>
      <w:r>
        <w:rPr/>
        <w:t xml:space="preserve"> navštevujú žiaci prvého až deviateho ročníka.</w:t>
      </w:r>
    </w:p>
    <w:p>
      <w:pPr>
        <w:pStyle w:val="Normal"/>
        <w:numPr>
          <w:ilvl w:val="0"/>
          <w:numId w:val="2"/>
        </w:numPr>
        <w:spacing w:beforeAutospacing="1" w:afterAutospacing="1"/>
        <w:jc w:val="both"/>
        <w:rPr>
          <w:rStyle w:val="Strong"/>
        </w:rPr>
      </w:pPr>
      <w:r>
        <w:rPr>
          <w:rStyle w:val="Strong"/>
        </w:rPr>
        <w:t xml:space="preserve">Futbalový krúžok </w:t>
      </w:r>
    </w:p>
    <w:p>
      <w:pPr>
        <w:pStyle w:val="Normal"/>
        <w:numPr>
          <w:ilvl w:val="0"/>
          <w:numId w:val="2"/>
        </w:numPr>
        <w:spacing w:beforeAutospacing="1" w:afterAutospacing="1"/>
        <w:jc w:val="both"/>
        <w:rPr>
          <w:rStyle w:val="Strong"/>
        </w:rPr>
      </w:pPr>
      <w:r>
        <w:rPr>
          <w:rStyle w:val="Strong"/>
        </w:rPr>
        <w:t>Pohybový krúžok</w:t>
      </w:r>
    </w:p>
    <w:p>
      <w:pPr>
        <w:pStyle w:val="Normal"/>
        <w:numPr>
          <w:ilvl w:val="0"/>
          <w:numId w:val="2"/>
        </w:numPr>
        <w:spacing w:beforeAutospacing="1" w:afterAutospacing="1"/>
        <w:jc w:val="both"/>
        <w:rPr>
          <w:rStyle w:val="Strong"/>
        </w:rPr>
      </w:pPr>
      <w:r>
        <w:rPr>
          <w:rStyle w:val="Strong"/>
        </w:rPr>
        <w:t>Stolno-tenisový krúžok</w:t>
      </w:r>
    </w:p>
    <w:p>
      <w:pPr>
        <w:pStyle w:val="Normal"/>
        <w:numPr>
          <w:ilvl w:val="0"/>
          <w:numId w:val="2"/>
        </w:numPr>
        <w:spacing w:beforeAutospacing="1" w:afterAutospacing="1"/>
        <w:jc w:val="both"/>
        <w:rPr>
          <w:b/>
        </w:rPr>
      </w:pPr>
      <w:r>
        <w:rPr>
          <w:b/>
        </w:rPr>
        <w:t>Výtvarný krúžok</w:t>
      </w:r>
    </w:p>
    <w:p>
      <w:pPr>
        <w:pStyle w:val="Normal"/>
        <w:numPr>
          <w:ilvl w:val="0"/>
          <w:numId w:val="2"/>
        </w:numPr>
        <w:spacing w:beforeAutospacing="1" w:afterAutospacing="1"/>
        <w:jc w:val="both"/>
        <w:rPr>
          <w:b/>
        </w:rPr>
      </w:pPr>
      <w:r>
        <w:rPr>
          <w:b/>
        </w:rPr>
        <w:t>ŠKD - Lastovička</w:t>
      </w:r>
    </w:p>
    <w:p>
      <w:pPr>
        <w:pStyle w:val="Normal"/>
        <w:rPr/>
      </w:pPr>
      <w:r>
        <w:rPr/>
      </w:r>
    </w:p>
    <w:p>
      <w:pPr>
        <w:pStyle w:val="Normal"/>
        <w:rPr/>
      </w:pPr>
      <w:r>
        <w:rPr/>
      </w:r>
    </w:p>
    <w:p>
      <w:pPr>
        <w:pStyle w:val="Normal"/>
        <w:rPr/>
      </w:pPr>
      <w:r>
        <w:rPr/>
      </w:r>
    </w:p>
    <w:p>
      <w:pPr>
        <w:pStyle w:val="Normal"/>
        <w:tabs>
          <w:tab w:val="right" w:pos="8820" w:leader="none"/>
        </w:tabs>
        <w:jc w:val="both"/>
        <w:rPr>
          <w:b/>
          <w:color w:val="FF0000"/>
          <w:sz w:val="28"/>
          <w:szCs w:val="28"/>
        </w:rPr>
      </w:pPr>
      <w:r>
        <w:rPr>
          <w:b/>
          <w:color w:val="FF0000"/>
          <w:sz w:val="28"/>
          <w:szCs w:val="28"/>
        </w:rPr>
        <w:t>1.10 Zdravotníctvo</w:t>
      </w:r>
    </w:p>
    <w:p>
      <w:pPr>
        <w:pStyle w:val="NormalWeb"/>
        <w:jc w:val="both"/>
        <w:rPr>
          <w:sz w:val="23"/>
          <w:szCs w:val="23"/>
        </w:rPr>
      </w:pPr>
      <w:r>
        <w:rPr/>
        <w:t>V obci sa nenachádza zdravotné stredisko</w:t>
      </w:r>
      <w:r>
        <w:rPr>
          <w:sz w:val="23"/>
          <w:szCs w:val="23"/>
        </w:rPr>
        <w:t xml:space="preserve"> čo je dôsledkom faktu, že obec bola spojená od roku 1975 do roku 1991 so susednou obcou Močenok, pod menom Sládečkovce. Obec Močenok bola považovaná za strediskovú obec, ako taká dostala podporu aj na vybudovanie zdravotného strediska, ktoré bolo zdravotným strediskom aj pre občanov Hornej Kráľovej. Občania obce Horná Kráľová sú tým pádom v súčasnosti odkázaní na využívanie zdravotnej starostlivosti buď v už spomínanej susednej obci Močenok alebo v najbližších mestách v Šali a v Nitre.</w:t>
      </w:r>
    </w:p>
    <w:p>
      <w:pPr>
        <w:pStyle w:val="NormalWeb"/>
        <w:jc w:val="both"/>
        <w:rPr>
          <w:b/>
          <w:color w:val="FF0000"/>
          <w:sz w:val="28"/>
          <w:szCs w:val="28"/>
        </w:rPr>
      </w:pPr>
      <w:r>
        <w:rPr>
          <w:b/>
          <w:color w:val="FF0000"/>
          <w:sz w:val="28"/>
          <w:szCs w:val="28"/>
        </w:rPr>
        <w:t>1.11 Sociálne služby</w:t>
      </w:r>
    </w:p>
    <w:p>
      <w:pPr>
        <w:pStyle w:val="NormalWeb"/>
        <w:jc w:val="both"/>
        <w:rPr>
          <w:sz w:val="23"/>
          <w:szCs w:val="23"/>
        </w:rPr>
      </w:pPr>
      <w:r>
        <w:rPr>
          <w:sz w:val="23"/>
          <w:szCs w:val="23"/>
        </w:rPr>
        <w:t>Sociálne služby – rozvoz obedov pre dôchodcov v obci zabezpečuje obecný úrad. Najbližší Domov dôchodcov sa nachádza  v obci Močenok.</w:t>
      </w:r>
    </w:p>
    <w:p>
      <w:pPr>
        <w:pStyle w:val="Normal"/>
        <w:tabs>
          <w:tab w:val="right" w:pos="8820" w:leader="none"/>
        </w:tabs>
        <w:jc w:val="both"/>
        <w:rPr>
          <w:b/>
          <w:color w:val="FF0000"/>
          <w:sz w:val="28"/>
          <w:szCs w:val="28"/>
        </w:rPr>
      </w:pPr>
      <w:r>
        <w:rPr>
          <w:b/>
          <w:color w:val="FF0000"/>
          <w:sz w:val="28"/>
          <w:szCs w:val="28"/>
        </w:rPr>
        <w:t>1.12 Kultúra</w:t>
      </w:r>
    </w:p>
    <w:p>
      <w:pPr>
        <w:pStyle w:val="Normal"/>
        <w:tabs>
          <w:tab w:val="right" w:pos="8820" w:leader="none"/>
        </w:tabs>
        <w:jc w:val="both"/>
        <w:rPr>
          <w:b/>
          <w:color w:val="000000"/>
          <w:sz w:val="28"/>
          <w:szCs w:val="28"/>
        </w:rPr>
      </w:pPr>
      <w:r>
        <w:rPr>
          <w:b/>
          <w:color w:val="000000"/>
          <w:sz w:val="28"/>
          <w:szCs w:val="28"/>
        </w:rPr>
      </w:r>
    </w:p>
    <w:p>
      <w:pPr>
        <w:pStyle w:val="Normal"/>
        <w:tabs>
          <w:tab w:val="right" w:pos="8820" w:leader="none"/>
        </w:tabs>
        <w:jc w:val="both"/>
        <w:rPr/>
      </w:pPr>
      <w:r>
        <w:rPr/>
        <w:t>Kultúrny život obce riadi obecný úrad prostredníctvom miestneho kultúrneho strediska. Kultúrnu ponuku reprezentujú vzdelávacie prednášky, divadelné predstavenia miestnych amatérskych skupín, folklórne slávnosti, tanečné zábavy a verejné oslavy. Pre mladých je k dispozícií Klub mladých v ktorom sa stretávajú pravidelne mamičky s ďeťmi /Materské centrum/, pre starších občanov Klub dôchodcov kde sa pravidelne stretávajú dôchodcovia a invalidi pri pletení košíkov a iných ručných prác. Obecná knižnica sa usiluje svojim poslaním uspokojovať vzdelanostnú a kultúrnu potrebu občanov.</w:t>
      </w:r>
    </w:p>
    <w:p>
      <w:pPr>
        <w:pStyle w:val="Normal"/>
        <w:tabs>
          <w:tab w:val="right" w:pos="8820" w:leader="none"/>
        </w:tabs>
        <w:jc w:val="both"/>
        <w:rPr/>
      </w:pPr>
      <w:r>
        <w:rPr/>
        <w:drawing>
          <wp:anchor behindDoc="0" distT="0" distB="0" distL="114300" distR="114300" simplePos="0" locked="0" layoutInCell="1" allowOverlap="1" relativeHeight="6">
            <wp:simplePos x="0" y="0"/>
            <wp:positionH relativeFrom="column">
              <wp:posOffset>2908935</wp:posOffset>
            </wp:positionH>
            <wp:positionV relativeFrom="paragraph">
              <wp:posOffset>-289560</wp:posOffset>
            </wp:positionV>
            <wp:extent cx="2771775" cy="2075815"/>
            <wp:effectExtent l="0" t="0" r="0" b="0"/>
            <wp:wrapSquare wrapText="bothSides"/>
            <wp:docPr id="9" name="Pictur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Picture" descr=""/>
                    <pic:cNvPicPr>
                      <a:picLocks noChangeAspect="1" noChangeArrowheads="1"/>
                    </pic:cNvPicPr>
                  </pic:nvPicPr>
                  <pic:blipFill>
                    <a:blip r:embed="rId17"/>
                    <a:stretch>
                      <a:fillRect/>
                    </a:stretch>
                  </pic:blipFill>
                  <pic:spPr bwMode="auto">
                    <a:xfrm>
                      <a:off x="0" y="0"/>
                      <a:ext cx="2771775" cy="2075815"/>
                    </a:xfrm>
                    <a:prstGeom prst="rect">
                      <a:avLst/>
                    </a:prstGeom>
                    <a:noFill/>
                    <a:ln w="9525">
                      <a:noFill/>
                      <a:miter lim="800000"/>
                      <a:headEnd/>
                      <a:tailEnd/>
                    </a:ln>
                  </pic:spPr>
                </pic:pic>
              </a:graphicData>
            </a:graphic>
          </wp:anchor>
        </w:drawing>
      </w:r>
    </w:p>
    <w:p>
      <w:pPr>
        <w:pStyle w:val="Normal"/>
        <w:tabs>
          <w:tab w:val="right" w:pos="8820" w:leader="none"/>
        </w:tabs>
        <w:jc w:val="both"/>
        <w:rPr/>
      </w:pPr>
      <w:r>
        <w:rPr/>
        <w:t>V obci sa každoročne pravidelne konajú spoločenské podujatia ako: Celoobecné oslavy Dňa matiek, v októbri je mesiac úcty k starším, tanečný kurz pre žiakov 9. ročníka ZŠ, výstavy, divadelné predstavenia, tanečné zábavy a plesy v spolupráci s miestnymi organizáciami.</w:t>
      </w:r>
    </w:p>
    <w:p>
      <w:pPr>
        <w:pStyle w:val="Normal"/>
        <w:tabs>
          <w:tab w:val="right" w:pos="8820" w:leader="none"/>
        </w:tabs>
        <w:jc w:val="both"/>
        <w:rPr>
          <w:sz w:val="23"/>
          <w:szCs w:val="23"/>
        </w:rPr>
      </w:pPr>
      <w:r>
        <w:rPr>
          <w:sz w:val="23"/>
          <w:szCs w:val="23"/>
        </w:rPr>
        <w:t xml:space="preserve">V obci vykonávajú záujmovú činnosť tri divadelné súbory: Mládežnícky divadelný súbor Desať pri MKS, divadelný súbor MO Csemadok-u a dramatický krúžok pri ZŠ. Každý divadelný súbor prednesie ročne jedno divadelné predstavenie, ktoré majú možnosť vidieť aj občania susedných obcí. Miestne kultúrne stredisko vydáva aj obecné noviny – občasník Kráľovské zvesti. Občasník vychádza trikrát ročne v náklade 150 kusov po slovensky a 50 kusov po maďarsky. </w:t>
      </w:r>
    </w:p>
    <w:p>
      <w:pPr>
        <w:pStyle w:val="Normal"/>
        <w:tabs>
          <w:tab w:val="right" w:pos="8820" w:leader="none"/>
        </w:tabs>
        <w:jc w:val="both"/>
        <w:rPr>
          <w:sz w:val="23"/>
          <w:szCs w:val="23"/>
        </w:rPr>
      </w:pPr>
      <w:r>
        <w:rPr>
          <w:sz w:val="23"/>
          <w:szCs w:val="23"/>
        </w:rPr>
      </w:r>
    </w:p>
    <w:p>
      <w:pPr>
        <w:pStyle w:val="Normal"/>
        <w:tabs>
          <w:tab w:val="right" w:pos="8820" w:leader="none"/>
        </w:tabs>
        <w:jc w:val="both"/>
        <w:rPr/>
      </w:pPr>
      <w:r>
        <w:rPr/>
        <w:t xml:space="preserve">Vo vlastníctve obce je </w:t>
      </w:r>
      <w:r>
        <w:rPr>
          <w:b/>
        </w:rPr>
        <w:t>kultúrny dom</w:t>
      </w:r>
      <w:r>
        <w:rPr/>
        <w:t>, ktorý okrem kultúrnych a obecných podujatí poskytuje priestory aj pre rodinné oslavy a podujatia občanom obce. V roku 2005 prešiel kultúrny dom procesom modernizácie, vymenila sa elektroinštalácia, prebudovali sa sociálne zariadenia, obnovili parkety, obloženia stien a nátery. V budove MKS je aj miestnosť vytvorená pre stretávky mladých v Klube mládeže, takisto sa tu nachádza aj knižnica a funguje tu aj Klub dôchodcov.</w:t>
      </w:r>
    </w:p>
    <w:p>
      <w:pPr>
        <w:pStyle w:val="Normal"/>
        <w:tabs>
          <w:tab w:val="right" w:pos="8820" w:leader="none"/>
        </w:tabs>
        <w:jc w:val="both"/>
        <w:rPr>
          <w:color w:val="000000"/>
        </w:rPr>
      </w:pPr>
      <w:r>
        <w:rPr>
          <w:color w:val="000000"/>
        </w:rPr>
        <w:t xml:space="preserve"> </w:t>
      </w:r>
      <w:r>
        <w:rPr>
          <w:color w:val="000000"/>
        </w:rPr>
        <w:drawing>
          <wp:inline distT="0" distB="0" distL="0" distR="0">
            <wp:extent cx="2771775" cy="2066925"/>
            <wp:effectExtent l="0" t="0" r="0" b="0"/>
            <wp:docPr id="10" name="Pictur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Picture" descr=""/>
                    <pic:cNvPicPr>
                      <a:picLocks noChangeAspect="1" noChangeArrowheads="1"/>
                    </pic:cNvPicPr>
                  </pic:nvPicPr>
                  <pic:blipFill>
                    <a:blip r:embed="rId18"/>
                    <a:stretch>
                      <a:fillRect/>
                    </a:stretch>
                  </pic:blipFill>
                  <pic:spPr bwMode="auto">
                    <a:xfrm>
                      <a:off x="0" y="0"/>
                      <a:ext cx="2771775" cy="2066925"/>
                    </a:xfrm>
                    <a:prstGeom prst="rect">
                      <a:avLst/>
                    </a:prstGeom>
                    <a:noFill/>
                    <a:ln w="9525">
                      <a:noFill/>
                      <a:miter lim="800000"/>
                      <a:headEnd/>
                      <a:tailEnd/>
                    </a:ln>
                  </pic:spPr>
                </pic:pic>
              </a:graphicData>
            </a:graphic>
          </wp:inline>
        </w:drawing>
      </w:r>
      <w:r>
        <w:rPr>
          <w:color w:val="000000"/>
        </w:rPr>
        <w:t xml:space="preserve"> </w:t>
      </w:r>
      <w:r>
        <w:rPr>
          <w:color w:val="000000"/>
        </w:rPr>
        <w:drawing>
          <wp:inline distT="0" distB="0" distL="0" distR="0">
            <wp:extent cx="2895600" cy="2152650"/>
            <wp:effectExtent l="0" t="0" r="0" b="0"/>
            <wp:docPr id="11" name="Pictur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descr=""/>
                    <pic:cNvPicPr>
                      <a:picLocks noChangeAspect="1" noChangeArrowheads="1"/>
                    </pic:cNvPicPr>
                  </pic:nvPicPr>
                  <pic:blipFill>
                    <a:blip r:embed="rId19"/>
                    <a:stretch>
                      <a:fillRect/>
                    </a:stretch>
                  </pic:blipFill>
                  <pic:spPr bwMode="auto">
                    <a:xfrm>
                      <a:off x="0" y="0"/>
                      <a:ext cx="2895600" cy="2152650"/>
                    </a:xfrm>
                    <a:prstGeom prst="rect">
                      <a:avLst/>
                    </a:prstGeom>
                    <a:noFill/>
                    <a:ln w="9525">
                      <a:noFill/>
                      <a:miter lim="800000"/>
                      <a:headEnd/>
                      <a:tailEnd/>
                    </a:ln>
                  </pic:spPr>
                </pic:pic>
              </a:graphicData>
            </a:graphic>
          </wp:inline>
        </w:drawing>
      </w:r>
    </w:p>
    <w:p>
      <w:pPr>
        <w:pStyle w:val="Normal"/>
        <w:tabs>
          <w:tab w:val="right" w:pos="8820" w:leader="none"/>
        </w:tabs>
        <w:jc w:val="both"/>
        <w:rPr>
          <w:color w:val="000000"/>
        </w:rPr>
      </w:pPr>
      <w:r>
        <w:rPr>
          <w:color w:val="000000"/>
        </w:rPr>
      </w:r>
    </w:p>
    <w:p>
      <w:pPr>
        <w:pStyle w:val="Normal"/>
        <w:tabs>
          <w:tab w:val="right" w:pos="8820" w:leader="none"/>
        </w:tabs>
        <w:jc w:val="both"/>
        <w:rPr>
          <w:color w:val="000000"/>
        </w:rPr>
      </w:pPr>
      <w:r>
        <w:rPr>
          <w:color w:val="000000"/>
        </w:rPr>
        <w:t xml:space="preserve">Obec má uzatvorenú spoluprácu s družobnými obcami, s ktorými sa vzájomne navštevujú a organizujú spoločné podujatia, kultúrne akcie, spolupracujú v rámci škôl a organizujú aj spoločné športové podujatia. </w:t>
      </w:r>
    </w:p>
    <w:p>
      <w:pPr>
        <w:pStyle w:val="Normal"/>
        <w:tabs>
          <w:tab w:val="left" w:pos="1701" w:leader="none"/>
          <w:tab w:val="right" w:pos="8820" w:leader="none"/>
        </w:tabs>
        <w:ind w:left="1701" w:right="0" w:hanging="1695"/>
        <w:jc w:val="both"/>
        <w:rPr>
          <w:color w:val="000000"/>
        </w:rPr>
      </w:pPr>
      <w:r>
        <w:rPr>
          <w:color w:val="000000"/>
        </w:rPr>
        <w:t xml:space="preserve">Družobné obce: </w:t>
        <w:tab/>
        <w:t xml:space="preserve">- </w:t>
      </w:r>
      <w:r>
        <w:rPr>
          <w:b/>
          <w:color w:val="000000"/>
        </w:rPr>
        <w:t>Kesztúc /</w:t>
      </w:r>
      <w:r>
        <w:rPr>
          <w:b/>
        </w:rPr>
        <w:t>Kesztölc/</w:t>
      </w:r>
      <w:r>
        <w:rPr>
          <w:color w:val="000000"/>
        </w:rPr>
        <w:t xml:space="preserve"> (Maďarsko) má 2659 obyvateľov z čoho sa</w:t>
      </w:r>
    </w:p>
    <w:p>
      <w:pPr>
        <w:pStyle w:val="Normal"/>
        <w:tabs>
          <w:tab w:val="left" w:pos="1701" w:leader="none"/>
          <w:tab w:val="right" w:pos="8820" w:leader="none"/>
        </w:tabs>
        <w:ind w:left="1701" w:right="0" w:hanging="1695"/>
        <w:jc w:val="both"/>
        <w:rPr>
          <w:color w:val="000000"/>
        </w:rPr>
      </w:pPr>
      <w:r>
        <w:rPr>
          <w:color w:val="000000"/>
        </w:rPr>
        <w:tab/>
        <w:t xml:space="preserve">  k slovenskej národnosti hlási cca 9,7 %.</w:t>
      </w:r>
    </w:p>
    <w:p>
      <w:pPr>
        <w:pStyle w:val="Normal"/>
        <w:tabs>
          <w:tab w:val="left" w:pos="1701" w:leader="none"/>
          <w:tab w:val="right" w:pos="8820" w:leader="none"/>
        </w:tabs>
        <w:jc w:val="both"/>
        <w:rPr>
          <w:color w:val="000000"/>
        </w:rPr>
      </w:pPr>
      <w:r>
        <w:rPr>
          <w:color w:val="000000"/>
        </w:rPr>
        <w:tab/>
        <w:t xml:space="preserve">- obec </w:t>
      </w:r>
      <w:r>
        <w:rPr>
          <w:b/>
          <w:color w:val="000000"/>
        </w:rPr>
        <w:t xml:space="preserve">Búč </w:t>
      </w:r>
      <w:r>
        <w:rPr>
          <w:color w:val="000000"/>
        </w:rPr>
        <w:t>sa nachádza v okrese Komárno, má 1196 obyvateľov.</w:t>
      </w:r>
    </w:p>
    <w:p>
      <w:pPr>
        <w:pStyle w:val="Normal"/>
        <w:tabs>
          <w:tab w:val="right" w:pos="8820" w:leader="none"/>
        </w:tabs>
        <w:jc w:val="both"/>
        <w:rPr>
          <w:color w:val="000000"/>
        </w:rPr>
      </w:pPr>
      <w:r>
        <w:rPr>
          <w:color w:val="000000"/>
        </w:rPr>
      </w:r>
    </w:p>
    <w:p>
      <w:pPr>
        <w:pStyle w:val="Normal"/>
        <w:tabs>
          <w:tab w:val="right" w:pos="8820" w:leader="none"/>
        </w:tabs>
        <w:jc w:val="both"/>
        <w:rPr>
          <w:sz w:val="23"/>
          <w:szCs w:val="23"/>
        </w:rPr>
      </w:pPr>
      <w:r>
        <w:rPr>
          <w:b/>
          <w:sz w:val="23"/>
          <w:szCs w:val="23"/>
        </w:rPr>
        <w:t>Športové podujatia</w:t>
      </w:r>
      <w:r>
        <w:rPr>
          <w:sz w:val="23"/>
          <w:szCs w:val="23"/>
        </w:rPr>
        <w:t xml:space="preserve"> sú zastúpené hlavne futbalovými zápasmi a turnajmi KFC TIBI Horná Kráľová – družstvo seniorov, dorastu a žiakov. Raz ročne v letných mesiacoch sa uskutočňuje „medziuličkový“ futbalový turnaj. </w:t>
      </w:r>
    </w:p>
    <w:p>
      <w:pPr>
        <w:pStyle w:val="Normal"/>
        <w:tabs>
          <w:tab w:val="right" w:pos="8820" w:leader="none"/>
        </w:tabs>
        <w:jc w:val="both"/>
        <w:rPr>
          <w:sz w:val="23"/>
          <w:szCs w:val="23"/>
        </w:rPr>
      </w:pPr>
      <w:r>
        <w:rPr>
          <w:sz w:val="23"/>
          <w:szCs w:val="23"/>
        </w:rPr>
      </w:r>
    </w:p>
    <w:p>
      <w:pPr>
        <w:pStyle w:val="Normal"/>
        <w:tabs>
          <w:tab w:val="right" w:pos="8820" w:leader="none"/>
        </w:tabs>
        <w:jc w:val="both"/>
        <w:rPr>
          <w:sz w:val="23"/>
          <w:szCs w:val="23"/>
        </w:rPr>
      </w:pPr>
      <w:r>
        <w:rPr>
          <w:sz w:val="23"/>
          <w:szCs w:val="23"/>
        </w:rPr>
      </w:r>
    </w:p>
    <w:p>
      <w:pPr>
        <w:pStyle w:val="Normal"/>
        <w:tabs>
          <w:tab w:val="right" w:pos="8820" w:leader="none"/>
        </w:tabs>
        <w:jc w:val="both"/>
        <w:rPr>
          <w:b/>
          <w:color w:val="000000"/>
          <w:sz w:val="28"/>
          <w:szCs w:val="28"/>
        </w:rPr>
      </w:pPr>
      <w:r>
        <w:rPr>
          <w:b/>
          <w:color w:val="000000"/>
          <w:sz w:val="28"/>
          <w:szCs w:val="28"/>
        </w:rPr>
        <w:t>Miestne organizácie</w:t>
      </w:r>
    </w:p>
    <w:p>
      <w:pPr>
        <w:pStyle w:val="Normal"/>
        <w:tabs>
          <w:tab w:val="right" w:pos="8820" w:leader="none"/>
        </w:tabs>
        <w:jc w:val="both"/>
        <w:rPr>
          <w:b/>
          <w:color w:val="000000"/>
          <w:sz w:val="28"/>
          <w:szCs w:val="28"/>
        </w:rPr>
      </w:pPr>
      <w:r>
        <w:rPr>
          <w:b/>
          <w:color w:val="000000"/>
          <w:sz w:val="28"/>
          <w:szCs w:val="28"/>
        </w:rPr>
      </w:r>
    </w:p>
    <w:p>
      <w:pPr>
        <w:pStyle w:val="Normal"/>
        <w:tabs>
          <w:tab w:val="right" w:pos="8820" w:leader="none"/>
        </w:tabs>
        <w:jc w:val="both"/>
        <w:rPr>
          <w:color w:val="000000"/>
          <w:sz w:val="22"/>
          <w:szCs w:val="22"/>
        </w:rPr>
      </w:pPr>
      <w:r>
        <w:rPr>
          <w:color w:val="000000"/>
          <w:sz w:val="22"/>
          <w:szCs w:val="22"/>
        </w:rPr>
        <w:t xml:space="preserve">Spoločenský a kultúrny život v obci zabezpečujú Miestne organizácie. Ich snahou je vhodne vyplniť a spestriť kultúrny život, záujmovú činnosť občanov, organizovať spoločenské akcie, podujatia a výlety a spolupodieľať sa na akciách organizovaných obcou. </w:t>
      </w:r>
    </w:p>
    <w:p>
      <w:pPr>
        <w:pStyle w:val="Normal"/>
        <w:tabs>
          <w:tab w:val="right" w:pos="8820" w:leader="none"/>
        </w:tabs>
        <w:jc w:val="both"/>
        <w:rPr>
          <w:color w:val="000000"/>
          <w:sz w:val="22"/>
          <w:szCs w:val="22"/>
        </w:rPr>
      </w:pPr>
      <w:r>
        <w:rPr>
          <w:color w:val="000000"/>
          <w:sz w:val="22"/>
          <w:szCs w:val="22"/>
        </w:rPr>
      </w:r>
    </w:p>
    <w:p>
      <w:pPr>
        <w:pStyle w:val="Nadpis1"/>
        <w:rPr>
          <w:sz w:val="28"/>
          <w:szCs w:val="28"/>
        </w:rPr>
      </w:pPr>
      <w:r>
        <w:rPr>
          <w:sz w:val="28"/>
          <w:szCs w:val="28"/>
        </w:rPr>
        <w:t>Dobrovoľný hasičský zbor Horná Kráľová</w:t>
      </w:r>
    </w:p>
    <w:p>
      <w:pPr>
        <w:pStyle w:val="Normal"/>
        <w:rPr/>
      </w:pPr>
      <w:hyperlink r:id="rId20">
        <w:r>
          <w:rPr/>
        </w:r>
      </w:hyperlink>
    </w:p>
    <w:p>
      <w:pPr>
        <w:pStyle w:val="NormalWeb"/>
        <w:jc w:val="both"/>
        <w:rPr/>
      </w:pPr>
      <w:r>
        <w:rPr>
          <w:rStyle w:val="Strong"/>
        </w:rPr>
        <w:t xml:space="preserve">Dobrovoľný hasičský zbor </w:t>
      </w:r>
      <w:r>
        <w:rPr/>
        <w:t>vykonáva svoju činnosť v obci už niekoľko rokov. V súčasnosti je jeho predsedom p. Jozef Lenický. DHZ má 30 členov. Členovia hasičského zboru sa zúčastňujú na cirkevných, obecných a kultúrnych podujatiach v uniformách napr. ako čestná stráž. Člen zboru Štefan Sýkora sa pravidelne zúčastňuje na okresných a krajských súťažiach ako rozhodca. DHZ má vo výbave: hasičskú striekačku PS – 12, kompletnú výbavu na vodný útok /t.j. hadice, rozdeľovač, prúdnice/. Z obecných hydrantov sú schopní hasiť vlastne celú obec. V roku 2011 členovia zboru postúpili v okresnej súťaži /vodný útok, štafeta/ do krajského kola.</w:t>
        <w:drawing>
          <wp:anchor behindDoc="0" distT="0" distB="0" distL="114300" distR="114300" simplePos="0" locked="0" layoutInCell="1" allowOverlap="1" relativeHeight="7">
            <wp:simplePos x="0" y="0"/>
            <wp:positionH relativeFrom="column">
              <wp:posOffset>3810</wp:posOffset>
            </wp:positionH>
            <wp:positionV relativeFrom="paragraph">
              <wp:posOffset>176530</wp:posOffset>
            </wp:positionV>
            <wp:extent cx="1466850" cy="1809750"/>
            <wp:effectExtent l="0" t="0" r="0" b="0"/>
            <wp:wrapSquare wrapText="bothSides"/>
            <wp:docPr id="12" name="Picture" descr="http://www.travnica.sk/sites/default/files/images/logo-dpos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Picture" descr="http://www.travnica.sk/sites/default/files/images/logo-dposr.jpg"/>
                    <pic:cNvPicPr>
                      <a:picLocks noChangeAspect="1" noChangeArrowheads="1"/>
                    </pic:cNvPicPr>
                  </pic:nvPicPr>
                  <pic:blipFill>
                    <a:blip r:embed="rId21"/>
                    <a:stretch>
                      <a:fillRect/>
                    </a:stretch>
                  </pic:blipFill>
                  <pic:spPr bwMode="auto">
                    <a:xfrm>
                      <a:off x="0" y="0"/>
                      <a:ext cx="1466850" cy="1809750"/>
                    </a:xfrm>
                    <a:prstGeom prst="rect">
                      <a:avLst/>
                    </a:prstGeom>
                    <a:noFill/>
                    <a:ln w="9525">
                      <a:noFill/>
                      <a:miter lim="800000"/>
                      <a:headEnd/>
                      <a:tailEnd/>
                    </a:ln>
                  </pic:spPr>
                </pic:pic>
              </a:graphicData>
            </a:graphic>
          </wp:anchor>
        </w:drawing>
      </w:r>
    </w:p>
    <w:p>
      <w:pPr>
        <w:pStyle w:val="Normal"/>
        <w:rPr/>
      </w:pPr>
      <w:r>
        <w:rPr/>
      </w:r>
    </w:p>
    <w:p>
      <w:pPr>
        <w:pStyle w:val="Nadpis1"/>
        <w:jc w:val="both"/>
        <w:rPr>
          <w:sz w:val="28"/>
          <w:szCs w:val="28"/>
        </w:rPr>
      </w:pPr>
      <w:r>
        <w:rPr>
          <w:sz w:val="28"/>
          <w:szCs w:val="28"/>
        </w:rPr>
        <w:t>MO zväzu zdravotne postihnutých občanov</w:t>
      </w:r>
    </w:p>
    <w:p>
      <w:pPr>
        <w:pStyle w:val="Normal"/>
        <w:rPr>
          <w:lang w:eastAsia="cs-CZ"/>
        </w:rPr>
      </w:pPr>
      <w:r>
        <w:rPr>
          <w:lang w:eastAsia="cs-CZ"/>
        </w:rPr>
      </w:r>
    </w:p>
    <w:p>
      <w:pPr>
        <w:pStyle w:val="Normal"/>
        <w:jc w:val="both"/>
        <w:rPr/>
      </w:pPr>
      <w:r>
        <w:rPr/>
        <w:t>Občianske združenie Miestna organizácia zdravotne postihnutých občanov v obci vyvíja činnosť už piaty rok s 90 člennou členskou základňou. Má trojčlenný výbor, na čele združenia je predsedkyňa p. Jolana Ristová. V rámci činnosti pomáhajú občanom s telesným postihnutím pri riešení sociálnych, ekonomických, psychických, a spoločenských záujmov. Členovia sa každoročne zúčastňujú na rehabilitačno-ozdravovacích pobytoch, čím prispievajú k udržiavaniu alebo zlepšovaniu zdravotného stavu, ako telesnému tak aj duševnému. Zámerom týchto pobytov je umožniť začlenenie občanov s telesným postihnutím do spoločnosti a zabezpečiť im čo najlepšiu dosiahnuteľnú kvalitu života s najvyššou možnou mierou nezávislosti, samostatnosti, sociálnej integrácie, osobného zadosťučinenia a ľudskej dôstojnosti. Okrem týchto sociálno-rehabilitačných akcií občianske združenie organizuje i kultúrno-spoločenské podujatia ako sú : návšteva divadelných predstavení, vianočné benefičné koncerty, vianočné trhy v Györi, výročné členské schôdze s kultúrnym programom a pohostením alebo oslava sviatku sv. Mikuláša s kultúrnym programom.</w:t>
      </w:r>
    </w:p>
    <w:p>
      <w:pPr>
        <w:pStyle w:val="Normal"/>
        <w:rPr/>
      </w:pPr>
      <w:r>
        <w:rPr/>
      </w:r>
    </w:p>
    <w:p>
      <w:pPr>
        <w:pStyle w:val="Nadpis1"/>
        <w:jc w:val="both"/>
        <w:rPr>
          <w:sz w:val="28"/>
          <w:szCs w:val="28"/>
        </w:rPr>
      </w:pPr>
      <w:r>
        <w:rPr>
          <w:sz w:val="28"/>
          <w:szCs w:val="28"/>
        </w:rPr>
        <w:t>Miestny spolok Slovenského červeného kríža</w:t>
      </w:r>
    </w:p>
    <w:p>
      <w:pPr>
        <w:pStyle w:val="Normal"/>
        <w:rPr>
          <w:lang w:eastAsia="cs-CZ"/>
        </w:rPr>
      </w:pPr>
      <w:r>
        <w:rPr>
          <w:lang w:eastAsia="cs-CZ"/>
        </w:rPr>
      </w:r>
    </w:p>
    <w:p>
      <w:pPr>
        <w:pStyle w:val="Normal"/>
        <w:jc w:val="both"/>
        <w:rPr/>
      </w:pPr>
      <w:r>
        <w:rPr/>
        <w:t>Činnosť miestneho spolku SČK bola obnovená vo februári 1997 s 35 darcami krvi. Predsedníčkou je Alžbeta Lencsésová. Prioritou členov spolku je darovať krv pre záchranu ľudského života. Najskôr sa aktivity spolku zameriavali na získavanie darcov a darovanie krvi predovšetkým na hematologickotransfúznom oddelení v Nitre, neskôr v Galante a v Bratislave. Postupne sa počet členov ako aj aktivity spolku červeného kríža rozrastali. V súčasnosti sa organizuje darovanie krvi v miestnom kultúrnom dome pre HTO Nové Zámky. Pre žiakov základnej školy organizovali napríklad prednášky „Čo vieš o prvej pomoci“, spolupracovali na realizácii programu „Zdravá škola“, pripravovali žiakov na súťaž mladých zdravotníkov a pripravili prednášku o prvej pomoci pre obyvateľov obce v spolupráci s pracovníkmi ČK z Galanty. Spolok má v súčasnosti 50 členov, pre ktorých ako odmenu za darovanie krvi organizujú rôzne podujatia, či už je to táborák na futbalovom ihrisku, návšteva Divadla A.Bagara v Nitre, jednodňové výlety za krásami Slovenska alebo tanečnú zábavu - Majáles. Darovať krv je vysoko humánny čin pre tých, ktorí to nutne potrebujú. Členom MS SČK sa stal tento čin už samozrejmosťou. Svedčí o tom aj množstvo držiteľov zlatej, striebornej a bronzovej  Janského plakety.</w:t>
        <w:drawing>
          <wp:anchor behindDoc="0" distT="0" distB="0" distL="114300" distR="114300" simplePos="0" locked="0" layoutInCell="1" allowOverlap="1" relativeHeight="8">
            <wp:simplePos x="0" y="0"/>
            <wp:positionH relativeFrom="column">
              <wp:posOffset>3810</wp:posOffset>
            </wp:positionH>
            <wp:positionV relativeFrom="paragraph">
              <wp:posOffset>621030</wp:posOffset>
            </wp:positionV>
            <wp:extent cx="1343660" cy="1343660"/>
            <wp:effectExtent l="0" t="0" r="0" b="0"/>
            <wp:wrapSquare wrapText="bothSides"/>
            <wp:docPr id="13" name="Picture" descr="Logo SČ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descr="Logo SČK"/>
                    <pic:cNvPicPr>
                      <a:picLocks noChangeAspect="1" noChangeArrowheads="1"/>
                    </pic:cNvPicPr>
                  </pic:nvPicPr>
                  <pic:blipFill>
                    <a:blip r:embed="rId22"/>
                    <a:stretch>
                      <a:fillRect/>
                    </a:stretch>
                  </pic:blipFill>
                  <pic:spPr bwMode="auto">
                    <a:xfrm>
                      <a:off x="0" y="0"/>
                      <a:ext cx="1343660" cy="1343660"/>
                    </a:xfrm>
                    <a:prstGeom prst="rect">
                      <a:avLst/>
                    </a:prstGeom>
                    <a:noFill/>
                    <a:ln w="9525">
                      <a:noFill/>
                      <a:miter lim="800000"/>
                      <a:headEnd/>
                      <a:tailEnd/>
                    </a:ln>
                  </pic:spPr>
                </pic:pic>
              </a:graphicData>
            </a:graphic>
          </wp:anchor>
        </w:drawing>
      </w:r>
    </w:p>
    <w:p>
      <w:pPr>
        <w:pStyle w:val="Nadpis1"/>
        <w:jc w:val="both"/>
        <w:rPr/>
      </w:pPr>
      <w:r>
        <w:rPr/>
      </w:r>
    </w:p>
    <w:p>
      <w:pPr>
        <w:pStyle w:val="Nadpis1"/>
        <w:jc w:val="both"/>
        <w:rPr>
          <w:sz w:val="28"/>
          <w:szCs w:val="28"/>
        </w:rPr>
      </w:pPr>
      <w:r>
        <w:rPr>
          <w:sz w:val="28"/>
          <w:szCs w:val="28"/>
        </w:rPr>
        <w:t>Poľovnícke združenie</w:t>
      </w:r>
    </w:p>
    <w:p>
      <w:pPr>
        <w:pStyle w:val="Nadpis1"/>
        <w:jc w:val="both"/>
        <w:rPr>
          <w:b w:val="false"/>
          <w:sz w:val="24"/>
          <w:szCs w:val="24"/>
        </w:rPr>
      </w:pPr>
      <w:r>
        <w:rPr>
          <w:b w:val="false"/>
          <w:sz w:val="24"/>
          <w:szCs w:val="24"/>
        </w:rPr>
      </w:r>
    </w:p>
    <w:p>
      <w:pPr>
        <w:pStyle w:val="Normal"/>
        <w:jc w:val="both"/>
        <w:rPr/>
      </w:pPr>
      <w:r>
        <w:rPr/>
        <w:t>Poľovníctvo v obci má bohatú tradíciu. Jeho organizovaná forma sa datuje do povojnového obdobia. Terajšie poľovnícke združenie Dubina vzniklo v roku 1973 na princípe združenia občanov. Táto organizácia spája priateľov a milovníkov prírody a života v nej. Združenie hospodári na výmere 1579 ha, z toho je 1386 ha ornej pôdy, 107 ha trvalých trávnych porastov, 75 ha lesnej pôdy a 19 ha vodnej plochy. PZ susedí s poľovnými združeniami Hájske, Močenok, Agrania, Šoporňa a Jarok. Povinnosť starať sa o zver vyplýva poľovníkom priamo zo zákona o poľovníctve. V zimnom období to znamená pravidelné prikrmovanie. Poľovné združenie má v prenájme poľnohospodársku pôdu, kde si svojpomocne dorába vlastné kvalitné jadrové a objemové krmivá. Časť krmiva si však musia zakúpiť. Každý člen má na starosti bažantí zásypec a krmelec – pre srnčiu zver, ktoré pred zimou opraví, doplní a následne počas celej zimy dopĺňa. Žiaľ pytliactvo je ešte v našej obci stále prítomné. Nastražené oká sú nočnou morou poľovníkov. O to je väčšia úloha poľovníctva – chrániť, kŕmiť, zazverovať a vylepšovať genofond v revíri.</w:t>
      </w:r>
    </w:p>
    <w:p>
      <w:pPr>
        <w:pStyle w:val="Nadpis1"/>
        <w:jc w:val="both"/>
        <w:rPr>
          <w:b w:val="false"/>
          <w:sz w:val="24"/>
          <w:szCs w:val="24"/>
        </w:rPr>
      </w:pPr>
      <w:r>
        <w:rPr>
          <w:b w:val="false"/>
          <w:sz w:val="24"/>
          <w:szCs w:val="24"/>
        </w:rPr>
      </w:r>
    </w:p>
    <w:p>
      <w:pPr>
        <w:pStyle w:val="Nadpis1"/>
        <w:jc w:val="both"/>
        <w:rPr>
          <w:sz w:val="28"/>
          <w:szCs w:val="28"/>
        </w:rPr>
      </w:pPr>
      <w:r>
        <w:rPr>
          <w:sz w:val="28"/>
          <w:szCs w:val="28"/>
        </w:rPr>
        <w:t>Miestny odbor Matice slovenskej</w:t>
      </w:r>
    </w:p>
    <w:p>
      <w:pPr>
        <w:pStyle w:val="Normal"/>
        <w:rPr>
          <w:lang w:eastAsia="cs-CZ"/>
        </w:rPr>
      </w:pPr>
      <w:r>
        <w:rPr>
          <w:lang w:eastAsia="cs-CZ"/>
        </w:rPr>
      </w:r>
    </w:p>
    <w:p>
      <w:pPr>
        <w:pStyle w:val="Nadpis3"/>
        <w:spacing w:before="0" w:after="0"/>
        <w:jc w:val="both"/>
        <w:rPr/>
      </w:pPr>
      <w:r>
        <w:rPr/>
        <w:t>Poslanie Matice slovenskej</w:t>
        <w:drawing>
          <wp:anchor behindDoc="0" distT="0" distB="0" distL="114300" distR="114300" simplePos="0" locked="0" layoutInCell="1" allowOverlap="1" relativeHeight="9">
            <wp:simplePos x="0" y="0"/>
            <wp:positionH relativeFrom="column">
              <wp:posOffset>3810</wp:posOffset>
            </wp:positionH>
            <wp:positionV relativeFrom="paragraph">
              <wp:posOffset>52070</wp:posOffset>
            </wp:positionV>
            <wp:extent cx="932815" cy="952500"/>
            <wp:effectExtent l="0" t="0" r="0" b="0"/>
            <wp:wrapSquare wrapText="bothSides"/>
            <wp:docPr id="14" name="Picture" descr="Matica slovenská"/>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Picture" descr="Matica slovenská"/>
                    <pic:cNvPicPr>
                      <a:picLocks noChangeAspect="1" noChangeArrowheads="1"/>
                    </pic:cNvPicPr>
                  </pic:nvPicPr>
                  <pic:blipFill>
                    <a:blip r:embed="rId23"/>
                    <a:stretch>
                      <a:fillRect/>
                    </a:stretch>
                  </pic:blipFill>
                  <pic:spPr bwMode="auto">
                    <a:xfrm>
                      <a:off x="0" y="0"/>
                      <a:ext cx="932815" cy="952500"/>
                    </a:xfrm>
                    <a:prstGeom prst="rect">
                      <a:avLst/>
                    </a:prstGeom>
                    <a:noFill/>
                    <a:ln w="9525">
                      <a:noFill/>
                      <a:miter lim="800000"/>
                      <a:headEnd/>
                      <a:tailEnd/>
                    </a:ln>
                  </pic:spPr>
                </pic:pic>
              </a:graphicData>
            </a:graphic>
          </wp:anchor>
        </w:drawing>
      </w:r>
    </w:p>
    <w:p>
      <w:pPr>
        <w:pStyle w:val="NormalWeb"/>
        <w:spacing w:before="280" w:after="280"/>
        <w:jc w:val="both"/>
        <w:rPr/>
      </w:pPr>
      <w:r>
        <w:rPr/>
        <w:t>Poslaním Matice slovenskej je upevňovať slovenské vlastenectvo, prehlbovať vzťah občanov k slovenskej štátnosti, zúčastňovať sa na rozvoji miestnej a regionálnej kultúry, pôsobiť na mládež v duchu národných, mravných a demokratických hodnôt.</w:t>
      </w:r>
    </w:p>
    <w:p>
      <w:pPr>
        <w:pStyle w:val="NormalWeb"/>
        <w:spacing w:before="280" w:after="280"/>
        <w:jc w:val="both"/>
        <w:rPr/>
      </w:pPr>
      <w:r>
        <w:rPr/>
      </w:r>
    </w:p>
    <w:p>
      <w:pPr>
        <w:pStyle w:val="NormalWeb"/>
        <w:spacing w:before="280" w:after="280"/>
        <w:jc w:val="both"/>
        <w:rPr/>
      </w:pPr>
      <w:r>
        <w:rPr/>
      </w:r>
    </w:p>
    <w:p>
      <w:pPr>
        <w:pStyle w:val="NormalWeb"/>
        <w:spacing w:before="280" w:after="280"/>
        <w:jc w:val="both"/>
        <w:rPr/>
      </w:pPr>
      <w:r>
        <w:rPr/>
        <w:t>“</w:t>
      </w:r>
      <w:r>
        <w:rPr>
          <w:rStyle w:val="Zdraznenie"/>
        </w:rPr>
        <w:t>Slovenská Matica je jednota milovníkov národa a života slovenského a jej cieľ: v členoch slovenského národa mravnú a umnú vzdelanosť budiť, rozširovať a utvrdzovať; slovenskú literatúru a krásne umenia pestovať a podporovať, a tým i hmotný dobrobyt slovenského národa napomáhať a na jeho zveľaďovaní pracovať</w:t>
      </w:r>
      <w:r>
        <w:rPr/>
        <w:t>.” Stanovy Matice slovenskej 1863 (§ 1)</w:t>
      </w:r>
    </w:p>
    <w:p>
      <w:pPr>
        <w:pStyle w:val="NormalWeb"/>
        <w:spacing w:before="280" w:after="280"/>
        <w:jc w:val="both"/>
        <w:rPr/>
      </w:pPr>
      <w:r>
        <w:rPr/>
      </w:r>
    </w:p>
    <w:p>
      <w:pPr>
        <w:pStyle w:val="Normal"/>
        <w:jc w:val="both"/>
        <w:rPr/>
      </w:pPr>
      <w:r>
        <w:rPr/>
        <w:t>Miestna organizácia Matice slovenskej v Hornej Kráľovej bola založená 29.11.1996. Eviduje 38 zakladajúcich členov. Jej predsedom je Ing. Vladimír Lovász. Činnosť je zameraná na pozdvihnutie a rozvoj slovenskej kultúry. Za týmto účelom bol založený aj spevácky súbor pod vedením p. Alžbety Sklenárovej. Svojimi piesňami spestruje kultúrno-spoločenské podujatia v obci. Svoj repertoár rozširuje nielen o piesne svetské, ale i cirkevné, čím sa snaží pozdvihnúť úroveň chórového spevu v miestnom kostole, pohrebov a svadieb. Členovia Matice slovenskej sa podieľajú na rôznych obecných podujatiach /obecné hody, slávnosť Stavania Mája, novoročný ohňostroj, Vatra zvrchovanosti atd. / už niekoľko rokov organizujú plesy alebo výstavy o histórii našej obce.</w:t>
      </w:r>
    </w:p>
    <w:p>
      <w:pPr>
        <w:pStyle w:val="Normal"/>
        <w:jc w:val="both"/>
        <w:rPr/>
      </w:pPr>
      <w:r>
        <w:rPr/>
      </w:r>
    </w:p>
    <w:p>
      <w:pPr>
        <w:pStyle w:val="Normal"/>
        <w:jc w:val="both"/>
        <w:rPr>
          <w:b/>
          <w:sz w:val="28"/>
          <w:szCs w:val="28"/>
        </w:rPr>
      </w:pPr>
      <w:r>
        <w:rPr>
          <w:b/>
          <w:sz w:val="28"/>
          <w:szCs w:val="28"/>
        </w:rPr>
        <w:t>MO CSEMADOK</w:t>
      </w:r>
    </w:p>
    <w:p>
      <w:pPr>
        <w:pStyle w:val="Normal"/>
        <w:jc w:val="both"/>
        <w:rPr/>
      </w:pPr>
      <w:r>
        <w:rPr/>
      </w:r>
    </w:p>
    <w:p>
      <w:pPr>
        <w:pStyle w:val="Normal"/>
        <w:jc w:val="both"/>
        <w:rPr/>
      </w:pPr>
      <w:r>
        <w:rPr/>
        <w:t>CSEMADOK – Szlovákiai Magyar Társadalmi és Közművelődési Szövetség /Maďarský spoločenský a kultúrny zväz na Slovensku/ je organizáciou, ktorej cieľom je zachovanie a rozvoj jazyka, kultúry a tradícií maďarských spoluobčanov žijúcich na Slovensku. Miestna organizácia v obci bola založená 21. Septembra 1953 s počtom členov 47. V súčasnosti má 167 členov, jej predsedom je od roku 1987 Jozef Šoka. Ťažiskovým zameraním organizácie bola najmä činnosť divadelná, tanečná a činnosť ženského a mužského spevokolu. Začiatky divadelníctva v maďarskom jazyku v našej obci siahajú do roku 1927 a na túto bohatú tradíciu naviazala divadelná skupina Csemadok-u, ktorá každý rok naštuduje a uvedie jednu divadelnú hru. Táto skupina pod vedením Márie Kokešovej je doteraz najaktívnejšou zložkou organizácie. V 70-tich rokoch mládežníci založili záujmový klub, v rámci ktorého vyvíjala činnosť tanečná skupina, ktorá úspešne vystupovala nielen doma ale aj v iných obciach. Okrem toho členovia klubu zabávali naše obecenstvo obľúbenými estrádnymi programami. Ženský a mužský spevokol vznikol v roku 1972 a viackrát úspešne reprezentovali našu obec a organizáciu na rôznych folklórnych festivaloch nielen v našej vlasti ale aj v susednom Maďarsku. Momentálne existuje už iba ženský spevokol pod vedením p. Márie Šokovej. Spevokol vystupuje na kultúrnych podujatiach obce. K obľúbenej a už tradičnej akcii organizácie patrí Borkóstoló /Ochutnávka vína/, ktorá sa od roku 1965 usporadúva každoročne. Okrem činnosti na úseku kultúry sú členovia organizácie mimoriadne aktívni aj v oblasti zveľaďovania a skrášľovania obce. Veď pri rekonštrukcii starej školy na kultúrny dom 80 - 85% prác vykonali títo členovia. Samozrejme nechýbali ani pri výstavbe kostola a telocvične. Výbor pre svojich členov každý rok organizuje návštevu divadla, výlet, lyžiarsky zájazd, táborák.</w:t>
      </w:r>
    </w:p>
    <w:p>
      <w:pPr>
        <w:pStyle w:val="Normal"/>
        <w:jc w:val="both"/>
        <w:rPr/>
      </w:pPr>
      <w:r>
        <w:rPr/>
      </w:r>
    </w:p>
    <w:p>
      <w:pPr>
        <w:pStyle w:val="Normal"/>
        <w:jc w:val="both"/>
        <w:rPr/>
      </w:pPr>
      <w:r>
        <w:rPr/>
      </w:r>
    </w:p>
    <w:p>
      <w:pPr>
        <w:pStyle w:val="Normal"/>
        <w:jc w:val="both"/>
        <w:rPr>
          <w:b/>
          <w:sz w:val="28"/>
          <w:szCs w:val="28"/>
        </w:rPr>
      </w:pPr>
      <w:r>
        <w:rPr>
          <w:b/>
          <w:sz w:val="28"/>
          <w:szCs w:val="28"/>
        </w:rPr>
        <w:t>Slovenský skauting</w:t>
      </w:r>
    </w:p>
    <w:p>
      <w:pPr>
        <w:pStyle w:val="Normal"/>
        <w:jc w:val="both"/>
        <w:rPr/>
      </w:pPr>
      <w:r>
        <w:rPr/>
      </w:r>
    </w:p>
    <w:p>
      <w:pPr>
        <w:pStyle w:val="Normal"/>
        <w:jc w:val="both"/>
        <w:rPr/>
      </w:pPr>
      <w:r>
        <w:rPr/>
        <w:t>Skauting v Hornej Kráľovej bol založený 1. 9.1993. Jeho zakladateľmi boli : Ladislav Straňák, Marián Pápay, Ján Vencel, Marián Lovász a Zuzana Lovászová. Vedenia sa zhostili Lucia Mondočková, Zuzana Lovászová a Martin Slamka. Terajším vodcom skautov je Ján Vencel. Začiatky sú späté s prvým náborom detí v miestnej ZŠ, kedy mali vyše 30 chlapcov a dievčat. V roku 1994 sa na sviatok Svätého Juraja, patróna skautov, konali prvé skautské sľuby na Geríci pri zapálenej sviatočnej vatre, presne o polnoci a za doprovodu rodičov prvých sľubujúcich skautov a skautiek. Zároveň tento rok je aj významný prvým skautským letným stanovým táborom neďaleko obce Zlatno v lokalite „Veľká Paráda― v CHKO Ponitrie. Skauti za pomoci rodičov uskutočnili zbierku šatstva, hygienických potrieb a financií pre obce postihnuté živelnou pohromou na Morave a Záhorí. V roku 2003 sa začlenili pod Nitriansku skautskú oblasť a vyššiu organizačnú zložku 41. zbor T.G.Masaryka v Topoľčiankach a zároveň sa premenovali na 1. oddiel Túlavej Topánky v Hornej Kráľovej. Oddiel má k dispozícii vlastnú klubovňu v priestoroch MKS. Spolupracuje s miestnym poľovníckym združením Dubina pri odchyte zajacov a v súťažiach mladých priateľov prírody v Trnovci nad Váhom. Tradičnou jarnou akciou je tzv. „Nečina― v preklade „z ničoho skoro nič“, kde sa podarilo deti naučiť popri chodení po chotári obce napichávať niekoľko desiatkov prútov vŕby alebo topoľa do mokrín. A tak má možnosť každé dieťa už o rok sa pochváliť, že z ničoho nič sa niekde aj jeho pričinením objavil nový zelený stromček. Už tradičnou aktivitou je účasť vo varení skautského guláša počas obecných hodov a na štedrý deň roznos Betlehemského svetla do domácností. Činnosť skautov v obci je zameraná nielen na ochranu životného prostredia, poznávanie prírody, ale aj na otužovanie fyzických a mravných vlastností mladého človeka.</w:t>
      </w:r>
    </w:p>
    <w:p>
      <w:pPr>
        <w:pStyle w:val="Normal"/>
        <w:jc w:val="both"/>
        <w:rPr/>
      </w:pPr>
      <w:r>
        <w:rPr/>
      </w:r>
    </w:p>
    <w:p>
      <w:pPr>
        <w:pStyle w:val="Normal"/>
        <w:jc w:val="both"/>
        <w:rPr>
          <w:b/>
          <w:sz w:val="28"/>
          <w:szCs w:val="28"/>
        </w:rPr>
      </w:pPr>
      <w:r>
        <w:rPr>
          <w:b/>
          <w:sz w:val="28"/>
          <w:szCs w:val="28"/>
        </w:rPr>
        <w:t>TJ KFC TIBI HORNÁ KRÁĽOVÁ</w:t>
      </w:r>
    </w:p>
    <w:p>
      <w:pPr>
        <w:pStyle w:val="Normal"/>
        <w:jc w:val="both"/>
        <w:rPr/>
      </w:pPr>
      <w:r>
        <w:rPr/>
        <w:drawing>
          <wp:anchor behindDoc="0" distT="0" distB="0" distL="114300" distR="114300" simplePos="0" locked="0" layoutInCell="1" allowOverlap="1" relativeHeight="10">
            <wp:simplePos x="0" y="0"/>
            <wp:positionH relativeFrom="column">
              <wp:posOffset>3810</wp:posOffset>
            </wp:positionH>
            <wp:positionV relativeFrom="paragraph">
              <wp:posOffset>171450</wp:posOffset>
            </wp:positionV>
            <wp:extent cx="1972310" cy="2465705"/>
            <wp:effectExtent l="0" t="0" r="0" b="0"/>
            <wp:wrapSquare wrapText="bothSides"/>
            <wp:docPr id="15" name="Picture" descr="http://kfc.szm.com/kfc.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Picture" descr="http://kfc.szm.com/kfc.gif"/>
                    <pic:cNvPicPr>
                      <a:picLocks noChangeAspect="1" noChangeArrowheads="1"/>
                    </pic:cNvPicPr>
                  </pic:nvPicPr>
                  <pic:blipFill>
                    <a:blip r:embed="rId24"/>
                    <a:stretch>
                      <a:fillRect/>
                    </a:stretch>
                  </pic:blipFill>
                  <pic:spPr bwMode="auto">
                    <a:xfrm>
                      <a:off x="0" y="0"/>
                      <a:ext cx="1972310" cy="2465705"/>
                    </a:xfrm>
                    <a:prstGeom prst="rect">
                      <a:avLst/>
                    </a:prstGeom>
                    <a:noFill/>
                    <a:ln w="9525">
                      <a:noFill/>
                      <a:miter lim="800000"/>
                      <a:headEnd/>
                      <a:tailEnd/>
                    </a:ln>
                  </pic:spPr>
                </pic:pic>
              </a:graphicData>
            </a:graphic>
          </wp:anchor>
        </w:drawing>
      </w:r>
    </w:p>
    <w:p>
      <w:pPr>
        <w:pStyle w:val="Normal"/>
        <w:jc w:val="both"/>
        <w:rPr/>
      </w:pPr>
      <w:r>
        <w:rPr/>
        <w:t>FK KFC TIBI patrí medzi najaktívnejšie občianske združenia v obci. Tvorí ho zhruba 300 členov a svoju činnosť rozvíja každý týždeň. Futbalový klub má v súčasnosti 3 mužstvá zapojené do dlhodobých súťaži: seniorské, ktoré hrá piatu ligu juh, dorast, ktorý účinkuje v majstrovstvách okresu skupiny B a žiaci hrajúci takisto majstrovstvá okresu. Aktívna je aj prípravka, ktorá sa zúčastňuje rôznych turnajov. Seniorské mužstvo účinkuje v krajskej súťaži už nepretržite 27 rokov. Prezidentom klubu je Ladislav Kokeš. Okrem neho má klub výkonný výbor, správnu a dozornú radu. Okrem športových aktivít vyvíja futbalový klub aj tie s prívlastkom mimofutbalové. Patrí medzi ne napríklad reprezentačný ples. Tento rok sa konal už jeho tretí ročník a dá sa povedať, že si získal medzi priaznivcami obľubu. Okrem toho usporadúva klub na ihrisku populárne diskozábavy. V letnom období sa koná navštevovaný letný turnaj o pohár KFC TIBI. Klub sa zapája aj do hodových osláv. V zimnom období je klub spolu usporiadateľom obľúbený a vyhľadávaný turnaj o pohár firmy TIBI, ktorého sa zúčastňujú mužstvá z celého okresu Šaľa. Družstvá KFC majú k dispozícii športový areál, ktorý pozostáva z hospodárskej budovy so šatňami a sprchami. Hráči trénujú na trávnatej ploche. Pre divákov je k dispozícii krytá tribúna. Športový areál prechádza modernizáciou, v nedávnej dobe prešlo k výstavbe umelého zavlažovania. Takisto sa zrekonštruovalo kúrenie v hospodárskej budove. Pre najmenších návštevníkov je k dispozícii v areáli aj detské ihrisko.</w:t>
      </w:r>
    </w:p>
    <w:p>
      <w:pPr>
        <w:pStyle w:val="Normal"/>
        <w:jc w:val="both"/>
        <w:rPr>
          <w:b/>
          <w:sz w:val="32"/>
          <w:szCs w:val="32"/>
        </w:rPr>
      </w:pPr>
      <w:r>
        <w:rPr>
          <w:b/>
          <w:sz w:val="32"/>
          <w:szCs w:val="32"/>
        </w:rPr>
      </w:r>
    </w:p>
    <w:p>
      <w:pPr>
        <w:pStyle w:val="Normal"/>
        <w:spacing w:beforeAutospacing="1" w:afterAutospacing="1"/>
        <w:jc w:val="both"/>
        <w:rPr>
          <w:b/>
          <w:sz w:val="32"/>
          <w:szCs w:val="32"/>
        </w:rPr>
      </w:pPr>
      <w:r>
        <w:rPr>
          <w:b/>
          <w:sz w:val="32"/>
          <w:szCs w:val="32"/>
        </w:rPr>
        <w:t xml:space="preserve">1.13. Hospodárstvo  </w:t>
      </w:r>
    </w:p>
    <w:p>
      <w:pPr>
        <w:pStyle w:val="Normal"/>
        <w:spacing w:beforeAutospacing="1" w:afterAutospacing="1"/>
        <w:jc w:val="both"/>
        <w:rPr/>
      </w:pPr>
      <w:r>
        <w:rPr/>
        <w:t>Najvýznamnejší poskytovatelia služieb v obci :</w:t>
      </w:r>
    </w:p>
    <w:p>
      <w:pPr>
        <w:pStyle w:val="Normal"/>
        <w:spacing w:beforeAutospacing="1" w:afterAutospacing="1"/>
        <w:jc w:val="both"/>
        <w:rPr/>
      </w:pPr>
      <w:r>
        <w:rPr/>
        <w:t>- Slovenská pošta</w:t>
      </w:r>
    </w:p>
    <w:p>
      <w:pPr>
        <w:pStyle w:val="Normal"/>
        <w:spacing w:beforeAutospacing="1" w:afterAutospacing="1"/>
        <w:jc w:val="both"/>
        <w:rPr/>
      </w:pPr>
      <w:r>
        <w:rPr/>
        <w:t>- Miestne obchody: COOP Jednota, Potraviny Centrum, Rozličný tovar Zdenka Lenická, Predajňa s domácimi potrebami, Lahôdky</w:t>
      </w:r>
    </w:p>
    <w:p>
      <w:pPr>
        <w:pStyle w:val="Normal"/>
        <w:spacing w:beforeAutospacing="1" w:afterAutospacing="1"/>
        <w:jc w:val="both"/>
        <w:rPr/>
      </w:pPr>
      <w:r>
        <w:rPr/>
        <w:t>- Miestne pohostinstvá: Pohostinstvo Zobor, Reštaurácia Kráľovan</w:t>
      </w:r>
    </w:p>
    <w:p>
      <w:pPr>
        <w:pStyle w:val="Normal"/>
        <w:spacing w:beforeAutospacing="1" w:afterAutospacing="1"/>
        <w:jc w:val="both"/>
        <w:rPr/>
      </w:pPr>
      <w:r>
        <w:rPr/>
        <w:t>- Zubná technika – Brežná Martina</w:t>
      </w:r>
    </w:p>
    <w:p>
      <w:pPr>
        <w:pStyle w:val="Normal"/>
        <w:spacing w:beforeAutospacing="1" w:afterAutospacing="1"/>
        <w:jc w:val="both"/>
        <w:rPr/>
      </w:pPr>
      <w:r>
        <w:rPr/>
        <w:t>- Stavebniny a pneuservis, Predajňa textil-obuv, Novinový stánok</w:t>
      </w:r>
    </w:p>
    <w:p>
      <w:pPr>
        <w:pStyle w:val="Normal"/>
        <w:spacing w:beforeAutospacing="1" w:afterAutospacing="1"/>
        <w:jc w:val="both"/>
        <w:rPr/>
      </w:pPr>
      <w:r>
        <w:rPr/>
        <w:t>- Kaderníctvo Sabová</w:t>
      </w:r>
    </w:p>
    <w:p>
      <w:pPr>
        <w:pStyle w:val="Normal"/>
        <w:spacing w:beforeAutospacing="1" w:afterAutospacing="1"/>
        <w:jc w:val="both"/>
        <w:rPr/>
      </w:pPr>
      <w:r>
        <w:rPr/>
        <w:t>- AVP Záhradníctvo</w:t>
      </w:r>
    </w:p>
    <w:p>
      <w:pPr>
        <w:pStyle w:val="Normal"/>
        <w:spacing w:beforeAutospacing="1" w:afterAutospacing="1"/>
        <w:jc w:val="both"/>
        <w:rPr/>
      </w:pPr>
      <w:r>
        <w:rPr/>
        <w:t>- Nechtový dizajn Mesárošová</w:t>
      </w:r>
    </w:p>
    <w:p>
      <w:pPr>
        <w:pStyle w:val="Normal"/>
        <w:spacing w:beforeAutospacing="1" w:afterAutospacing="1"/>
        <w:jc w:val="both"/>
        <w:rPr/>
      </w:pPr>
      <w:r>
        <w:rPr/>
        <w:t>- InkTech, s. r. o.-výroba a predaj tonerov do tlačiarní</w:t>
      </w:r>
    </w:p>
    <w:p>
      <w:pPr>
        <w:pStyle w:val="Normal"/>
        <w:spacing w:beforeAutospacing="1" w:afterAutospacing="1"/>
        <w:jc w:val="both"/>
        <w:rPr/>
      </w:pPr>
      <w:r>
        <w:rPr/>
        <w:t>- Akuplast – výroba a predaj autobatérií a zámkovej dlažby</w:t>
      </w:r>
    </w:p>
    <w:p>
      <w:pPr>
        <w:pStyle w:val="Normal"/>
        <w:spacing w:beforeAutospacing="1" w:afterAutospacing="1"/>
        <w:jc w:val="both"/>
        <w:rPr/>
      </w:pPr>
      <w:r>
        <w:rPr/>
      </w:r>
    </w:p>
    <w:p>
      <w:pPr>
        <w:pStyle w:val="Normal"/>
        <w:spacing w:beforeAutospacing="1" w:afterAutospacing="1"/>
        <w:rPr>
          <w:b/>
          <w:sz w:val="32"/>
          <w:szCs w:val="32"/>
        </w:rPr>
      </w:pPr>
      <w:r>
        <w:rPr>
          <w:b/>
          <w:sz w:val="32"/>
          <w:szCs w:val="32"/>
        </w:rPr>
        <w:t>1.14 Organizačná štruktúra obce</w:t>
      </w:r>
    </w:p>
    <w:p>
      <w:pPr>
        <w:pStyle w:val="Nadpis1"/>
        <w:rPr/>
      </w:pPr>
      <w:r>
        <w:rPr/>
        <w:t>Starosta obce</w:t>
      </w:r>
    </w:p>
    <w:p>
      <w:pPr>
        <w:pStyle w:val="Normal"/>
        <w:rPr/>
      </w:pPr>
      <w:hyperlink r:id="rId25">
        <w:r>
          <w:rPr/>
        </w:r>
      </w:hyperlink>
    </w:p>
    <w:p>
      <w:pPr>
        <w:pStyle w:val="NormalWeb"/>
        <w:spacing w:before="280" w:after="280"/>
        <w:rPr/>
      </w:pPr>
      <w:r>
        <w:rPr/>
        <w:t>Starostom obce Horná Kráľová je p. Emil Rábek.</w:t>
        <w:br/>
        <w:t>Tel.: + 421 37 658 02 655</w:t>
      </w:r>
    </w:p>
    <w:p>
      <w:pPr>
        <w:pStyle w:val="NormalWeb"/>
        <w:spacing w:before="280" w:after="280"/>
        <w:rPr/>
      </w:pPr>
      <w:r>
        <w:rPr/>
        <w:t>Fax: + 421 37 658 02 658</w:t>
      </w:r>
    </w:p>
    <w:p>
      <w:pPr>
        <w:pStyle w:val="NormalWeb"/>
        <w:spacing w:before="280" w:after="280"/>
        <w:rPr/>
      </w:pPr>
      <w:r>
        <w:rPr/>
        <w:t xml:space="preserve">e-mail: </w:t>
      </w:r>
      <w:hyperlink r:id="rId26">
        <w:r>
          <w:rPr>
            <w:rStyle w:val="Internetovodkaz"/>
          </w:rPr>
          <w:t>sekretariat@hornakralova.sk</w:t>
        </w:r>
      </w:hyperlink>
      <w:r>
        <w:rPr/>
        <w:t xml:space="preserve"> </w:t>
      </w:r>
    </w:p>
    <w:p>
      <w:pPr>
        <w:pStyle w:val="NormalWeb"/>
        <w:jc w:val="both"/>
        <w:rPr/>
      </w:pPr>
      <w:r>
        <w:rPr/>
        <w:t>Starosta je  predstaviteľom obce a najvyšším výkonným orgánom obce, jeho funkcia je verejná a funkčné obdobie starostu sa skončí zložením sľubu novozvoleného starostu. Spôsob voľby starostu upravuje osobitný zákon.      </w:t>
      </w:r>
    </w:p>
    <w:p>
      <w:pPr>
        <w:pStyle w:val="Nadpis3"/>
        <w:rPr/>
      </w:pPr>
      <w:r>
        <w:rPr/>
        <w:t>Starosta:</w:t>
      </w:r>
    </w:p>
    <w:p>
      <w:pPr>
        <w:pStyle w:val="Normal"/>
        <w:numPr>
          <w:ilvl w:val="0"/>
          <w:numId w:val="3"/>
        </w:numPr>
        <w:spacing w:beforeAutospacing="1" w:afterAutospacing="1"/>
        <w:jc w:val="both"/>
        <w:rPr/>
      </w:pPr>
      <w:r>
        <w:rPr/>
        <w:t>zvoláva a vedie zasadnutia obecného zastupiteľstva a obecnej rady, ak  zákon neustanovuje inak a podpisuje ich uznesenia,</w:t>
      </w:r>
    </w:p>
    <w:p>
      <w:pPr>
        <w:pStyle w:val="Normal"/>
        <w:numPr>
          <w:ilvl w:val="0"/>
          <w:numId w:val="3"/>
        </w:numPr>
        <w:spacing w:beforeAutospacing="1" w:afterAutospacing="1"/>
        <w:jc w:val="both"/>
        <w:rPr/>
      </w:pPr>
      <w:r>
        <w:rPr/>
        <w:t>vykonáva obecnú správu,</w:t>
      </w:r>
    </w:p>
    <w:p>
      <w:pPr>
        <w:pStyle w:val="Normal"/>
        <w:numPr>
          <w:ilvl w:val="0"/>
          <w:numId w:val="3"/>
        </w:numPr>
        <w:spacing w:beforeAutospacing="1" w:afterAutospacing="1"/>
        <w:jc w:val="both"/>
        <w:rPr/>
      </w:pPr>
      <w:r>
        <w:rPr/>
        <w:t>zastupuje obec vo vzťahu k štátnym orgánom, k právnickým a fyzickým osobám,</w:t>
      </w:r>
    </w:p>
    <w:p>
      <w:pPr>
        <w:pStyle w:val="Normal"/>
        <w:numPr>
          <w:ilvl w:val="0"/>
          <w:numId w:val="3"/>
        </w:numPr>
        <w:spacing w:beforeAutospacing="1" w:afterAutospacing="1"/>
        <w:jc w:val="both"/>
        <w:rPr/>
      </w:pPr>
      <w:r>
        <w:rPr/>
        <w:t>vydáva pracovný poriadok, organizačný poriadok obecného úradu a poriadok odmeňovania zamestnancov obce,</w:t>
      </w:r>
    </w:p>
    <w:p>
      <w:pPr>
        <w:pStyle w:val="Normal"/>
        <w:numPr>
          <w:ilvl w:val="0"/>
          <w:numId w:val="3"/>
        </w:numPr>
        <w:spacing w:beforeAutospacing="1" w:afterAutospacing="1"/>
        <w:jc w:val="both"/>
        <w:rPr/>
      </w:pPr>
      <w:r>
        <w:rPr/>
        <w:t>rozhoduje vo všetkých veciach správy obce, ktoré nie sú zákonom alebo štatútom obce vyhradené obecnému zastupiteľstvu.</w:t>
      </w:r>
    </w:p>
    <w:p>
      <w:pPr>
        <w:pStyle w:val="NormalWeb"/>
        <w:jc w:val="both"/>
        <w:rPr/>
      </w:pPr>
      <w:r>
        <w:rPr/>
        <w:t>Je štatutárnym orgánom  obce  a môže  rozhodovaním o právach, právom chránených záujmoch alebo povinnostiach fyzických osôb a právnických osôb v oblasti verejnej správy písomne poveriť zamestnanca obce.</w:t>
      </w:r>
    </w:p>
    <w:p>
      <w:pPr>
        <w:pStyle w:val="NormalWeb"/>
        <w:jc w:val="both"/>
        <w:rPr/>
      </w:pPr>
      <w:r>
        <w:rPr/>
        <w:t>Starosta skladá sľub, ktorý znie: „</w:t>
      </w:r>
      <w:r>
        <w:rPr>
          <w:rStyle w:val="Zdraznenie"/>
        </w:rPr>
        <w:t>Sľubujem na svoju česť a svedomie, že budem riadne plniť svoje povinnosti, ochraňovať záujmy obce a Slovenskej republiky. Ústavu Slovenskej republiky, ústavné zákony, zákony a ostatné všeobecne záväzné právne predpisy budem pri výkone svojej funkcie starostu uplatňovať podľa svojho najlepšieho vedomia a svedomia</w:t>
      </w:r>
      <w:r>
        <w:rPr/>
        <w:t>.“</w:t>
      </w:r>
    </w:p>
    <w:p>
      <w:pPr>
        <w:pStyle w:val="NormalWeb"/>
        <w:rPr/>
      </w:pPr>
      <w:r>
        <w:rPr>
          <w:rStyle w:val="Strong"/>
        </w:rPr>
        <w:t>Zástupca starostu</w:t>
      </w:r>
      <w:r>
        <w:rPr/>
        <w:t xml:space="preserve"> je Ing. Štefan Straňák</w:t>
      </w:r>
    </w:p>
    <w:p>
      <w:pPr>
        <w:pStyle w:val="Nadpis1"/>
        <w:rPr/>
      </w:pPr>
      <w:r>
        <w:rPr/>
        <w:t>Štruktúra obce</w:t>
      </w:r>
    </w:p>
    <w:p>
      <w:pPr>
        <w:pStyle w:val="Rtejustify"/>
        <w:rPr/>
      </w:pPr>
      <w:r>
        <w:rPr/>
        <w:drawing>
          <wp:inline distT="0" distB="0" distL="0" distR="0">
            <wp:extent cx="5619750" cy="2333625"/>
            <wp:effectExtent l="0" t="0" r="0" b="0"/>
            <wp:docPr id="16" name="Picture" descr="or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Picture" descr="org"/>
                    <pic:cNvPicPr>
                      <a:picLocks noChangeAspect="1" noChangeArrowheads="1"/>
                    </pic:cNvPicPr>
                  </pic:nvPicPr>
                  <pic:blipFill>
                    <a:blip r:embed="rId27"/>
                    <a:stretch>
                      <a:fillRect/>
                    </a:stretch>
                  </pic:blipFill>
                  <pic:spPr bwMode="auto">
                    <a:xfrm>
                      <a:off x="0" y="0"/>
                      <a:ext cx="5619750" cy="2333625"/>
                    </a:xfrm>
                    <a:prstGeom prst="rect">
                      <a:avLst/>
                    </a:prstGeom>
                    <a:noFill/>
                    <a:ln w="9525">
                      <a:noFill/>
                      <a:miter lim="800000"/>
                      <a:headEnd/>
                      <a:tailEnd/>
                    </a:ln>
                  </pic:spPr>
                </pic:pic>
              </a:graphicData>
            </a:graphic>
          </wp:inline>
        </w:drawing>
      </w:r>
    </w:p>
    <w:p>
      <w:pPr>
        <w:pStyle w:val="Rtejustify"/>
        <w:rPr/>
      </w:pPr>
      <w:r>
        <w:rPr/>
      </w:r>
    </w:p>
    <w:p>
      <w:pPr>
        <w:pStyle w:val="Rtejustify"/>
        <w:jc w:val="both"/>
        <w:rPr/>
      </w:pPr>
      <w:r>
        <w:rPr>
          <w:rStyle w:val="Strong"/>
        </w:rPr>
        <w:t xml:space="preserve">Zákon č. 369/1990 Zb. o obecnom zriadení  </w:t>
      </w:r>
      <w:r>
        <w:rPr/>
        <w:t>prijatý Slovenskou národnou radou v septembri 1990 obnovil miestnu samosprávu na úrovni obcí a došlo tiež k oddeleniu štátnej správy a územnej samosprávy a k zavedeniu tzv. oddeleného modelu verejnej správy.</w:t>
      </w:r>
    </w:p>
    <w:p>
      <w:pPr>
        <w:pStyle w:val="Rtejustify"/>
        <w:jc w:val="both"/>
        <w:rPr/>
      </w:pPr>
      <w:r>
        <w:rPr/>
        <w:t>Krajská úroveň štátnej správy bola v roku 1990 zrušená a miestnu štátnu správu na území Slovenska zabezpečovalo a vykonávalo 121 obvodov a 38 okresov.</w:t>
      </w:r>
    </w:p>
    <w:p>
      <w:pPr>
        <w:pStyle w:val="Rtejustify"/>
        <w:jc w:val="both"/>
        <w:rPr/>
      </w:pPr>
      <w:r>
        <w:rPr/>
        <w:t>Rok 1996 potvrdil opätovné zavedenie krajskej úrovne štátnej správy,  došlo k zrušeniu 121 obvodov a Slovenská republika bola rozdelená na 8 krajov a 79 okresov.</w:t>
      </w:r>
    </w:p>
    <w:p>
      <w:pPr>
        <w:pStyle w:val="Rtejustify"/>
        <w:jc w:val="both"/>
        <w:rPr/>
      </w:pPr>
      <w:r>
        <w:rPr/>
        <w:t>Dňom 1. januárom 2002 vznikla druhá úroveň miestnej samosprávy, a to v rámci hraníc ôsmych administratívnych krajov, ktorá sa v súlade s ústavou  nazýva vyšší územný celok – VÚC.</w:t>
      </w:r>
    </w:p>
    <w:p>
      <w:pPr>
        <w:pStyle w:val="Rtejustify"/>
        <w:jc w:val="both"/>
        <w:rPr/>
      </w:pPr>
      <w:r>
        <w:rPr/>
        <w:t>V súčasnosti je verejná správa v tzv. oddelenom modeli verejnej správy vykonávaná na troch úrovniach: 1. štát, 2. kraj a 3. obec. (na jednej strane štátna správa – ministerstvá a iné ústredné orgány štátnej správy, orgány štátnej správy s krajskou regionálnou pôsobnosťou a orgány štátnej správy s okresnou a obvodnou pôsobnosťou, a na druhej strane samospráva – vyššie územné celky, mestá a obce). Každá  úroveň má svojich volených predstaviteľov, rozdelené úlohy a zodpovednosť, pričom niektoré sú delené medzi štátnou správou a samosprávou. Volení predstavitelia Národnej rady, zastupiteľstiev VÚC, mestských a obecných zastupiteľstiev, ako aj primátori miest, starostovia obcí a predsedovia samosprávy VÚC sú volení na základe všeobecného, rovného a priameho volebného práva tajným hlasovaním na obdobie  4 rokov.</w:t>
      </w:r>
    </w:p>
    <w:p>
      <w:pPr>
        <w:pStyle w:val="Rtejustify"/>
        <w:jc w:val="both"/>
        <w:rPr/>
      </w:pPr>
      <w:r>
        <w:rPr/>
        <w:t>Usporiadanie verejnej správy od 01.01. 2004 malo za následok presun viac ako 400 kompetencií zo štátnej správy na samosprávu so zámerom zvýšiť efektívnosť a kvalitu riadenia v štátnej správe a tiež dochádza k zmenám v súdnom systéme a polícii.</w:t>
      </w:r>
    </w:p>
    <w:p>
      <w:pPr>
        <w:pStyle w:val="Normal"/>
        <w:jc w:val="both"/>
        <w:rPr/>
      </w:pPr>
      <w:r>
        <w:rPr/>
        <w:pict>
          <v:rect id="shape_0" fillcolor="#aca899" stroked="f" style="position:absolute;margin-left:0.05pt;margin-top:0pt;width:0pt;height:1.3pt">
            <v:wrap v:type="none"/>
            <v:fill type="solid" color2="#535766" detectmouseclick="t"/>
            <v:stroke color="#3465a4" joinstyle="round" endcap="flat"/>
          </v:rect>
        </w:pict>
      </w:r>
    </w:p>
    <w:p>
      <w:pPr>
        <w:pStyle w:val="Nadpis3"/>
        <w:jc w:val="both"/>
        <w:rPr/>
      </w:pPr>
      <w:r>
        <w:rPr/>
        <w:t>Kompetencie vo verejnej správe</w:t>
      </w:r>
    </w:p>
    <w:p>
      <w:pPr>
        <w:pStyle w:val="Rtejustify"/>
        <w:jc w:val="both"/>
        <w:rPr>
          <w:rStyle w:val="Strong"/>
        </w:rPr>
      </w:pPr>
      <w:r>
        <w:rPr>
          <w:rStyle w:val="Strong"/>
        </w:rPr>
        <w:t>Štátna správa</w:t>
      </w:r>
    </w:p>
    <w:p>
      <w:pPr>
        <w:pStyle w:val="Rtejustify"/>
        <w:jc w:val="both"/>
        <w:rPr/>
      </w:pPr>
      <w:r>
        <w:rPr/>
        <w:t>Vláda SR má výkonnú moc. V súlade s tzv. kompetenčným zákonom sa delia jednotlivé ministerská a ostatné ústredné orgány štátnej správy o výkonné a právomoci a zodpovednosť za výkon štátnej správy. Ministerstvo vnútra je okrem toho zodpovedné za koordináciu miestnej štátnej správy v rámci jednotlivých krajov.</w:t>
      </w:r>
    </w:p>
    <w:p>
      <w:pPr>
        <w:pStyle w:val="Rtejustify"/>
        <w:jc w:val="both"/>
        <w:rPr/>
      </w:pPr>
      <w:r>
        <w:rPr/>
        <w:t>Základnými úlohami štátnej správy sú: hospodárska politika, zahraničná politika, bezpečnostná politika, obrana, civilná ochrana, hasičský zbor, súdnictvo, väzenstvo, colné právomoci, menové záležitosti, daňové úrady – mimo miestnych daní, pošty, železnice, diaľničný systém, cesty I. triedy, úrady práce a služieb zamestnanosti, vysoké školstvo, vybrané zdravotnícke, kultúrne a školské zariadenia, letiská (regionálne spolu s obcami a krajmi), plánovanie, ochrana prírody a regionálna politika (delená s obcami a krajmi).</w:t>
      </w:r>
    </w:p>
    <w:p>
      <w:pPr>
        <w:pStyle w:val="Rtejustify"/>
        <w:jc w:val="both"/>
        <w:rPr/>
      </w:pPr>
      <w:r>
        <w:rPr>
          <w:rStyle w:val="Strong"/>
        </w:rPr>
        <w:t xml:space="preserve">Mestá a obce zabezpečujú samosprávnu pôsobnosť </w:t>
      </w:r>
      <w:r>
        <w:rPr/>
        <w:t>(originálne kompetencie) a vo svojich samosprávnych kompetenciách môžu vydávať všeobecne záväzné nariadenia  a stanoviská.</w:t>
      </w:r>
    </w:p>
    <w:p>
      <w:pPr>
        <w:pStyle w:val="Rtejustify"/>
        <w:jc w:val="both"/>
        <w:rPr/>
      </w:pPr>
      <w:r>
        <w:rPr/>
        <w:t>Medzi originálne kompetencie (samosprávna pôsobnosť) patria: miestne komunikácie, hromadná doprava, verejné priestranstvá, zeleň, čistota, ochrana prírody a životného prostredia, vodné hospodárstvo, odkanalizovanie, komunálny odpad, územné plánovanie, miestny rozvoj, bývanie, predškolské a školské zariadenia, sociálne zariadenia, polikliniky, niektoré nemocnice, kultúra, osvedčovanie listín, niektoré priestupky, miestna polícia, výber miestnych daní a poplatkov, participácia na regionálnych plánoch.</w:t>
      </w:r>
    </w:p>
    <w:p>
      <w:pPr>
        <w:pStyle w:val="Rtejustify"/>
        <w:jc w:val="both"/>
        <w:rPr/>
      </w:pPr>
      <w:r>
        <w:rPr>
          <w:rStyle w:val="Strong"/>
        </w:rPr>
        <w:t>Vo vybraných oblastiach</w:t>
      </w:r>
      <w:r>
        <w:rPr/>
        <w:t xml:space="preserve">, kde je to pre štát výhodnejšie </w:t>
      </w:r>
      <w:r>
        <w:rPr>
          <w:rStyle w:val="Strong"/>
        </w:rPr>
        <w:t>bol obciam zverený aj výkon prenesenej pôsobnosti štátnej správy</w:t>
      </w:r>
      <w:r>
        <w:rPr/>
        <w:t>. Ide o oblasť matrík, stavebného poriadku a časti kompetencií v školstve. Tieto úlohy vykonávajú v mene štátu, štát je zodpovedný za riadenie a kvalitu služieb a financovanie týchto úloh.</w:t>
      </w:r>
    </w:p>
    <w:p>
      <w:pPr>
        <w:pStyle w:val="Rtejustify"/>
        <w:jc w:val="both"/>
        <w:rPr/>
      </w:pPr>
      <w:r>
        <w:rPr/>
        <w:t>Presun úloh na obce sa doteraz uskutočnil v dvoch etapách: 1990 – 1991 a 2002 – 2004 a bude pokračovať aj v blízkej budúcnosti.</w:t>
      </w:r>
    </w:p>
    <w:p>
      <w:pPr>
        <w:pStyle w:val="Nadpis3"/>
        <w:jc w:val="both"/>
        <w:rPr/>
      </w:pPr>
      <w:r>
        <w:rPr/>
        <w:t>Obecné zastupiteľstvo</w:t>
      </w:r>
    </w:p>
    <w:p>
      <w:pPr>
        <w:pStyle w:val="Rtejustify"/>
        <w:jc w:val="both"/>
        <w:rPr/>
      </w:pPr>
      <w:r>
        <w:rPr/>
        <w:t>Rokuje vždy v zbore. Spôsobilé rokovať a uznášať sa je vtedy, ak je prítomná nadpolovičná väčšina všetkých poslancov. Na prijatie uznesenia obecného zastupiteľstva je potrebný súhlas nadpolovičnej väčšiny prítomných poslancov; na prijatie nariadenia je potrebný súhlas trojpätinovej väčšiny prítomných poslancov. Ak obecné zastupiteľstvo nie je spôsobilé rokovať a uznášať sa, starosta zvolá do 14 dní nové zasadnutie.</w:t>
      </w:r>
    </w:p>
    <w:p>
      <w:pPr>
        <w:pStyle w:val="Rtejustify"/>
        <w:jc w:val="both"/>
        <w:rPr/>
      </w:pPr>
      <w:r>
        <w:rPr/>
        <w:br/>
        <w:t>Rokovania obecného zastupiteľstva sú zásadne verejné. Obecné zastupiteľstvo vyhlási rokovanie vždy za neverejné, ak predmetom rokovania sú informácie alebo veci chránené podľa osobitných zákonov; to neplatí, ak je predmetom rokovania obecného zastupiteľstva</w:t>
        <w:br/>
        <w:t>a) použitie verejných prostriedkov na platy, odmeny a iné náležitosti spojené s výkonom funkcie orgánov obce, členov orgánov obce, zamestnancov obce alebo osôb, ktoré vykonávajú za odplatu činnosť pre obec,</w:t>
        <w:br/>
        <w:t>b) nakladanie s majetkom vo vlastníctve obce, najmä prevod vlastníctva k majetku vo vlastníctve obce, nadobudnutie majetku do vlastníctva obce alebo prenechanie majetku obce</w:t>
        <w:br/>
        <w:t>do užívania iným osobám.</w:t>
        <w:br/>
        <w:t>Ak na rokovaní požiada o slovo poslanec Národnej rady Slovenskej republiky, poslanec Európskeho parlamentu, zástupca vlády alebo iného štátneho orgánu, slovo sa mu udelí. Môže sa udeliť aj ktorémukoľvek obyvateľovi obce.</w:t>
      </w:r>
    </w:p>
    <w:p>
      <w:pPr>
        <w:pStyle w:val="Rtejustify"/>
        <w:jc w:val="both"/>
        <w:rPr/>
      </w:pPr>
      <w:r>
        <w:rPr/>
        <w:t>Nariadenie a uznesenie obecného zastupiteľstva podpisuje starosta najneskôr do 10 dní od ich schválenia obecným zastupiteľstvom.</w:t>
      </w:r>
    </w:p>
    <w:p>
      <w:pPr>
        <w:pStyle w:val="Rtejustify"/>
        <w:jc w:val="both"/>
        <w:rPr/>
      </w:pPr>
      <w:r>
        <w:rPr/>
        <w:t>Poslanec obecného zastupiteľstva skladá sľub, ktorý znie: „</w:t>
      </w:r>
      <w:r>
        <w:rPr>
          <w:rStyle w:val="Zdraznenie"/>
        </w:rPr>
        <w:t>Sľubujem na svoju česť a svedomie, že budem riadne plniť svoje povinnosti, ochraňovať záujmy obce a Slovenskej republiky. Ústavu Slovenskej republiky, ústavné zákony, zákony a ostatné všeobecne záväzné právne predpisy budem pri výkone svojej funkcie poslanca obecného zastupiteľstva uplatňovať podľa svojho najlepšieho vedomia a svedomia</w:t>
      </w:r>
      <w:r>
        <w:rPr/>
        <w:t>.</w:t>
      </w:r>
    </w:p>
    <w:p>
      <w:pPr>
        <w:pStyle w:val="Rtejustify"/>
        <w:jc w:val="both"/>
        <w:rPr/>
      </w:pPr>
      <w:r>
        <w:rPr/>
        <w:t>Poslanec je povinný na požiadanie informovať voličov o svojej činnosti a činnosti obecného zastupiteľstva a okrem iného, jeho mandát zaniká aj vtedy, ak počas jedného roka sa nezúčastní ani raz na zasadnutiach obecného zastupiteľstva.</w:t>
      </w:r>
    </w:p>
    <w:p>
      <w:pPr>
        <w:pStyle w:val="Nadpis3"/>
        <w:jc w:val="both"/>
        <w:rPr/>
      </w:pPr>
      <w:r>
        <w:rPr/>
        <w:t>Poslanci Obecného zastupiteľstva v Hornej Kráľovej:</w:t>
      </w:r>
    </w:p>
    <w:p>
      <w:pPr>
        <w:pStyle w:val="Normal"/>
        <w:numPr>
          <w:ilvl w:val="0"/>
          <w:numId w:val="4"/>
        </w:numPr>
        <w:spacing w:beforeAutospacing="1" w:afterAutospacing="1"/>
        <w:jc w:val="both"/>
        <w:rPr/>
      </w:pPr>
      <w:r>
        <w:rPr/>
        <w:t>Ing. Straňák Štefan (zástupca starostu obce)</w:t>
      </w:r>
    </w:p>
    <w:p>
      <w:pPr>
        <w:pStyle w:val="Normal"/>
        <w:numPr>
          <w:ilvl w:val="0"/>
          <w:numId w:val="4"/>
        </w:numPr>
        <w:spacing w:beforeAutospacing="1" w:afterAutospacing="1"/>
        <w:jc w:val="both"/>
        <w:rPr/>
      </w:pPr>
      <w:r>
        <w:rPr/>
        <w:t>Ing. Šoka Peter</w:t>
      </w:r>
    </w:p>
    <w:p>
      <w:pPr>
        <w:pStyle w:val="Normal"/>
        <w:numPr>
          <w:ilvl w:val="0"/>
          <w:numId w:val="4"/>
        </w:numPr>
        <w:spacing w:beforeAutospacing="1" w:afterAutospacing="1"/>
        <w:jc w:val="both"/>
        <w:rPr/>
      </w:pPr>
      <w:r>
        <w:rPr/>
        <w:t>Mgr. Ladislav  Odráška,</w:t>
      </w:r>
    </w:p>
    <w:p>
      <w:pPr>
        <w:pStyle w:val="Normal"/>
        <w:numPr>
          <w:ilvl w:val="0"/>
          <w:numId w:val="4"/>
        </w:numPr>
        <w:spacing w:beforeAutospacing="1" w:afterAutospacing="1"/>
        <w:jc w:val="both"/>
        <w:rPr/>
      </w:pPr>
      <w:r>
        <w:rPr/>
        <w:t>František Lešš</w:t>
      </w:r>
    </w:p>
    <w:p>
      <w:pPr>
        <w:pStyle w:val="Normal"/>
        <w:numPr>
          <w:ilvl w:val="0"/>
          <w:numId w:val="4"/>
        </w:numPr>
        <w:spacing w:beforeAutospacing="1" w:afterAutospacing="1"/>
        <w:jc w:val="both"/>
        <w:rPr/>
      </w:pPr>
      <w:r>
        <w:rPr/>
        <w:t>Miloš Kopiary</w:t>
      </w:r>
    </w:p>
    <w:p>
      <w:pPr>
        <w:pStyle w:val="Normal"/>
        <w:numPr>
          <w:ilvl w:val="0"/>
          <w:numId w:val="4"/>
        </w:numPr>
        <w:spacing w:beforeAutospacing="1" w:afterAutospacing="1"/>
        <w:jc w:val="both"/>
        <w:rPr/>
      </w:pPr>
      <w:r>
        <w:rPr/>
        <w:t>Mariana Zabáková</w:t>
      </w:r>
    </w:p>
    <w:p>
      <w:pPr>
        <w:pStyle w:val="Normal"/>
        <w:numPr>
          <w:ilvl w:val="0"/>
          <w:numId w:val="4"/>
        </w:numPr>
        <w:spacing w:beforeAutospacing="1" w:afterAutospacing="1"/>
        <w:jc w:val="both"/>
        <w:rPr/>
      </w:pPr>
      <w:r>
        <w:rPr/>
        <w:t>Tibor Rábek</w:t>
      </w:r>
    </w:p>
    <w:p>
      <w:pPr>
        <w:pStyle w:val="Normal"/>
        <w:numPr>
          <w:ilvl w:val="0"/>
          <w:numId w:val="4"/>
        </w:numPr>
        <w:jc w:val="both"/>
        <w:rPr/>
      </w:pPr>
      <w:r>
        <w:rPr/>
        <w:t>Michal Lencsés</w:t>
      </w:r>
    </w:p>
    <w:p>
      <w:pPr>
        <w:pStyle w:val="Normal"/>
        <w:numPr>
          <w:ilvl w:val="0"/>
          <w:numId w:val="4"/>
        </w:numPr>
        <w:spacing w:beforeAutospacing="1" w:afterAutospacing="1"/>
        <w:jc w:val="both"/>
        <w:rPr/>
      </w:pPr>
      <w:r>
        <w:rPr/>
        <w:t>Jozef Lenický</w:t>
      </w:r>
    </w:p>
    <w:p>
      <w:pPr>
        <w:pStyle w:val="Normal"/>
        <w:ind w:left="720" w:right="0" w:hanging="0"/>
        <w:jc w:val="both"/>
        <w:rPr/>
      </w:pPr>
      <w:r>
        <w:rPr/>
      </w:r>
    </w:p>
    <w:p>
      <w:pPr>
        <w:pStyle w:val="Normal"/>
        <w:jc w:val="both"/>
        <w:rPr/>
      </w:pPr>
      <w:r>
        <w:rPr/>
        <w:t xml:space="preserve">Zriadené sú štyri komisie: </w:t>
      </w:r>
    </w:p>
    <w:p>
      <w:pPr>
        <w:pStyle w:val="Normal"/>
        <w:numPr>
          <w:ilvl w:val="0"/>
          <w:numId w:val="6"/>
        </w:numPr>
        <w:jc w:val="both"/>
        <w:rPr/>
      </w:pPr>
      <w:r>
        <w:rPr/>
        <w:t>Komisia výstavby a územného plánovania: predseda – Ing. Peter Šoka, členovia – Gabriel Lencsés, Tibor Lencsés, Jozef Šoka, zapisovateľka – Olívia Lenčéšová</w:t>
      </w:r>
    </w:p>
    <w:p>
      <w:pPr>
        <w:pStyle w:val="Normal"/>
        <w:ind w:left="720" w:right="0" w:hanging="0"/>
        <w:jc w:val="both"/>
        <w:rPr/>
      </w:pPr>
      <w:r>
        <w:rPr/>
      </w:r>
    </w:p>
    <w:p>
      <w:pPr>
        <w:pStyle w:val="Normal"/>
        <w:numPr>
          <w:ilvl w:val="0"/>
          <w:numId w:val="6"/>
        </w:numPr>
        <w:jc w:val="both"/>
        <w:rPr/>
      </w:pPr>
      <w:r>
        <w:rPr/>
        <w:t>Komisia finančná a pre správu obecného majetku: predseda –Mariana Zabáková, členovia – Mária Kokešová, Ing. Judita Újová, zapisovateľka – Eva Hippová</w:t>
      </w:r>
    </w:p>
    <w:p>
      <w:pPr>
        <w:pStyle w:val="Normal"/>
        <w:jc w:val="both"/>
        <w:rPr/>
      </w:pPr>
      <w:r>
        <w:rPr/>
      </w:r>
    </w:p>
    <w:p>
      <w:pPr>
        <w:pStyle w:val="Normal"/>
        <w:numPr>
          <w:ilvl w:val="0"/>
          <w:numId w:val="6"/>
        </w:numPr>
        <w:jc w:val="both"/>
        <w:rPr/>
      </w:pPr>
      <w:r>
        <w:rPr/>
        <w:t>Komisia školstva, kultúry, vzdelávania a športu: predseda – Mgr. Ladislav Odráška, členovia – Mgr. Veronika Holubková, Mária Kokešová,  Mariana Zabáková, Mgr. Michal Morvay, zapisovateľka – Anna Vencelová</w:t>
      </w:r>
    </w:p>
    <w:p>
      <w:pPr>
        <w:pStyle w:val="Normal"/>
        <w:ind w:left="720" w:right="0" w:hanging="0"/>
        <w:jc w:val="both"/>
        <w:rPr/>
      </w:pPr>
      <w:r>
        <w:rPr/>
      </w:r>
    </w:p>
    <w:p>
      <w:pPr>
        <w:pStyle w:val="Normal"/>
        <w:numPr>
          <w:ilvl w:val="0"/>
          <w:numId w:val="6"/>
        </w:numPr>
        <w:jc w:val="both"/>
        <w:rPr/>
      </w:pPr>
      <w:r>
        <w:rPr/>
        <w:t>Komisia ochrany verejného poriadku: predseda – František Lešš, členovia – Tibor Pápay, Gustáv Bobula, Mikuláš Ištókovič, Ondrej Števko, Roman Lovás, zapisovateľka – Monika Vörösová</w:t>
      </w:r>
    </w:p>
    <w:p>
      <w:pPr>
        <w:pStyle w:val="ListParagraph"/>
        <w:rPr/>
      </w:pPr>
      <w:r>
        <w:rPr/>
      </w:r>
    </w:p>
    <w:p>
      <w:pPr>
        <w:pStyle w:val="Normal"/>
        <w:ind w:left="720" w:right="0" w:hanging="0"/>
        <w:jc w:val="both"/>
        <w:rPr/>
      </w:pPr>
      <w:r>
        <w:rPr/>
      </w:r>
    </w:p>
    <w:p>
      <w:pPr>
        <w:pStyle w:val="NormalWeb"/>
        <w:tabs>
          <w:tab w:val="left" w:pos="3119" w:leader="none"/>
        </w:tabs>
        <w:spacing w:before="280" w:after="280"/>
        <w:jc w:val="both"/>
        <w:rPr/>
      </w:pPr>
      <w:r>
        <w:rPr/>
        <w:t xml:space="preserve">Obecný úrad – administratíva: </w:t>
        <w:tab/>
      </w:r>
    </w:p>
    <w:p>
      <w:pPr>
        <w:pStyle w:val="NormalWeb"/>
        <w:spacing w:before="280" w:after="280"/>
        <w:jc w:val="both"/>
        <w:rPr/>
      </w:pPr>
      <w:r>
        <w:rPr/>
        <w:t xml:space="preserve">Olívia Lenčéšová – sekretariát, cintorínske služby </w:t>
      </w:r>
    </w:p>
    <w:p>
      <w:pPr>
        <w:pStyle w:val="NormalWeb"/>
        <w:spacing w:before="280" w:after="280"/>
        <w:jc w:val="both"/>
        <w:rPr/>
      </w:pPr>
      <w:r>
        <w:rPr/>
        <w:t>Eva Hippová – ekonomické záležitosti, dane z nehnuteľnosti, personálna a mzdová agenda</w:t>
      </w:r>
    </w:p>
    <w:p>
      <w:pPr>
        <w:pStyle w:val="NormalWeb"/>
        <w:spacing w:before="280" w:after="280"/>
        <w:jc w:val="both"/>
        <w:rPr/>
      </w:pPr>
      <w:r>
        <w:rPr/>
        <w:t>Monika Vörösová – sociálna agenda a evidencia obyv.</w:t>
      </w:r>
    </w:p>
    <w:p>
      <w:pPr>
        <w:pStyle w:val="NormalWeb"/>
        <w:spacing w:before="280" w:after="280"/>
        <w:jc w:val="both"/>
        <w:rPr/>
      </w:pPr>
      <w:r>
        <w:rPr/>
        <w:t>Anna Vencelová – správa registratúry, knižnica, aktivačná činnosť, vedúca MKS, miestne hospodárstvo</w:t>
      </w:r>
    </w:p>
    <w:p>
      <w:pPr>
        <w:pStyle w:val="NormalWeb"/>
        <w:spacing w:before="280" w:after="280"/>
        <w:jc w:val="both"/>
        <w:rPr/>
      </w:pPr>
      <w:r>
        <w:rPr/>
        <w:t xml:space="preserve">Ing. Mária Gašpieriková - stavebníctvo </w:t>
      </w:r>
    </w:p>
    <w:p>
      <w:pPr>
        <w:pStyle w:val="NormalWeb"/>
        <w:tabs>
          <w:tab w:val="left" w:pos="3119" w:leader="none"/>
        </w:tabs>
        <w:spacing w:before="280" w:after="280"/>
        <w:jc w:val="both"/>
        <w:rPr>
          <w:b/>
          <w:color w:val="000000"/>
          <w:sz w:val="28"/>
          <w:szCs w:val="28"/>
        </w:rPr>
      </w:pPr>
      <w:r>
        <w:rPr>
          <w:b/>
          <w:bCs/>
          <w:color w:val="000000"/>
          <w:sz w:val="28"/>
          <w:szCs w:val="28"/>
        </w:rPr>
        <w:t xml:space="preserve"> </w:t>
      </w:r>
      <w:r>
        <w:rPr>
          <w:b/>
          <w:bCs/>
          <w:color w:val="000000"/>
          <w:sz w:val="28"/>
          <w:szCs w:val="28"/>
        </w:rPr>
        <w:t>2</w:t>
      </w:r>
      <w:r>
        <w:rPr>
          <w:b/>
          <w:color w:val="000000"/>
          <w:sz w:val="28"/>
          <w:szCs w:val="28"/>
        </w:rPr>
        <w:t xml:space="preserve">. Rozpočet obce na rok 2014 </w:t>
      </w:r>
    </w:p>
    <w:p>
      <w:pPr>
        <w:pStyle w:val="Normal"/>
        <w:jc w:val="both"/>
        <w:rPr>
          <w:b/>
          <w:sz w:val="28"/>
          <w:szCs w:val="28"/>
        </w:rPr>
      </w:pPr>
      <w:r>
        <w:rPr>
          <w:b/>
          <w:sz w:val="28"/>
          <w:szCs w:val="28"/>
        </w:rPr>
      </w:r>
    </w:p>
    <w:p>
      <w:pPr>
        <w:pStyle w:val="Normal"/>
        <w:jc w:val="both"/>
        <w:rPr>
          <w:color w:val="000000"/>
        </w:rPr>
      </w:pPr>
      <w:r>
        <w:rPr>
          <w:color w:val="000000"/>
        </w:rPr>
        <w:t>Základným   nástrojom  finančného  hospodárenia  obce  bol   rozpočet   obce   na  rok   2014.</w:t>
      </w:r>
    </w:p>
    <w:p>
      <w:pPr>
        <w:pStyle w:val="Normal"/>
        <w:jc w:val="both"/>
        <w:rPr>
          <w:color w:val="000000"/>
        </w:rPr>
      </w:pPr>
      <w:r>
        <w:rPr>
          <w:color w:val="000000"/>
        </w:rPr>
        <w:t>Obec zostavila rozpočet podľa ustanovenia § 10 odsek 7) zákona č.583/2004 Z.z. o rozpočtových pravidlách územnej samosprávy a o zmene a doplnení niektorých zákonov v znení neskorších predpisov. Rozpočet obce na rok 2014 bol zostavený ako vyrovnaný. Bežný rozpočet bol zostavený ako vyrovnaný a  kapitálový   rozpočet ako  vyrovnaný.</w:t>
      </w:r>
    </w:p>
    <w:p>
      <w:pPr>
        <w:pStyle w:val="Normal"/>
        <w:jc w:val="both"/>
        <w:rPr>
          <w:color w:val="000000"/>
        </w:rPr>
      </w:pPr>
      <w:r>
        <w:rPr>
          <w:color w:val="000000"/>
        </w:rPr>
      </w:r>
    </w:p>
    <w:p>
      <w:pPr>
        <w:pStyle w:val="Normal"/>
        <w:jc w:val="both"/>
        <w:rPr/>
      </w:pPr>
      <w:r>
        <w:rPr/>
        <w:t xml:space="preserve">Hospodárenie obce sa riadilo podľa schváleného rozpočtu na rok 2014. </w:t>
      </w:r>
    </w:p>
    <w:p>
      <w:pPr>
        <w:pStyle w:val="Normal"/>
        <w:jc w:val="both"/>
        <w:rPr/>
      </w:pPr>
      <w:r>
        <w:rPr/>
        <w:t>Rozpočet obce bol schválený obecným zastupiteľstvom dňa 13.12.2013 uznesením č.12.-X.-OZ 2013</w:t>
      </w:r>
    </w:p>
    <w:p>
      <w:pPr>
        <w:pStyle w:val="Normal"/>
        <w:jc w:val="both"/>
        <w:rPr/>
      </w:pPr>
      <w:r>
        <w:rPr/>
        <w:t>Rozpočet bol zmenený rozpočtovými opatreniami:</w:t>
      </w:r>
    </w:p>
    <w:p>
      <w:pPr>
        <w:pStyle w:val="Normal"/>
        <w:numPr>
          <w:ilvl w:val="0"/>
          <w:numId w:val="7"/>
        </w:numPr>
        <w:jc w:val="both"/>
        <w:rPr/>
      </w:pPr>
      <w:r>
        <w:rPr/>
        <w:t>prvá zmena   schválená dňa 11.4.2014 uznesením č. 12-II.-OZ/2014</w:t>
      </w:r>
    </w:p>
    <w:p>
      <w:pPr>
        <w:pStyle w:val="Normal"/>
        <w:numPr>
          <w:ilvl w:val="0"/>
          <w:numId w:val="7"/>
        </w:numPr>
        <w:jc w:val="both"/>
        <w:rPr/>
      </w:pPr>
      <w:r>
        <w:rPr/>
        <w:t>druhá zmena schválená dňa  16.5.2014 uznesením č. 8.-III.-OZ/2014.</w:t>
      </w:r>
    </w:p>
    <w:p>
      <w:pPr>
        <w:pStyle w:val="Normal"/>
        <w:ind w:left="0" w:right="0" w:hanging="0"/>
        <w:jc w:val="both"/>
        <w:rPr/>
      </w:pPr>
      <w:r>
        <w:rPr/>
      </w:r>
    </w:p>
    <w:p>
      <w:pPr>
        <w:pStyle w:val="Normal"/>
        <w:jc w:val="both"/>
        <w:rPr/>
      </w:pPr>
      <w:r>
        <w:rPr/>
      </w:r>
    </w:p>
    <w:p>
      <w:pPr>
        <w:pStyle w:val="Normal"/>
        <w:jc w:val="center"/>
        <w:rPr>
          <w:b/>
        </w:rPr>
      </w:pPr>
      <w:r>
        <w:rPr>
          <w:b/>
        </w:rPr>
        <w:t xml:space="preserve">Rozpočet obce k 31.12.2014 </w:t>
      </w:r>
    </w:p>
    <w:p>
      <w:pPr>
        <w:pStyle w:val="Normal"/>
        <w:jc w:val="both"/>
        <w:rPr/>
      </w:pPr>
      <w:r>
        <w:rPr/>
      </w:r>
    </w:p>
    <w:p>
      <w:pPr>
        <w:pStyle w:val="Normal"/>
        <w:rPr>
          <w:b/>
        </w:rPr>
      </w:pPr>
      <w:r>
        <w:rPr>
          <w:b/>
        </w:rPr>
      </w:r>
    </w:p>
    <w:tbl>
      <w:tblPr>
        <w:jc w:val="left"/>
        <w:tblInd w:w="413" w:type="dxa"/>
        <w:tblBorders>
          <w:top w:val="single" w:sz="4" w:space="0" w:color="000001"/>
          <w:left w:val="single" w:sz="4" w:space="0" w:color="000001"/>
          <w:bottom w:val="single" w:sz="4" w:space="0" w:color="000001"/>
          <w:insideH w:val="single" w:sz="4" w:space="0" w:color="000001"/>
          <w:right w:val="nil"/>
          <w:insideV w:val="nil"/>
        </w:tblBorders>
        <w:tblCellMar>
          <w:top w:w="0" w:type="dxa"/>
          <w:left w:w="93" w:type="dxa"/>
          <w:bottom w:w="0" w:type="dxa"/>
          <w:right w:w="108" w:type="dxa"/>
        </w:tblCellMar>
      </w:tblPr>
      <w:tblGrid>
        <w:gridCol w:w="2843"/>
        <w:gridCol w:w="1649"/>
        <w:gridCol w:w="1650"/>
        <w:gridCol w:w="1524"/>
      </w:tblGrid>
      <w:tr>
        <w:trPr>
          <w:cantSplit w:val="false"/>
        </w:trPr>
        <w:tc>
          <w:tcPr>
            <w:tcW w:w="2843" w:type="dxa"/>
            <w:tcBorders>
              <w:top w:val="single" w:sz="4" w:space="0" w:color="000001"/>
              <w:left w:val="single" w:sz="4" w:space="0" w:color="000001"/>
              <w:bottom w:val="single" w:sz="4" w:space="0" w:color="000001"/>
              <w:insideH w:val="single" w:sz="4" w:space="0" w:color="000001"/>
              <w:right w:val="nil"/>
              <w:insideV w:val="nil"/>
            </w:tcBorders>
            <w:shd w:fill="D9D9D9" w:val="clear"/>
            <w:tcMar>
              <w:left w:w="93" w:type="dxa"/>
            </w:tcMar>
          </w:tcPr>
          <w:p>
            <w:pPr>
              <w:pStyle w:val="Normal"/>
              <w:tabs>
                <w:tab w:val="right" w:pos="8460" w:leader="none"/>
              </w:tabs>
              <w:jc w:val="both"/>
              <w:rPr>
                <w:b/>
              </w:rPr>
            </w:pPr>
            <w:r>
              <w:rPr>
                <w:b/>
              </w:rPr>
            </w:r>
          </w:p>
        </w:tc>
        <w:tc>
          <w:tcPr>
            <w:tcW w:w="1649" w:type="dxa"/>
            <w:tcBorders>
              <w:top w:val="single" w:sz="4" w:space="0" w:color="000001"/>
              <w:left w:val="single" w:sz="4" w:space="0" w:color="000001"/>
              <w:bottom w:val="single" w:sz="4" w:space="0" w:color="000001"/>
              <w:insideH w:val="single" w:sz="4" w:space="0" w:color="000001"/>
              <w:right w:val="nil"/>
              <w:insideV w:val="nil"/>
            </w:tcBorders>
            <w:shd w:fill="D9D9D9" w:val="clear"/>
            <w:tcMar>
              <w:left w:w="93" w:type="dxa"/>
            </w:tcMar>
          </w:tcPr>
          <w:p>
            <w:pPr>
              <w:pStyle w:val="Normal"/>
              <w:tabs>
                <w:tab w:val="right" w:pos="8460" w:leader="none"/>
              </w:tabs>
              <w:jc w:val="center"/>
              <w:rPr>
                <w:b/>
              </w:rPr>
            </w:pPr>
            <w:r>
              <w:rPr>
                <w:b/>
              </w:rPr>
            </w:r>
          </w:p>
          <w:p>
            <w:pPr>
              <w:pStyle w:val="Normal"/>
              <w:tabs>
                <w:tab w:val="right" w:pos="8460" w:leader="none"/>
              </w:tabs>
              <w:jc w:val="center"/>
              <w:rPr>
                <w:b/>
              </w:rPr>
            </w:pPr>
            <w:r>
              <w:rPr>
                <w:b/>
              </w:rPr>
              <w:t xml:space="preserve">Schválený </w:t>
            </w:r>
          </w:p>
          <w:p>
            <w:pPr>
              <w:pStyle w:val="Normal"/>
              <w:tabs>
                <w:tab w:val="right" w:pos="8460" w:leader="none"/>
              </w:tabs>
              <w:jc w:val="center"/>
              <w:rPr>
                <w:b/>
              </w:rPr>
            </w:pPr>
            <w:r>
              <w:rPr>
                <w:b/>
              </w:rPr>
              <w:t xml:space="preserve">rozpočet </w:t>
            </w:r>
          </w:p>
        </w:tc>
        <w:tc>
          <w:tcPr>
            <w:tcW w:w="1650" w:type="dxa"/>
            <w:tcBorders>
              <w:top w:val="single" w:sz="4" w:space="0" w:color="000001"/>
              <w:left w:val="single" w:sz="4" w:space="0" w:color="000001"/>
              <w:bottom w:val="single" w:sz="4" w:space="0" w:color="000001"/>
              <w:insideH w:val="single" w:sz="4" w:space="0" w:color="000001"/>
              <w:right w:val="nil"/>
              <w:insideV w:val="nil"/>
            </w:tcBorders>
            <w:shd w:fill="D9D9D9" w:val="clear"/>
            <w:tcMar>
              <w:left w:w="93" w:type="dxa"/>
            </w:tcMar>
          </w:tcPr>
          <w:p>
            <w:pPr>
              <w:pStyle w:val="Normal"/>
              <w:tabs>
                <w:tab w:val="right" w:pos="8820" w:leader="none"/>
              </w:tabs>
              <w:jc w:val="center"/>
              <w:rPr>
                <w:b/>
              </w:rPr>
            </w:pPr>
            <w:r>
              <w:rPr>
                <w:b/>
              </w:rPr>
              <w:t xml:space="preserve">Schválený rozpočet </w:t>
            </w:r>
          </w:p>
          <w:p>
            <w:pPr>
              <w:pStyle w:val="Normal"/>
              <w:tabs>
                <w:tab w:val="right" w:pos="8820" w:leader="none"/>
              </w:tabs>
              <w:jc w:val="center"/>
              <w:rPr>
                <w:b/>
              </w:rPr>
            </w:pPr>
            <w:r>
              <w:rPr>
                <w:b/>
              </w:rPr>
              <w:t>po poslednej zmene</w:t>
            </w:r>
          </w:p>
        </w:tc>
        <w:tc>
          <w:tcPr>
            <w:tcW w:w="1524" w:type="dxa"/>
            <w:tcBorders>
              <w:top w:val="single" w:sz="4" w:space="0" w:color="000001"/>
              <w:left w:val="single" w:sz="4" w:space="0" w:color="000001"/>
              <w:bottom w:val="single" w:sz="4" w:space="0" w:color="000001"/>
              <w:insideH w:val="single" w:sz="4" w:space="0" w:color="000001"/>
              <w:right w:val="single" w:sz="4" w:space="0" w:color="000001"/>
              <w:insideV w:val="single" w:sz="4" w:space="0" w:color="000001"/>
            </w:tcBorders>
            <w:shd w:fill="D9D9D9" w:val="clear"/>
            <w:tcMar>
              <w:left w:w="93" w:type="dxa"/>
            </w:tcMar>
          </w:tcPr>
          <w:p>
            <w:pPr>
              <w:pStyle w:val="Normal"/>
              <w:tabs>
                <w:tab w:val="right" w:pos="8820" w:leader="none"/>
              </w:tabs>
              <w:jc w:val="center"/>
              <w:rPr>
                <w:b/>
              </w:rPr>
            </w:pPr>
            <w:r>
              <w:rPr>
                <w:b/>
              </w:rPr>
            </w:r>
          </w:p>
          <w:p>
            <w:pPr>
              <w:pStyle w:val="Normal"/>
              <w:tabs>
                <w:tab w:val="right" w:pos="8820" w:leader="none"/>
              </w:tabs>
              <w:jc w:val="center"/>
              <w:rPr>
                <w:b/>
              </w:rPr>
            </w:pPr>
            <w:r>
              <w:rPr>
                <w:b/>
              </w:rPr>
              <w:t xml:space="preserve">Plnenie rozpočtu </w:t>
            </w:r>
          </w:p>
        </w:tc>
      </w:tr>
      <w:tr>
        <w:trPr>
          <w:cantSplit w:val="false"/>
        </w:trPr>
        <w:tc>
          <w:tcPr>
            <w:tcW w:w="2843" w:type="dxa"/>
            <w:tcBorders>
              <w:top w:val="single" w:sz="4" w:space="0" w:color="000001"/>
              <w:left w:val="single" w:sz="4" w:space="0" w:color="000001"/>
              <w:bottom w:val="single" w:sz="4" w:space="0" w:color="000001"/>
              <w:insideH w:val="single" w:sz="4" w:space="0" w:color="000001"/>
              <w:right w:val="nil"/>
              <w:insideV w:val="nil"/>
            </w:tcBorders>
            <w:shd w:fill="C4BC96" w:val="clear"/>
            <w:tcMar>
              <w:left w:w="93" w:type="dxa"/>
            </w:tcMar>
          </w:tcPr>
          <w:p>
            <w:pPr>
              <w:pStyle w:val="Normal"/>
              <w:tabs>
                <w:tab w:val="right" w:pos="8460" w:leader="none"/>
              </w:tabs>
              <w:jc w:val="both"/>
              <w:rPr>
                <w:b/>
              </w:rPr>
            </w:pPr>
            <w:r>
              <w:rPr>
                <w:b/>
              </w:rPr>
              <w:t>Príjmy celkom</w:t>
            </w:r>
          </w:p>
        </w:tc>
        <w:tc>
          <w:tcPr>
            <w:tcW w:w="1649" w:type="dxa"/>
            <w:tcBorders>
              <w:top w:val="single" w:sz="4" w:space="0" w:color="000001"/>
              <w:left w:val="single" w:sz="4" w:space="0" w:color="000001"/>
              <w:bottom w:val="single" w:sz="4" w:space="0" w:color="000001"/>
              <w:insideH w:val="single" w:sz="4" w:space="0" w:color="000001"/>
              <w:right w:val="nil"/>
              <w:insideV w:val="nil"/>
            </w:tcBorders>
            <w:shd w:fill="C4BC96" w:val="clear"/>
            <w:tcMar>
              <w:left w:w="93" w:type="dxa"/>
            </w:tcMar>
          </w:tcPr>
          <w:p>
            <w:pPr>
              <w:pStyle w:val="Normal"/>
              <w:tabs>
                <w:tab w:val="right" w:pos="8460" w:leader="none"/>
              </w:tabs>
              <w:jc w:val="center"/>
              <w:rPr>
                <w:b/>
              </w:rPr>
            </w:pPr>
            <w:r>
              <w:rPr>
                <w:b/>
              </w:rPr>
              <w:t>855 689</w:t>
            </w:r>
          </w:p>
        </w:tc>
        <w:tc>
          <w:tcPr>
            <w:tcW w:w="1650" w:type="dxa"/>
            <w:tcBorders>
              <w:top w:val="single" w:sz="4" w:space="0" w:color="000001"/>
              <w:left w:val="single" w:sz="4" w:space="0" w:color="000001"/>
              <w:bottom w:val="single" w:sz="4" w:space="0" w:color="000001"/>
              <w:insideH w:val="single" w:sz="4" w:space="0" w:color="000001"/>
              <w:right w:val="nil"/>
              <w:insideV w:val="nil"/>
            </w:tcBorders>
            <w:shd w:fill="C4BC96" w:val="clear"/>
            <w:tcMar>
              <w:left w:w="93" w:type="dxa"/>
            </w:tcMar>
          </w:tcPr>
          <w:p>
            <w:pPr>
              <w:pStyle w:val="Normal"/>
              <w:tabs>
                <w:tab w:val="right" w:pos="8460" w:leader="none"/>
              </w:tabs>
              <w:jc w:val="center"/>
              <w:rPr>
                <w:b/>
              </w:rPr>
            </w:pPr>
            <w:r>
              <w:rPr>
                <w:b/>
              </w:rPr>
              <w:t>884 441</w:t>
            </w:r>
          </w:p>
        </w:tc>
        <w:tc>
          <w:tcPr>
            <w:tcW w:w="1524" w:type="dxa"/>
            <w:tcBorders>
              <w:top w:val="single" w:sz="4" w:space="0" w:color="000001"/>
              <w:left w:val="single" w:sz="4" w:space="0" w:color="000001"/>
              <w:bottom w:val="single" w:sz="4" w:space="0" w:color="000001"/>
              <w:insideH w:val="single" w:sz="4" w:space="0" w:color="000001"/>
              <w:right w:val="single" w:sz="4" w:space="0" w:color="000001"/>
              <w:insideV w:val="single" w:sz="4" w:space="0" w:color="000001"/>
            </w:tcBorders>
            <w:shd w:fill="C4BC96" w:val="clear"/>
            <w:tcMar>
              <w:left w:w="93" w:type="dxa"/>
            </w:tcMar>
          </w:tcPr>
          <w:p>
            <w:pPr>
              <w:pStyle w:val="Normal"/>
              <w:tabs>
                <w:tab w:val="right" w:pos="8460" w:leader="none"/>
              </w:tabs>
              <w:jc w:val="center"/>
              <w:rPr>
                <w:b/>
              </w:rPr>
            </w:pPr>
            <w:r>
              <w:rPr>
                <w:b/>
              </w:rPr>
              <w:t>938 558,72</w:t>
            </w:r>
          </w:p>
        </w:tc>
      </w:tr>
      <w:tr>
        <w:trPr>
          <w:cantSplit w:val="false"/>
        </w:trPr>
        <w:tc>
          <w:tcPr>
            <w:tcW w:w="2843" w:type="dxa"/>
            <w:tcBorders>
              <w:top w:val="single" w:sz="4" w:space="0" w:color="000001"/>
              <w:left w:val="single" w:sz="4" w:space="0" w:color="000001"/>
              <w:bottom w:val="single" w:sz="4" w:space="0" w:color="000001"/>
              <w:insideH w:val="single" w:sz="4" w:space="0" w:color="000001"/>
              <w:right w:val="nil"/>
              <w:insideV w:val="nil"/>
            </w:tcBorders>
            <w:shd w:fill="FFFFFF" w:val="clear"/>
            <w:tcMar>
              <w:left w:w="93" w:type="dxa"/>
            </w:tcMar>
          </w:tcPr>
          <w:p>
            <w:pPr>
              <w:pStyle w:val="Normal"/>
              <w:tabs>
                <w:tab w:val="right" w:pos="8460" w:leader="none"/>
              </w:tabs>
              <w:jc w:val="both"/>
              <w:rPr/>
            </w:pPr>
            <w:r>
              <w:rPr/>
              <w:t>z toho :</w:t>
            </w:r>
          </w:p>
        </w:tc>
        <w:tc>
          <w:tcPr>
            <w:tcW w:w="1649" w:type="dxa"/>
            <w:tcBorders>
              <w:top w:val="single" w:sz="4" w:space="0" w:color="000001"/>
              <w:left w:val="single" w:sz="4" w:space="0" w:color="000001"/>
              <w:bottom w:val="single" w:sz="4" w:space="0" w:color="000001"/>
              <w:insideH w:val="single" w:sz="4" w:space="0" w:color="000001"/>
              <w:right w:val="nil"/>
              <w:insideV w:val="nil"/>
            </w:tcBorders>
            <w:shd w:fill="FFFFFF" w:val="clear"/>
            <w:tcMar>
              <w:left w:w="93" w:type="dxa"/>
            </w:tcMar>
          </w:tcPr>
          <w:p>
            <w:pPr>
              <w:pStyle w:val="Normal"/>
              <w:tabs>
                <w:tab w:val="right" w:pos="8460" w:leader="none"/>
              </w:tabs>
              <w:jc w:val="both"/>
              <w:rPr>
                <w:b/>
              </w:rPr>
            </w:pPr>
            <w:r>
              <w:rPr>
                <w:b/>
              </w:rPr>
            </w:r>
          </w:p>
        </w:tc>
        <w:tc>
          <w:tcPr>
            <w:tcW w:w="1650" w:type="dxa"/>
            <w:tcBorders>
              <w:top w:val="single" w:sz="4" w:space="0" w:color="000001"/>
              <w:left w:val="single" w:sz="4" w:space="0" w:color="000001"/>
              <w:bottom w:val="single" w:sz="4" w:space="0" w:color="000001"/>
              <w:insideH w:val="single" w:sz="4" w:space="0" w:color="000001"/>
              <w:right w:val="nil"/>
              <w:insideV w:val="nil"/>
            </w:tcBorders>
            <w:shd w:fill="FFFFFF" w:val="clear"/>
            <w:tcMar>
              <w:left w:w="93" w:type="dxa"/>
            </w:tcMar>
          </w:tcPr>
          <w:p>
            <w:pPr>
              <w:pStyle w:val="Normal"/>
              <w:tabs>
                <w:tab w:val="right" w:pos="8460" w:leader="none"/>
              </w:tabs>
              <w:jc w:val="both"/>
              <w:rPr>
                <w:b/>
              </w:rPr>
            </w:pPr>
            <w:r>
              <w:rPr>
                <w:b/>
              </w:rPr>
            </w:r>
          </w:p>
        </w:tc>
        <w:tc>
          <w:tcPr>
            <w:tcW w:w="1524" w:type="dxa"/>
            <w:tcBorders>
              <w:top w:val="single" w:sz="4" w:space="0" w:color="000001"/>
              <w:left w:val="single" w:sz="4" w:space="0" w:color="000001"/>
              <w:bottom w:val="single" w:sz="4" w:space="0" w:color="000001"/>
              <w:insideH w:val="single" w:sz="4" w:space="0" w:color="000001"/>
              <w:right w:val="single" w:sz="4" w:space="0" w:color="000001"/>
              <w:insideV w:val="single" w:sz="4" w:space="0" w:color="000001"/>
            </w:tcBorders>
            <w:shd w:fill="FFFFFF" w:val="clear"/>
            <w:tcMar>
              <w:left w:w="93" w:type="dxa"/>
            </w:tcMar>
          </w:tcPr>
          <w:p>
            <w:pPr>
              <w:pStyle w:val="Normal"/>
              <w:tabs>
                <w:tab w:val="right" w:pos="8460" w:leader="none"/>
              </w:tabs>
              <w:jc w:val="both"/>
              <w:rPr>
                <w:b/>
              </w:rPr>
            </w:pPr>
            <w:r>
              <w:rPr>
                <w:b/>
              </w:rPr>
            </w:r>
          </w:p>
        </w:tc>
      </w:tr>
      <w:tr>
        <w:trPr>
          <w:cantSplit w:val="false"/>
        </w:trPr>
        <w:tc>
          <w:tcPr>
            <w:tcW w:w="2843" w:type="dxa"/>
            <w:tcBorders>
              <w:top w:val="single" w:sz="4" w:space="0" w:color="000001"/>
              <w:left w:val="single" w:sz="4" w:space="0" w:color="000001"/>
              <w:bottom w:val="single" w:sz="4" w:space="0" w:color="000001"/>
              <w:insideH w:val="single" w:sz="4" w:space="0" w:color="000001"/>
              <w:right w:val="nil"/>
              <w:insideV w:val="nil"/>
            </w:tcBorders>
            <w:shd w:fill="FFFFFF" w:val="clear"/>
            <w:tcMar>
              <w:left w:w="93" w:type="dxa"/>
            </w:tcMar>
          </w:tcPr>
          <w:p>
            <w:pPr>
              <w:pStyle w:val="Normal"/>
              <w:tabs>
                <w:tab w:val="right" w:pos="8460" w:leader="none"/>
              </w:tabs>
              <w:jc w:val="both"/>
              <w:rPr/>
            </w:pPr>
            <w:r>
              <w:rPr/>
              <w:t>Bežné príjmy</w:t>
            </w:r>
          </w:p>
        </w:tc>
        <w:tc>
          <w:tcPr>
            <w:tcW w:w="1649" w:type="dxa"/>
            <w:tcBorders>
              <w:top w:val="single" w:sz="4" w:space="0" w:color="000001"/>
              <w:left w:val="single" w:sz="4" w:space="0" w:color="000001"/>
              <w:bottom w:val="single" w:sz="4" w:space="0" w:color="000001"/>
              <w:insideH w:val="single" w:sz="4" w:space="0" w:color="000001"/>
              <w:right w:val="nil"/>
              <w:insideV w:val="nil"/>
            </w:tcBorders>
            <w:shd w:fill="FFFFFF" w:val="clear"/>
            <w:tcMar>
              <w:left w:w="93" w:type="dxa"/>
            </w:tcMar>
          </w:tcPr>
          <w:p>
            <w:pPr>
              <w:pStyle w:val="Normal"/>
              <w:tabs>
                <w:tab w:val="right" w:pos="8460" w:leader="none"/>
              </w:tabs>
              <w:jc w:val="center"/>
              <w:rPr/>
            </w:pPr>
            <w:r>
              <w:rPr/>
              <w:t>855 689</w:t>
            </w:r>
          </w:p>
        </w:tc>
        <w:tc>
          <w:tcPr>
            <w:tcW w:w="1650" w:type="dxa"/>
            <w:tcBorders>
              <w:top w:val="single" w:sz="4" w:space="0" w:color="000001"/>
              <w:left w:val="single" w:sz="4" w:space="0" w:color="000001"/>
              <w:bottom w:val="single" w:sz="4" w:space="0" w:color="000001"/>
              <w:insideH w:val="single" w:sz="4" w:space="0" w:color="000001"/>
              <w:right w:val="nil"/>
              <w:insideV w:val="nil"/>
            </w:tcBorders>
            <w:shd w:fill="FFFFFF" w:val="clear"/>
            <w:tcMar>
              <w:left w:w="93" w:type="dxa"/>
            </w:tcMar>
          </w:tcPr>
          <w:p>
            <w:pPr>
              <w:pStyle w:val="Normal"/>
              <w:tabs>
                <w:tab w:val="right" w:pos="8460" w:leader="none"/>
              </w:tabs>
              <w:jc w:val="center"/>
              <w:rPr/>
            </w:pPr>
            <w:r>
              <w:rPr/>
              <w:t>861 021</w:t>
            </w:r>
          </w:p>
        </w:tc>
        <w:tc>
          <w:tcPr>
            <w:tcW w:w="1524" w:type="dxa"/>
            <w:tcBorders>
              <w:top w:val="single" w:sz="4" w:space="0" w:color="000001"/>
              <w:left w:val="single" w:sz="4" w:space="0" w:color="000001"/>
              <w:bottom w:val="single" w:sz="4" w:space="0" w:color="000001"/>
              <w:insideH w:val="single" w:sz="4" w:space="0" w:color="000001"/>
              <w:right w:val="single" w:sz="4" w:space="0" w:color="000001"/>
              <w:insideV w:val="single" w:sz="4" w:space="0" w:color="000001"/>
            </w:tcBorders>
            <w:shd w:fill="FFFFFF" w:val="clear"/>
            <w:tcMar>
              <w:left w:w="93" w:type="dxa"/>
            </w:tcMar>
          </w:tcPr>
          <w:p>
            <w:pPr>
              <w:pStyle w:val="Normal"/>
              <w:tabs>
                <w:tab w:val="right" w:pos="8460" w:leader="none"/>
              </w:tabs>
              <w:jc w:val="center"/>
              <w:rPr/>
            </w:pPr>
            <w:r>
              <w:rPr/>
              <w:t>924 463,12</w:t>
            </w:r>
          </w:p>
        </w:tc>
      </w:tr>
      <w:tr>
        <w:trPr>
          <w:cantSplit w:val="false"/>
        </w:trPr>
        <w:tc>
          <w:tcPr>
            <w:tcW w:w="2843" w:type="dxa"/>
            <w:tcBorders>
              <w:top w:val="single" w:sz="4" w:space="0" w:color="000001"/>
              <w:left w:val="single" w:sz="4" w:space="0" w:color="000001"/>
              <w:bottom w:val="single" w:sz="4" w:space="0" w:color="000001"/>
              <w:insideH w:val="single" w:sz="4" w:space="0" w:color="000001"/>
              <w:right w:val="nil"/>
              <w:insideV w:val="nil"/>
            </w:tcBorders>
            <w:shd w:fill="FFFFFF" w:val="clear"/>
            <w:tcMar>
              <w:left w:w="93" w:type="dxa"/>
            </w:tcMar>
          </w:tcPr>
          <w:p>
            <w:pPr>
              <w:pStyle w:val="Normal"/>
              <w:tabs>
                <w:tab w:val="right" w:pos="8460" w:leader="none"/>
              </w:tabs>
              <w:jc w:val="both"/>
              <w:rPr/>
            </w:pPr>
            <w:r>
              <w:rPr/>
              <w:t>Kapitálové príjmy</w:t>
            </w:r>
          </w:p>
        </w:tc>
        <w:tc>
          <w:tcPr>
            <w:tcW w:w="1649" w:type="dxa"/>
            <w:tcBorders>
              <w:top w:val="single" w:sz="4" w:space="0" w:color="000001"/>
              <w:left w:val="single" w:sz="4" w:space="0" w:color="000001"/>
              <w:bottom w:val="single" w:sz="4" w:space="0" w:color="000001"/>
              <w:insideH w:val="single" w:sz="4" w:space="0" w:color="000001"/>
              <w:right w:val="nil"/>
              <w:insideV w:val="nil"/>
            </w:tcBorders>
            <w:shd w:fill="FFFFFF" w:val="clear"/>
            <w:tcMar>
              <w:left w:w="93" w:type="dxa"/>
            </w:tcMar>
          </w:tcPr>
          <w:p>
            <w:pPr>
              <w:pStyle w:val="Normal"/>
              <w:jc w:val="center"/>
              <w:rPr/>
            </w:pPr>
            <w:r>
              <w:rPr/>
              <w:t>0</w:t>
            </w:r>
          </w:p>
        </w:tc>
        <w:tc>
          <w:tcPr>
            <w:tcW w:w="1650" w:type="dxa"/>
            <w:tcBorders>
              <w:top w:val="single" w:sz="4" w:space="0" w:color="000001"/>
              <w:left w:val="single" w:sz="4" w:space="0" w:color="000001"/>
              <w:bottom w:val="single" w:sz="4" w:space="0" w:color="000001"/>
              <w:insideH w:val="single" w:sz="4" w:space="0" w:color="000001"/>
              <w:right w:val="nil"/>
              <w:insideV w:val="nil"/>
            </w:tcBorders>
            <w:shd w:fill="FFFFFF" w:val="clear"/>
            <w:tcMar>
              <w:left w:w="93" w:type="dxa"/>
            </w:tcMar>
          </w:tcPr>
          <w:p>
            <w:pPr>
              <w:pStyle w:val="Normal"/>
              <w:jc w:val="center"/>
              <w:rPr/>
            </w:pPr>
            <w:r>
              <w:rPr/>
              <w:t>13 680</w:t>
            </w:r>
          </w:p>
        </w:tc>
        <w:tc>
          <w:tcPr>
            <w:tcW w:w="1524" w:type="dxa"/>
            <w:tcBorders>
              <w:top w:val="single" w:sz="4" w:space="0" w:color="000001"/>
              <w:left w:val="single" w:sz="4" w:space="0" w:color="000001"/>
              <w:bottom w:val="single" w:sz="4" w:space="0" w:color="000001"/>
              <w:insideH w:val="single" w:sz="4" w:space="0" w:color="000001"/>
              <w:right w:val="single" w:sz="4" w:space="0" w:color="000001"/>
              <w:insideV w:val="single" w:sz="4" w:space="0" w:color="000001"/>
            </w:tcBorders>
            <w:shd w:fill="FFFFFF" w:val="clear"/>
            <w:tcMar>
              <w:left w:w="93" w:type="dxa"/>
            </w:tcMar>
          </w:tcPr>
          <w:p>
            <w:pPr>
              <w:pStyle w:val="Normal"/>
              <w:jc w:val="center"/>
              <w:rPr/>
            </w:pPr>
            <w:r>
              <w:rPr/>
              <w:t>14 095,60</w:t>
            </w:r>
          </w:p>
        </w:tc>
      </w:tr>
      <w:tr>
        <w:trPr>
          <w:cantSplit w:val="false"/>
        </w:trPr>
        <w:tc>
          <w:tcPr>
            <w:tcW w:w="2843" w:type="dxa"/>
            <w:tcBorders>
              <w:top w:val="single" w:sz="4" w:space="0" w:color="000001"/>
              <w:left w:val="single" w:sz="4" w:space="0" w:color="000001"/>
              <w:bottom w:val="single" w:sz="4" w:space="0" w:color="000001"/>
              <w:insideH w:val="single" w:sz="4" w:space="0" w:color="000001"/>
              <w:right w:val="nil"/>
              <w:insideV w:val="nil"/>
            </w:tcBorders>
            <w:shd w:fill="FFFFFF" w:val="clear"/>
            <w:tcMar>
              <w:left w:w="93" w:type="dxa"/>
            </w:tcMar>
          </w:tcPr>
          <w:p>
            <w:pPr>
              <w:pStyle w:val="Normal"/>
              <w:tabs>
                <w:tab w:val="right" w:pos="8460" w:leader="none"/>
              </w:tabs>
              <w:jc w:val="both"/>
              <w:rPr/>
            </w:pPr>
            <w:r>
              <w:rPr/>
              <w:t>Finančné príjmy</w:t>
            </w:r>
          </w:p>
        </w:tc>
        <w:tc>
          <w:tcPr>
            <w:tcW w:w="1649" w:type="dxa"/>
            <w:tcBorders>
              <w:top w:val="single" w:sz="4" w:space="0" w:color="000001"/>
              <w:left w:val="single" w:sz="4" w:space="0" w:color="000001"/>
              <w:bottom w:val="single" w:sz="4" w:space="0" w:color="000001"/>
              <w:insideH w:val="single" w:sz="4" w:space="0" w:color="000001"/>
              <w:right w:val="nil"/>
              <w:insideV w:val="nil"/>
            </w:tcBorders>
            <w:shd w:fill="FFFFFF" w:val="clear"/>
            <w:tcMar>
              <w:left w:w="93" w:type="dxa"/>
            </w:tcMar>
          </w:tcPr>
          <w:p>
            <w:pPr>
              <w:pStyle w:val="Normal"/>
              <w:tabs>
                <w:tab w:val="right" w:pos="8460" w:leader="none"/>
              </w:tabs>
              <w:jc w:val="center"/>
              <w:rPr/>
            </w:pPr>
            <w:r>
              <w:rPr/>
              <w:t>0</w:t>
            </w:r>
          </w:p>
        </w:tc>
        <w:tc>
          <w:tcPr>
            <w:tcW w:w="1650" w:type="dxa"/>
            <w:tcBorders>
              <w:top w:val="single" w:sz="4" w:space="0" w:color="000001"/>
              <w:left w:val="single" w:sz="4" w:space="0" w:color="000001"/>
              <w:bottom w:val="single" w:sz="4" w:space="0" w:color="000001"/>
              <w:insideH w:val="single" w:sz="4" w:space="0" w:color="000001"/>
              <w:right w:val="nil"/>
              <w:insideV w:val="nil"/>
            </w:tcBorders>
            <w:shd w:fill="FFFFFF" w:val="clear"/>
            <w:tcMar>
              <w:left w:w="93" w:type="dxa"/>
            </w:tcMar>
          </w:tcPr>
          <w:p>
            <w:pPr>
              <w:pStyle w:val="Normal"/>
              <w:tabs>
                <w:tab w:val="right" w:pos="8460" w:leader="none"/>
              </w:tabs>
              <w:jc w:val="center"/>
              <w:rPr/>
            </w:pPr>
            <w:r>
              <w:rPr/>
              <w:t>9 740</w:t>
            </w:r>
          </w:p>
        </w:tc>
        <w:tc>
          <w:tcPr>
            <w:tcW w:w="1524" w:type="dxa"/>
            <w:tcBorders>
              <w:top w:val="single" w:sz="4" w:space="0" w:color="000001"/>
              <w:left w:val="single" w:sz="4" w:space="0" w:color="000001"/>
              <w:bottom w:val="single" w:sz="4" w:space="0" w:color="000001"/>
              <w:insideH w:val="single" w:sz="4" w:space="0" w:color="000001"/>
              <w:right w:val="single" w:sz="4" w:space="0" w:color="000001"/>
              <w:insideV w:val="single" w:sz="4" w:space="0" w:color="000001"/>
            </w:tcBorders>
            <w:shd w:fill="FFFFFF" w:val="clear"/>
            <w:tcMar>
              <w:left w:w="93" w:type="dxa"/>
            </w:tcMar>
          </w:tcPr>
          <w:p>
            <w:pPr>
              <w:pStyle w:val="Normal"/>
              <w:tabs>
                <w:tab w:val="right" w:pos="8460" w:leader="none"/>
              </w:tabs>
              <w:jc w:val="center"/>
              <w:rPr/>
            </w:pPr>
            <w:r>
              <w:rPr/>
            </w:r>
          </w:p>
        </w:tc>
      </w:tr>
      <w:tr>
        <w:trPr>
          <w:cantSplit w:val="false"/>
        </w:trPr>
        <w:tc>
          <w:tcPr>
            <w:tcW w:w="2843" w:type="dxa"/>
            <w:tcBorders>
              <w:top w:val="single" w:sz="4" w:space="0" w:color="000001"/>
              <w:left w:val="single" w:sz="4" w:space="0" w:color="000001"/>
              <w:bottom w:val="single" w:sz="4" w:space="0" w:color="000001"/>
              <w:insideH w:val="single" w:sz="4" w:space="0" w:color="000001"/>
              <w:right w:val="nil"/>
              <w:insideV w:val="nil"/>
            </w:tcBorders>
            <w:shd w:fill="FFFFFF" w:val="clear"/>
            <w:tcMar>
              <w:left w:w="93" w:type="dxa"/>
            </w:tcMar>
          </w:tcPr>
          <w:p>
            <w:pPr>
              <w:pStyle w:val="Normal"/>
              <w:tabs>
                <w:tab w:val="right" w:pos="8460" w:leader="none"/>
              </w:tabs>
              <w:jc w:val="both"/>
              <w:rPr>
                <w:color w:val="FF0000"/>
              </w:rPr>
            </w:pPr>
            <w:r>
              <w:rPr>
                <w:color w:val="FF0000"/>
              </w:rPr>
              <w:t>Príjmy RO s právnou subjektivitou</w:t>
            </w:r>
          </w:p>
        </w:tc>
        <w:tc>
          <w:tcPr>
            <w:tcW w:w="1649" w:type="dxa"/>
            <w:tcBorders>
              <w:top w:val="single" w:sz="4" w:space="0" w:color="000001"/>
              <w:left w:val="single" w:sz="4" w:space="0" w:color="000001"/>
              <w:bottom w:val="single" w:sz="4" w:space="0" w:color="000001"/>
              <w:insideH w:val="single" w:sz="4" w:space="0" w:color="000001"/>
              <w:right w:val="nil"/>
              <w:insideV w:val="nil"/>
            </w:tcBorders>
            <w:shd w:fill="FFFFFF" w:val="clear"/>
            <w:tcMar>
              <w:left w:w="93" w:type="dxa"/>
            </w:tcMar>
          </w:tcPr>
          <w:p>
            <w:pPr>
              <w:pStyle w:val="Normal"/>
              <w:tabs>
                <w:tab w:val="right" w:pos="8460" w:leader="none"/>
              </w:tabs>
              <w:jc w:val="center"/>
              <w:rPr/>
            </w:pPr>
            <w:r>
              <w:rPr/>
              <w:t>0</w:t>
            </w:r>
          </w:p>
        </w:tc>
        <w:tc>
          <w:tcPr>
            <w:tcW w:w="1650" w:type="dxa"/>
            <w:tcBorders>
              <w:top w:val="single" w:sz="4" w:space="0" w:color="000001"/>
              <w:left w:val="single" w:sz="4" w:space="0" w:color="000001"/>
              <w:bottom w:val="single" w:sz="4" w:space="0" w:color="000001"/>
              <w:insideH w:val="single" w:sz="4" w:space="0" w:color="000001"/>
              <w:right w:val="nil"/>
              <w:insideV w:val="nil"/>
            </w:tcBorders>
            <w:shd w:fill="FFFFFF" w:val="clear"/>
            <w:tcMar>
              <w:left w:w="93" w:type="dxa"/>
            </w:tcMar>
          </w:tcPr>
          <w:p>
            <w:pPr>
              <w:pStyle w:val="Normal"/>
              <w:tabs>
                <w:tab w:val="right" w:pos="8460" w:leader="none"/>
              </w:tabs>
              <w:jc w:val="center"/>
              <w:rPr/>
            </w:pPr>
            <w:r>
              <w:rPr/>
              <w:t>0</w:t>
            </w:r>
          </w:p>
        </w:tc>
        <w:tc>
          <w:tcPr>
            <w:tcW w:w="1524" w:type="dxa"/>
            <w:tcBorders>
              <w:top w:val="single" w:sz="4" w:space="0" w:color="000001"/>
              <w:left w:val="single" w:sz="4" w:space="0" w:color="000001"/>
              <w:bottom w:val="single" w:sz="4" w:space="0" w:color="000001"/>
              <w:insideH w:val="single" w:sz="4" w:space="0" w:color="000001"/>
              <w:right w:val="single" w:sz="4" w:space="0" w:color="000001"/>
              <w:insideV w:val="single" w:sz="4" w:space="0" w:color="000001"/>
            </w:tcBorders>
            <w:shd w:fill="FFFFFF" w:val="clear"/>
            <w:tcMar>
              <w:left w:w="93" w:type="dxa"/>
            </w:tcMar>
          </w:tcPr>
          <w:p>
            <w:pPr>
              <w:pStyle w:val="Normal"/>
              <w:tabs>
                <w:tab w:val="right" w:pos="8460" w:leader="none"/>
              </w:tabs>
              <w:jc w:val="center"/>
              <w:rPr/>
            </w:pPr>
            <w:r>
              <w:rPr/>
              <w:t>1 825,81</w:t>
            </w:r>
          </w:p>
        </w:tc>
      </w:tr>
      <w:tr>
        <w:trPr>
          <w:cantSplit w:val="false"/>
        </w:trPr>
        <w:tc>
          <w:tcPr>
            <w:tcW w:w="2843" w:type="dxa"/>
            <w:tcBorders>
              <w:top w:val="single" w:sz="4" w:space="0" w:color="000001"/>
              <w:left w:val="single" w:sz="4" w:space="0" w:color="000001"/>
              <w:bottom w:val="single" w:sz="4" w:space="0" w:color="000001"/>
              <w:insideH w:val="single" w:sz="4" w:space="0" w:color="000001"/>
              <w:right w:val="nil"/>
              <w:insideV w:val="nil"/>
            </w:tcBorders>
            <w:shd w:fill="C4BC96" w:val="clear"/>
            <w:tcMar>
              <w:left w:w="93" w:type="dxa"/>
            </w:tcMar>
          </w:tcPr>
          <w:p>
            <w:pPr>
              <w:pStyle w:val="Normal"/>
              <w:tabs>
                <w:tab w:val="right" w:pos="8460" w:leader="none"/>
              </w:tabs>
              <w:jc w:val="both"/>
              <w:rPr>
                <w:b/>
              </w:rPr>
            </w:pPr>
            <w:r>
              <w:rPr>
                <w:b/>
              </w:rPr>
              <w:t>Výdavky celkom</w:t>
            </w:r>
          </w:p>
        </w:tc>
        <w:tc>
          <w:tcPr>
            <w:tcW w:w="1649" w:type="dxa"/>
            <w:tcBorders>
              <w:top w:val="single" w:sz="4" w:space="0" w:color="000001"/>
              <w:left w:val="single" w:sz="4" w:space="0" w:color="000001"/>
              <w:bottom w:val="single" w:sz="4" w:space="0" w:color="000001"/>
              <w:insideH w:val="single" w:sz="4" w:space="0" w:color="000001"/>
              <w:right w:val="nil"/>
              <w:insideV w:val="nil"/>
            </w:tcBorders>
            <w:shd w:fill="C4BC96" w:val="clear"/>
            <w:tcMar>
              <w:left w:w="93" w:type="dxa"/>
            </w:tcMar>
          </w:tcPr>
          <w:p>
            <w:pPr>
              <w:pStyle w:val="Normal"/>
              <w:tabs>
                <w:tab w:val="right" w:pos="8460" w:leader="none"/>
              </w:tabs>
              <w:jc w:val="center"/>
              <w:rPr>
                <w:b/>
              </w:rPr>
            </w:pPr>
            <w:r>
              <w:rPr>
                <w:b/>
              </w:rPr>
              <w:t>855 689</w:t>
            </w:r>
          </w:p>
        </w:tc>
        <w:tc>
          <w:tcPr>
            <w:tcW w:w="1650" w:type="dxa"/>
            <w:tcBorders>
              <w:top w:val="single" w:sz="4" w:space="0" w:color="000001"/>
              <w:left w:val="single" w:sz="4" w:space="0" w:color="000001"/>
              <w:bottom w:val="single" w:sz="4" w:space="0" w:color="000001"/>
              <w:insideH w:val="single" w:sz="4" w:space="0" w:color="000001"/>
              <w:right w:val="nil"/>
              <w:insideV w:val="nil"/>
            </w:tcBorders>
            <w:shd w:fill="C4BC96" w:val="clear"/>
            <w:tcMar>
              <w:left w:w="93" w:type="dxa"/>
            </w:tcMar>
          </w:tcPr>
          <w:p>
            <w:pPr>
              <w:pStyle w:val="Normal"/>
              <w:tabs>
                <w:tab w:val="right" w:pos="8460" w:leader="none"/>
              </w:tabs>
              <w:jc w:val="center"/>
              <w:rPr>
                <w:b/>
              </w:rPr>
            </w:pPr>
            <w:r>
              <w:rPr>
                <w:b/>
              </w:rPr>
              <w:t>884 441</w:t>
            </w:r>
          </w:p>
        </w:tc>
        <w:tc>
          <w:tcPr>
            <w:tcW w:w="1524" w:type="dxa"/>
            <w:tcBorders>
              <w:top w:val="single" w:sz="4" w:space="0" w:color="000001"/>
              <w:left w:val="single" w:sz="4" w:space="0" w:color="000001"/>
              <w:bottom w:val="single" w:sz="4" w:space="0" w:color="000001"/>
              <w:insideH w:val="single" w:sz="4" w:space="0" w:color="000001"/>
              <w:right w:val="single" w:sz="4" w:space="0" w:color="000001"/>
              <w:insideV w:val="single" w:sz="4" w:space="0" w:color="000001"/>
            </w:tcBorders>
            <w:shd w:fill="C4BC96" w:val="clear"/>
            <w:tcMar>
              <w:left w:w="93" w:type="dxa"/>
            </w:tcMar>
          </w:tcPr>
          <w:p>
            <w:pPr>
              <w:pStyle w:val="Normal"/>
              <w:tabs>
                <w:tab w:val="right" w:pos="8460" w:leader="none"/>
              </w:tabs>
              <w:jc w:val="center"/>
              <w:rPr>
                <w:b/>
              </w:rPr>
            </w:pPr>
            <w:r>
              <w:rPr>
                <w:b/>
              </w:rPr>
              <w:t>922 853,82</w:t>
            </w:r>
          </w:p>
        </w:tc>
      </w:tr>
      <w:tr>
        <w:trPr>
          <w:cantSplit w:val="false"/>
        </w:trPr>
        <w:tc>
          <w:tcPr>
            <w:tcW w:w="2843" w:type="dxa"/>
            <w:tcBorders>
              <w:top w:val="single" w:sz="4" w:space="0" w:color="000001"/>
              <w:left w:val="single" w:sz="4" w:space="0" w:color="000001"/>
              <w:bottom w:val="single" w:sz="4" w:space="0" w:color="000001"/>
              <w:insideH w:val="single" w:sz="4" w:space="0" w:color="000001"/>
              <w:right w:val="nil"/>
              <w:insideV w:val="nil"/>
            </w:tcBorders>
            <w:shd w:fill="FFFFFF" w:val="clear"/>
            <w:tcMar>
              <w:left w:w="93" w:type="dxa"/>
            </w:tcMar>
          </w:tcPr>
          <w:p>
            <w:pPr>
              <w:pStyle w:val="Normal"/>
              <w:tabs>
                <w:tab w:val="right" w:pos="8460" w:leader="none"/>
              </w:tabs>
              <w:jc w:val="both"/>
              <w:rPr/>
            </w:pPr>
            <w:r>
              <w:rPr/>
              <w:t>z toho :</w:t>
            </w:r>
          </w:p>
        </w:tc>
        <w:tc>
          <w:tcPr>
            <w:tcW w:w="1649" w:type="dxa"/>
            <w:tcBorders>
              <w:top w:val="single" w:sz="4" w:space="0" w:color="000001"/>
              <w:left w:val="single" w:sz="4" w:space="0" w:color="000001"/>
              <w:bottom w:val="single" w:sz="4" w:space="0" w:color="000001"/>
              <w:insideH w:val="single" w:sz="4" w:space="0" w:color="000001"/>
              <w:right w:val="nil"/>
              <w:insideV w:val="nil"/>
            </w:tcBorders>
            <w:shd w:fill="FFFFFF" w:val="clear"/>
            <w:tcMar>
              <w:left w:w="93" w:type="dxa"/>
            </w:tcMar>
          </w:tcPr>
          <w:p>
            <w:pPr>
              <w:pStyle w:val="Normal"/>
              <w:tabs>
                <w:tab w:val="right" w:pos="8460" w:leader="none"/>
              </w:tabs>
              <w:jc w:val="center"/>
              <w:rPr>
                <w:b/>
              </w:rPr>
            </w:pPr>
            <w:r>
              <w:rPr>
                <w:b/>
              </w:rPr>
            </w:r>
          </w:p>
        </w:tc>
        <w:tc>
          <w:tcPr>
            <w:tcW w:w="1650" w:type="dxa"/>
            <w:tcBorders>
              <w:top w:val="single" w:sz="4" w:space="0" w:color="000001"/>
              <w:left w:val="single" w:sz="4" w:space="0" w:color="000001"/>
              <w:bottom w:val="single" w:sz="4" w:space="0" w:color="000001"/>
              <w:insideH w:val="single" w:sz="4" w:space="0" w:color="000001"/>
              <w:right w:val="nil"/>
              <w:insideV w:val="nil"/>
            </w:tcBorders>
            <w:shd w:fill="FFFFFF" w:val="clear"/>
            <w:tcMar>
              <w:left w:w="93" w:type="dxa"/>
            </w:tcMar>
          </w:tcPr>
          <w:p>
            <w:pPr>
              <w:pStyle w:val="Normal"/>
              <w:tabs>
                <w:tab w:val="right" w:pos="8460" w:leader="none"/>
              </w:tabs>
              <w:jc w:val="center"/>
              <w:rPr>
                <w:b/>
              </w:rPr>
            </w:pPr>
            <w:r>
              <w:rPr>
                <w:b/>
              </w:rPr>
            </w:r>
          </w:p>
        </w:tc>
        <w:tc>
          <w:tcPr>
            <w:tcW w:w="1524" w:type="dxa"/>
            <w:tcBorders>
              <w:top w:val="single" w:sz="4" w:space="0" w:color="000001"/>
              <w:left w:val="single" w:sz="4" w:space="0" w:color="000001"/>
              <w:bottom w:val="single" w:sz="4" w:space="0" w:color="000001"/>
              <w:insideH w:val="single" w:sz="4" w:space="0" w:color="000001"/>
              <w:right w:val="single" w:sz="4" w:space="0" w:color="000001"/>
              <w:insideV w:val="single" w:sz="4" w:space="0" w:color="000001"/>
            </w:tcBorders>
            <w:shd w:fill="FFFFFF" w:val="clear"/>
            <w:tcMar>
              <w:left w:w="93" w:type="dxa"/>
            </w:tcMar>
          </w:tcPr>
          <w:p>
            <w:pPr>
              <w:pStyle w:val="Normal"/>
              <w:tabs>
                <w:tab w:val="right" w:pos="8460" w:leader="none"/>
              </w:tabs>
              <w:jc w:val="center"/>
              <w:rPr>
                <w:b/>
              </w:rPr>
            </w:pPr>
            <w:r>
              <w:rPr>
                <w:b/>
              </w:rPr>
            </w:r>
          </w:p>
        </w:tc>
      </w:tr>
      <w:tr>
        <w:trPr>
          <w:cantSplit w:val="false"/>
        </w:trPr>
        <w:tc>
          <w:tcPr>
            <w:tcW w:w="2843" w:type="dxa"/>
            <w:tcBorders>
              <w:top w:val="single" w:sz="4" w:space="0" w:color="000001"/>
              <w:left w:val="single" w:sz="4" w:space="0" w:color="000001"/>
              <w:bottom w:val="single" w:sz="4" w:space="0" w:color="000001"/>
              <w:insideH w:val="single" w:sz="4" w:space="0" w:color="000001"/>
              <w:right w:val="nil"/>
              <w:insideV w:val="nil"/>
            </w:tcBorders>
            <w:shd w:fill="FFFFFF" w:val="clear"/>
            <w:tcMar>
              <w:left w:w="93" w:type="dxa"/>
            </w:tcMar>
          </w:tcPr>
          <w:p>
            <w:pPr>
              <w:pStyle w:val="Normal"/>
              <w:tabs>
                <w:tab w:val="right" w:pos="8460" w:leader="none"/>
              </w:tabs>
              <w:jc w:val="both"/>
              <w:rPr/>
            </w:pPr>
            <w:r>
              <w:rPr/>
              <w:t>Bežné výdavky</w:t>
            </w:r>
          </w:p>
        </w:tc>
        <w:tc>
          <w:tcPr>
            <w:tcW w:w="1649" w:type="dxa"/>
            <w:tcBorders>
              <w:top w:val="single" w:sz="4" w:space="0" w:color="000001"/>
              <w:left w:val="single" w:sz="4" w:space="0" w:color="000001"/>
              <w:bottom w:val="single" w:sz="4" w:space="0" w:color="000001"/>
              <w:insideH w:val="single" w:sz="4" w:space="0" w:color="000001"/>
              <w:right w:val="nil"/>
              <w:insideV w:val="nil"/>
            </w:tcBorders>
            <w:shd w:fill="FFFFFF" w:val="clear"/>
            <w:tcMar>
              <w:left w:w="93" w:type="dxa"/>
            </w:tcMar>
          </w:tcPr>
          <w:p>
            <w:pPr>
              <w:pStyle w:val="Normal"/>
              <w:tabs>
                <w:tab w:val="right" w:pos="8460" w:leader="none"/>
              </w:tabs>
              <w:jc w:val="center"/>
              <w:rPr/>
            </w:pPr>
            <w:r>
              <w:rPr/>
              <w:t>800 729</w:t>
            </w:r>
          </w:p>
        </w:tc>
        <w:tc>
          <w:tcPr>
            <w:tcW w:w="1650" w:type="dxa"/>
            <w:tcBorders>
              <w:top w:val="single" w:sz="4" w:space="0" w:color="000001"/>
              <w:left w:val="single" w:sz="4" w:space="0" w:color="000001"/>
              <w:bottom w:val="single" w:sz="4" w:space="0" w:color="000001"/>
              <w:insideH w:val="single" w:sz="4" w:space="0" w:color="000001"/>
              <w:right w:val="nil"/>
              <w:insideV w:val="nil"/>
            </w:tcBorders>
            <w:shd w:fill="FFFFFF" w:val="clear"/>
            <w:tcMar>
              <w:left w:w="93" w:type="dxa"/>
            </w:tcMar>
          </w:tcPr>
          <w:p>
            <w:pPr>
              <w:pStyle w:val="Normal"/>
              <w:tabs>
                <w:tab w:val="right" w:pos="8460" w:leader="none"/>
              </w:tabs>
              <w:jc w:val="center"/>
              <w:rPr/>
            </w:pPr>
            <w:r>
              <w:rPr/>
              <w:t>782 899</w:t>
            </w:r>
          </w:p>
        </w:tc>
        <w:tc>
          <w:tcPr>
            <w:tcW w:w="1524" w:type="dxa"/>
            <w:tcBorders>
              <w:top w:val="single" w:sz="4" w:space="0" w:color="000001"/>
              <w:left w:val="single" w:sz="4" w:space="0" w:color="000001"/>
              <w:bottom w:val="single" w:sz="4" w:space="0" w:color="000001"/>
              <w:insideH w:val="single" w:sz="4" w:space="0" w:color="000001"/>
              <w:right w:val="single" w:sz="4" w:space="0" w:color="000001"/>
              <w:insideV w:val="single" w:sz="4" w:space="0" w:color="000001"/>
            </w:tcBorders>
            <w:shd w:fill="FFFFFF" w:val="clear"/>
            <w:tcMar>
              <w:left w:w="93" w:type="dxa"/>
            </w:tcMar>
          </w:tcPr>
          <w:p>
            <w:pPr>
              <w:pStyle w:val="Normal"/>
              <w:tabs>
                <w:tab w:val="right" w:pos="8460" w:leader="none"/>
              </w:tabs>
              <w:jc w:val="center"/>
              <w:rPr/>
            </w:pPr>
            <w:r>
              <w:rPr/>
              <w:t>829 621,32</w:t>
            </w:r>
          </w:p>
        </w:tc>
      </w:tr>
      <w:tr>
        <w:trPr>
          <w:cantSplit w:val="false"/>
        </w:trPr>
        <w:tc>
          <w:tcPr>
            <w:tcW w:w="2843" w:type="dxa"/>
            <w:tcBorders>
              <w:top w:val="single" w:sz="4" w:space="0" w:color="000001"/>
              <w:left w:val="single" w:sz="4" w:space="0" w:color="000001"/>
              <w:bottom w:val="single" w:sz="4" w:space="0" w:color="000001"/>
              <w:insideH w:val="single" w:sz="4" w:space="0" w:color="000001"/>
              <w:right w:val="nil"/>
              <w:insideV w:val="nil"/>
            </w:tcBorders>
            <w:shd w:fill="FFFFFF" w:val="clear"/>
            <w:tcMar>
              <w:left w:w="93" w:type="dxa"/>
            </w:tcMar>
          </w:tcPr>
          <w:p>
            <w:pPr>
              <w:pStyle w:val="Normal"/>
              <w:tabs>
                <w:tab w:val="right" w:pos="8460" w:leader="none"/>
              </w:tabs>
              <w:jc w:val="both"/>
              <w:rPr/>
            </w:pPr>
            <w:r>
              <w:rPr/>
              <w:t>Kapitálové výdavky</w:t>
            </w:r>
          </w:p>
        </w:tc>
        <w:tc>
          <w:tcPr>
            <w:tcW w:w="1649" w:type="dxa"/>
            <w:tcBorders>
              <w:top w:val="single" w:sz="4" w:space="0" w:color="000001"/>
              <w:left w:val="single" w:sz="4" w:space="0" w:color="000001"/>
              <w:bottom w:val="single" w:sz="4" w:space="0" w:color="000001"/>
              <w:insideH w:val="single" w:sz="4" w:space="0" w:color="000001"/>
              <w:right w:val="nil"/>
              <w:insideV w:val="nil"/>
            </w:tcBorders>
            <w:shd w:fill="FFFFFF" w:val="clear"/>
            <w:tcMar>
              <w:left w:w="93" w:type="dxa"/>
            </w:tcMar>
          </w:tcPr>
          <w:p>
            <w:pPr>
              <w:pStyle w:val="Normal"/>
              <w:tabs>
                <w:tab w:val="right" w:pos="8460" w:leader="none"/>
              </w:tabs>
              <w:jc w:val="center"/>
              <w:rPr/>
            </w:pPr>
            <w:r>
              <w:rPr/>
              <w:t>20 000</w:t>
            </w:r>
          </w:p>
        </w:tc>
        <w:tc>
          <w:tcPr>
            <w:tcW w:w="1650" w:type="dxa"/>
            <w:tcBorders>
              <w:top w:val="single" w:sz="4" w:space="0" w:color="000001"/>
              <w:left w:val="single" w:sz="4" w:space="0" w:color="000001"/>
              <w:bottom w:val="single" w:sz="4" w:space="0" w:color="000001"/>
              <w:insideH w:val="single" w:sz="4" w:space="0" w:color="000001"/>
              <w:right w:val="nil"/>
              <w:insideV w:val="nil"/>
            </w:tcBorders>
            <w:shd w:fill="FFFFFF" w:val="clear"/>
            <w:tcMar>
              <w:left w:w="93" w:type="dxa"/>
            </w:tcMar>
          </w:tcPr>
          <w:p>
            <w:pPr>
              <w:pStyle w:val="Normal"/>
              <w:tabs>
                <w:tab w:val="right" w:pos="8460" w:leader="none"/>
              </w:tabs>
              <w:jc w:val="center"/>
              <w:rPr/>
            </w:pPr>
            <w:r>
              <w:rPr/>
              <w:t>66 582</w:t>
            </w:r>
          </w:p>
        </w:tc>
        <w:tc>
          <w:tcPr>
            <w:tcW w:w="1524" w:type="dxa"/>
            <w:tcBorders>
              <w:top w:val="single" w:sz="4" w:space="0" w:color="000001"/>
              <w:left w:val="single" w:sz="4" w:space="0" w:color="000001"/>
              <w:bottom w:val="single" w:sz="4" w:space="0" w:color="000001"/>
              <w:insideH w:val="single" w:sz="4" w:space="0" w:color="000001"/>
              <w:right w:val="single" w:sz="4" w:space="0" w:color="000001"/>
              <w:insideV w:val="single" w:sz="4" w:space="0" w:color="000001"/>
            </w:tcBorders>
            <w:shd w:fill="FFFFFF" w:val="clear"/>
            <w:tcMar>
              <w:left w:w="93" w:type="dxa"/>
            </w:tcMar>
          </w:tcPr>
          <w:p>
            <w:pPr>
              <w:pStyle w:val="Normal"/>
              <w:tabs>
                <w:tab w:val="right" w:pos="8460" w:leader="none"/>
              </w:tabs>
              <w:jc w:val="center"/>
              <w:rPr/>
            </w:pPr>
            <w:r>
              <w:rPr/>
              <w:t>58 318,02</w:t>
            </w:r>
          </w:p>
        </w:tc>
      </w:tr>
      <w:tr>
        <w:trPr>
          <w:cantSplit w:val="false"/>
        </w:trPr>
        <w:tc>
          <w:tcPr>
            <w:tcW w:w="2843" w:type="dxa"/>
            <w:tcBorders>
              <w:top w:val="single" w:sz="4" w:space="0" w:color="000001"/>
              <w:left w:val="single" w:sz="4" w:space="0" w:color="000001"/>
              <w:bottom w:val="single" w:sz="4" w:space="0" w:color="000001"/>
              <w:insideH w:val="single" w:sz="4" w:space="0" w:color="000001"/>
              <w:right w:val="nil"/>
              <w:insideV w:val="nil"/>
            </w:tcBorders>
            <w:shd w:fill="FFFFFF" w:val="clear"/>
            <w:tcMar>
              <w:left w:w="93" w:type="dxa"/>
            </w:tcMar>
          </w:tcPr>
          <w:p>
            <w:pPr>
              <w:pStyle w:val="Normal"/>
              <w:tabs>
                <w:tab w:val="right" w:pos="8460" w:leader="none"/>
              </w:tabs>
              <w:jc w:val="both"/>
              <w:rPr/>
            </w:pPr>
            <w:r>
              <w:rPr/>
              <w:t>Finančné výdavky</w:t>
            </w:r>
          </w:p>
        </w:tc>
        <w:tc>
          <w:tcPr>
            <w:tcW w:w="1649" w:type="dxa"/>
            <w:tcBorders>
              <w:top w:val="single" w:sz="4" w:space="0" w:color="000001"/>
              <w:left w:val="single" w:sz="4" w:space="0" w:color="000001"/>
              <w:bottom w:val="single" w:sz="4" w:space="0" w:color="000001"/>
              <w:insideH w:val="single" w:sz="4" w:space="0" w:color="000001"/>
              <w:right w:val="nil"/>
              <w:insideV w:val="nil"/>
            </w:tcBorders>
            <w:shd w:fill="FFFFFF" w:val="clear"/>
            <w:tcMar>
              <w:left w:w="93" w:type="dxa"/>
            </w:tcMar>
          </w:tcPr>
          <w:p>
            <w:pPr>
              <w:pStyle w:val="Normal"/>
              <w:tabs>
                <w:tab w:val="right" w:pos="8460" w:leader="none"/>
              </w:tabs>
              <w:jc w:val="center"/>
              <w:rPr/>
            </w:pPr>
            <w:r>
              <w:rPr/>
              <w:t>34 960</w:t>
            </w:r>
          </w:p>
        </w:tc>
        <w:tc>
          <w:tcPr>
            <w:tcW w:w="1650" w:type="dxa"/>
            <w:tcBorders>
              <w:top w:val="single" w:sz="4" w:space="0" w:color="000001"/>
              <w:left w:val="single" w:sz="4" w:space="0" w:color="000001"/>
              <w:bottom w:val="single" w:sz="4" w:space="0" w:color="000001"/>
              <w:insideH w:val="single" w:sz="4" w:space="0" w:color="000001"/>
              <w:right w:val="nil"/>
              <w:insideV w:val="nil"/>
            </w:tcBorders>
            <w:shd w:fill="FFFFFF" w:val="clear"/>
            <w:tcMar>
              <w:left w:w="93" w:type="dxa"/>
            </w:tcMar>
          </w:tcPr>
          <w:p>
            <w:pPr>
              <w:pStyle w:val="Normal"/>
              <w:tabs>
                <w:tab w:val="right" w:pos="8460" w:leader="none"/>
              </w:tabs>
              <w:jc w:val="center"/>
              <w:rPr/>
            </w:pPr>
            <w:r>
              <w:rPr/>
              <w:t>34 960</w:t>
            </w:r>
          </w:p>
        </w:tc>
        <w:tc>
          <w:tcPr>
            <w:tcW w:w="1524" w:type="dxa"/>
            <w:tcBorders>
              <w:top w:val="single" w:sz="4" w:space="0" w:color="000001"/>
              <w:left w:val="single" w:sz="4" w:space="0" w:color="000001"/>
              <w:bottom w:val="single" w:sz="4" w:space="0" w:color="000001"/>
              <w:insideH w:val="single" w:sz="4" w:space="0" w:color="000001"/>
              <w:right w:val="single" w:sz="4" w:space="0" w:color="000001"/>
              <w:insideV w:val="single" w:sz="4" w:space="0" w:color="000001"/>
            </w:tcBorders>
            <w:shd w:fill="FFFFFF" w:val="clear"/>
            <w:tcMar>
              <w:left w:w="93" w:type="dxa"/>
            </w:tcMar>
          </w:tcPr>
          <w:p>
            <w:pPr>
              <w:pStyle w:val="Normal"/>
              <w:tabs>
                <w:tab w:val="right" w:pos="8460" w:leader="none"/>
              </w:tabs>
              <w:jc w:val="center"/>
              <w:rPr/>
            </w:pPr>
            <w:r>
              <w:rPr/>
              <w:t>34 914,48</w:t>
            </w:r>
          </w:p>
        </w:tc>
      </w:tr>
      <w:tr>
        <w:trPr>
          <w:cantSplit w:val="false"/>
        </w:trPr>
        <w:tc>
          <w:tcPr>
            <w:tcW w:w="2843" w:type="dxa"/>
            <w:tcBorders>
              <w:top w:val="single" w:sz="4" w:space="0" w:color="000001"/>
              <w:left w:val="single" w:sz="4" w:space="0" w:color="000001"/>
              <w:bottom w:val="single" w:sz="4" w:space="0" w:color="000001"/>
              <w:insideH w:val="single" w:sz="4" w:space="0" w:color="000001"/>
              <w:right w:val="nil"/>
              <w:insideV w:val="nil"/>
            </w:tcBorders>
            <w:shd w:fill="FFFFFF" w:val="clear"/>
            <w:tcMar>
              <w:left w:w="93" w:type="dxa"/>
            </w:tcMar>
          </w:tcPr>
          <w:p>
            <w:pPr>
              <w:pStyle w:val="Normal"/>
              <w:tabs>
                <w:tab w:val="right" w:pos="8460" w:leader="none"/>
              </w:tabs>
              <w:jc w:val="both"/>
              <w:rPr>
                <w:color w:val="FF0000"/>
              </w:rPr>
            </w:pPr>
            <w:r>
              <w:rPr>
                <w:color w:val="FF0000"/>
              </w:rPr>
              <w:t>Výdavky RO s právnou subjekivitou</w:t>
            </w:r>
          </w:p>
        </w:tc>
        <w:tc>
          <w:tcPr>
            <w:tcW w:w="1649" w:type="dxa"/>
            <w:tcBorders>
              <w:top w:val="single" w:sz="4" w:space="0" w:color="000001"/>
              <w:left w:val="single" w:sz="4" w:space="0" w:color="000001"/>
              <w:bottom w:val="single" w:sz="4" w:space="0" w:color="000001"/>
              <w:insideH w:val="single" w:sz="4" w:space="0" w:color="000001"/>
              <w:right w:val="nil"/>
              <w:insideV w:val="nil"/>
            </w:tcBorders>
            <w:shd w:fill="FFFFFF" w:val="clear"/>
            <w:tcMar>
              <w:left w:w="93" w:type="dxa"/>
            </w:tcMar>
          </w:tcPr>
          <w:p>
            <w:pPr>
              <w:pStyle w:val="Normal"/>
              <w:tabs>
                <w:tab w:val="right" w:pos="8460" w:leader="none"/>
              </w:tabs>
              <w:jc w:val="center"/>
              <w:rPr/>
            </w:pPr>
            <w:r>
              <w:rPr/>
            </w:r>
          </w:p>
        </w:tc>
        <w:tc>
          <w:tcPr>
            <w:tcW w:w="1650" w:type="dxa"/>
            <w:tcBorders>
              <w:top w:val="single" w:sz="4" w:space="0" w:color="000001"/>
              <w:left w:val="single" w:sz="4" w:space="0" w:color="000001"/>
              <w:bottom w:val="single" w:sz="4" w:space="0" w:color="000001"/>
              <w:insideH w:val="single" w:sz="4" w:space="0" w:color="000001"/>
              <w:right w:val="nil"/>
              <w:insideV w:val="nil"/>
            </w:tcBorders>
            <w:shd w:fill="FFFFFF" w:val="clear"/>
            <w:tcMar>
              <w:left w:w="93" w:type="dxa"/>
            </w:tcMar>
          </w:tcPr>
          <w:p>
            <w:pPr>
              <w:pStyle w:val="Normal"/>
              <w:tabs>
                <w:tab w:val="right" w:pos="8460" w:leader="none"/>
              </w:tabs>
              <w:jc w:val="center"/>
              <w:rPr/>
            </w:pPr>
            <w:r>
              <w:rPr/>
            </w:r>
          </w:p>
        </w:tc>
        <w:tc>
          <w:tcPr>
            <w:tcW w:w="1524" w:type="dxa"/>
            <w:tcBorders>
              <w:top w:val="single" w:sz="4" w:space="0" w:color="000001"/>
              <w:left w:val="single" w:sz="4" w:space="0" w:color="000001"/>
              <w:bottom w:val="single" w:sz="4" w:space="0" w:color="000001"/>
              <w:insideH w:val="single" w:sz="4" w:space="0" w:color="000001"/>
              <w:right w:val="single" w:sz="4" w:space="0" w:color="000001"/>
              <w:insideV w:val="single" w:sz="4" w:space="0" w:color="000001"/>
            </w:tcBorders>
            <w:shd w:fill="FFFFFF" w:val="clear"/>
            <w:tcMar>
              <w:left w:w="93" w:type="dxa"/>
            </w:tcMar>
          </w:tcPr>
          <w:p>
            <w:pPr>
              <w:pStyle w:val="Normal"/>
              <w:tabs>
                <w:tab w:val="right" w:pos="8460" w:leader="none"/>
              </w:tabs>
              <w:jc w:val="center"/>
              <w:rPr/>
            </w:pPr>
            <w:r>
              <w:rPr/>
            </w:r>
          </w:p>
        </w:tc>
      </w:tr>
      <w:tr>
        <w:trPr>
          <w:cantSplit w:val="false"/>
        </w:trPr>
        <w:tc>
          <w:tcPr>
            <w:tcW w:w="2843" w:type="dxa"/>
            <w:tcBorders>
              <w:top w:val="single" w:sz="4" w:space="0" w:color="000001"/>
              <w:left w:val="single" w:sz="4" w:space="0" w:color="000001"/>
              <w:bottom w:val="single" w:sz="4" w:space="0" w:color="000001"/>
              <w:insideH w:val="single" w:sz="4" w:space="0" w:color="000001"/>
              <w:right w:val="nil"/>
              <w:insideV w:val="nil"/>
            </w:tcBorders>
            <w:shd w:fill="C4BC96" w:val="clear"/>
            <w:tcMar>
              <w:left w:w="93" w:type="dxa"/>
            </w:tcMar>
          </w:tcPr>
          <w:p>
            <w:pPr>
              <w:pStyle w:val="Normal"/>
              <w:tabs>
                <w:tab w:val="right" w:pos="8460" w:leader="none"/>
              </w:tabs>
              <w:rPr>
                <w:b/>
              </w:rPr>
            </w:pPr>
            <w:r>
              <w:rPr>
                <w:b/>
              </w:rPr>
              <w:t>Rozpočet  obce</w:t>
            </w:r>
          </w:p>
        </w:tc>
        <w:tc>
          <w:tcPr>
            <w:tcW w:w="1649" w:type="dxa"/>
            <w:tcBorders>
              <w:top w:val="single" w:sz="4" w:space="0" w:color="000001"/>
              <w:left w:val="single" w:sz="4" w:space="0" w:color="000001"/>
              <w:bottom w:val="single" w:sz="4" w:space="0" w:color="000001"/>
              <w:insideH w:val="single" w:sz="4" w:space="0" w:color="000001"/>
              <w:right w:val="nil"/>
              <w:insideV w:val="nil"/>
            </w:tcBorders>
            <w:shd w:fill="C4BC96" w:val="clear"/>
            <w:tcMar>
              <w:left w:w="93" w:type="dxa"/>
            </w:tcMar>
          </w:tcPr>
          <w:p>
            <w:pPr>
              <w:pStyle w:val="Normal"/>
              <w:tabs>
                <w:tab w:val="right" w:pos="8460" w:leader="none"/>
              </w:tabs>
              <w:jc w:val="center"/>
              <w:rPr>
                <w:b/>
              </w:rPr>
            </w:pPr>
            <w:r>
              <w:rPr>
                <w:b/>
              </w:rPr>
            </w:r>
          </w:p>
        </w:tc>
        <w:tc>
          <w:tcPr>
            <w:tcW w:w="1650" w:type="dxa"/>
            <w:tcBorders>
              <w:top w:val="single" w:sz="4" w:space="0" w:color="000001"/>
              <w:left w:val="single" w:sz="4" w:space="0" w:color="000001"/>
              <w:bottom w:val="single" w:sz="4" w:space="0" w:color="000001"/>
              <w:insideH w:val="single" w:sz="4" w:space="0" w:color="000001"/>
              <w:right w:val="nil"/>
              <w:insideV w:val="nil"/>
            </w:tcBorders>
            <w:shd w:fill="C4BC96" w:val="clear"/>
            <w:tcMar>
              <w:left w:w="93" w:type="dxa"/>
            </w:tcMar>
          </w:tcPr>
          <w:p>
            <w:pPr>
              <w:pStyle w:val="Normal"/>
              <w:tabs>
                <w:tab w:val="right" w:pos="8460" w:leader="none"/>
              </w:tabs>
              <w:jc w:val="center"/>
              <w:rPr>
                <w:b/>
              </w:rPr>
            </w:pPr>
            <w:r>
              <w:rPr>
                <w:b/>
              </w:rPr>
            </w:r>
          </w:p>
        </w:tc>
        <w:tc>
          <w:tcPr>
            <w:tcW w:w="1524" w:type="dxa"/>
            <w:tcBorders>
              <w:top w:val="single" w:sz="4" w:space="0" w:color="000001"/>
              <w:left w:val="single" w:sz="4" w:space="0" w:color="000001"/>
              <w:bottom w:val="single" w:sz="4" w:space="0" w:color="000001"/>
              <w:insideH w:val="single" w:sz="4" w:space="0" w:color="000001"/>
              <w:right w:val="single" w:sz="4" w:space="0" w:color="000001"/>
              <w:insideV w:val="single" w:sz="4" w:space="0" w:color="000001"/>
            </w:tcBorders>
            <w:shd w:fill="C4BC96" w:val="clear"/>
            <w:tcMar>
              <w:left w:w="93" w:type="dxa"/>
            </w:tcMar>
          </w:tcPr>
          <w:p>
            <w:pPr>
              <w:pStyle w:val="Normal"/>
              <w:tabs>
                <w:tab w:val="right" w:pos="8460" w:leader="none"/>
              </w:tabs>
              <w:jc w:val="center"/>
              <w:rPr>
                <w:b/>
              </w:rPr>
            </w:pPr>
            <w:r>
              <w:rPr>
                <w:b/>
              </w:rPr>
            </w:r>
          </w:p>
        </w:tc>
      </w:tr>
    </w:tbl>
    <w:p>
      <w:pPr>
        <w:pStyle w:val="Normal"/>
        <w:rPr>
          <w:b/>
        </w:rPr>
      </w:pPr>
      <w:r>
        <w:rPr>
          <w:b/>
        </w:rPr>
      </w:r>
    </w:p>
    <w:p>
      <w:pPr>
        <w:pStyle w:val="Normal"/>
        <w:rPr>
          <w:b/>
        </w:rPr>
      </w:pPr>
      <w:r>
        <w:rPr>
          <w:b/>
        </w:rPr>
      </w:r>
    </w:p>
    <w:p>
      <w:pPr>
        <w:pStyle w:val="Normal"/>
        <w:pageBreakBefore/>
        <w:jc w:val="both"/>
        <w:rPr>
          <w:b/>
          <w:color w:val="0000FF"/>
          <w:sz w:val="28"/>
          <w:szCs w:val="28"/>
        </w:rPr>
      </w:pPr>
      <w:r>
        <w:rPr>
          <w:b/>
          <w:color w:val="0000FF"/>
          <w:sz w:val="28"/>
          <w:szCs w:val="28"/>
        </w:rPr>
        <w:t xml:space="preserve">2. Rozbor plnenia príjmov za rok 2014 </w:t>
      </w:r>
    </w:p>
    <w:p>
      <w:pPr>
        <w:pStyle w:val="Normal"/>
        <w:rPr>
          <w:b/>
          <w:sz w:val="28"/>
          <w:szCs w:val="28"/>
          <w:u w:val="single"/>
        </w:rPr>
      </w:pPr>
      <w:r>
        <w:rPr>
          <w:b/>
          <w:sz w:val="28"/>
          <w:szCs w:val="28"/>
          <w:u w:val="single"/>
        </w:rPr>
      </w:r>
    </w:p>
    <w:tbl>
      <w:tblPr>
        <w:jc w:val="left"/>
        <w:tblInd w:w="98" w:type="dxa"/>
        <w:tblBorders>
          <w:top w:val="single" w:sz="4" w:space="0" w:color="000001"/>
          <w:left w:val="single" w:sz="4" w:space="0" w:color="000001"/>
          <w:bottom w:val="single" w:sz="4" w:space="0" w:color="000001"/>
          <w:insideH w:val="single" w:sz="4" w:space="0" w:color="000001"/>
          <w:right w:val="nil"/>
          <w:insideV w:val="nil"/>
        </w:tblBorders>
        <w:tblCellMar>
          <w:top w:w="0" w:type="dxa"/>
          <w:left w:w="93" w:type="dxa"/>
          <w:bottom w:w="0" w:type="dxa"/>
          <w:right w:w="108" w:type="dxa"/>
        </w:tblCellMar>
      </w:tblPr>
      <w:tblGrid>
        <w:gridCol w:w="2960"/>
        <w:gridCol w:w="3071"/>
        <w:gridCol w:w="3415"/>
      </w:tblGrid>
      <w:tr>
        <w:trPr>
          <w:cantSplit w:val="false"/>
        </w:trPr>
        <w:tc>
          <w:tcPr>
            <w:tcW w:w="2960" w:type="dxa"/>
            <w:tcBorders>
              <w:top w:val="single" w:sz="4" w:space="0" w:color="000001"/>
              <w:left w:val="single" w:sz="4" w:space="0" w:color="000001"/>
              <w:bottom w:val="single" w:sz="4" w:space="0" w:color="000001"/>
              <w:insideH w:val="single" w:sz="4" w:space="0" w:color="000001"/>
              <w:right w:val="nil"/>
              <w:insideV w:val="nil"/>
            </w:tcBorders>
            <w:shd w:fill="D9D9D9" w:val="clear"/>
            <w:tcMar>
              <w:left w:w="93" w:type="dxa"/>
            </w:tcMar>
          </w:tcPr>
          <w:p>
            <w:pPr>
              <w:pStyle w:val="Normal"/>
              <w:jc w:val="center"/>
              <w:rPr>
                <w:b/>
              </w:rPr>
            </w:pPr>
            <w:r>
              <w:rPr>
                <w:b/>
              </w:rPr>
              <w:t>Rozpočet na rok 2014</w:t>
            </w:r>
          </w:p>
        </w:tc>
        <w:tc>
          <w:tcPr>
            <w:tcW w:w="3071" w:type="dxa"/>
            <w:tcBorders>
              <w:top w:val="single" w:sz="4" w:space="0" w:color="000001"/>
              <w:left w:val="single" w:sz="4" w:space="0" w:color="000001"/>
              <w:bottom w:val="single" w:sz="4" w:space="0" w:color="000001"/>
              <w:insideH w:val="single" w:sz="4" w:space="0" w:color="000001"/>
              <w:right w:val="nil"/>
              <w:insideV w:val="nil"/>
            </w:tcBorders>
            <w:shd w:fill="D9D9D9" w:val="clear"/>
            <w:tcMar>
              <w:left w:w="93" w:type="dxa"/>
            </w:tcMar>
          </w:tcPr>
          <w:p>
            <w:pPr>
              <w:pStyle w:val="Normal"/>
              <w:jc w:val="center"/>
              <w:rPr>
                <w:b/>
              </w:rPr>
            </w:pPr>
            <w:r>
              <w:rPr>
                <w:b/>
              </w:rPr>
              <w:t>Skutočnosť k 31.12.2014</w:t>
            </w:r>
          </w:p>
        </w:tc>
        <w:tc>
          <w:tcPr>
            <w:tcW w:w="3415" w:type="dxa"/>
            <w:tcBorders>
              <w:top w:val="single" w:sz="4" w:space="0" w:color="000001"/>
              <w:left w:val="single" w:sz="4" w:space="0" w:color="000001"/>
              <w:bottom w:val="single" w:sz="4" w:space="0" w:color="000001"/>
              <w:insideH w:val="single" w:sz="4" w:space="0" w:color="000001"/>
              <w:right w:val="single" w:sz="4" w:space="0" w:color="000001"/>
              <w:insideV w:val="single" w:sz="4" w:space="0" w:color="000001"/>
            </w:tcBorders>
            <w:shd w:fill="D9D9D9" w:val="clear"/>
            <w:tcMar>
              <w:left w:w="93" w:type="dxa"/>
            </w:tcMar>
          </w:tcPr>
          <w:p>
            <w:pPr>
              <w:pStyle w:val="Normal"/>
              <w:jc w:val="center"/>
              <w:rPr>
                <w:b/>
              </w:rPr>
            </w:pPr>
            <w:r>
              <w:rPr>
                <w:b/>
              </w:rPr>
              <w:t>% plnenia</w:t>
            </w:r>
          </w:p>
        </w:tc>
      </w:tr>
      <w:tr>
        <w:trPr>
          <w:cantSplit w:val="false"/>
        </w:trPr>
        <w:tc>
          <w:tcPr>
            <w:tcW w:w="2960" w:type="dxa"/>
            <w:tcBorders>
              <w:top w:val="single" w:sz="4" w:space="0" w:color="000001"/>
              <w:left w:val="single" w:sz="4" w:space="0" w:color="000001"/>
              <w:bottom w:val="single" w:sz="4" w:space="0" w:color="000001"/>
              <w:insideH w:val="single" w:sz="4" w:space="0" w:color="000001"/>
              <w:right w:val="nil"/>
              <w:insideV w:val="nil"/>
            </w:tcBorders>
            <w:shd w:fill="FFFFFF" w:val="clear"/>
            <w:tcMar>
              <w:left w:w="93" w:type="dxa"/>
            </w:tcMar>
          </w:tcPr>
          <w:p>
            <w:pPr>
              <w:pStyle w:val="Normal"/>
              <w:jc w:val="center"/>
              <w:rPr>
                <w:b/>
                <w:i/>
              </w:rPr>
            </w:pPr>
            <w:r>
              <w:rPr>
                <w:b/>
                <w:i/>
              </w:rPr>
              <w:t>884 441</w:t>
            </w:r>
          </w:p>
        </w:tc>
        <w:tc>
          <w:tcPr>
            <w:tcW w:w="3071" w:type="dxa"/>
            <w:tcBorders>
              <w:top w:val="single" w:sz="4" w:space="0" w:color="000001"/>
              <w:left w:val="single" w:sz="4" w:space="0" w:color="000001"/>
              <w:bottom w:val="single" w:sz="4" w:space="0" w:color="000001"/>
              <w:insideH w:val="single" w:sz="4" w:space="0" w:color="000001"/>
              <w:right w:val="nil"/>
              <w:insideV w:val="nil"/>
            </w:tcBorders>
            <w:shd w:fill="FFFFFF" w:val="clear"/>
            <w:tcMar>
              <w:left w:w="93" w:type="dxa"/>
            </w:tcMar>
          </w:tcPr>
          <w:p>
            <w:pPr>
              <w:pStyle w:val="Normal"/>
              <w:rPr/>
            </w:pPr>
            <w:r>
              <w:rPr/>
              <w:t xml:space="preserve">            </w:t>
            </w:r>
            <w:r>
              <w:rPr/>
              <w:t>938 558,72</w:t>
            </w:r>
          </w:p>
        </w:tc>
        <w:tc>
          <w:tcPr>
            <w:tcW w:w="3415" w:type="dxa"/>
            <w:tcBorders>
              <w:top w:val="single" w:sz="4" w:space="0" w:color="000001"/>
              <w:left w:val="single" w:sz="4" w:space="0" w:color="000001"/>
              <w:bottom w:val="single" w:sz="4" w:space="0" w:color="000001"/>
              <w:insideH w:val="single" w:sz="4" w:space="0" w:color="000001"/>
              <w:right w:val="single" w:sz="4" w:space="0" w:color="000001"/>
              <w:insideV w:val="single" w:sz="4" w:space="0" w:color="000001"/>
            </w:tcBorders>
            <w:shd w:fill="FFFFFF" w:val="clear"/>
            <w:tcMar>
              <w:left w:w="93" w:type="dxa"/>
            </w:tcMar>
          </w:tcPr>
          <w:p>
            <w:pPr>
              <w:pStyle w:val="Normal"/>
              <w:rPr/>
            </w:pPr>
            <w:r>
              <w:rPr/>
              <w:t xml:space="preserve">                   </w:t>
            </w:r>
            <w:r>
              <w:rPr/>
              <w:t>106</w:t>
            </w:r>
          </w:p>
        </w:tc>
      </w:tr>
    </w:tbl>
    <w:p>
      <w:pPr>
        <w:pStyle w:val="Normal"/>
        <w:rPr>
          <w:b/>
        </w:rPr>
      </w:pPr>
      <w:r>
        <w:rPr>
          <w:b/>
        </w:rPr>
      </w:r>
    </w:p>
    <w:p>
      <w:pPr>
        <w:pStyle w:val="Normal"/>
        <w:jc w:val="both"/>
        <w:rPr/>
      </w:pPr>
      <w:r>
        <w:rPr/>
        <w:t xml:space="preserve">Z rozpočtovaných celkových príjmov 884 441 EUR bol skutočný príjem k 31.12.2014 v sume 938 558,72 EUR, čo predstavuje  106 % plnenie. </w:t>
      </w:r>
    </w:p>
    <w:p>
      <w:pPr>
        <w:pStyle w:val="Normal"/>
        <w:rPr>
          <w:b/>
        </w:rPr>
      </w:pPr>
      <w:r>
        <w:rPr>
          <w:b/>
        </w:rPr>
      </w:r>
    </w:p>
    <w:p>
      <w:pPr>
        <w:pStyle w:val="Normal"/>
        <w:numPr>
          <w:ilvl w:val="0"/>
          <w:numId w:val="8"/>
        </w:numPr>
        <w:ind w:left="284" w:right="0" w:hanging="360"/>
        <w:rPr>
          <w:b/>
          <w:color w:val="FF0000"/>
        </w:rPr>
      </w:pPr>
      <w:r>
        <w:rPr>
          <w:b/>
          <w:color w:val="FF0000"/>
        </w:rPr>
        <w:t>Bežné príjmy</w:t>
      </w:r>
    </w:p>
    <w:p>
      <w:pPr>
        <w:pStyle w:val="Normal"/>
        <w:rPr>
          <w:b/>
          <w:color w:val="FF0000"/>
        </w:rPr>
      </w:pPr>
      <w:r>
        <w:rPr>
          <w:b/>
          <w:color w:val="FF0000"/>
        </w:rPr>
      </w:r>
    </w:p>
    <w:tbl>
      <w:tblPr>
        <w:jc w:val="left"/>
        <w:tblInd w:w="98" w:type="dxa"/>
        <w:tblBorders>
          <w:top w:val="single" w:sz="4" w:space="0" w:color="000001"/>
          <w:left w:val="single" w:sz="4" w:space="0" w:color="000001"/>
          <w:bottom w:val="single" w:sz="4" w:space="0" w:color="000001"/>
          <w:insideH w:val="single" w:sz="4" w:space="0" w:color="000001"/>
          <w:right w:val="nil"/>
          <w:insideV w:val="nil"/>
        </w:tblBorders>
        <w:tblCellMar>
          <w:top w:w="0" w:type="dxa"/>
          <w:left w:w="93" w:type="dxa"/>
          <w:bottom w:w="0" w:type="dxa"/>
          <w:right w:w="108" w:type="dxa"/>
        </w:tblCellMar>
      </w:tblPr>
      <w:tblGrid>
        <w:gridCol w:w="2960"/>
        <w:gridCol w:w="3071"/>
        <w:gridCol w:w="3415"/>
      </w:tblGrid>
      <w:tr>
        <w:trPr>
          <w:cantSplit w:val="false"/>
        </w:trPr>
        <w:tc>
          <w:tcPr>
            <w:tcW w:w="2960" w:type="dxa"/>
            <w:tcBorders>
              <w:top w:val="single" w:sz="4" w:space="0" w:color="000001"/>
              <w:left w:val="single" w:sz="4" w:space="0" w:color="000001"/>
              <w:bottom w:val="single" w:sz="4" w:space="0" w:color="000001"/>
              <w:insideH w:val="single" w:sz="4" w:space="0" w:color="000001"/>
              <w:right w:val="nil"/>
              <w:insideV w:val="nil"/>
            </w:tcBorders>
            <w:shd w:fill="D9D9D9" w:val="clear"/>
            <w:tcMar>
              <w:left w:w="93" w:type="dxa"/>
            </w:tcMar>
          </w:tcPr>
          <w:p>
            <w:pPr>
              <w:pStyle w:val="Normal"/>
              <w:jc w:val="center"/>
              <w:rPr>
                <w:b/>
              </w:rPr>
            </w:pPr>
            <w:r>
              <w:rPr>
                <w:b/>
              </w:rPr>
              <w:t>Rozpočet na rok 2014</w:t>
            </w:r>
          </w:p>
        </w:tc>
        <w:tc>
          <w:tcPr>
            <w:tcW w:w="3071" w:type="dxa"/>
            <w:tcBorders>
              <w:top w:val="single" w:sz="4" w:space="0" w:color="000001"/>
              <w:left w:val="single" w:sz="4" w:space="0" w:color="000001"/>
              <w:bottom w:val="single" w:sz="4" w:space="0" w:color="000001"/>
              <w:insideH w:val="single" w:sz="4" w:space="0" w:color="000001"/>
              <w:right w:val="nil"/>
              <w:insideV w:val="nil"/>
            </w:tcBorders>
            <w:shd w:fill="D9D9D9" w:val="clear"/>
            <w:tcMar>
              <w:left w:w="93" w:type="dxa"/>
            </w:tcMar>
          </w:tcPr>
          <w:p>
            <w:pPr>
              <w:pStyle w:val="Normal"/>
              <w:jc w:val="center"/>
              <w:rPr>
                <w:b/>
              </w:rPr>
            </w:pPr>
            <w:r>
              <w:rPr>
                <w:b/>
              </w:rPr>
              <w:t>Skutočnosť k 31.12.2014</w:t>
            </w:r>
          </w:p>
        </w:tc>
        <w:tc>
          <w:tcPr>
            <w:tcW w:w="3415" w:type="dxa"/>
            <w:tcBorders>
              <w:top w:val="single" w:sz="4" w:space="0" w:color="000001"/>
              <w:left w:val="single" w:sz="4" w:space="0" w:color="000001"/>
              <w:bottom w:val="single" w:sz="4" w:space="0" w:color="000001"/>
              <w:insideH w:val="single" w:sz="4" w:space="0" w:color="000001"/>
              <w:right w:val="single" w:sz="4" w:space="0" w:color="000001"/>
              <w:insideV w:val="single" w:sz="4" w:space="0" w:color="000001"/>
            </w:tcBorders>
            <w:shd w:fill="D9D9D9" w:val="clear"/>
            <w:tcMar>
              <w:left w:w="93" w:type="dxa"/>
            </w:tcMar>
          </w:tcPr>
          <w:p>
            <w:pPr>
              <w:pStyle w:val="Normal"/>
              <w:jc w:val="center"/>
              <w:rPr>
                <w:b/>
              </w:rPr>
            </w:pPr>
            <w:r>
              <w:rPr>
                <w:b/>
              </w:rPr>
              <w:t>% plnenia</w:t>
            </w:r>
          </w:p>
        </w:tc>
      </w:tr>
      <w:tr>
        <w:trPr>
          <w:cantSplit w:val="false"/>
        </w:trPr>
        <w:tc>
          <w:tcPr>
            <w:tcW w:w="2960" w:type="dxa"/>
            <w:tcBorders>
              <w:top w:val="single" w:sz="4" w:space="0" w:color="000001"/>
              <w:left w:val="single" w:sz="4" w:space="0" w:color="000001"/>
              <w:bottom w:val="single" w:sz="4" w:space="0" w:color="000001"/>
              <w:insideH w:val="single" w:sz="4" w:space="0" w:color="000001"/>
              <w:right w:val="nil"/>
              <w:insideV w:val="nil"/>
            </w:tcBorders>
            <w:shd w:fill="FFFFFF" w:val="clear"/>
            <w:tcMar>
              <w:left w:w="93" w:type="dxa"/>
            </w:tcMar>
          </w:tcPr>
          <w:p>
            <w:pPr>
              <w:pStyle w:val="Normal"/>
              <w:jc w:val="center"/>
              <w:rPr>
                <w:b/>
              </w:rPr>
            </w:pPr>
            <w:r>
              <w:rPr>
                <w:b/>
              </w:rPr>
              <w:t>861 021</w:t>
            </w:r>
          </w:p>
        </w:tc>
        <w:tc>
          <w:tcPr>
            <w:tcW w:w="3071" w:type="dxa"/>
            <w:tcBorders>
              <w:top w:val="single" w:sz="4" w:space="0" w:color="000001"/>
              <w:left w:val="single" w:sz="4" w:space="0" w:color="000001"/>
              <w:bottom w:val="single" w:sz="4" w:space="0" w:color="000001"/>
              <w:insideH w:val="single" w:sz="4" w:space="0" w:color="000001"/>
              <w:right w:val="nil"/>
              <w:insideV w:val="nil"/>
            </w:tcBorders>
            <w:shd w:fill="FFFFFF" w:val="clear"/>
            <w:tcMar>
              <w:left w:w="93" w:type="dxa"/>
            </w:tcMar>
          </w:tcPr>
          <w:p>
            <w:pPr>
              <w:pStyle w:val="Normal"/>
              <w:jc w:val="center"/>
              <w:rPr/>
            </w:pPr>
            <w:r>
              <w:rPr/>
              <w:t>924 463,12</w:t>
            </w:r>
          </w:p>
        </w:tc>
        <w:tc>
          <w:tcPr>
            <w:tcW w:w="3415" w:type="dxa"/>
            <w:tcBorders>
              <w:top w:val="single" w:sz="4" w:space="0" w:color="000001"/>
              <w:left w:val="single" w:sz="4" w:space="0" w:color="000001"/>
              <w:bottom w:val="single" w:sz="4" w:space="0" w:color="000001"/>
              <w:insideH w:val="single" w:sz="4" w:space="0" w:color="000001"/>
              <w:right w:val="single" w:sz="4" w:space="0" w:color="000001"/>
              <w:insideV w:val="single" w:sz="4" w:space="0" w:color="000001"/>
            </w:tcBorders>
            <w:shd w:fill="FFFFFF" w:val="clear"/>
            <w:tcMar>
              <w:left w:w="93" w:type="dxa"/>
            </w:tcMar>
          </w:tcPr>
          <w:p>
            <w:pPr>
              <w:pStyle w:val="Normal"/>
              <w:jc w:val="center"/>
              <w:rPr/>
            </w:pPr>
            <w:r>
              <w:rPr/>
              <w:t>107</w:t>
            </w:r>
          </w:p>
        </w:tc>
      </w:tr>
    </w:tbl>
    <w:p>
      <w:pPr>
        <w:pStyle w:val="Normal"/>
        <w:rPr>
          <w:b/>
          <w:color w:val="FF0000"/>
        </w:rPr>
      </w:pPr>
      <w:r>
        <w:rPr>
          <w:b/>
          <w:color w:val="FF0000"/>
        </w:rPr>
      </w:r>
    </w:p>
    <w:p>
      <w:pPr>
        <w:pStyle w:val="Normal"/>
        <w:jc w:val="both"/>
        <w:rPr/>
      </w:pPr>
      <w:r>
        <w:rPr/>
        <w:t xml:space="preserve">Z rozpočtovaných bežných príjmov 861 021 EUR bol skutočný príjem k 31.12.2014 v sume </w:t>
      </w:r>
    </w:p>
    <w:p>
      <w:pPr>
        <w:pStyle w:val="Normal"/>
        <w:jc w:val="both"/>
        <w:rPr/>
      </w:pPr>
      <w:r>
        <w:rPr/>
        <w:t xml:space="preserve">924 463,12 EUR, čo predstavuje 107 % plnenie. </w:t>
      </w:r>
    </w:p>
    <w:p>
      <w:pPr>
        <w:pStyle w:val="Normal"/>
        <w:ind w:left="284" w:right="0" w:hanging="0"/>
        <w:rPr/>
      </w:pPr>
      <w:r>
        <w:rPr/>
      </w:r>
    </w:p>
    <w:p>
      <w:pPr>
        <w:pStyle w:val="Normal"/>
        <w:numPr>
          <w:ilvl w:val="0"/>
          <w:numId w:val="9"/>
        </w:numPr>
        <w:rPr>
          <w:b/>
        </w:rPr>
      </w:pPr>
      <w:r>
        <w:rPr>
          <w:b/>
        </w:rPr>
        <w:t xml:space="preserve">daňové príjmy </w:t>
      </w:r>
    </w:p>
    <w:p>
      <w:pPr>
        <w:pStyle w:val="Normal"/>
        <w:rPr>
          <w:b/>
        </w:rPr>
      </w:pPr>
      <w:r>
        <w:rPr>
          <w:b/>
        </w:rPr>
      </w:r>
    </w:p>
    <w:tbl>
      <w:tblPr>
        <w:jc w:val="left"/>
        <w:tblInd w:w="98" w:type="dxa"/>
        <w:tblBorders>
          <w:top w:val="single" w:sz="4" w:space="0" w:color="000001"/>
          <w:left w:val="single" w:sz="4" w:space="0" w:color="000001"/>
          <w:bottom w:val="single" w:sz="4" w:space="0" w:color="000001"/>
          <w:insideH w:val="single" w:sz="4" w:space="0" w:color="000001"/>
          <w:right w:val="nil"/>
          <w:insideV w:val="nil"/>
        </w:tblBorders>
        <w:tblCellMar>
          <w:top w:w="0" w:type="dxa"/>
          <w:left w:w="93" w:type="dxa"/>
          <w:bottom w:w="0" w:type="dxa"/>
          <w:right w:w="108" w:type="dxa"/>
        </w:tblCellMar>
      </w:tblPr>
      <w:tblGrid>
        <w:gridCol w:w="2960"/>
        <w:gridCol w:w="3071"/>
        <w:gridCol w:w="3415"/>
      </w:tblGrid>
      <w:tr>
        <w:trPr>
          <w:cantSplit w:val="false"/>
        </w:trPr>
        <w:tc>
          <w:tcPr>
            <w:tcW w:w="2960" w:type="dxa"/>
            <w:tcBorders>
              <w:top w:val="single" w:sz="4" w:space="0" w:color="000001"/>
              <w:left w:val="single" w:sz="4" w:space="0" w:color="000001"/>
              <w:bottom w:val="single" w:sz="4" w:space="0" w:color="000001"/>
              <w:insideH w:val="single" w:sz="4" w:space="0" w:color="000001"/>
              <w:right w:val="nil"/>
              <w:insideV w:val="nil"/>
            </w:tcBorders>
            <w:shd w:fill="D9D9D9" w:val="clear"/>
            <w:tcMar>
              <w:left w:w="93" w:type="dxa"/>
            </w:tcMar>
          </w:tcPr>
          <w:p>
            <w:pPr>
              <w:pStyle w:val="Normal"/>
              <w:jc w:val="center"/>
              <w:rPr>
                <w:b/>
              </w:rPr>
            </w:pPr>
            <w:r>
              <w:rPr>
                <w:b/>
              </w:rPr>
              <w:t>Rozpočet na rok 2014</w:t>
            </w:r>
          </w:p>
        </w:tc>
        <w:tc>
          <w:tcPr>
            <w:tcW w:w="3071" w:type="dxa"/>
            <w:tcBorders>
              <w:top w:val="single" w:sz="4" w:space="0" w:color="000001"/>
              <w:left w:val="single" w:sz="4" w:space="0" w:color="000001"/>
              <w:bottom w:val="single" w:sz="4" w:space="0" w:color="000001"/>
              <w:insideH w:val="single" w:sz="4" w:space="0" w:color="000001"/>
              <w:right w:val="nil"/>
              <w:insideV w:val="nil"/>
            </w:tcBorders>
            <w:shd w:fill="D9D9D9" w:val="clear"/>
            <w:tcMar>
              <w:left w:w="93" w:type="dxa"/>
            </w:tcMar>
          </w:tcPr>
          <w:p>
            <w:pPr>
              <w:pStyle w:val="Normal"/>
              <w:jc w:val="center"/>
              <w:rPr>
                <w:b/>
              </w:rPr>
            </w:pPr>
            <w:r>
              <w:rPr>
                <w:b/>
              </w:rPr>
              <w:t>Skutočnosť k 31.12.2014</w:t>
            </w:r>
          </w:p>
        </w:tc>
        <w:tc>
          <w:tcPr>
            <w:tcW w:w="3415" w:type="dxa"/>
            <w:tcBorders>
              <w:top w:val="single" w:sz="4" w:space="0" w:color="000001"/>
              <w:left w:val="single" w:sz="4" w:space="0" w:color="000001"/>
              <w:bottom w:val="single" w:sz="4" w:space="0" w:color="000001"/>
              <w:insideH w:val="single" w:sz="4" w:space="0" w:color="000001"/>
              <w:right w:val="single" w:sz="4" w:space="0" w:color="000001"/>
              <w:insideV w:val="single" w:sz="4" w:space="0" w:color="000001"/>
            </w:tcBorders>
            <w:shd w:fill="D9D9D9" w:val="clear"/>
            <w:tcMar>
              <w:left w:w="93" w:type="dxa"/>
            </w:tcMar>
          </w:tcPr>
          <w:p>
            <w:pPr>
              <w:pStyle w:val="Normal"/>
              <w:jc w:val="center"/>
              <w:rPr>
                <w:b/>
              </w:rPr>
            </w:pPr>
            <w:r>
              <w:rPr>
                <w:b/>
              </w:rPr>
              <w:t>% plnenia</w:t>
            </w:r>
          </w:p>
        </w:tc>
      </w:tr>
      <w:tr>
        <w:trPr>
          <w:cantSplit w:val="false"/>
        </w:trPr>
        <w:tc>
          <w:tcPr>
            <w:tcW w:w="2960" w:type="dxa"/>
            <w:tcBorders>
              <w:top w:val="single" w:sz="4" w:space="0" w:color="000001"/>
              <w:left w:val="single" w:sz="4" w:space="0" w:color="000001"/>
              <w:bottom w:val="single" w:sz="4" w:space="0" w:color="000001"/>
              <w:insideH w:val="single" w:sz="4" w:space="0" w:color="000001"/>
              <w:right w:val="nil"/>
              <w:insideV w:val="nil"/>
            </w:tcBorders>
            <w:shd w:fill="FFFFFF" w:val="clear"/>
            <w:tcMar>
              <w:left w:w="93" w:type="dxa"/>
            </w:tcMar>
          </w:tcPr>
          <w:p>
            <w:pPr>
              <w:pStyle w:val="Normal"/>
              <w:jc w:val="center"/>
              <w:rPr>
                <w:b/>
              </w:rPr>
            </w:pPr>
            <w:r>
              <w:rPr>
                <w:b/>
              </w:rPr>
              <w:t>453 694</w:t>
            </w:r>
          </w:p>
        </w:tc>
        <w:tc>
          <w:tcPr>
            <w:tcW w:w="3071" w:type="dxa"/>
            <w:tcBorders>
              <w:top w:val="single" w:sz="4" w:space="0" w:color="000001"/>
              <w:left w:val="single" w:sz="4" w:space="0" w:color="000001"/>
              <w:bottom w:val="single" w:sz="4" w:space="0" w:color="000001"/>
              <w:insideH w:val="single" w:sz="4" w:space="0" w:color="000001"/>
              <w:right w:val="nil"/>
              <w:insideV w:val="nil"/>
            </w:tcBorders>
            <w:shd w:fill="FFFFFF" w:val="clear"/>
            <w:tcMar>
              <w:left w:w="93" w:type="dxa"/>
            </w:tcMar>
          </w:tcPr>
          <w:p>
            <w:pPr>
              <w:pStyle w:val="Normal"/>
              <w:rPr>
                <w:b/>
                <w:bCs/>
                <w:i/>
                <w:iCs/>
              </w:rPr>
            </w:pPr>
            <w:r>
              <w:rPr/>
              <w:t xml:space="preserve"> </w:t>
            </w:r>
            <w:r>
              <w:rPr>
                <w:b/>
                <w:bCs/>
              </w:rPr>
              <w:t xml:space="preserve">                </w:t>
            </w:r>
            <w:r>
              <w:rPr>
                <w:b/>
                <w:bCs/>
                <w:i/>
                <w:iCs/>
              </w:rPr>
              <w:t>483 315,99</w:t>
            </w:r>
          </w:p>
        </w:tc>
        <w:tc>
          <w:tcPr>
            <w:tcW w:w="3415" w:type="dxa"/>
            <w:tcBorders>
              <w:top w:val="single" w:sz="4" w:space="0" w:color="000001"/>
              <w:left w:val="single" w:sz="4" w:space="0" w:color="000001"/>
              <w:bottom w:val="single" w:sz="4" w:space="0" w:color="000001"/>
              <w:insideH w:val="single" w:sz="4" w:space="0" w:color="000001"/>
              <w:right w:val="single" w:sz="4" w:space="0" w:color="000001"/>
              <w:insideV w:val="single" w:sz="4" w:space="0" w:color="000001"/>
            </w:tcBorders>
            <w:shd w:fill="FFFFFF" w:val="clear"/>
            <w:tcMar>
              <w:left w:w="93" w:type="dxa"/>
            </w:tcMar>
          </w:tcPr>
          <w:p>
            <w:pPr>
              <w:pStyle w:val="Normal"/>
              <w:rPr>
                <w:b/>
              </w:rPr>
            </w:pPr>
            <w:r>
              <w:rPr>
                <w:b/>
                <w:i/>
              </w:rPr>
              <w:t xml:space="preserve"> </w:t>
            </w:r>
            <w:r>
              <w:rPr>
                <w:b/>
              </w:rPr>
              <w:t xml:space="preserve">              </w:t>
            </w:r>
            <w:r>
              <w:rPr>
                <w:b/>
              </w:rPr>
              <w:t>107</w:t>
            </w:r>
          </w:p>
        </w:tc>
      </w:tr>
    </w:tbl>
    <w:p>
      <w:pPr>
        <w:pStyle w:val="Normal"/>
        <w:jc w:val="both"/>
        <w:rPr>
          <w:b/>
        </w:rPr>
      </w:pPr>
      <w:r>
        <w:rPr>
          <w:b/>
        </w:rPr>
      </w:r>
    </w:p>
    <w:p>
      <w:pPr>
        <w:pStyle w:val="Normal"/>
        <w:jc w:val="both"/>
        <w:rPr>
          <w:b/>
        </w:rPr>
      </w:pPr>
      <w:r>
        <w:rPr>
          <w:b/>
        </w:rPr>
        <w:t xml:space="preserve">Výnos dane z príjmov poukázaný územnej samospráve </w:t>
      </w:r>
    </w:p>
    <w:p>
      <w:pPr>
        <w:pStyle w:val="Normal"/>
        <w:jc w:val="both"/>
        <w:rPr/>
      </w:pPr>
      <w:r>
        <w:rPr/>
        <w:t xml:space="preserve">Z predpokladanej finančnej čiastky v sume 366 663 EUR z výnosu dane z príjmov boli k 31.12.2014 poukázané finančné prostriedky zo ŠR v sume 399 932,45 EUR, čo predstavuje plnenie na 109 %. </w:t>
      </w:r>
    </w:p>
    <w:p>
      <w:pPr>
        <w:pStyle w:val="Normal"/>
        <w:jc w:val="both"/>
        <w:rPr>
          <w:b/>
        </w:rPr>
      </w:pPr>
      <w:r>
        <w:rPr>
          <w:b/>
        </w:rPr>
      </w:r>
    </w:p>
    <w:p>
      <w:pPr>
        <w:pStyle w:val="Normal"/>
        <w:jc w:val="both"/>
        <w:rPr>
          <w:b/>
        </w:rPr>
      </w:pPr>
      <w:r>
        <w:rPr>
          <w:b/>
        </w:rPr>
        <w:t>Daň z nehnuteľností</w:t>
      </w:r>
    </w:p>
    <w:p>
      <w:pPr>
        <w:pStyle w:val="Normal"/>
        <w:jc w:val="both"/>
        <w:rPr/>
      </w:pPr>
      <w:r>
        <w:rPr/>
        <w:t xml:space="preserve">Z rozpočtovaných 63 443 EUR bol skutočný príjem k 31.12.2014 v sume 60 662,54 EUR, čo je 96 % plnenie. Príjmy dane z pozemkov boli v sume 50 119,24 EUR, dane zo stavieb boli v sume10 536,70 EUR a dane z bytov boli v sume 6,30 EUR. </w:t>
      </w:r>
    </w:p>
    <w:p>
      <w:pPr>
        <w:pStyle w:val="Normal"/>
        <w:jc w:val="both"/>
        <w:rPr>
          <w:b/>
        </w:rPr>
      </w:pPr>
      <w:r>
        <w:rPr>
          <w:b/>
        </w:rPr>
      </w:r>
    </w:p>
    <w:p>
      <w:pPr>
        <w:pStyle w:val="Normal"/>
        <w:jc w:val="both"/>
        <w:rPr>
          <w:b/>
        </w:rPr>
      </w:pPr>
      <w:r>
        <w:rPr>
          <w:b/>
        </w:rPr>
        <w:t>Daň za psa  1 336 eur</w:t>
      </w:r>
    </w:p>
    <w:p>
      <w:pPr>
        <w:pStyle w:val="Normal"/>
        <w:jc w:val="both"/>
        <w:rPr>
          <w:b/>
        </w:rPr>
      </w:pPr>
      <w:r>
        <w:rPr>
          <w:b/>
        </w:rPr>
        <w:t>Daň za užívanie verejného priestranstva 764 eur</w:t>
      </w:r>
    </w:p>
    <w:p>
      <w:pPr>
        <w:pStyle w:val="Normal"/>
        <w:jc w:val="both"/>
        <w:rPr>
          <w:b/>
        </w:rPr>
      </w:pPr>
      <w:r>
        <w:rPr>
          <w:b/>
        </w:rPr>
        <w:t>Daň za nevýherné hracie prístroje 4 900 eur</w:t>
      </w:r>
    </w:p>
    <w:p>
      <w:pPr>
        <w:pStyle w:val="Normal"/>
        <w:jc w:val="both"/>
        <w:rPr>
          <w:b/>
          <w:i/>
        </w:rPr>
      </w:pPr>
      <w:r>
        <w:rPr>
          <w:b/>
        </w:rPr>
        <w:t>Poplatok za komunálny odpad a drobný stavebný odpad 1</w:t>
      </w:r>
      <w:r>
        <w:rPr>
          <w:b/>
          <w:i/>
        </w:rPr>
        <w:t>8 721</w:t>
      </w:r>
    </w:p>
    <w:p>
      <w:pPr>
        <w:pStyle w:val="Normal"/>
        <w:jc w:val="both"/>
        <w:rPr>
          <w:b/>
          <w:i/>
        </w:rPr>
      </w:pPr>
      <w:r>
        <w:rPr>
          <w:b/>
          <w:i/>
        </w:rPr>
      </w:r>
    </w:p>
    <w:p>
      <w:pPr>
        <w:pStyle w:val="Normal"/>
        <w:numPr>
          <w:ilvl w:val="0"/>
          <w:numId w:val="9"/>
        </w:numPr>
        <w:rPr>
          <w:b/>
        </w:rPr>
      </w:pPr>
      <w:r>
        <w:rPr>
          <w:b/>
        </w:rPr>
        <w:t xml:space="preserve">nedaňové príjmy: </w:t>
      </w:r>
    </w:p>
    <w:p>
      <w:pPr>
        <w:pStyle w:val="Normal"/>
        <w:rPr>
          <w:b/>
        </w:rPr>
      </w:pPr>
      <w:r>
        <w:rPr>
          <w:b/>
        </w:rPr>
        <w:t xml:space="preserve"> </w:t>
      </w:r>
    </w:p>
    <w:tbl>
      <w:tblPr>
        <w:jc w:val="left"/>
        <w:tblInd w:w="98" w:type="dxa"/>
        <w:tblBorders>
          <w:top w:val="single" w:sz="4" w:space="0" w:color="000001"/>
          <w:left w:val="single" w:sz="4" w:space="0" w:color="000001"/>
          <w:bottom w:val="single" w:sz="4" w:space="0" w:color="000001"/>
          <w:insideH w:val="single" w:sz="4" w:space="0" w:color="000001"/>
          <w:right w:val="nil"/>
          <w:insideV w:val="nil"/>
        </w:tblBorders>
        <w:tblCellMar>
          <w:top w:w="0" w:type="dxa"/>
          <w:left w:w="93" w:type="dxa"/>
          <w:bottom w:w="0" w:type="dxa"/>
          <w:right w:w="108" w:type="dxa"/>
        </w:tblCellMar>
      </w:tblPr>
      <w:tblGrid>
        <w:gridCol w:w="2960"/>
        <w:gridCol w:w="3071"/>
        <w:gridCol w:w="3415"/>
      </w:tblGrid>
      <w:tr>
        <w:trPr>
          <w:cantSplit w:val="false"/>
        </w:trPr>
        <w:tc>
          <w:tcPr>
            <w:tcW w:w="2960" w:type="dxa"/>
            <w:tcBorders>
              <w:top w:val="single" w:sz="4" w:space="0" w:color="000001"/>
              <w:left w:val="single" w:sz="4" w:space="0" w:color="000001"/>
              <w:bottom w:val="single" w:sz="4" w:space="0" w:color="000001"/>
              <w:insideH w:val="single" w:sz="4" w:space="0" w:color="000001"/>
              <w:right w:val="nil"/>
              <w:insideV w:val="nil"/>
            </w:tcBorders>
            <w:shd w:fill="D9D9D9" w:val="clear"/>
            <w:tcMar>
              <w:left w:w="93" w:type="dxa"/>
            </w:tcMar>
          </w:tcPr>
          <w:p>
            <w:pPr>
              <w:pStyle w:val="Normal"/>
              <w:jc w:val="center"/>
              <w:rPr>
                <w:b/>
              </w:rPr>
            </w:pPr>
            <w:r>
              <w:rPr>
                <w:b/>
              </w:rPr>
              <w:t>Rozpočet na rok 2014</w:t>
            </w:r>
          </w:p>
        </w:tc>
        <w:tc>
          <w:tcPr>
            <w:tcW w:w="3071" w:type="dxa"/>
            <w:tcBorders>
              <w:top w:val="single" w:sz="4" w:space="0" w:color="000001"/>
              <w:left w:val="single" w:sz="4" w:space="0" w:color="000001"/>
              <w:bottom w:val="single" w:sz="4" w:space="0" w:color="000001"/>
              <w:insideH w:val="single" w:sz="4" w:space="0" w:color="000001"/>
              <w:right w:val="nil"/>
              <w:insideV w:val="nil"/>
            </w:tcBorders>
            <w:shd w:fill="D9D9D9" w:val="clear"/>
            <w:tcMar>
              <w:left w:w="93" w:type="dxa"/>
            </w:tcMar>
          </w:tcPr>
          <w:p>
            <w:pPr>
              <w:pStyle w:val="Normal"/>
              <w:jc w:val="center"/>
              <w:rPr>
                <w:b/>
              </w:rPr>
            </w:pPr>
            <w:r>
              <w:rPr>
                <w:b/>
              </w:rPr>
              <w:t>Skutočnosť k 31.12.2014</w:t>
            </w:r>
          </w:p>
        </w:tc>
        <w:tc>
          <w:tcPr>
            <w:tcW w:w="3415" w:type="dxa"/>
            <w:tcBorders>
              <w:top w:val="single" w:sz="4" w:space="0" w:color="000001"/>
              <w:left w:val="single" w:sz="4" w:space="0" w:color="000001"/>
              <w:bottom w:val="single" w:sz="4" w:space="0" w:color="000001"/>
              <w:insideH w:val="single" w:sz="4" w:space="0" w:color="000001"/>
              <w:right w:val="single" w:sz="4" w:space="0" w:color="000001"/>
              <w:insideV w:val="single" w:sz="4" w:space="0" w:color="000001"/>
            </w:tcBorders>
            <w:shd w:fill="D9D9D9" w:val="clear"/>
            <w:tcMar>
              <w:left w:w="93" w:type="dxa"/>
            </w:tcMar>
          </w:tcPr>
          <w:p>
            <w:pPr>
              <w:pStyle w:val="Normal"/>
              <w:jc w:val="center"/>
              <w:rPr>
                <w:b/>
              </w:rPr>
            </w:pPr>
            <w:r>
              <w:rPr>
                <w:b/>
              </w:rPr>
              <w:t>% plnenia</w:t>
            </w:r>
          </w:p>
        </w:tc>
      </w:tr>
      <w:tr>
        <w:trPr>
          <w:cantSplit w:val="false"/>
        </w:trPr>
        <w:tc>
          <w:tcPr>
            <w:tcW w:w="2960" w:type="dxa"/>
            <w:tcBorders>
              <w:top w:val="single" w:sz="4" w:space="0" w:color="000001"/>
              <w:left w:val="single" w:sz="4" w:space="0" w:color="000001"/>
              <w:bottom w:val="single" w:sz="4" w:space="0" w:color="000001"/>
              <w:insideH w:val="single" w:sz="4" w:space="0" w:color="000001"/>
              <w:right w:val="nil"/>
              <w:insideV w:val="nil"/>
            </w:tcBorders>
            <w:shd w:fill="FFFFFF" w:val="clear"/>
            <w:tcMar>
              <w:left w:w="93" w:type="dxa"/>
            </w:tcMar>
          </w:tcPr>
          <w:p>
            <w:pPr>
              <w:pStyle w:val="Normal"/>
              <w:jc w:val="center"/>
              <w:rPr>
                <w:b/>
              </w:rPr>
            </w:pPr>
            <w:r>
              <w:rPr>
                <w:b/>
              </w:rPr>
              <w:t>52 855</w:t>
            </w:r>
          </w:p>
        </w:tc>
        <w:tc>
          <w:tcPr>
            <w:tcW w:w="3071" w:type="dxa"/>
            <w:tcBorders>
              <w:top w:val="single" w:sz="4" w:space="0" w:color="000001"/>
              <w:left w:val="single" w:sz="4" w:space="0" w:color="000001"/>
              <w:bottom w:val="single" w:sz="4" w:space="0" w:color="000001"/>
              <w:insideH w:val="single" w:sz="4" w:space="0" w:color="000001"/>
              <w:right w:val="nil"/>
              <w:insideV w:val="nil"/>
            </w:tcBorders>
            <w:shd w:fill="FFFFFF" w:val="clear"/>
            <w:tcMar>
              <w:left w:w="93" w:type="dxa"/>
            </w:tcMar>
          </w:tcPr>
          <w:p>
            <w:pPr>
              <w:pStyle w:val="Normal"/>
              <w:rPr>
                <w:b/>
                <w:i/>
              </w:rPr>
            </w:pPr>
            <w:r>
              <w:rPr/>
              <w:t xml:space="preserve">              </w:t>
            </w:r>
            <w:r>
              <w:rPr>
                <w:b/>
                <w:i/>
              </w:rPr>
              <w:t>53372,09</w:t>
            </w:r>
          </w:p>
        </w:tc>
        <w:tc>
          <w:tcPr>
            <w:tcW w:w="3415" w:type="dxa"/>
            <w:tcBorders>
              <w:top w:val="single" w:sz="4" w:space="0" w:color="000001"/>
              <w:left w:val="single" w:sz="4" w:space="0" w:color="000001"/>
              <w:bottom w:val="single" w:sz="4" w:space="0" w:color="000001"/>
              <w:insideH w:val="single" w:sz="4" w:space="0" w:color="000001"/>
              <w:right w:val="single" w:sz="4" w:space="0" w:color="000001"/>
              <w:insideV w:val="single" w:sz="4" w:space="0" w:color="000001"/>
            </w:tcBorders>
            <w:shd w:fill="FFFFFF" w:val="clear"/>
            <w:tcMar>
              <w:left w:w="93" w:type="dxa"/>
            </w:tcMar>
          </w:tcPr>
          <w:p>
            <w:pPr>
              <w:pStyle w:val="Normal"/>
              <w:rPr>
                <w:b/>
              </w:rPr>
            </w:pPr>
            <w:r>
              <w:rPr>
                <w:b/>
                <w:i/>
              </w:rPr>
              <w:t xml:space="preserve"> </w:t>
            </w:r>
            <w:r>
              <w:rPr>
                <w:b/>
              </w:rPr>
              <w:t xml:space="preserve">              </w:t>
            </w:r>
            <w:r>
              <w:rPr>
                <w:b/>
              </w:rPr>
              <w:t>100</w:t>
            </w:r>
          </w:p>
        </w:tc>
      </w:tr>
    </w:tbl>
    <w:p>
      <w:pPr>
        <w:pStyle w:val="Normal"/>
        <w:tabs>
          <w:tab w:val="right" w:pos="284" w:leader="none"/>
        </w:tabs>
        <w:jc w:val="both"/>
        <w:rPr>
          <w:b/>
        </w:rPr>
      </w:pPr>
      <w:r>
        <w:rPr>
          <w:b/>
        </w:rPr>
      </w:r>
    </w:p>
    <w:p>
      <w:pPr>
        <w:pStyle w:val="Normal"/>
        <w:tabs>
          <w:tab w:val="right" w:pos="284" w:leader="none"/>
        </w:tabs>
        <w:jc w:val="both"/>
        <w:rPr>
          <w:b/>
        </w:rPr>
      </w:pPr>
      <w:r>
        <w:rPr>
          <w:b/>
        </w:rPr>
        <w:t>Príjmy z podnikania a z vlastníctva majetku</w:t>
      </w:r>
    </w:p>
    <w:p>
      <w:pPr>
        <w:pStyle w:val="Normal"/>
        <w:jc w:val="both"/>
        <w:rPr/>
      </w:pPr>
      <w:r>
        <w:rPr/>
        <w:t>Z rozpočtovaných 52 455 EUR bol skutočný príjem k 31.12.2014 v sume 52 428,09 EUR, čo je 100 % plnenie. Uvedený príjem predstavuje príjem  z prenajatých pozemkov v sume 700,28 EUR a príjem z prenajatých budov, priestorov a objektov v sume 51 727,81 EUR.</w:t>
      </w:r>
    </w:p>
    <w:p>
      <w:pPr>
        <w:pStyle w:val="Normal"/>
        <w:tabs>
          <w:tab w:val="right" w:pos="284" w:leader="none"/>
        </w:tabs>
        <w:jc w:val="both"/>
        <w:rPr>
          <w:b/>
        </w:rPr>
      </w:pPr>
      <w:r>
        <w:rPr>
          <w:b/>
        </w:rPr>
      </w:r>
    </w:p>
    <w:p>
      <w:pPr>
        <w:pStyle w:val="Normal"/>
        <w:tabs>
          <w:tab w:val="right" w:pos="284" w:leader="none"/>
        </w:tabs>
        <w:jc w:val="both"/>
        <w:rPr>
          <w:b/>
        </w:rPr>
      </w:pPr>
      <w:r>
        <w:rPr>
          <w:b/>
        </w:rPr>
      </w:r>
    </w:p>
    <w:p>
      <w:pPr>
        <w:pStyle w:val="Normal"/>
        <w:tabs>
          <w:tab w:val="right" w:pos="284" w:leader="none"/>
        </w:tabs>
        <w:jc w:val="both"/>
        <w:rPr>
          <w:b/>
        </w:rPr>
      </w:pPr>
      <w:r>
        <w:rPr>
          <w:b/>
        </w:rPr>
        <w:t>Administratívne poplatky a iné poplatky a platby</w:t>
      </w:r>
    </w:p>
    <w:p>
      <w:pPr>
        <w:pStyle w:val="Normal"/>
        <w:jc w:val="both"/>
        <w:rPr/>
      </w:pPr>
      <w:r>
        <w:rPr/>
        <w:t>Administratívne poplatky - správne poplatky:</w:t>
      </w:r>
    </w:p>
    <w:p>
      <w:pPr>
        <w:pStyle w:val="Normal"/>
        <w:jc w:val="both"/>
        <w:rPr/>
      </w:pPr>
      <w:r>
        <w:rPr/>
        <w:t xml:space="preserve">Z rozpočtovaných 400 EUR bol skutočný príjem k 31.12.2014 v sume 944 EUR, čo je 236 % plnenie. </w:t>
      </w:r>
    </w:p>
    <w:p>
      <w:pPr>
        <w:pStyle w:val="Normal"/>
        <w:rPr>
          <w:b/>
        </w:rPr>
      </w:pPr>
      <w:r>
        <w:rPr>
          <w:b/>
        </w:rPr>
      </w:r>
    </w:p>
    <w:p>
      <w:pPr>
        <w:pStyle w:val="Normal"/>
        <w:numPr>
          <w:ilvl w:val="0"/>
          <w:numId w:val="9"/>
        </w:numPr>
        <w:rPr>
          <w:b/>
        </w:rPr>
      </w:pPr>
      <w:r>
        <w:rPr>
          <w:b/>
        </w:rPr>
        <w:t xml:space="preserve"> </w:t>
      </w:r>
      <w:r>
        <w:rPr>
          <w:b/>
        </w:rPr>
        <w:t xml:space="preserve">iné nedaňové príjmy: </w:t>
      </w:r>
    </w:p>
    <w:p>
      <w:pPr>
        <w:pStyle w:val="Normal"/>
        <w:rPr>
          <w:b/>
        </w:rPr>
      </w:pPr>
      <w:r>
        <w:rPr>
          <w:b/>
        </w:rPr>
        <w:t xml:space="preserve"> </w:t>
      </w:r>
    </w:p>
    <w:tbl>
      <w:tblPr>
        <w:jc w:val="left"/>
        <w:tblInd w:w="98" w:type="dxa"/>
        <w:tblBorders>
          <w:top w:val="single" w:sz="4" w:space="0" w:color="000001"/>
          <w:left w:val="single" w:sz="4" w:space="0" w:color="000001"/>
          <w:bottom w:val="single" w:sz="4" w:space="0" w:color="000001"/>
          <w:insideH w:val="single" w:sz="4" w:space="0" w:color="000001"/>
          <w:right w:val="nil"/>
          <w:insideV w:val="nil"/>
        </w:tblBorders>
        <w:tblCellMar>
          <w:top w:w="0" w:type="dxa"/>
          <w:left w:w="93" w:type="dxa"/>
          <w:bottom w:w="0" w:type="dxa"/>
          <w:right w:w="108" w:type="dxa"/>
        </w:tblCellMar>
      </w:tblPr>
      <w:tblGrid>
        <w:gridCol w:w="2960"/>
        <w:gridCol w:w="3071"/>
        <w:gridCol w:w="3415"/>
      </w:tblGrid>
      <w:tr>
        <w:trPr>
          <w:cantSplit w:val="false"/>
        </w:trPr>
        <w:tc>
          <w:tcPr>
            <w:tcW w:w="2960" w:type="dxa"/>
            <w:tcBorders>
              <w:top w:val="single" w:sz="4" w:space="0" w:color="000001"/>
              <w:left w:val="single" w:sz="4" w:space="0" w:color="000001"/>
              <w:bottom w:val="single" w:sz="4" w:space="0" w:color="000001"/>
              <w:insideH w:val="single" w:sz="4" w:space="0" w:color="000001"/>
              <w:right w:val="nil"/>
              <w:insideV w:val="nil"/>
            </w:tcBorders>
            <w:shd w:fill="D9D9D9" w:val="clear"/>
            <w:tcMar>
              <w:left w:w="93" w:type="dxa"/>
            </w:tcMar>
          </w:tcPr>
          <w:p>
            <w:pPr>
              <w:pStyle w:val="Normal"/>
              <w:jc w:val="center"/>
              <w:rPr>
                <w:b/>
              </w:rPr>
            </w:pPr>
            <w:r>
              <w:rPr>
                <w:b/>
              </w:rPr>
              <w:t>Rozpočet na rok 2014</w:t>
            </w:r>
          </w:p>
        </w:tc>
        <w:tc>
          <w:tcPr>
            <w:tcW w:w="3071" w:type="dxa"/>
            <w:tcBorders>
              <w:top w:val="single" w:sz="4" w:space="0" w:color="000001"/>
              <w:left w:val="single" w:sz="4" w:space="0" w:color="000001"/>
              <w:bottom w:val="single" w:sz="4" w:space="0" w:color="000001"/>
              <w:insideH w:val="single" w:sz="4" w:space="0" w:color="000001"/>
              <w:right w:val="nil"/>
              <w:insideV w:val="nil"/>
            </w:tcBorders>
            <w:shd w:fill="D9D9D9" w:val="clear"/>
            <w:tcMar>
              <w:left w:w="93" w:type="dxa"/>
            </w:tcMar>
          </w:tcPr>
          <w:p>
            <w:pPr>
              <w:pStyle w:val="Normal"/>
              <w:jc w:val="center"/>
              <w:rPr>
                <w:b/>
              </w:rPr>
            </w:pPr>
            <w:r>
              <w:rPr>
                <w:b/>
              </w:rPr>
              <w:t>Skutočnosť k 31.12.2014</w:t>
            </w:r>
          </w:p>
        </w:tc>
        <w:tc>
          <w:tcPr>
            <w:tcW w:w="3415" w:type="dxa"/>
            <w:tcBorders>
              <w:top w:val="single" w:sz="4" w:space="0" w:color="000001"/>
              <w:left w:val="single" w:sz="4" w:space="0" w:color="000001"/>
              <w:bottom w:val="single" w:sz="4" w:space="0" w:color="000001"/>
              <w:insideH w:val="single" w:sz="4" w:space="0" w:color="000001"/>
              <w:right w:val="single" w:sz="4" w:space="0" w:color="000001"/>
              <w:insideV w:val="single" w:sz="4" w:space="0" w:color="000001"/>
            </w:tcBorders>
            <w:shd w:fill="D9D9D9" w:val="clear"/>
            <w:tcMar>
              <w:left w:w="93" w:type="dxa"/>
            </w:tcMar>
          </w:tcPr>
          <w:p>
            <w:pPr>
              <w:pStyle w:val="Normal"/>
              <w:jc w:val="center"/>
              <w:rPr>
                <w:b/>
              </w:rPr>
            </w:pPr>
            <w:r>
              <w:rPr>
                <w:b/>
              </w:rPr>
              <w:t>% plnenia</w:t>
            </w:r>
          </w:p>
        </w:tc>
      </w:tr>
      <w:tr>
        <w:trPr>
          <w:cantSplit w:val="false"/>
        </w:trPr>
        <w:tc>
          <w:tcPr>
            <w:tcW w:w="2960" w:type="dxa"/>
            <w:tcBorders>
              <w:top w:val="single" w:sz="4" w:space="0" w:color="000001"/>
              <w:left w:val="single" w:sz="4" w:space="0" w:color="000001"/>
              <w:bottom w:val="single" w:sz="4" w:space="0" w:color="000001"/>
              <w:insideH w:val="single" w:sz="4" w:space="0" w:color="000001"/>
              <w:right w:val="nil"/>
              <w:insideV w:val="nil"/>
            </w:tcBorders>
            <w:shd w:fill="FFFFFF" w:val="clear"/>
            <w:tcMar>
              <w:left w:w="93" w:type="dxa"/>
            </w:tcMar>
          </w:tcPr>
          <w:p>
            <w:pPr>
              <w:pStyle w:val="Normal"/>
              <w:jc w:val="center"/>
              <w:rPr>
                <w:b/>
              </w:rPr>
            </w:pPr>
            <w:r>
              <w:rPr>
                <w:b/>
              </w:rPr>
              <w:t>17 037</w:t>
            </w:r>
          </w:p>
        </w:tc>
        <w:tc>
          <w:tcPr>
            <w:tcW w:w="3071" w:type="dxa"/>
            <w:tcBorders>
              <w:top w:val="single" w:sz="4" w:space="0" w:color="000001"/>
              <w:left w:val="single" w:sz="4" w:space="0" w:color="000001"/>
              <w:bottom w:val="single" w:sz="4" w:space="0" w:color="000001"/>
              <w:insideH w:val="single" w:sz="4" w:space="0" w:color="000001"/>
              <w:right w:val="nil"/>
              <w:insideV w:val="nil"/>
            </w:tcBorders>
            <w:shd w:fill="FFFFFF" w:val="clear"/>
            <w:tcMar>
              <w:left w:w="93" w:type="dxa"/>
            </w:tcMar>
          </w:tcPr>
          <w:p>
            <w:pPr>
              <w:pStyle w:val="Normal"/>
              <w:rPr>
                <w:b/>
                <w:i/>
              </w:rPr>
            </w:pPr>
            <w:r>
              <w:rPr/>
              <w:t xml:space="preserve">                </w:t>
            </w:r>
            <w:r>
              <w:rPr>
                <w:b/>
                <w:i/>
              </w:rPr>
              <w:t>16 173,69</w:t>
            </w:r>
          </w:p>
        </w:tc>
        <w:tc>
          <w:tcPr>
            <w:tcW w:w="3415" w:type="dxa"/>
            <w:tcBorders>
              <w:top w:val="single" w:sz="4" w:space="0" w:color="000001"/>
              <w:left w:val="single" w:sz="4" w:space="0" w:color="000001"/>
              <w:bottom w:val="single" w:sz="4" w:space="0" w:color="000001"/>
              <w:insideH w:val="single" w:sz="4" w:space="0" w:color="000001"/>
              <w:right w:val="single" w:sz="4" w:space="0" w:color="000001"/>
              <w:insideV w:val="single" w:sz="4" w:space="0" w:color="000001"/>
            </w:tcBorders>
            <w:shd w:fill="FFFFFF" w:val="clear"/>
            <w:tcMar>
              <w:left w:w="93" w:type="dxa"/>
            </w:tcMar>
          </w:tcPr>
          <w:p>
            <w:pPr>
              <w:pStyle w:val="Normal"/>
              <w:rPr>
                <w:b/>
              </w:rPr>
            </w:pPr>
            <w:r>
              <w:rPr>
                <w:b/>
                <w:i/>
              </w:rPr>
              <w:t xml:space="preserve"> </w:t>
            </w:r>
            <w:r>
              <w:rPr>
                <w:b/>
              </w:rPr>
              <w:t xml:space="preserve">           </w:t>
            </w:r>
            <w:r>
              <w:rPr>
                <w:b/>
              </w:rPr>
              <w:t>94,9</w:t>
            </w:r>
          </w:p>
        </w:tc>
      </w:tr>
    </w:tbl>
    <w:p>
      <w:pPr>
        <w:pStyle w:val="Normal"/>
        <w:jc w:val="both"/>
        <w:rPr/>
      </w:pPr>
      <w:r>
        <w:rPr/>
      </w:r>
    </w:p>
    <w:p>
      <w:pPr>
        <w:pStyle w:val="Normal"/>
        <w:jc w:val="both"/>
        <w:rPr/>
      </w:pPr>
      <w:r>
        <w:rPr/>
        <w:t xml:space="preserve">Z rozpočtovaných iných nedaňových príjmov 17 037 EUR, bol skutočný príjem vo výške 16 173,69 EUR, čo predstavuje 94,9 % plnenie. </w:t>
      </w:r>
    </w:p>
    <w:p>
      <w:pPr>
        <w:pStyle w:val="Normal"/>
        <w:jc w:val="both"/>
        <w:rPr/>
      </w:pPr>
      <w:r>
        <w:rPr/>
        <w:t xml:space="preserve">Medzi iné nedaňové príjmy boli rozpočtované príjmy z poplatkov a z vratiek. </w:t>
      </w:r>
    </w:p>
    <w:p>
      <w:pPr>
        <w:pStyle w:val="Normal"/>
        <w:rPr>
          <w:b/>
        </w:rPr>
      </w:pPr>
      <w:r>
        <w:rPr>
          <w:b/>
        </w:rPr>
      </w:r>
    </w:p>
    <w:p>
      <w:pPr>
        <w:pStyle w:val="Normal"/>
        <w:rPr>
          <w:b/>
        </w:rPr>
      </w:pPr>
      <w:r>
        <w:rPr>
          <w:b/>
        </w:rPr>
        <w:t>Prijaté granty a transfery</w:t>
      </w:r>
    </w:p>
    <w:p>
      <w:pPr>
        <w:pStyle w:val="Normal"/>
        <w:jc w:val="both"/>
        <w:rPr/>
      </w:pPr>
      <w:r>
        <w:rPr/>
        <w:t>Z rozpočtovaných grantov a transferov 333 435 EUR bol skutočný príjem vo výške 368 601,35 EUR, čo predstavuje 110,55 % plnenie.</w:t>
      </w:r>
    </w:p>
    <w:p>
      <w:pPr>
        <w:pStyle w:val="Normal"/>
        <w:jc w:val="both"/>
        <w:rPr/>
      </w:pPr>
      <w:r>
        <w:rPr/>
      </w:r>
    </w:p>
    <w:tbl>
      <w:tblPr>
        <w:jc w:val="left"/>
        <w:tblInd w:w="98" w:type="dxa"/>
        <w:tblBorders>
          <w:top w:val="single" w:sz="4" w:space="0" w:color="000001"/>
          <w:left w:val="single" w:sz="4" w:space="0" w:color="000001"/>
          <w:bottom w:val="single" w:sz="4" w:space="0" w:color="000001"/>
          <w:insideH w:val="single" w:sz="4" w:space="0" w:color="000001"/>
          <w:right w:val="nil"/>
          <w:insideV w:val="nil"/>
        </w:tblBorders>
        <w:tblCellMar>
          <w:top w:w="0" w:type="dxa"/>
          <w:left w:w="93" w:type="dxa"/>
          <w:bottom w:w="0" w:type="dxa"/>
          <w:right w:w="108" w:type="dxa"/>
        </w:tblCellMar>
      </w:tblPr>
      <w:tblGrid>
        <w:gridCol w:w="3967"/>
        <w:gridCol w:w="1843"/>
        <w:gridCol w:w="3636"/>
      </w:tblGrid>
      <w:tr>
        <w:trPr>
          <w:cantSplit w:val="false"/>
        </w:trPr>
        <w:tc>
          <w:tcPr>
            <w:tcW w:w="3967" w:type="dxa"/>
            <w:tcBorders>
              <w:top w:val="single" w:sz="4" w:space="0" w:color="000001"/>
              <w:left w:val="single" w:sz="4" w:space="0" w:color="000001"/>
              <w:bottom w:val="single" w:sz="4" w:space="0" w:color="000001"/>
              <w:insideH w:val="single" w:sz="4" w:space="0" w:color="000001"/>
              <w:right w:val="nil"/>
              <w:insideV w:val="nil"/>
            </w:tcBorders>
            <w:shd w:fill="D9D9D9" w:val="clear"/>
            <w:tcMar>
              <w:left w:w="93" w:type="dxa"/>
            </w:tcMar>
          </w:tcPr>
          <w:p>
            <w:pPr>
              <w:pStyle w:val="Normal"/>
              <w:jc w:val="center"/>
              <w:rPr>
                <w:b/>
              </w:rPr>
            </w:pPr>
            <w:r>
              <w:rPr>
                <w:b/>
              </w:rPr>
              <w:t>Poskytovateľ dotácie</w:t>
            </w:r>
          </w:p>
        </w:tc>
        <w:tc>
          <w:tcPr>
            <w:tcW w:w="1843" w:type="dxa"/>
            <w:tcBorders>
              <w:top w:val="single" w:sz="4" w:space="0" w:color="000001"/>
              <w:left w:val="single" w:sz="4" w:space="0" w:color="000001"/>
              <w:bottom w:val="single" w:sz="4" w:space="0" w:color="000001"/>
              <w:insideH w:val="single" w:sz="4" w:space="0" w:color="000001"/>
              <w:right w:val="nil"/>
              <w:insideV w:val="nil"/>
            </w:tcBorders>
            <w:shd w:fill="D9D9D9" w:val="clear"/>
            <w:tcMar>
              <w:left w:w="93" w:type="dxa"/>
            </w:tcMar>
          </w:tcPr>
          <w:p>
            <w:pPr>
              <w:pStyle w:val="Normal"/>
              <w:jc w:val="center"/>
              <w:rPr>
                <w:b/>
              </w:rPr>
            </w:pPr>
            <w:r>
              <w:rPr>
                <w:b/>
              </w:rPr>
              <w:t>Suma v EUR</w:t>
            </w:r>
          </w:p>
        </w:tc>
        <w:tc>
          <w:tcPr>
            <w:tcW w:w="3636" w:type="dxa"/>
            <w:tcBorders>
              <w:top w:val="single" w:sz="4" w:space="0" w:color="000001"/>
              <w:left w:val="single" w:sz="4" w:space="0" w:color="000001"/>
              <w:bottom w:val="single" w:sz="4" w:space="0" w:color="000001"/>
              <w:insideH w:val="single" w:sz="4" w:space="0" w:color="000001"/>
              <w:right w:val="single" w:sz="4" w:space="0" w:color="000001"/>
              <w:insideV w:val="single" w:sz="4" w:space="0" w:color="000001"/>
            </w:tcBorders>
            <w:shd w:fill="D9D9D9" w:val="clear"/>
            <w:tcMar>
              <w:left w:w="93" w:type="dxa"/>
            </w:tcMar>
          </w:tcPr>
          <w:p>
            <w:pPr>
              <w:pStyle w:val="Normal"/>
              <w:jc w:val="center"/>
              <w:rPr>
                <w:b/>
              </w:rPr>
            </w:pPr>
            <w:r>
              <w:rPr>
                <w:b/>
              </w:rPr>
              <w:t>Účel</w:t>
            </w:r>
          </w:p>
        </w:tc>
      </w:tr>
      <w:tr>
        <w:trPr>
          <w:cantSplit w:val="false"/>
        </w:trPr>
        <w:tc>
          <w:tcPr>
            <w:tcW w:w="3967" w:type="dxa"/>
            <w:tcBorders>
              <w:top w:val="single" w:sz="4" w:space="0" w:color="000001"/>
              <w:left w:val="single" w:sz="4" w:space="0" w:color="000001"/>
              <w:bottom w:val="single" w:sz="4" w:space="0" w:color="000001"/>
              <w:insideH w:val="single" w:sz="4" w:space="0" w:color="000001"/>
              <w:right w:val="nil"/>
              <w:insideV w:val="nil"/>
            </w:tcBorders>
            <w:shd w:fill="FFFFFF" w:val="clear"/>
            <w:tcMar>
              <w:left w:w="93" w:type="dxa"/>
            </w:tcMar>
          </w:tcPr>
          <w:p>
            <w:pPr>
              <w:pStyle w:val="Normal"/>
              <w:rPr>
                <w:rFonts w:cs="Arial" w:ascii="Arial" w:hAnsi="Arial"/>
                <w:sz w:val="22"/>
                <w:szCs w:val="22"/>
              </w:rPr>
            </w:pPr>
            <w:r>
              <w:rPr>
                <w:rFonts w:cs="Arial" w:ascii="Arial" w:hAnsi="Arial"/>
                <w:sz w:val="22"/>
                <w:szCs w:val="22"/>
              </w:rPr>
              <w:t>Ministerstvo školstva a kultúry</w:t>
            </w:r>
          </w:p>
        </w:tc>
        <w:tc>
          <w:tcPr>
            <w:tcW w:w="1843" w:type="dxa"/>
            <w:tcBorders>
              <w:top w:val="single" w:sz="4" w:space="0" w:color="000001"/>
              <w:left w:val="single" w:sz="4" w:space="0" w:color="000001"/>
              <w:bottom w:val="single" w:sz="4" w:space="0" w:color="000001"/>
              <w:insideH w:val="single" w:sz="4" w:space="0" w:color="000001"/>
              <w:right w:val="nil"/>
              <w:insideV w:val="nil"/>
            </w:tcBorders>
            <w:shd w:fill="FFFFFF" w:val="clear"/>
            <w:tcMar>
              <w:left w:w="93" w:type="dxa"/>
            </w:tcMar>
          </w:tcPr>
          <w:p>
            <w:pPr>
              <w:pStyle w:val="Normal"/>
              <w:jc w:val="right"/>
              <w:rPr/>
            </w:pPr>
            <w:r>
              <w:rPr/>
              <w:t>358 661,05</w:t>
            </w:r>
          </w:p>
        </w:tc>
        <w:tc>
          <w:tcPr>
            <w:tcW w:w="3636" w:type="dxa"/>
            <w:tcBorders>
              <w:top w:val="single" w:sz="4" w:space="0" w:color="000001"/>
              <w:left w:val="single" w:sz="4" w:space="0" w:color="000001"/>
              <w:bottom w:val="single" w:sz="4" w:space="0" w:color="000001"/>
              <w:insideH w:val="single" w:sz="4" w:space="0" w:color="000001"/>
              <w:right w:val="single" w:sz="4" w:space="0" w:color="000001"/>
              <w:insideV w:val="single" w:sz="4" w:space="0" w:color="000001"/>
            </w:tcBorders>
            <w:shd w:fill="FFFFFF" w:val="clear"/>
            <w:tcMar>
              <w:left w:w="93" w:type="dxa"/>
            </w:tcMar>
          </w:tcPr>
          <w:p>
            <w:pPr>
              <w:pStyle w:val="Normal"/>
              <w:rPr/>
            </w:pPr>
            <w:r>
              <w:rPr/>
              <w:t>Normatív ZŠ (prenesené kompetencie</w:t>
            </w:r>
          </w:p>
        </w:tc>
      </w:tr>
      <w:tr>
        <w:trPr>
          <w:cantSplit w:val="false"/>
        </w:trPr>
        <w:tc>
          <w:tcPr>
            <w:tcW w:w="3967" w:type="dxa"/>
            <w:tcBorders>
              <w:top w:val="single" w:sz="4" w:space="0" w:color="000001"/>
              <w:left w:val="single" w:sz="4" w:space="0" w:color="000001"/>
              <w:bottom w:val="single" w:sz="4" w:space="0" w:color="000001"/>
              <w:insideH w:val="single" w:sz="4" w:space="0" w:color="000001"/>
              <w:right w:val="nil"/>
              <w:insideV w:val="nil"/>
            </w:tcBorders>
            <w:shd w:fill="FFFFFF" w:val="clear"/>
            <w:tcMar>
              <w:left w:w="93" w:type="dxa"/>
            </w:tcMar>
          </w:tcPr>
          <w:p>
            <w:pPr>
              <w:pStyle w:val="Normal"/>
              <w:rPr>
                <w:rFonts w:cs="Arial" w:ascii="Arial" w:hAnsi="Arial"/>
                <w:sz w:val="22"/>
                <w:szCs w:val="22"/>
              </w:rPr>
            </w:pPr>
            <w:r>
              <w:rPr>
                <w:rFonts w:cs="Arial" w:ascii="Arial" w:hAnsi="Arial"/>
                <w:sz w:val="22"/>
                <w:szCs w:val="22"/>
              </w:rPr>
              <w:t>Min.dopravy,výstavby a reg.rozvoja</w:t>
            </w:r>
          </w:p>
        </w:tc>
        <w:tc>
          <w:tcPr>
            <w:tcW w:w="1843" w:type="dxa"/>
            <w:tcBorders>
              <w:top w:val="single" w:sz="4" w:space="0" w:color="000001"/>
              <w:left w:val="single" w:sz="4" w:space="0" w:color="000001"/>
              <w:bottom w:val="single" w:sz="4" w:space="0" w:color="000001"/>
              <w:insideH w:val="single" w:sz="4" w:space="0" w:color="000001"/>
              <w:right w:val="nil"/>
              <w:insideV w:val="nil"/>
            </w:tcBorders>
            <w:shd w:fill="FFFFFF" w:val="clear"/>
            <w:tcMar>
              <w:left w:w="93" w:type="dxa"/>
            </w:tcMar>
          </w:tcPr>
          <w:p>
            <w:pPr>
              <w:pStyle w:val="Normal"/>
              <w:jc w:val="right"/>
              <w:rPr/>
            </w:pPr>
            <w:r>
              <w:rPr/>
              <w:t>1 765,14</w:t>
            </w:r>
          </w:p>
        </w:tc>
        <w:tc>
          <w:tcPr>
            <w:tcW w:w="3636" w:type="dxa"/>
            <w:tcBorders>
              <w:top w:val="single" w:sz="4" w:space="0" w:color="000001"/>
              <w:left w:val="single" w:sz="4" w:space="0" w:color="000001"/>
              <w:bottom w:val="single" w:sz="4" w:space="0" w:color="000001"/>
              <w:insideH w:val="single" w:sz="4" w:space="0" w:color="000001"/>
              <w:right w:val="single" w:sz="4" w:space="0" w:color="000001"/>
              <w:insideV w:val="single" w:sz="4" w:space="0" w:color="000001"/>
            </w:tcBorders>
            <w:shd w:fill="FFFFFF" w:val="clear"/>
            <w:tcMar>
              <w:left w:w="93" w:type="dxa"/>
            </w:tcMar>
          </w:tcPr>
          <w:p>
            <w:pPr>
              <w:pStyle w:val="Normal"/>
              <w:rPr/>
            </w:pPr>
            <w:r>
              <w:rPr/>
              <w:t>Na prenesený výkon správy-staveb</w:t>
            </w:r>
          </w:p>
        </w:tc>
      </w:tr>
      <w:tr>
        <w:trPr>
          <w:cantSplit w:val="false"/>
        </w:trPr>
        <w:tc>
          <w:tcPr>
            <w:tcW w:w="3967" w:type="dxa"/>
            <w:tcBorders>
              <w:top w:val="single" w:sz="4" w:space="0" w:color="000001"/>
              <w:left w:val="single" w:sz="4" w:space="0" w:color="000001"/>
              <w:bottom w:val="single" w:sz="4" w:space="0" w:color="000001"/>
              <w:insideH w:val="single" w:sz="4" w:space="0" w:color="000001"/>
              <w:right w:val="nil"/>
              <w:insideV w:val="nil"/>
            </w:tcBorders>
            <w:shd w:fill="FFFFFF" w:val="clear"/>
            <w:tcMar>
              <w:left w:w="93" w:type="dxa"/>
            </w:tcMar>
          </w:tcPr>
          <w:p>
            <w:pPr>
              <w:pStyle w:val="Normal"/>
              <w:rPr>
                <w:rFonts w:cs="Arial" w:ascii="Arial" w:hAnsi="Arial"/>
                <w:sz w:val="22"/>
                <w:szCs w:val="22"/>
              </w:rPr>
            </w:pPr>
            <w:r>
              <w:rPr>
                <w:rFonts w:cs="Arial" w:ascii="Arial" w:hAnsi="Arial"/>
                <w:sz w:val="22"/>
                <w:szCs w:val="22"/>
              </w:rPr>
              <w:t>Min.vnútra SR</w:t>
            </w:r>
          </w:p>
        </w:tc>
        <w:tc>
          <w:tcPr>
            <w:tcW w:w="1843" w:type="dxa"/>
            <w:tcBorders>
              <w:top w:val="single" w:sz="4" w:space="0" w:color="000001"/>
              <w:left w:val="single" w:sz="4" w:space="0" w:color="000001"/>
              <w:bottom w:val="single" w:sz="4" w:space="0" w:color="000001"/>
              <w:insideH w:val="single" w:sz="4" w:space="0" w:color="000001"/>
              <w:right w:val="nil"/>
              <w:insideV w:val="nil"/>
            </w:tcBorders>
            <w:shd w:fill="FFFFFF" w:val="clear"/>
            <w:tcMar>
              <w:left w:w="93" w:type="dxa"/>
            </w:tcMar>
          </w:tcPr>
          <w:p>
            <w:pPr>
              <w:pStyle w:val="Normal"/>
              <w:jc w:val="right"/>
              <w:rPr/>
            </w:pPr>
            <w:r>
              <w:rPr/>
              <w:t>626,34</w:t>
            </w:r>
          </w:p>
        </w:tc>
        <w:tc>
          <w:tcPr>
            <w:tcW w:w="3636" w:type="dxa"/>
            <w:tcBorders>
              <w:top w:val="single" w:sz="4" w:space="0" w:color="000001"/>
              <w:left w:val="single" w:sz="4" w:space="0" w:color="000001"/>
              <w:bottom w:val="single" w:sz="4" w:space="0" w:color="000001"/>
              <w:insideH w:val="single" w:sz="4" w:space="0" w:color="000001"/>
              <w:right w:val="single" w:sz="4" w:space="0" w:color="000001"/>
              <w:insideV w:val="single" w:sz="4" w:space="0" w:color="000001"/>
            </w:tcBorders>
            <w:shd w:fill="FFFFFF" w:val="clear"/>
            <w:tcMar>
              <w:left w:w="93" w:type="dxa"/>
            </w:tcMar>
          </w:tcPr>
          <w:p>
            <w:pPr>
              <w:pStyle w:val="Normal"/>
              <w:rPr/>
            </w:pPr>
            <w:r>
              <w:rPr/>
              <w:t>Na prenesený výkon správy</w:t>
            </w:r>
          </w:p>
        </w:tc>
      </w:tr>
      <w:tr>
        <w:trPr>
          <w:cantSplit w:val="false"/>
        </w:trPr>
        <w:tc>
          <w:tcPr>
            <w:tcW w:w="3967" w:type="dxa"/>
            <w:tcBorders>
              <w:top w:val="single" w:sz="4" w:space="0" w:color="000001"/>
              <w:left w:val="single" w:sz="4" w:space="0" w:color="000001"/>
              <w:bottom w:val="single" w:sz="4" w:space="0" w:color="000001"/>
              <w:insideH w:val="single" w:sz="4" w:space="0" w:color="000001"/>
              <w:right w:val="nil"/>
              <w:insideV w:val="nil"/>
            </w:tcBorders>
            <w:shd w:fill="FFFFFF" w:val="clear"/>
            <w:tcMar>
              <w:left w:w="93" w:type="dxa"/>
            </w:tcMar>
          </w:tcPr>
          <w:p>
            <w:pPr>
              <w:pStyle w:val="Normal"/>
              <w:rPr>
                <w:rFonts w:cs="Arial" w:ascii="Arial" w:hAnsi="Arial"/>
                <w:sz w:val="22"/>
                <w:szCs w:val="22"/>
              </w:rPr>
            </w:pPr>
            <w:r>
              <w:rPr>
                <w:rFonts w:cs="Arial" w:ascii="Arial" w:hAnsi="Arial"/>
                <w:sz w:val="22"/>
                <w:szCs w:val="22"/>
              </w:rPr>
              <w:t>OÚ Nitra, odbor star. o živ.prostredie</w:t>
            </w:r>
          </w:p>
        </w:tc>
        <w:tc>
          <w:tcPr>
            <w:tcW w:w="1843" w:type="dxa"/>
            <w:tcBorders>
              <w:top w:val="single" w:sz="4" w:space="0" w:color="000001"/>
              <w:left w:val="single" w:sz="4" w:space="0" w:color="000001"/>
              <w:bottom w:val="single" w:sz="4" w:space="0" w:color="000001"/>
              <w:insideH w:val="single" w:sz="4" w:space="0" w:color="000001"/>
              <w:right w:val="nil"/>
              <w:insideV w:val="nil"/>
            </w:tcBorders>
            <w:shd w:fill="FFFFFF" w:val="clear"/>
            <w:tcMar>
              <w:left w:w="93" w:type="dxa"/>
            </w:tcMar>
          </w:tcPr>
          <w:p>
            <w:pPr>
              <w:pStyle w:val="Normal"/>
              <w:jc w:val="right"/>
              <w:rPr/>
            </w:pPr>
            <w:r>
              <w:rPr/>
              <w:t>177,87</w:t>
            </w:r>
          </w:p>
        </w:tc>
        <w:tc>
          <w:tcPr>
            <w:tcW w:w="3636" w:type="dxa"/>
            <w:tcBorders>
              <w:top w:val="single" w:sz="4" w:space="0" w:color="000001"/>
              <w:left w:val="single" w:sz="4" w:space="0" w:color="000001"/>
              <w:bottom w:val="single" w:sz="4" w:space="0" w:color="000001"/>
              <w:insideH w:val="single" w:sz="4" w:space="0" w:color="000001"/>
              <w:right w:val="single" w:sz="4" w:space="0" w:color="000001"/>
              <w:insideV w:val="single" w:sz="4" w:space="0" w:color="000001"/>
            </w:tcBorders>
            <w:shd w:fill="FFFFFF" w:val="clear"/>
            <w:tcMar>
              <w:left w:w="93" w:type="dxa"/>
            </w:tcMar>
          </w:tcPr>
          <w:p>
            <w:pPr>
              <w:pStyle w:val="Normal"/>
              <w:rPr/>
            </w:pPr>
            <w:r>
              <w:rPr/>
              <w:t>Na prenesený výkon správy</w:t>
            </w:r>
          </w:p>
        </w:tc>
      </w:tr>
      <w:tr>
        <w:trPr>
          <w:cantSplit w:val="false"/>
        </w:trPr>
        <w:tc>
          <w:tcPr>
            <w:tcW w:w="3967" w:type="dxa"/>
            <w:tcBorders>
              <w:top w:val="single" w:sz="4" w:space="0" w:color="000001"/>
              <w:left w:val="single" w:sz="4" w:space="0" w:color="000001"/>
              <w:bottom w:val="single" w:sz="4" w:space="0" w:color="000001"/>
              <w:insideH w:val="single" w:sz="4" w:space="0" w:color="000001"/>
              <w:right w:val="nil"/>
              <w:insideV w:val="nil"/>
            </w:tcBorders>
            <w:shd w:fill="FFFFFF" w:val="clear"/>
            <w:tcMar>
              <w:left w:w="93" w:type="dxa"/>
            </w:tcMar>
          </w:tcPr>
          <w:p>
            <w:pPr>
              <w:pStyle w:val="Normal"/>
              <w:rPr>
                <w:rFonts w:cs="Arial" w:ascii="Arial" w:hAnsi="Arial"/>
                <w:sz w:val="22"/>
                <w:szCs w:val="22"/>
              </w:rPr>
            </w:pPr>
            <w:r>
              <w:rPr>
                <w:rFonts w:cs="Arial" w:ascii="Arial" w:hAnsi="Arial"/>
                <w:sz w:val="22"/>
                <w:szCs w:val="22"/>
              </w:rPr>
              <w:t>Via Romanum</w:t>
            </w:r>
          </w:p>
        </w:tc>
        <w:tc>
          <w:tcPr>
            <w:tcW w:w="1843" w:type="dxa"/>
            <w:tcBorders>
              <w:top w:val="single" w:sz="4" w:space="0" w:color="000001"/>
              <w:left w:val="single" w:sz="4" w:space="0" w:color="000001"/>
              <w:bottom w:val="single" w:sz="4" w:space="0" w:color="000001"/>
              <w:insideH w:val="single" w:sz="4" w:space="0" w:color="000001"/>
              <w:right w:val="nil"/>
              <w:insideV w:val="nil"/>
            </w:tcBorders>
            <w:shd w:fill="FFFFFF" w:val="clear"/>
            <w:tcMar>
              <w:left w:w="93" w:type="dxa"/>
            </w:tcMar>
          </w:tcPr>
          <w:p>
            <w:pPr>
              <w:pStyle w:val="Normal"/>
              <w:jc w:val="right"/>
              <w:rPr/>
            </w:pPr>
            <w:r>
              <w:rPr/>
              <w:t>2 000</w:t>
            </w:r>
          </w:p>
        </w:tc>
        <w:tc>
          <w:tcPr>
            <w:tcW w:w="3636" w:type="dxa"/>
            <w:tcBorders>
              <w:top w:val="single" w:sz="4" w:space="0" w:color="000001"/>
              <w:left w:val="single" w:sz="4" w:space="0" w:color="000001"/>
              <w:bottom w:val="single" w:sz="4" w:space="0" w:color="000001"/>
              <w:insideH w:val="single" w:sz="4" w:space="0" w:color="000001"/>
              <w:right w:val="single" w:sz="4" w:space="0" w:color="000001"/>
              <w:insideV w:val="single" w:sz="4" w:space="0" w:color="000001"/>
            </w:tcBorders>
            <w:shd w:fill="FFFFFF" w:val="clear"/>
            <w:tcMar>
              <w:left w:w="93" w:type="dxa"/>
            </w:tcMar>
          </w:tcPr>
          <w:p>
            <w:pPr>
              <w:pStyle w:val="Normal"/>
              <w:rPr/>
            </w:pPr>
            <w:r>
              <w:rPr/>
              <w:t>Na výstavbu trhoviska</w:t>
            </w:r>
          </w:p>
        </w:tc>
      </w:tr>
      <w:tr>
        <w:trPr>
          <w:cantSplit w:val="false"/>
        </w:trPr>
        <w:tc>
          <w:tcPr>
            <w:tcW w:w="3967" w:type="dxa"/>
            <w:tcBorders>
              <w:top w:val="single" w:sz="4" w:space="0" w:color="000001"/>
              <w:left w:val="single" w:sz="4" w:space="0" w:color="000001"/>
              <w:bottom w:val="single" w:sz="4" w:space="0" w:color="000001"/>
              <w:insideH w:val="single" w:sz="4" w:space="0" w:color="000001"/>
              <w:right w:val="nil"/>
              <w:insideV w:val="nil"/>
            </w:tcBorders>
            <w:shd w:fill="FFFFFF" w:val="clear"/>
            <w:tcMar>
              <w:left w:w="93" w:type="dxa"/>
            </w:tcMar>
          </w:tcPr>
          <w:p>
            <w:pPr>
              <w:pStyle w:val="Normal"/>
              <w:rPr>
                <w:rFonts w:cs="Arial" w:ascii="Arial" w:hAnsi="Arial"/>
                <w:sz w:val="22"/>
                <w:szCs w:val="22"/>
              </w:rPr>
            </w:pPr>
            <w:r>
              <w:rPr>
                <w:rFonts w:cs="Arial" w:ascii="Arial" w:hAnsi="Arial"/>
                <w:sz w:val="22"/>
                <w:szCs w:val="22"/>
              </w:rPr>
              <w:t>Okresný úrad Šaľa</w:t>
            </w:r>
          </w:p>
        </w:tc>
        <w:tc>
          <w:tcPr>
            <w:tcW w:w="1843" w:type="dxa"/>
            <w:tcBorders>
              <w:top w:val="single" w:sz="4" w:space="0" w:color="000001"/>
              <w:left w:val="single" w:sz="4" w:space="0" w:color="000001"/>
              <w:bottom w:val="single" w:sz="4" w:space="0" w:color="000001"/>
              <w:insideH w:val="single" w:sz="4" w:space="0" w:color="000001"/>
              <w:right w:val="nil"/>
              <w:insideV w:val="nil"/>
            </w:tcBorders>
            <w:shd w:fill="FFFFFF" w:val="clear"/>
            <w:tcMar>
              <w:left w:w="93" w:type="dxa"/>
            </w:tcMar>
          </w:tcPr>
          <w:p>
            <w:pPr>
              <w:pStyle w:val="Normal"/>
              <w:jc w:val="right"/>
              <w:rPr/>
            </w:pPr>
            <w:r>
              <w:rPr/>
              <w:t>5 261,96</w:t>
            </w:r>
          </w:p>
        </w:tc>
        <w:tc>
          <w:tcPr>
            <w:tcW w:w="3636" w:type="dxa"/>
            <w:tcBorders>
              <w:top w:val="single" w:sz="4" w:space="0" w:color="000001"/>
              <w:left w:val="single" w:sz="4" w:space="0" w:color="000001"/>
              <w:bottom w:val="single" w:sz="4" w:space="0" w:color="000001"/>
              <w:insideH w:val="single" w:sz="4" w:space="0" w:color="000001"/>
              <w:right w:val="single" w:sz="4" w:space="0" w:color="000001"/>
              <w:insideV w:val="single" w:sz="4" w:space="0" w:color="000001"/>
            </w:tcBorders>
            <w:shd w:fill="FFFFFF" w:val="clear"/>
            <w:tcMar>
              <w:left w:w="93" w:type="dxa"/>
            </w:tcMar>
          </w:tcPr>
          <w:p>
            <w:pPr>
              <w:pStyle w:val="Normal"/>
              <w:rPr/>
            </w:pPr>
            <w:r>
              <w:rPr/>
              <w:t>Na voľby</w:t>
            </w:r>
          </w:p>
        </w:tc>
      </w:tr>
      <w:tr>
        <w:trPr>
          <w:cantSplit w:val="false"/>
        </w:trPr>
        <w:tc>
          <w:tcPr>
            <w:tcW w:w="3967" w:type="dxa"/>
            <w:tcBorders>
              <w:top w:val="single" w:sz="4" w:space="0" w:color="000001"/>
              <w:left w:val="single" w:sz="4" w:space="0" w:color="000001"/>
              <w:bottom w:val="single" w:sz="4" w:space="0" w:color="000001"/>
              <w:insideH w:val="single" w:sz="4" w:space="0" w:color="000001"/>
              <w:right w:val="nil"/>
              <w:insideV w:val="nil"/>
            </w:tcBorders>
            <w:shd w:fill="FFFFFF" w:val="clear"/>
            <w:tcMar>
              <w:left w:w="93" w:type="dxa"/>
            </w:tcMar>
          </w:tcPr>
          <w:p>
            <w:pPr>
              <w:pStyle w:val="Normal"/>
              <w:rPr>
                <w:rFonts w:cs="Arial" w:ascii="Arial" w:hAnsi="Arial"/>
                <w:sz w:val="22"/>
                <w:szCs w:val="22"/>
              </w:rPr>
            </w:pPr>
            <w:r>
              <w:rPr>
                <w:rFonts w:cs="Arial" w:ascii="Arial" w:hAnsi="Arial"/>
                <w:sz w:val="22"/>
                <w:szCs w:val="22"/>
              </w:rPr>
              <w:t>Min.dopravy,výstavby a reg.rozvoja</w:t>
            </w:r>
          </w:p>
        </w:tc>
        <w:tc>
          <w:tcPr>
            <w:tcW w:w="1843" w:type="dxa"/>
            <w:tcBorders>
              <w:top w:val="single" w:sz="4" w:space="0" w:color="000001"/>
              <w:left w:val="single" w:sz="4" w:space="0" w:color="000001"/>
              <w:bottom w:val="single" w:sz="4" w:space="0" w:color="000001"/>
              <w:insideH w:val="single" w:sz="4" w:space="0" w:color="000001"/>
              <w:right w:val="nil"/>
              <w:insideV w:val="nil"/>
            </w:tcBorders>
            <w:shd w:fill="FFFFFF" w:val="clear"/>
            <w:tcMar>
              <w:left w:w="93" w:type="dxa"/>
            </w:tcMar>
          </w:tcPr>
          <w:p>
            <w:pPr>
              <w:pStyle w:val="Normal"/>
              <w:jc w:val="right"/>
              <w:rPr/>
            </w:pPr>
            <w:r>
              <w:rPr/>
              <w:t>81,99</w:t>
            </w:r>
          </w:p>
        </w:tc>
        <w:tc>
          <w:tcPr>
            <w:tcW w:w="3636" w:type="dxa"/>
            <w:tcBorders>
              <w:top w:val="single" w:sz="4" w:space="0" w:color="000001"/>
              <w:left w:val="single" w:sz="4" w:space="0" w:color="000001"/>
              <w:bottom w:val="single" w:sz="4" w:space="0" w:color="000001"/>
              <w:insideH w:val="single" w:sz="4" w:space="0" w:color="000001"/>
              <w:right w:val="single" w:sz="4" w:space="0" w:color="000001"/>
              <w:insideV w:val="single" w:sz="4" w:space="0" w:color="000001"/>
            </w:tcBorders>
            <w:shd w:fill="FFFFFF" w:val="clear"/>
            <w:tcMar>
              <w:left w:w="93" w:type="dxa"/>
            </w:tcMar>
          </w:tcPr>
          <w:p>
            <w:pPr>
              <w:pStyle w:val="Normal"/>
              <w:rPr/>
            </w:pPr>
            <w:r>
              <w:rPr/>
              <w:t>Na prenesený výkon -miestne kom</w:t>
            </w:r>
          </w:p>
        </w:tc>
      </w:tr>
      <w:tr>
        <w:trPr>
          <w:cantSplit w:val="false"/>
        </w:trPr>
        <w:tc>
          <w:tcPr>
            <w:tcW w:w="3967" w:type="dxa"/>
            <w:tcBorders>
              <w:top w:val="single" w:sz="4" w:space="0" w:color="000001"/>
              <w:left w:val="single" w:sz="4" w:space="0" w:color="000001"/>
              <w:bottom w:val="single" w:sz="4" w:space="0" w:color="000001"/>
              <w:insideH w:val="single" w:sz="4" w:space="0" w:color="000001"/>
              <w:right w:val="nil"/>
              <w:insideV w:val="nil"/>
            </w:tcBorders>
            <w:shd w:fill="FFFFFF" w:val="clear"/>
            <w:tcMar>
              <w:left w:w="93" w:type="dxa"/>
            </w:tcMar>
          </w:tcPr>
          <w:p>
            <w:pPr>
              <w:pStyle w:val="Normal"/>
              <w:rPr>
                <w:rFonts w:cs="Arial" w:ascii="Arial" w:hAnsi="Arial"/>
                <w:sz w:val="22"/>
                <w:szCs w:val="22"/>
              </w:rPr>
            </w:pPr>
            <w:r>
              <w:rPr>
                <w:rFonts w:cs="Arial" w:ascii="Arial" w:hAnsi="Arial"/>
                <w:sz w:val="22"/>
                <w:szCs w:val="22"/>
              </w:rPr>
              <w:t>Okresný úrad Šaľa</w:t>
            </w:r>
          </w:p>
        </w:tc>
        <w:tc>
          <w:tcPr>
            <w:tcW w:w="1843" w:type="dxa"/>
            <w:tcBorders>
              <w:top w:val="single" w:sz="4" w:space="0" w:color="000001"/>
              <w:left w:val="single" w:sz="4" w:space="0" w:color="000001"/>
              <w:bottom w:val="single" w:sz="4" w:space="0" w:color="000001"/>
              <w:insideH w:val="single" w:sz="4" w:space="0" w:color="000001"/>
              <w:right w:val="nil"/>
              <w:insideV w:val="nil"/>
            </w:tcBorders>
            <w:shd w:fill="FFFFFF" w:val="clear"/>
            <w:tcMar>
              <w:left w:w="93" w:type="dxa"/>
            </w:tcMar>
          </w:tcPr>
          <w:p>
            <w:pPr>
              <w:pStyle w:val="Normal"/>
              <w:jc w:val="right"/>
              <w:rPr/>
            </w:pPr>
            <w:r>
              <w:rPr/>
              <w:t>27</w:t>
            </w:r>
          </w:p>
        </w:tc>
        <w:tc>
          <w:tcPr>
            <w:tcW w:w="3636" w:type="dxa"/>
            <w:tcBorders>
              <w:top w:val="single" w:sz="4" w:space="0" w:color="000001"/>
              <w:left w:val="single" w:sz="4" w:space="0" w:color="000001"/>
              <w:bottom w:val="single" w:sz="4" w:space="0" w:color="000001"/>
              <w:insideH w:val="single" w:sz="4" w:space="0" w:color="000001"/>
              <w:right w:val="single" w:sz="4" w:space="0" w:color="000001"/>
              <w:insideV w:val="single" w:sz="4" w:space="0" w:color="000001"/>
            </w:tcBorders>
            <w:shd w:fill="FFFFFF" w:val="clear"/>
            <w:tcMar>
              <w:left w:w="93" w:type="dxa"/>
            </w:tcMar>
          </w:tcPr>
          <w:p>
            <w:pPr>
              <w:pStyle w:val="Normal"/>
              <w:rPr/>
            </w:pPr>
            <w:r>
              <w:rPr/>
              <w:t>Dotácia CO sklad</w:t>
            </w:r>
          </w:p>
        </w:tc>
      </w:tr>
      <w:tr>
        <w:trPr>
          <w:cantSplit w:val="false"/>
        </w:trPr>
        <w:tc>
          <w:tcPr>
            <w:tcW w:w="3967" w:type="dxa"/>
            <w:tcBorders>
              <w:top w:val="single" w:sz="4" w:space="0" w:color="000001"/>
              <w:left w:val="single" w:sz="4" w:space="0" w:color="000001"/>
              <w:bottom w:val="single" w:sz="4" w:space="0" w:color="000001"/>
              <w:insideH w:val="single" w:sz="4" w:space="0" w:color="000001"/>
              <w:right w:val="nil"/>
              <w:insideV w:val="nil"/>
            </w:tcBorders>
            <w:shd w:fill="FFFFFF" w:val="clear"/>
            <w:tcMar>
              <w:left w:w="93" w:type="dxa"/>
            </w:tcMar>
          </w:tcPr>
          <w:p>
            <w:pPr>
              <w:pStyle w:val="Normal"/>
              <w:rPr>
                <w:rFonts w:cs="Arial" w:ascii="Arial" w:hAnsi="Arial"/>
                <w:sz w:val="22"/>
                <w:szCs w:val="22"/>
              </w:rPr>
            </w:pPr>
            <w:r>
              <w:rPr>
                <w:rFonts w:cs="Arial" w:ascii="Arial" w:hAnsi="Arial"/>
                <w:sz w:val="22"/>
                <w:szCs w:val="22"/>
              </w:rPr>
            </w:r>
          </w:p>
        </w:tc>
        <w:tc>
          <w:tcPr>
            <w:tcW w:w="1843" w:type="dxa"/>
            <w:tcBorders>
              <w:top w:val="single" w:sz="4" w:space="0" w:color="000001"/>
              <w:left w:val="single" w:sz="4" w:space="0" w:color="000001"/>
              <w:bottom w:val="single" w:sz="4" w:space="0" w:color="000001"/>
              <w:insideH w:val="single" w:sz="4" w:space="0" w:color="000001"/>
              <w:right w:val="nil"/>
              <w:insideV w:val="nil"/>
            </w:tcBorders>
            <w:shd w:fill="FFFFFF" w:val="clear"/>
            <w:tcMar>
              <w:left w:w="93" w:type="dxa"/>
            </w:tcMar>
          </w:tcPr>
          <w:p>
            <w:pPr>
              <w:pStyle w:val="Normal"/>
              <w:jc w:val="right"/>
              <w:rPr/>
            </w:pPr>
            <w:r>
              <w:rPr/>
            </w:r>
          </w:p>
        </w:tc>
        <w:tc>
          <w:tcPr>
            <w:tcW w:w="3636" w:type="dxa"/>
            <w:tcBorders>
              <w:top w:val="single" w:sz="4" w:space="0" w:color="000001"/>
              <w:left w:val="single" w:sz="4" w:space="0" w:color="000001"/>
              <w:bottom w:val="single" w:sz="4" w:space="0" w:color="000001"/>
              <w:insideH w:val="single" w:sz="4" w:space="0" w:color="000001"/>
              <w:right w:val="single" w:sz="4" w:space="0" w:color="000001"/>
              <w:insideV w:val="single" w:sz="4" w:space="0" w:color="000001"/>
            </w:tcBorders>
            <w:shd w:fill="FFFFFF" w:val="clear"/>
            <w:tcMar>
              <w:left w:w="93" w:type="dxa"/>
            </w:tcMar>
          </w:tcPr>
          <w:p>
            <w:pPr>
              <w:pStyle w:val="Normal"/>
              <w:rPr/>
            </w:pPr>
            <w:r>
              <w:rPr/>
            </w:r>
          </w:p>
        </w:tc>
      </w:tr>
    </w:tbl>
    <w:p>
      <w:pPr>
        <w:pStyle w:val="Normal"/>
        <w:rPr/>
      </w:pPr>
      <w:r>
        <w:rPr/>
      </w:r>
    </w:p>
    <w:p>
      <w:pPr>
        <w:pStyle w:val="Normal"/>
        <w:spacing w:lineRule="auto" w:line="360"/>
        <w:jc w:val="both"/>
        <w:rPr>
          <w:lang w:val="sk-SK" w:eastAsia="sk-SK"/>
        </w:rPr>
      </w:pPr>
      <w:r>
        <w:rPr>
          <w:lang w:val="sk-SK" w:eastAsia="sk-SK"/>
        </w:rPr>
        <w:t>Granty a transfery boli účelovo učené a boli použité v súlade s ich účelom.</w:t>
      </w:r>
    </w:p>
    <w:p>
      <w:pPr>
        <w:pStyle w:val="Normal"/>
        <w:ind w:left="360" w:right="0" w:hanging="0"/>
        <w:rPr/>
      </w:pPr>
      <w:r>
        <w:rPr/>
      </w:r>
    </w:p>
    <w:p>
      <w:pPr>
        <w:pStyle w:val="Normal"/>
        <w:numPr>
          <w:ilvl w:val="0"/>
          <w:numId w:val="8"/>
        </w:numPr>
        <w:ind w:left="284" w:right="0" w:hanging="360"/>
        <w:rPr>
          <w:b/>
          <w:color w:val="FF0000"/>
        </w:rPr>
      </w:pPr>
      <w:r>
        <w:rPr>
          <w:b/>
          <w:color w:val="FF0000"/>
        </w:rPr>
        <w:t xml:space="preserve">Kapitálové príjmy: </w:t>
      </w:r>
    </w:p>
    <w:p>
      <w:pPr>
        <w:pStyle w:val="Normal"/>
        <w:rPr>
          <w:b/>
        </w:rPr>
      </w:pPr>
      <w:r>
        <w:rPr>
          <w:b/>
        </w:rPr>
        <w:t xml:space="preserve"> </w:t>
      </w:r>
    </w:p>
    <w:tbl>
      <w:tblPr>
        <w:jc w:val="left"/>
        <w:tblInd w:w="98" w:type="dxa"/>
        <w:tblBorders>
          <w:top w:val="single" w:sz="4" w:space="0" w:color="000001"/>
          <w:left w:val="single" w:sz="4" w:space="0" w:color="000001"/>
          <w:bottom w:val="single" w:sz="4" w:space="0" w:color="000001"/>
          <w:insideH w:val="single" w:sz="4" w:space="0" w:color="000001"/>
          <w:right w:val="nil"/>
          <w:insideV w:val="nil"/>
        </w:tblBorders>
        <w:tblCellMar>
          <w:top w:w="0" w:type="dxa"/>
          <w:left w:w="93" w:type="dxa"/>
          <w:bottom w:w="0" w:type="dxa"/>
          <w:right w:w="108" w:type="dxa"/>
        </w:tblCellMar>
      </w:tblPr>
      <w:tblGrid>
        <w:gridCol w:w="2960"/>
        <w:gridCol w:w="3071"/>
        <w:gridCol w:w="3415"/>
      </w:tblGrid>
      <w:tr>
        <w:trPr>
          <w:cantSplit w:val="false"/>
        </w:trPr>
        <w:tc>
          <w:tcPr>
            <w:tcW w:w="2960" w:type="dxa"/>
            <w:tcBorders>
              <w:top w:val="single" w:sz="4" w:space="0" w:color="000001"/>
              <w:left w:val="single" w:sz="4" w:space="0" w:color="000001"/>
              <w:bottom w:val="single" w:sz="4" w:space="0" w:color="000001"/>
              <w:insideH w:val="single" w:sz="4" w:space="0" w:color="000001"/>
              <w:right w:val="nil"/>
              <w:insideV w:val="nil"/>
            </w:tcBorders>
            <w:shd w:fill="D9D9D9" w:val="clear"/>
            <w:tcMar>
              <w:left w:w="93" w:type="dxa"/>
            </w:tcMar>
          </w:tcPr>
          <w:p>
            <w:pPr>
              <w:pStyle w:val="Normal"/>
              <w:jc w:val="center"/>
              <w:rPr>
                <w:b/>
              </w:rPr>
            </w:pPr>
            <w:r>
              <w:rPr>
                <w:b/>
              </w:rPr>
              <w:t>Rozpočet na rok 2014</w:t>
            </w:r>
          </w:p>
        </w:tc>
        <w:tc>
          <w:tcPr>
            <w:tcW w:w="3071" w:type="dxa"/>
            <w:tcBorders>
              <w:top w:val="single" w:sz="4" w:space="0" w:color="000001"/>
              <w:left w:val="single" w:sz="4" w:space="0" w:color="000001"/>
              <w:bottom w:val="single" w:sz="4" w:space="0" w:color="000001"/>
              <w:insideH w:val="single" w:sz="4" w:space="0" w:color="000001"/>
              <w:right w:val="nil"/>
              <w:insideV w:val="nil"/>
            </w:tcBorders>
            <w:shd w:fill="D9D9D9" w:val="clear"/>
            <w:tcMar>
              <w:left w:w="93" w:type="dxa"/>
            </w:tcMar>
          </w:tcPr>
          <w:p>
            <w:pPr>
              <w:pStyle w:val="Normal"/>
              <w:jc w:val="center"/>
              <w:rPr>
                <w:b/>
              </w:rPr>
            </w:pPr>
            <w:r>
              <w:rPr>
                <w:b/>
              </w:rPr>
              <w:t>Skutočnosť k 31.12.2014</w:t>
            </w:r>
          </w:p>
        </w:tc>
        <w:tc>
          <w:tcPr>
            <w:tcW w:w="3415" w:type="dxa"/>
            <w:tcBorders>
              <w:top w:val="single" w:sz="4" w:space="0" w:color="000001"/>
              <w:left w:val="single" w:sz="4" w:space="0" w:color="000001"/>
              <w:bottom w:val="single" w:sz="4" w:space="0" w:color="000001"/>
              <w:insideH w:val="single" w:sz="4" w:space="0" w:color="000001"/>
              <w:right w:val="single" w:sz="4" w:space="0" w:color="000001"/>
              <w:insideV w:val="single" w:sz="4" w:space="0" w:color="000001"/>
            </w:tcBorders>
            <w:shd w:fill="D9D9D9" w:val="clear"/>
            <w:tcMar>
              <w:left w:w="93" w:type="dxa"/>
            </w:tcMar>
          </w:tcPr>
          <w:p>
            <w:pPr>
              <w:pStyle w:val="Normal"/>
              <w:jc w:val="center"/>
              <w:rPr>
                <w:b/>
              </w:rPr>
            </w:pPr>
            <w:r>
              <w:rPr>
                <w:b/>
              </w:rPr>
              <w:t>% plnenia</w:t>
            </w:r>
          </w:p>
        </w:tc>
      </w:tr>
      <w:tr>
        <w:trPr>
          <w:cantSplit w:val="false"/>
        </w:trPr>
        <w:tc>
          <w:tcPr>
            <w:tcW w:w="2960" w:type="dxa"/>
            <w:tcBorders>
              <w:top w:val="single" w:sz="4" w:space="0" w:color="000001"/>
              <w:left w:val="single" w:sz="4" w:space="0" w:color="000001"/>
              <w:bottom w:val="single" w:sz="4" w:space="0" w:color="000001"/>
              <w:insideH w:val="single" w:sz="4" w:space="0" w:color="000001"/>
              <w:right w:val="nil"/>
              <w:insideV w:val="nil"/>
            </w:tcBorders>
            <w:shd w:fill="FFFFFF" w:val="clear"/>
            <w:tcMar>
              <w:left w:w="93" w:type="dxa"/>
            </w:tcMar>
          </w:tcPr>
          <w:p>
            <w:pPr>
              <w:pStyle w:val="Normal"/>
              <w:jc w:val="center"/>
              <w:rPr>
                <w:b/>
              </w:rPr>
            </w:pPr>
            <w:r>
              <w:rPr>
                <w:b/>
              </w:rPr>
              <w:t>0</w:t>
            </w:r>
          </w:p>
        </w:tc>
        <w:tc>
          <w:tcPr>
            <w:tcW w:w="3071" w:type="dxa"/>
            <w:tcBorders>
              <w:top w:val="single" w:sz="4" w:space="0" w:color="000001"/>
              <w:left w:val="single" w:sz="4" w:space="0" w:color="000001"/>
              <w:bottom w:val="single" w:sz="4" w:space="0" w:color="000001"/>
              <w:insideH w:val="single" w:sz="4" w:space="0" w:color="000001"/>
              <w:right w:val="nil"/>
              <w:insideV w:val="nil"/>
            </w:tcBorders>
            <w:shd w:fill="FFFFFF" w:val="clear"/>
            <w:tcMar>
              <w:left w:w="93" w:type="dxa"/>
            </w:tcMar>
          </w:tcPr>
          <w:p>
            <w:pPr>
              <w:pStyle w:val="Normal"/>
              <w:jc w:val="center"/>
              <w:rPr/>
            </w:pPr>
            <w:r>
              <w:rPr/>
              <w:t>2 095,60</w:t>
            </w:r>
          </w:p>
        </w:tc>
        <w:tc>
          <w:tcPr>
            <w:tcW w:w="3415" w:type="dxa"/>
            <w:tcBorders>
              <w:top w:val="single" w:sz="4" w:space="0" w:color="000001"/>
              <w:left w:val="single" w:sz="4" w:space="0" w:color="000001"/>
              <w:bottom w:val="single" w:sz="4" w:space="0" w:color="000001"/>
              <w:insideH w:val="single" w:sz="4" w:space="0" w:color="000001"/>
              <w:right w:val="single" w:sz="4" w:space="0" w:color="000001"/>
              <w:insideV w:val="single" w:sz="4" w:space="0" w:color="000001"/>
            </w:tcBorders>
            <w:shd w:fill="FFFFFF" w:val="clear"/>
            <w:tcMar>
              <w:left w:w="93" w:type="dxa"/>
            </w:tcMar>
          </w:tcPr>
          <w:p>
            <w:pPr>
              <w:pStyle w:val="Normal"/>
              <w:jc w:val="center"/>
              <w:rPr/>
            </w:pPr>
            <w:r>
              <w:rPr/>
            </w:r>
          </w:p>
        </w:tc>
      </w:tr>
    </w:tbl>
    <w:p>
      <w:pPr>
        <w:pStyle w:val="Normal"/>
        <w:rPr/>
      </w:pPr>
      <w:r>
        <w:rPr/>
      </w:r>
    </w:p>
    <w:p>
      <w:pPr>
        <w:pStyle w:val="Normal"/>
        <w:jc w:val="both"/>
        <w:rPr/>
      </w:pPr>
      <w:r>
        <w:rPr/>
        <w:t xml:space="preserve">Z rozpočtovaných kapitálových príjmov 0 EUR bol skutočný príjem k 31.12.2014 v sume </w:t>
      </w:r>
    </w:p>
    <w:p>
      <w:pPr>
        <w:pStyle w:val="Normal"/>
        <w:jc w:val="both"/>
        <w:rPr/>
      </w:pPr>
      <w:r>
        <w:rPr/>
        <w:t xml:space="preserve"> </w:t>
      </w:r>
      <w:r>
        <w:rPr/>
        <w:t>2 095,60 EUR.</w:t>
      </w:r>
    </w:p>
    <w:p>
      <w:pPr>
        <w:pStyle w:val="Normal"/>
        <w:rPr/>
      </w:pPr>
      <w:r>
        <w:rPr/>
      </w:r>
    </w:p>
    <w:p>
      <w:pPr>
        <w:pStyle w:val="Normal"/>
        <w:rPr>
          <w:b/>
        </w:rPr>
      </w:pPr>
      <w:r>
        <w:rPr>
          <w:b/>
        </w:rPr>
        <w:t>Príjem z predaja kapitálových aktív:</w:t>
      </w:r>
    </w:p>
    <w:p>
      <w:pPr>
        <w:pStyle w:val="Normal"/>
        <w:jc w:val="both"/>
        <w:rPr/>
      </w:pPr>
      <w:r>
        <w:rPr/>
        <w:t>Z rozpočtovaných 0 EUR bol skutočný príjem k 31.12.2014 v sume 2 095,60 EUR.</w:t>
      </w:r>
    </w:p>
    <w:p>
      <w:pPr>
        <w:pStyle w:val="Normal"/>
        <w:jc w:val="both"/>
        <w:rPr/>
      </w:pPr>
      <w:r>
        <w:rPr/>
      </w:r>
    </w:p>
    <w:p>
      <w:pPr>
        <w:pStyle w:val="Normal"/>
        <w:jc w:val="both"/>
        <w:rPr/>
      </w:pPr>
      <w:r>
        <w:rPr/>
      </w:r>
    </w:p>
    <w:p>
      <w:pPr>
        <w:pStyle w:val="Normal"/>
        <w:jc w:val="both"/>
        <w:rPr/>
      </w:pPr>
      <w:r>
        <w:rPr/>
      </w:r>
    </w:p>
    <w:p>
      <w:pPr>
        <w:pStyle w:val="Normal"/>
        <w:tabs>
          <w:tab w:val="right" w:pos="284" w:leader="none"/>
        </w:tabs>
        <w:jc w:val="both"/>
        <w:rPr>
          <w:b/>
        </w:rPr>
      </w:pPr>
      <w:r>
        <w:rPr>
          <w:b/>
        </w:rPr>
        <w:t>Granty a transfery</w:t>
      </w:r>
    </w:p>
    <w:p>
      <w:pPr>
        <w:pStyle w:val="Normal"/>
        <w:jc w:val="both"/>
        <w:rPr/>
      </w:pPr>
      <w:r>
        <w:rPr/>
        <w:t>Z rozpočtovaných 0 EUR bol skutočný príjem k 31.12.2014 v sume 12 000 EUR.</w:t>
      </w:r>
    </w:p>
    <w:p>
      <w:pPr>
        <w:pStyle w:val="Normal"/>
        <w:jc w:val="both"/>
        <w:rPr/>
      </w:pPr>
      <w:r>
        <w:rPr/>
      </w:r>
    </w:p>
    <w:p>
      <w:pPr>
        <w:pStyle w:val="Normal"/>
        <w:jc w:val="both"/>
        <w:rPr/>
      </w:pPr>
      <w:r>
        <w:rPr/>
      </w:r>
    </w:p>
    <w:p>
      <w:pPr>
        <w:pStyle w:val="Normal"/>
        <w:jc w:val="both"/>
        <w:rPr/>
      </w:pPr>
      <w:r>
        <w:rPr/>
      </w:r>
    </w:p>
    <w:p>
      <w:pPr>
        <w:pStyle w:val="Normal"/>
        <w:jc w:val="both"/>
        <w:rPr/>
      </w:pPr>
      <w:r>
        <w:rPr/>
      </w:r>
    </w:p>
    <w:p>
      <w:pPr>
        <w:pStyle w:val="Normal"/>
        <w:rPr>
          <w:b/>
        </w:rPr>
      </w:pPr>
      <w:r>
        <w:rPr>
          <w:b/>
        </w:rPr>
        <w:t>Prijaté granty a transfery</w:t>
      </w:r>
    </w:p>
    <w:p>
      <w:pPr>
        <w:pStyle w:val="Normal"/>
        <w:rPr>
          <w:b/>
        </w:rPr>
      </w:pPr>
      <w:r>
        <w:rPr>
          <w:b/>
        </w:rPr>
      </w:r>
    </w:p>
    <w:tbl>
      <w:tblPr>
        <w:jc w:val="left"/>
        <w:tblInd w:w="98" w:type="dxa"/>
        <w:tblBorders>
          <w:top w:val="single" w:sz="4" w:space="0" w:color="000001"/>
          <w:left w:val="single" w:sz="4" w:space="0" w:color="000001"/>
          <w:bottom w:val="single" w:sz="4" w:space="0" w:color="000001"/>
          <w:insideH w:val="single" w:sz="4" w:space="0" w:color="000001"/>
          <w:right w:val="nil"/>
          <w:insideV w:val="nil"/>
        </w:tblBorders>
        <w:tblCellMar>
          <w:top w:w="0" w:type="dxa"/>
          <w:left w:w="93" w:type="dxa"/>
          <w:bottom w:w="0" w:type="dxa"/>
          <w:right w:w="108" w:type="dxa"/>
        </w:tblCellMar>
      </w:tblPr>
      <w:tblGrid>
        <w:gridCol w:w="3967"/>
        <w:gridCol w:w="1843"/>
        <w:gridCol w:w="3636"/>
      </w:tblGrid>
      <w:tr>
        <w:trPr>
          <w:cantSplit w:val="false"/>
        </w:trPr>
        <w:tc>
          <w:tcPr>
            <w:tcW w:w="3967" w:type="dxa"/>
            <w:tcBorders>
              <w:top w:val="single" w:sz="4" w:space="0" w:color="000001"/>
              <w:left w:val="single" w:sz="4" w:space="0" w:color="000001"/>
              <w:bottom w:val="single" w:sz="4" w:space="0" w:color="000001"/>
              <w:insideH w:val="single" w:sz="4" w:space="0" w:color="000001"/>
              <w:right w:val="nil"/>
              <w:insideV w:val="nil"/>
            </w:tcBorders>
            <w:shd w:fill="D9D9D9" w:val="clear"/>
            <w:tcMar>
              <w:left w:w="93" w:type="dxa"/>
            </w:tcMar>
          </w:tcPr>
          <w:p>
            <w:pPr>
              <w:pStyle w:val="Normal"/>
              <w:jc w:val="center"/>
              <w:rPr>
                <w:b/>
              </w:rPr>
            </w:pPr>
            <w:r>
              <w:rPr>
                <w:b/>
              </w:rPr>
              <w:t>Poskytovateľ dotácie</w:t>
            </w:r>
          </w:p>
        </w:tc>
        <w:tc>
          <w:tcPr>
            <w:tcW w:w="1843" w:type="dxa"/>
            <w:tcBorders>
              <w:top w:val="single" w:sz="4" w:space="0" w:color="000001"/>
              <w:left w:val="single" w:sz="4" w:space="0" w:color="000001"/>
              <w:bottom w:val="single" w:sz="4" w:space="0" w:color="000001"/>
              <w:insideH w:val="single" w:sz="4" w:space="0" w:color="000001"/>
              <w:right w:val="nil"/>
              <w:insideV w:val="nil"/>
            </w:tcBorders>
            <w:shd w:fill="D9D9D9" w:val="clear"/>
            <w:tcMar>
              <w:left w:w="93" w:type="dxa"/>
            </w:tcMar>
          </w:tcPr>
          <w:p>
            <w:pPr>
              <w:pStyle w:val="Normal"/>
              <w:jc w:val="center"/>
              <w:rPr>
                <w:b/>
              </w:rPr>
            </w:pPr>
            <w:r>
              <w:rPr>
                <w:b/>
              </w:rPr>
              <w:t>Suma v EUR</w:t>
            </w:r>
          </w:p>
        </w:tc>
        <w:tc>
          <w:tcPr>
            <w:tcW w:w="3636" w:type="dxa"/>
            <w:tcBorders>
              <w:top w:val="single" w:sz="4" w:space="0" w:color="000001"/>
              <w:left w:val="single" w:sz="4" w:space="0" w:color="000001"/>
              <w:bottom w:val="single" w:sz="4" w:space="0" w:color="000001"/>
              <w:insideH w:val="single" w:sz="4" w:space="0" w:color="000001"/>
              <w:right w:val="single" w:sz="4" w:space="0" w:color="000001"/>
              <w:insideV w:val="single" w:sz="4" w:space="0" w:color="000001"/>
            </w:tcBorders>
            <w:shd w:fill="D9D9D9" w:val="clear"/>
            <w:tcMar>
              <w:left w:w="93" w:type="dxa"/>
            </w:tcMar>
          </w:tcPr>
          <w:p>
            <w:pPr>
              <w:pStyle w:val="Normal"/>
              <w:jc w:val="center"/>
              <w:rPr>
                <w:b/>
              </w:rPr>
            </w:pPr>
            <w:r>
              <w:rPr>
                <w:b/>
              </w:rPr>
              <w:t>Účel</w:t>
            </w:r>
          </w:p>
        </w:tc>
      </w:tr>
      <w:tr>
        <w:trPr>
          <w:cantSplit w:val="false"/>
        </w:trPr>
        <w:tc>
          <w:tcPr>
            <w:tcW w:w="3967" w:type="dxa"/>
            <w:tcBorders>
              <w:top w:val="single" w:sz="4" w:space="0" w:color="000001"/>
              <w:left w:val="single" w:sz="4" w:space="0" w:color="000001"/>
              <w:bottom w:val="single" w:sz="4" w:space="0" w:color="000001"/>
              <w:insideH w:val="single" w:sz="4" w:space="0" w:color="000001"/>
              <w:right w:val="nil"/>
              <w:insideV w:val="nil"/>
            </w:tcBorders>
            <w:shd w:fill="FFFFFF" w:val="clear"/>
            <w:tcMar>
              <w:left w:w="93" w:type="dxa"/>
            </w:tcMar>
          </w:tcPr>
          <w:p>
            <w:pPr>
              <w:pStyle w:val="Normal"/>
              <w:rPr>
                <w:b/>
              </w:rPr>
            </w:pPr>
            <w:r>
              <w:rPr>
                <w:b/>
              </w:rPr>
              <w:t>Ministerstvo financií</w:t>
            </w:r>
          </w:p>
        </w:tc>
        <w:tc>
          <w:tcPr>
            <w:tcW w:w="1843" w:type="dxa"/>
            <w:tcBorders>
              <w:top w:val="single" w:sz="4" w:space="0" w:color="000001"/>
              <w:left w:val="single" w:sz="4" w:space="0" w:color="000001"/>
              <w:bottom w:val="single" w:sz="4" w:space="0" w:color="000001"/>
              <w:insideH w:val="single" w:sz="4" w:space="0" w:color="000001"/>
              <w:right w:val="nil"/>
              <w:insideV w:val="nil"/>
            </w:tcBorders>
            <w:shd w:fill="FFFFFF" w:val="clear"/>
            <w:tcMar>
              <w:left w:w="93" w:type="dxa"/>
            </w:tcMar>
          </w:tcPr>
          <w:p>
            <w:pPr>
              <w:pStyle w:val="Normal"/>
              <w:jc w:val="right"/>
              <w:rPr/>
            </w:pPr>
            <w:r>
              <w:rPr/>
              <w:t>12 000</w:t>
            </w:r>
          </w:p>
        </w:tc>
        <w:tc>
          <w:tcPr>
            <w:tcW w:w="3636" w:type="dxa"/>
            <w:tcBorders>
              <w:top w:val="single" w:sz="4" w:space="0" w:color="000001"/>
              <w:left w:val="single" w:sz="4" w:space="0" w:color="000001"/>
              <w:bottom w:val="single" w:sz="4" w:space="0" w:color="000001"/>
              <w:insideH w:val="single" w:sz="4" w:space="0" w:color="000001"/>
              <w:right w:val="single" w:sz="4" w:space="0" w:color="000001"/>
              <w:insideV w:val="single" w:sz="4" w:space="0" w:color="000001"/>
            </w:tcBorders>
            <w:shd w:fill="FFFFFF" w:val="clear"/>
            <w:tcMar>
              <w:left w:w="93" w:type="dxa"/>
            </w:tcMar>
          </w:tcPr>
          <w:p>
            <w:pPr>
              <w:pStyle w:val="Normal"/>
              <w:rPr/>
            </w:pPr>
            <w:r>
              <w:rPr/>
              <w:t>Na rekonštrukciu telocvične</w:t>
            </w:r>
          </w:p>
        </w:tc>
      </w:tr>
      <w:tr>
        <w:trPr>
          <w:cantSplit w:val="false"/>
        </w:trPr>
        <w:tc>
          <w:tcPr>
            <w:tcW w:w="3967" w:type="dxa"/>
            <w:tcBorders>
              <w:top w:val="single" w:sz="4" w:space="0" w:color="000001"/>
              <w:left w:val="single" w:sz="4" w:space="0" w:color="000001"/>
              <w:bottom w:val="single" w:sz="4" w:space="0" w:color="000001"/>
              <w:insideH w:val="single" w:sz="4" w:space="0" w:color="000001"/>
              <w:right w:val="nil"/>
              <w:insideV w:val="nil"/>
            </w:tcBorders>
            <w:shd w:fill="FFFFFF" w:val="clear"/>
            <w:tcMar>
              <w:left w:w="93" w:type="dxa"/>
            </w:tcMar>
          </w:tcPr>
          <w:p>
            <w:pPr>
              <w:pStyle w:val="Normal"/>
              <w:rPr/>
            </w:pPr>
            <w:r>
              <w:rPr/>
            </w:r>
          </w:p>
        </w:tc>
        <w:tc>
          <w:tcPr>
            <w:tcW w:w="1843" w:type="dxa"/>
            <w:tcBorders>
              <w:top w:val="single" w:sz="4" w:space="0" w:color="000001"/>
              <w:left w:val="single" w:sz="4" w:space="0" w:color="000001"/>
              <w:bottom w:val="single" w:sz="4" w:space="0" w:color="000001"/>
              <w:insideH w:val="single" w:sz="4" w:space="0" w:color="000001"/>
              <w:right w:val="nil"/>
              <w:insideV w:val="nil"/>
            </w:tcBorders>
            <w:shd w:fill="FFFFFF" w:val="clear"/>
            <w:tcMar>
              <w:left w:w="93" w:type="dxa"/>
            </w:tcMar>
          </w:tcPr>
          <w:p>
            <w:pPr>
              <w:pStyle w:val="Normal"/>
              <w:jc w:val="right"/>
              <w:rPr/>
            </w:pPr>
            <w:r>
              <w:rPr/>
            </w:r>
          </w:p>
        </w:tc>
        <w:tc>
          <w:tcPr>
            <w:tcW w:w="3636" w:type="dxa"/>
            <w:tcBorders>
              <w:top w:val="single" w:sz="4" w:space="0" w:color="000001"/>
              <w:left w:val="single" w:sz="4" w:space="0" w:color="000001"/>
              <w:bottom w:val="single" w:sz="4" w:space="0" w:color="000001"/>
              <w:insideH w:val="single" w:sz="4" w:space="0" w:color="000001"/>
              <w:right w:val="single" w:sz="4" w:space="0" w:color="000001"/>
              <w:insideV w:val="single" w:sz="4" w:space="0" w:color="000001"/>
            </w:tcBorders>
            <w:shd w:fill="FFFFFF" w:val="clear"/>
            <w:tcMar>
              <w:left w:w="93" w:type="dxa"/>
            </w:tcMar>
          </w:tcPr>
          <w:p>
            <w:pPr>
              <w:pStyle w:val="Normal"/>
              <w:rPr/>
            </w:pPr>
            <w:r>
              <w:rPr/>
            </w:r>
          </w:p>
        </w:tc>
      </w:tr>
      <w:tr>
        <w:trPr>
          <w:cantSplit w:val="false"/>
        </w:trPr>
        <w:tc>
          <w:tcPr>
            <w:tcW w:w="3967" w:type="dxa"/>
            <w:tcBorders>
              <w:top w:val="single" w:sz="4" w:space="0" w:color="000001"/>
              <w:left w:val="single" w:sz="4" w:space="0" w:color="000001"/>
              <w:bottom w:val="single" w:sz="4" w:space="0" w:color="000001"/>
              <w:insideH w:val="single" w:sz="4" w:space="0" w:color="000001"/>
              <w:right w:val="nil"/>
              <w:insideV w:val="nil"/>
            </w:tcBorders>
            <w:shd w:fill="FFFFFF" w:val="clear"/>
            <w:tcMar>
              <w:left w:w="93" w:type="dxa"/>
            </w:tcMar>
          </w:tcPr>
          <w:p>
            <w:pPr>
              <w:pStyle w:val="Normal"/>
              <w:rPr/>
            </w:pPr>
            <w:r>
              <w:rPr/>
            </w:r>
          </w:p>
        </w:tc>
        <w:tc>
          <w:tcPr>
            <w:tcW w:w="1843" w:type="dxa"/>
            <w:tcBorders>
              <w:top w:val="single" w:sz="4" w:space="0" w:color="000001"/>
              <w:left w:val="single" w:sz="4" w:space="0" w:color="000001"/>
              <w:bottom w:val="single" w:sz="4" w:space="0" w:color="000001"/>
              <w:insideH w:val="single" w:sz="4" w:space="0" w:color="000001"/>
              <w:right w:val="nil"/>
              <w:insideV w:val="nil"/>
            </w:tcBorders>
            <w:shd w:fill="FFFFFF" w:val="clear"/>
            <w:tcMar>
              <w:left w:w="93" w:type="dxa"/>
            </w:tcMar>
          </w:tcPr>
          <w:p>
            <w:pPr>
              <w:pStyle w:val="Normal"/>
              <w:jc w:val="right"/>
              <w:rPr/>
            </w:pPr>
            <w:r>
              <w:rPr/>
            </w:r>
          </w:p>
        </w:tc>
        <w:tc>
          <w:tcPr>
            <w:tcW w:w="3636" w:type="dxa"/>
            <w:tcBorders>
              <w:top w:val="single" w:sz="4" w:space="0" w:color="000001"/>
              <w:left w:val="single" w:sz="4" w:space="0" w:color="000001"/>
              <w:bottom w:val="single" w:sz="4" w:space="0" w:color="000001"/>
              <w:insideH w:val="single" w:sz="4" w:space="0" w:color="000001"/>
              <w:right w:val="single" w:sz="4" w:space="0" w:color="000001"/>
              <w:insideV w:val="single" w:sz="4" w:space="0" w:color="000001"/>
            </w:tcBorders>
            <w:shd w:fill="FFFFFF" w:val="clear"/>
            <w:tcMar>
              <w:left w:w="93" w:type="dxa"/>
            </w:tcMar>
          </w:tcPr>
          <w:p>
            <w:pPr>
              <w:pStyle w:val="Normal"/>
              <w:rPr/>
            </w:pPr>
            <w:r>
              <w:rPr/>
            </w:r>
          </w:p>
        </w:tc>
      </w:tr>
      <w:tr>
        <w:trPr>
          <w:cantSplit w:val="false"/>
        </w:trPr>
        <w:tc>
          <w:tcPr>
            <w:tcW w:w="3967" w:type="dxa"/>
            <w:tcBorders>
              <w:top w:val="single" w:sz="4" w:space="0" w:color="000001"/>
              <w:left w:val="single" w:sz="4" w:space="0" w:color="000001"/>
              <w:bottom w:val="single" w:sz="4" w:space="0" w:color="000001"/>
              <w:insideH w:val="single" w:sz="4" w:space="0" w:color="000001"/>
              <w:right w:val="nil"/>
              <w:insideV w:val="nil"/>
            </w:tcBorders>
            <w:shd w:fill="FFFFFF" w:val="clear"/>
            <w:tcMar>
              <w:left w:w="93" w:type="dxa"/>
            </w:tcMar>
          </w:tcPr>
          <w:p>
            <w:pPr>
              <w:pStyle w:val="Normal"/>
              <w:rPr/>
            </w:pPr>
            <w:r>
              <w:rPr/>
            </w:r>
          </w:p>
        </w:tc>
        <w:tc>
          <w:tcPr>
            <w:tcW w:w="1843" w:type="dxa"/>
            <w:tcBorders>
              <w:top w:val="single" w:sz="4" w:space="0" w:color="000001"/>
              <w:left w:val="single" w:sz="4" w:space="0" w:color="000001"/>
              <w:bottom w:val="single" w:sz="4" w:space="0" w:color="000001"/>
              <w:insideH w:val="single" w:sz="4" w:space="0" w:color="000001"/>
              <w:right w:val="nil"/>
              <w:insideV w:val="nil"/>
            </w:tcBorders>
            <w:shd w:fill="FFFFFF" w:val="clear"/>
            <w:tcMar>
              <w:left w:w="93" w:type="dxa"/>
            </w:tcMar>
          </w:tcPr>
          <w:p>
            <w:pPr>
              <w:pStyle w:val="Normal"/>
              <w:jc w:val="right"/>
              <w:rPr/>
            </w:pPr>
            <w:r>
              <w:rPr/>
            </w:r>
          </w:p>
        </w:tc>
        <w:tc>
          <w:tcPr>
            <w:tcW w:w="3636" w:type="dxa"/>
            <w:tcBorders>
              <w:top w:val="single" w:sz="4" w:space="0" w:color="000001"/>
              <w:left w:val="single" w:sz="4" w:space="0" w:color="000001"/>
              <w:bottom w:val="single" w:sz="4" w:space="0" w:color="000001"/>
              <w:insideH w:val="single" w:sz="4" w:space="0" w:color="000001"/>
              <w:right w:val="single" w:sz="4" w:space="0" w:color="000001"/>
              <w:insideV w:val="single" w:sz="4" w:space="0" w:color="000001"/>
            </w:tcBorders>
            <w:shd w:fill="FFFFFF" w:val="clear"/>
            <w:tcMar>
              <w:left w:w="93" w:type="dxa"/>
            </w:tcMar>
          </w:tcPr>
          <w:p>
            <w:pPr>
              <w:pStyle w:val="Normal"/>
              <w:rPr/>
            </w:pPr>
            <w:r>
              <w:rPr/>
            </w:r>
          </w:p>
        </w:tc>
      </w:tr>
      <w:tr>
        <w:trPr>
          <w:cantSplit w:val="false"/>
        </w:trPr>
        <w:tc>
          <w:tcPr>
            <w:tcW w:w="3967" w:type="dxa"/>
            <w:tcBorders>
              <w:top w:val="single" w:sz="4" w:space="0" w:color="000001"/>
              <w:left w:val="single" w:sz="4" w:space="0" w:color="000001"/>
              <w:bottom w:val="single" w:sz="4" w:space="0" w:color="000001"/>
              <w:insideH w:val="single" w:sz="4" w:space="0" w:color="000001"/>
              <w:right w:val="nil"/>
              <w:insideV w:val="nil"/>
            </w:tcBorders>
            <w:shd w:fill="FFFFFF" w:val="clear"/>
            <w:tcMar>
              <w:left w:w="93" w:type="dxa"/>
            </w:tcMar>
          </w:tcPr>
          <w:p>
            <w:pPr>
              <w:pStyle w:val="Normal"/>
              <w:rPr/>
            </w:pPr>
            <w:r>
              <w:rPr/>
            </w:r>
          </w:p>
        </w:tc>
        <w:tc>
          <w:tcPr>
            <w:tcW w:w="1843" w:type="dxa"/>
            <w:tcBorders>
              <w:top w:val="single" w:sz="4" w:space="0" w:color="000001"/>
              <w:left w:val="single" w:sz="4" w:space="0" w:color="000001"/>
              <w:bottom w:val="single" w:sz="4" w:space="0" w:color="000001"/>
              <w:insideH w:val="single" w:sz="4" w:space="0" w:color="000001"/>
              <w:right w:val="nil"/>
              <w:insideV w:val="nil"/>
            </w:tcBorders>
            <w:shd w:fill="FFFFFF" w:val="clear"/>
            <w:tcMar>
              <w:left w:w="93" w:type="dxa"/>
            </w:tcMar>
          </w:tcPr>
          <w:p>
            <w:pPr>
              <w:pStyle w:val="Normal"/>
              <w:jc w:val="right"/>
              <w:rPr/>
            </w:pPr>
            <w:r>
              <w:rPr/>
            </w:r>
          </w:p>
        </w:tc>
        <w:tc>
          <w:tcPr>
            <w:tcW w:w="3636" w:type="dxa"/>
            <w:tcBorders>
              <w:top w:val="single" w:sz="4" w:space="0" w:color="000001"/>
              <w:left w:val="single" w:sz="4" w:space="0" w:color="000001"/>
              <w:bottom w:val="single" w:sz="4" w:space="0" w:color="000001"/>
              <w:insideH w:val="single" w:sz="4" w:space="0" w:color="000001"/>
              <w:right w:val="single" w:sz="4" w:space="0" w:color="000001"/>
              <w:insideV w:val="single" w:sz="4" w:space="0" w:color="000001"/>
            </w:tcBorders>
            <w:shd w:fill="FFFFFF" w:val="clear"/>
            <w:tcMar>
              <w:left w:w="93" w:type="dxa"/>
            </w:tcMar>
          </w:tcPr>
          <w:p>
            <w:pPr>
              <w:pStyle w:val="Normal"/>
              <w:rPr/>
            </w:pPr>
            <w:r>
              <w:rPr/>
            </w:r>
          </w:p>
        </w:tc>
      </w:tr>
      <w:tr>
        <w:trPr>
          <w:cantSplit w:val="false"/>
        </w:trPr>
        <w:tc>
          <w:tcPr>
            <w:tcW w:w="3967" w:type="dxa"/>
            <w:tcBorders>
              <w:top w:val="single" w:sz="4" w:space="0" w:color="000001"/>
              <w:left w:val="single" w:sz="4" w:space="0" w:color="000001"/>
              <w:bottom w:val="single" w:sz="4" w:space="0" w:color="000001"/>
              <w:insideH w:val="single" w:sz="4" w:space="0" w:color="000001"/>
              <w:right w:val="nil"/>
              <w:insideV w:val="nil"/>
            </w:tcBorders>
            <w:shd w:fill="FFFFFF" w:val="clear"/>
            <w:tcMar>
              <w:left w:w="93" w:type="dxa"/>
            </w:tcMar>
          </w:tcPr>
          <w:p>
            <w:pPr>
              <w:pStyle w:val="Normal"/>
              <w:rPr/>
            </w:pPr>
            <w:r>
              <w:rPr/>
            </w:r>
          </w:p>
        </w:tc>
        <w:tc>
          <w:tcPr>
            <w:tcW w:w="1843" w:type="dxa"/>
            <w:tcBorders>
              <w:top w:val="single" w:sz="4" w:space="0" w:color="000001"/>
              <w:left w:val="single" w:sz="4" w:space="0" w:color="000001"/>
              <w:bottom w:val="single" w:sz="4" w:space="0" w:color="000001"/>
              <w:insideH w:val="single" w:sz="4" w:space="0" w:color="000001"/>
              <w:right w:val="nil"/>
              <w:insideV w:val="nil"/>
            </w:tcBorders>
            <w:shd w:fill="FFFFFF" w:val="clear"/>
            <w:tcMar>
              <w:left w:w="93" w:type="dxa"/>
            </w:tcMar>
          </w:tcPr>
          <w:p>
            <w:pPr>
              <w:pStyle w:val="Normal"/>
              <w:jc w:val="right"/>
              <w:rPr/>
            </w:pPr>
            <w:r>
              <w:rPr/>
            </w:r>
          </w:p>
        </w:tc>
        <w:tc>
          <w:tcPr>
            <w:tcW w:w="3636" w:type="dxa"/>
            <w:tcBorders>
              <w:top w:val="single" w:sz="4" w:space="0" w:color="000001"/>
              <w:left w:val="single" w:sz="4" w:space="0" w:color="000001"/>
              <w:bottom w:val="single" w:sz="4" w:space="0" w:color="000001"/>
              <w:insideH w:val="single" w:sz="4" w:space="0" w:color="000001"/>
              <w:right w:val="single" w:sz="4" w:space="0" w:color="000001"/>
              <w:insideV w:val="single" w:sz="4" w:space="0" w:color="000001"/>
            </w:tcBorders>
            <w:shd w:fill="FFFFFF" w:val="clear"/>
            <w:tcMar>
              <w:left w:w="93" w:type="dxa"/>
            </w:tcMar>
          </w:tcPr>
          <w:p>
            <w:pPr>
              <w:pStyle w:val="Normal"/>
              <w:rPr/>
            </w:pPr>
            <w:r>
              <w:rPr/>
            </w:r>
          </w:p>
        </w:tc>
      </w:tr>
      <w:tr>
        <w:trPr>
          <w:cantSplit w:val="false"/>
        </w:trPr>
        <w:tc>
          <w:tcPr>
            <w:tcW w:w="3967" w:type="dxa"/>
            <w:tcBorders>
              <w:top w:val="single" w:sz="4" w:space="0" w:color="000001"/>
              <w:left w:val="single" w:sz="4" w:space="0" w:color="000001"/>
              <w:bottom w:val="single" w:sz="4" w:space="0" w:color="000001"/>
              <w:insideH w:val="single" w:sz="4" w:space="0" w:color="000001"/>
              <w:right w:val="nil"/>
              <w:insideV w:val="nil"/>
            </w:tcBorders>
            <w:shd w:fill="FFFFFF" w:val="clear"/>
            <w:tcMar>
              <w:left w:w="93" w:type="dxa"/>
            </w:tcMar>
          </w:tcPr>
          <w:p>
            <w:pPr>
              <w:pStyle w:val="Normal"/>
              <w:rPr/>
            </w:pPr>
            <w:r>
              <w:rPr/>
            </w:r>
          </w:p>
        </w:tc>
        <w:tc>
          <w:tcPr>
            <w:tcW w:w="1843" w:type="dxa"/>
            <w:tcBorders>
              <w:top w:val="single" w:sz="4" w:space="0" w:color="000001"/>
              <w:left w:val="single" w:sz="4" w:space="0" w:color="000001"/>
              <w:bottom w:val="single" w:sz="4" w:space="0" w:color="000001"/>
              <w:insideH w:val="single" w:sz="4" w:space="0" w:color="000001"/>
              <w:right w:val="nil"/>
              <w:insideV w:val="nil"/>
            </w:tcBorders>
            <w:shd w:fill="FFFFFF" w:val="clear"/>
            <w:tcMar>
              <w:left w:w="93" w:type="dxa"/>
            </w:tcMar>
          </w:tcPr>
          <w:p>
            <w:pPr>
              <w:pStyle w:val="Normal"/>
              <w:jc w:val="right"/>
              <w:rPr/>
            </w:pPr>
            <w:r>
              <w:rPr/>
            </w:r>
          </w:p>
        </w:tc>
        <w:tc>
          <w:tcPr>
            <w:tcW w:w="3636" w:type="dxa"/>
            <w:tcBorders>
              <w:top w:val="single" w:sz="4" w:space="0" w:color="000001"/>
              <w:left w:val="single" w:sz="4" w:space="0" w:color="000001"/>
              <w:bottom w:val="single" w:sz="4" w:space="0" w:color="000001"/>
              <w:insideH w:val="single" w:sz="4" w:space="0" w:color="000001"/>
              <w:right w:val="single" w:sz="4" w:space="0" w:color="000001"/>
              <w:insideV w:val="single" w:sz="4" w:space="0" w:color="000001"/>
            </w:tcBorders>
            <w:shd w:fill="FFFFFF" w:val="clear"/>
            <w:tcMar>
              <w:left w:w="93" w:type="dxa"/>
            </w:tcMar>
          </w:tcPr>
          <w:p>
            <w:pPr>
              <w:pStyle w:val="Normal"/>
              <w:rPr/>
            </w:pPr>
            <w:r>
              <w:rPr/>
            </w:r>
          </w:p>
        </w:tc>
      </w:tr>
      <w:tr>
        <w:trPr>
          <w:cantSplit w:val="false"/>
        </w:trPr>
        <w:tc>
          <w:tcPr>
            <w:tcW w:w="3967" w:type="dxa"/>
            <w:tcBorders>
              <w:top w:val="single" w:sz="4" w:space="0" w:color="000001"/>
              <w:left w:val="single" w:sz="4" w:space="0" w:color="000001"/>
              <w:bottom w:val="single" w:sz="4" w:space="0" w:color="000001"/>
              <w:insideH w:val="single" w:sz="4" w:space="0" w:color="000001"/>
              <w:right w:val="nil"/>
              <w:insideV w:val="nil"/>
            </w:tcBorders>
            <w:shd w:fill="FFFFFF" w:val="clear"/>
            <w:tcMar>
              <w:left w:w="93" w:type="dxa"/>
            </w:tcMar>
          </w:tcPr>
          <w:p>
            <w:pPr>
              <w:pStyle w:val="Normal"/>
              <w:rPr/>
            </w:pPr>
            <w:r>
              <w:rPr/>
            </w:r>
          </w:p>
        </w:tc>
        <w:tc>
          <w:tcPr>
            <w:tcW w:w="1843" w:type="dxa"/>
            <w:tcBorders>
              <w:top w:val="single" w:sz="4" w:space="0" w:color="000001"/>
              <w:left w:val="single" w:sz="4" w:space="0" w:color="000001"/>
              <w:bottom w:val="single" w:sz="4" w:space="0" w:color="000001"/>
              <w:insideH w:val="single" w:sz="4" w:space="0" w:color="000001"/>
              <w:right w:val="nil"/>
              <w:insideV w:val="nil"/>
            </w:tcBorders>
            <w:shd w:fill="FFFFFF" w:val="clear"/>
            <w:tcMar>
              <w:left w:w="93" w:type="dxa"/>
            </w:tcMar>
          </w:tcPr>
          <w:p>
            <w:pPr>
              <w:pStyle w:val="Normal"/>
              <w:jc w:val="right"/>
              <w:rPr/>
            </w:pPr>
            <w:r>
              <w:rPr/>
            </w:r>
          </w:p>
        </w:tc>
        <w:tc>
          <w:tcPr>
            <w:tcW w:w="3636" w:type="dxa"/>
            <w:tcBorders>
              <w:top w:val="single" w:sz="4" w:space="0" w:color="000001"/>
              <w:left w:val="single" w:sz="4" w:space="0" w:color="000001"/>
              <w:bottom w:val="single" w:sz="4" w:space="0" w:color="000001"/>
              <w:insideH w:val="single" w:sz="4" w:space="0" w:color="000001"/>
              <w:right w:val="single" w:sz="4" w:space="0" w:color="000001"/>
              <w:insideV w:val="single" w:sz="4" w:space="0" w:color="000001"/>
            </w:tcBorders>
            <w:shd w:fill="FFFFFF" w:val="clear"/>
            <w:tcMar>
              <w:left w:w="93" w:type="dxa"/>
            </w:tcMar>
          </w:tcPr>
          <w:p>
            <w:pPr>
              <w:pStyle w:val="Normal"/>
              <w:rPr/>
            </w:pPr>
            <w:r>
              <w:rPr/>
            </w:r>
          </w:p>
        </w:tc>
      </w:tr>
      <w:tr>
        <w:trPr>
          <w:cantSplit w:val="false"/>
        </w:trPr>
        <w:tc>
          <w:tcPr>
            <w:tcW w:w="3967" w:type="dxa"/>
            <w:tcBorders>
              <w:top w:val="single" w:sz="4" w:space="0" w:color="000001"/>
              <w:left w:val="single" w:sz="4" w:space="0" w:color="000001"/>
              <w:bottom w:val="single" w:sz="4" w:space="0" w:color="000001"/>
              <w:insideH w:val="single" w:sz="4" w:space="0" w:color="000001"/>
              <w:right w:val="nil"/>
              <w:insideV w:val="nil"/>
            </w:tcBorders>
            <w:shd w:fill="FFFFFF" w:val="clear"/>
            <w:tcMar>
              <w:left w:w="93" w:type="dxa"/>
            </w:tcMar>
          </w:tcPr>
          <w:p>
            <w:pPr>
              <w:pStyle w:val="Normal"/>
              <w:rPr/>
            </w:pPr>
            <w:r>
              <w:rPr/>
            </w:r>
          </w:p>
        </w:tc>
        <w:tc>
          <w:tcPr>
            <w:tcW w:w="1843" w:type="dxa"/>
            <w:tcBorders>
              <w:top w:val="single" w:sz="4" w:space="0" w:color="000001"/>
              <w:left w:val="single" w:sz="4" w:space="0" w:color="000001"/>
              <w:bottom w:val="single" w:sz="4" w:space="0" w:color="000001"/>
              <w:insideH w:val="single" w:sz="4" w:space="0" w:color="000001"/>
              <w:right w:val="nil"/>
              <w:insideV w:val="nil"/>
            </w:tcBorders>
            <w:shd w:fill="FFFFFF" w:val="clear"/>
            <w:tcMar>
              <w:left w:w="93" w:type="dxa"/>
            </w:tcMar>
          </w:tcPr>
          <w:p>
            <w:pPr>
              <w:pStyle w:val="Normal"/>
              <w:jc w:val="right"/>
              <w:rPr/>
            </w:pPr>
            <w:r>
              <w:rPr/>
            </w:r>
          </w:p>
        </w:tc>
        <w:tc>
          <w:tcPr>
            <w:tcW w:w="3636" w:type="dxa"/>
            <w:tcBorders>
              <w:top w:val="single" w:sz="4" w:space="0" w:color="000001"/>
              <w:left w:val="single" w:sz="4" w:space="0" w:color="000001"/>
              <w:bottom w:val="single" w:sz="4" w:space="0" w:color="000001"/>
              <w:insideH w:val="single" w:sz="4" w:space="0" w:color="000001"/>
              <w:right w:val="single" w:sz="4" w:space="0" w:color="000001"/>
              <w:insideV w:val="single" w:sz="4" w:space="0" w:color="000001"/>
            </w:tcBorders>
            <w:shd w:fill="FFFFFF" w:val="clear"/>
            <w:tcMar>
              <w:left w:w="93" w:type="dxa"/>
            </w:tcMar>
          </w:tcPr>
          <w:p>
            <w:pPr>
              <w:pStyle w:val="Normal"/>
              <w:rPr/>
            </w:pPr>
            <w:r>
              <w:rPr/>
            </w:r>
          </w:p>
        </w:tc>
      </w:tr>
    </w:tbl>
    <w:p>
      <w:pPr>
        <w:pStyle w:val="Normal"/>
        <w:rPr>
          <w:b/>
        </w:rPr>
      </w:pPr>
      <w:r>
        <w:rPr>
          <w:b/>
        </w:rPr>
      </w:r>
    </w:p>
    <w:p>
      <w:pPr>
        <w:pStyle w:val="Normal"/>
        <w:ind w:left="284" w:right="0" w:hanging="284"/>
        <w:rPr/>
      </w:pPr>
      <w:r>
        <w:rPr/>
      </w:r>
    </w:p>
    <w:p>
      <w:pPr>
        <w:pStyle w:val="Normal"/>
        <w:numPr>
          <w:ilvl w:val="0"/>
          <w:numId w:val="8"/>
        </w:numPr>
        <w:ind w:left="284" w:right="0" w:hanging="360"/>
        <w:rPr>
          <w:b/>
          <w:color w:val="FF0000"/>
        </w:rPr>
      </w:pPr>
      <w:r>
        <w:rPr>
          <w:b/>
          <w:color w:val="FF0000"/>
        </w:rPr>
        <w:t>Príjmy rozpočtových organizácií s právnou subjektivitou:</w:t>
      </w:r>
    </w:p>
    <w:p>
      <w:pPr>
        <w:pStyle w:val="Normal"/>
        <w:jc w:val="both"/>
        <w:rPr>
          <w:b/>
          <w:shd w:fill="C0C0C0" w:val="clear"/>
        </w:rPr>
      </w:pPr>
      <w:r>
        <w:rPr>
          <w:b/>
          <w:shd w:fill="C0C0C0" w:val="clear"/>
        </w:rPr>
      </w:r>
    </w:p>
    <w:p>
      <w:pPr>
        <w:pStyle w:val="Normal"/>
        <w:rPr>
          <w:b/>
          <w:color w:val="FF0000"/>
        </w:rPr>
      </w:pPr>
      <w:r>
        <w:rPr>
          <w:b/>
          <w:color w:val="FF0000"/>
        </w:rPr>
        <w:t xml:space="preserve">Bežné príjmy </w:t>
      </w:r>
    </w:p>
    <w:tbl>
      <w:tblPr>
        <w:jc w:val="left"/>
        <w:tblInd w:w="98" w:type="dxa"/>
        <w:tblBorders>
          <w:top w:val="single" w:sz="4" w:space="0" w:color="000001"/>
          <w:left w:val="single" w:sz="4" w:space="0" w:color="000001"/>
          <w:bottom w:val="single" w:sz="4" w:space="0" w:color="000001"/>
          <w:insideH w:val="single" w:sz="4" w:space="0" w:color="000001"/>
          <w:right w:val="nil"/>
          <w:insideV w:val="nil"/>
        </w:tblBorders>
        <w:tblCellMar>
          <w:top w:w="0" w:type="dxa"/>
          <w:left w:w="93" w:type="dxa"/>
          <w:bottom w:w="0" w:type="dxa"/>
          <w:right w:w="108" w:type="dxa"/>
        </w:tblCellMar>
      </w:tblPr>
      <w:tblGrid>
        <w:gridCol w:w="2960"/>
        <w:gridCol w:w="3071"/>
        <w:gridCol w:w="3415"/>
      </w:tblGrid>
      <w:tr>
        <w:trPr>
          <w:cantSplit w:val="false"/>
        </w:trPr>
        <w:tc>
          <w:tcPr>
            <w:tcW w:w="2960" w:type="dxa"/>
            <w:tcBorders>
              <w:top w:val="single" w:sz="4" w:space="0" w:color="000001"/>
              <w:left w:val="single" w:sz="4" w:space="0" w:color="000001"/>
              <w:bottom w:val="single" w:sz="4" w:space="0" w:color="000001"/>
              <w:insideH w:val="single" w:sz="4" w:space="0" w:color="000001"/>
              <w:right w:val="nil"/>
              <w:insideV w:val="nil"/>
            </w:tcBorders>
            <w:shd w:fill="D9D9D9" w:val="clear"/>
            <w:tcMar>
              <w:left w:w="93" w:type="dxa"/>
            </w:tcMar>
          </w:tcPr>
          <w:p>
            <w:pPr>
              <w:pStyle w:val="Normal"/>
              <w:jc w:val="center"/>
              <w:rPr>
                <w:b/>
              </w:rPr>
            </w:pPr>
            <w:r>
              <w:rPr>
                <w:b/>
              </w:rPr>
              <w:t>Rozpočet na rok 2014</w:t>
            </w:r>
          </w:p>
        </w:tc>
        <w:tc>
          <w:tcPr>
            <w:tcW w:w="3071" w:type="dxa"/>
            <w:tcBorders>
              <w:top w:val="single" w:sz="4" w:space="0" w:color="000001"/>
              <w:left w:val="single" w:sz="4" w:space="0" w:color="000001"/>
              <w:bottom w:val="single" w:sz="4" w:space="0" w:color="000001"/>
              <w:insideH w:val="single" w:sz="4" w:space="0" w:color="000001"/>
              <w:right w:val="nil"/>
              <w:insideV w:val="nil"/>
            </w:tcBorders>
            <w:shd w:fill="D9D9D9" w:val="clear"/>
            <w:tcMar>
              <w:left w:w="93" w:type="dxa"/>
            </w:tcMar>
          </w:tcPr>
          <w:p>
            <w:pPr>
              <w:pStyle w:val="Normal"/>
              <w:jc w:val="center"/>
              <w:rPr>
                <w:b/>
              </w:rPr>
            </w:pPr>
            <w:r>
              <w:rPr>
                <w:b/>
              </w:rPr>
              <w:t>Skutočnosť k 31.12.2014</w:t>
            </w:r>
          </w:p>
        </w:tc>
        <w:tc>
          <w:tcPr>
            <w:tcW w:w="3415" w:type="dxa"/>
            <w:tcBorders>
              <w:top w:val="single" w:sz="4" w:space="0" w:color="000001"/>
              <w:left w:val="single" w:sz="4" w:space="0" w:color="000001"/>
              <w:bottom w:val="single" w:sz="4" w:space="0" w:color="000001"/>
              <w:insideH w:val="single" w:sz="4" w:space="0" w:color="000001"/>
              <w:right w:val="single" w:sz="4" w:space="0" w:color="000001"/>
              <w:insideV w:val="single" w:sz="4" w:space="0" w:color="000001"/>
            </w:tcBorders>
            <w:shd w:fill="D9D9D9" w:val="clear"/>
            <w:tcMar>
              <w:left w:w="93" w:type="dxa"/>
            </w:tcMar>
          </w:tcPr>
          <w:p>
            <w:pPr>
              <w:pStyle w:val="Normal"/>
              <w:jc w:val="center"/>
              <w:rPr>
                <w:b/>
              </w:rPr>
            </w:pPr>
            <w:r>
              <w:rPr>
                <w:b/>
              </w:rPr>
              <w:t>% plnenia</w:t>
            </w:r>
          </w:p>
        </w:tc>
      </w:tr>
      <w:tr>
        <w:trPr>
          <w:cantSplit w:val="false"/>
        </w:trPr>
        <w:tc>
          <w:tcPr>
            <w:tcW w:w="2960" w:type="dxa"/>
            <w:tcBorders>
              <w:top w:val="single" w:sz="4" w:space="0" w:color="000001"/>
              <w:left w:val="single" w:sz="4" w:space="0" w:color="000001"/>
              <w:bottom w:val="single" w:sz="4" w:space="0" w:color="000001"/>
              <w:insideH w:val="single" w:sz="4" w:space="0" w:color="000001"/>
              <w:right w:val="nil"/>
              <w:insideV w:val="nil"/>
            </w:tcBorders>
            <w:shd w:fill="FFFFFF" w:val="clear"/>
            <w:tcMar>
              <w:left w:w="93" w:type="dxa"/>
            </w:tcMar>
          </w:tcPr>
          <w:p>
            <w:pPr>
              <w:pStyle w:val="Normal"/>
              <w:jc w:val="center"/>
              <w:rPr>
                <w:b/>
              </w:rPr>
            </w:pPr>
            <w:r>
              <w:rPr>
                <w:b/>
              </w:rPr>
              <w:t>491 560,62</w:t>
            </w:r>
          </w:p>
        </w:tc>
        <w:tc>
          <w:tcPr>
            <w:tcW w:w="3071" w:type="dxa"/>
            <w:tcBorders>
              <w:top w:val="single" w:sz="4" w:space="0" w:color="000001"/>
              <w:left w:val="single" w:sz="4" w:space="0" w:color="000001"/>
              <w:bottom w:val="single" w:sz="4" w:space="0" w:color="000001"/>
              <w:insideH w:val="single" w:sz="4" w:space="0" w:color="000001"/>
              <w:right w:val="nil"/>
              <w:insideV w:val="nil"/>
            </w:tcBorders>
            <w:shd w:fill="FFFFFF" w:val="clear"/>
            <w:tcMar>
              <w:left w:w="93" w:type="dxa"/>
            </w:tcMar>
          </w:tcPr>
          <w:p>
            <w:pPr>
              <w:pStyle w:val="Normal"/>
              <w:rPr>
                <w:b/>
                <w:i/>
              </w:rPr>
            </w:pPr>
            <w:r>
              <w:rPr/>
              <w:t xml:space="preserve">                  </w:t>
            </w:r>
            <w:r>
              <w:rPr>
                <w:b/>
                <w:i/>
              </w:rPr>
              <w:t>491 560,62</w:t>
            </w:r>
          </w:p>
        </w:tc>
        <w:tc>
          <w:tcPr>
            <w:tcW w:w="3415" w:type="dxa"/>
            <w:tcBorders>
              <w:top w:val="single" w:sz="4" w:space="0" w:color="000001"/>
              <w:left w:val="single" w:sz="4" w:space="0" w:color="000001"/>
              <w:bottom w:val="single" w:sz="4" w:space="0" w:color="000001"/>
              <w:insideH w:val="single" w:sz="4" w:space="0" w:color="000001"/>
              <w:right w:val="single" w:sz="4" w:space="0" w:color="000001"/>
              <w:insideV w:val="single" w:sz="4" w:space="0" w:color="000001"/>
            </w:tcBorders>
            <w:shd w:fill="FFFFFF" w:val="clear"/>
            <w:tcMar>
              <w:left w:w="93" w:type="dxa"/>
            </w:tcMar>
          </w:tcPr>
          <w:p>
            <w:pPr>
              <w:pStyle w:val="Normal"/>
              <w:rPr>
                <w:b/>
              </w:rPr>
            </w:pPr>
            <w:r>
              <w:rPr>
                <w:b/>
                <w:i/>
              </w:rPr>
              <w:t xml:space="preserve"> </w:t>
            </w:r>
            <w:r>
              <w:rPr>
                <w:b/>
              </w:rPr>
              <w:t xml:space="preserve">              </w:t>
            </w:r>
            <w:r>
              <w:rPr>
                <w:b/>
              </w:rPr>
              <w:t>100</w:t>
            </w:r>
          </w:p>
        </w:tc>
      </w:tr>
    </w:tbl>
    <w:p>
      <w:pPr>
        <w:pStyle w:val="Normal"/>
        <w:rPr/>
      </w:pPr>
      <w:r>
        <w:rPr/>
      </w:r>
    </w:p>
    <w:p>
      <w:pPr>
        <w:pStyle w:val="Normal"/>
        <w:jc w:val="both"/>
        <w:rPr/>
      </w:pPr>
      <w:r>
        <w:rPr/>
        <w:t xml:space="preserve">Z rozpočtovaných bežných  príjmov 491 560,62 EUR bol skutočný príjem k 31.12.2014 v sume 491 560,62 EUR, čo predstavuje 100 % plnenie. </w:t>
      </w:r>
    </w:p>
    <w:p>
      <w:pPr>
        <w:pStyle w:val="Normal"/>
        <w:rPr/>
      </w:pPr>
      <w:r>
        <w:rPr/>
      </w:r>
    </w:p>
    <w:p>
      <w:pPr>
        <w:pStyle w:val="Normal"/>
        <w:rPr>
          <w:b/>
        </w:rPr>
      </w:pPr>
      <w:r>
        <w:rPr>
          <w:b/>
        </w:rPr>
        <w:t>Bežné príjmy rozpočtových organizácií s právnou subjektivitou  z toho:</w:t>
      </w:r>
    </w:p>
    <w:p>
      <w:pPr>
        <w:pStyle w:val="Normal"/>
        <w:tabs>
          <w:tab w:val="left" w:pos="-3060" w:leader="none"/>
          <w:tab w:val="right" w:pos="5040" w:leader="none"/>
        </w:tabs>
        <w:rPr/>
      </w:pPr>
      <w:r>
        <w:rPr/>
        <w:t xml:space="preserve">Základná škola                                      360 783,35  EUR       </w:t>
        <w:tab/>
        <w:t xml:space="preserve">     </w:t>
      </w:r>
    </w:p>
    <w:p>
      <w:pPr>
        <w:pStyle w:val="Normal"/>
        <w:tabs>
          <w:tab w:val="right" w:pos="5040" w:leader="none"/>
        </w:tabs>
        <w:rPr/>
      </w:pPr>
      <w:r>
        <w:rPr/>
        <w:t>Originálne kompetencie MŠ a ŠKD     128 951,46  EUR</w:t>
      </w:r>
    </w:p>
    <w:p>
      <w:pPr>
        <w:pStyle w:val="Normal"/>
        <w:tabs>
          <w:tab w:val="right" w:pos="5040" w:leader="none"/>
        </w:tabs>
        <w:jc w:val="both"/>
        <w:rPr/>
      </w:pPr>
      <w:r>
        <w:rPr/>
      </w:r>
    </w:p>
    <w:p>
      <w:pPr>
        <w:pStyle w:val="Normal"/>
        <w:rPr>
          <w:b/>
          <w:color w:val="FF0000"/>
        </w:rPr>
      </w:pPr>
      <w:r>
        <w:rPr>
          <w:b/>
          <w:color w:val="FF0000"/>
        </w:rPr>
      </w:r>
    </w:p>
    <w:p>
      <w:pPr>
        <w:pStyle w:val="Normal"/>
        <w:rPr>
          <w:b/>
          <w:color w:val="FF0000"/>
        </w:rPr>
      </w:pPr>
      <w:r>
        <w:rPr>
          <w:b/>
          <w:color w:val="FF0000"/>
        </w:rPr>
      </w:r>
    </w:p>
    <w:p>
      <w:pPr>
        <w:pStyle w:val="Normal"/>
        <w:rPr>
          <w:b/>
          <w:color w:val="FF0000"/>
        </w:rPr>
      </w:pPr>
      <w:r>
        <w:rPr>
          <w:b/>
          <w:color w:val="FF0000"/>
        </w:rPr>
      </w:r>
    </w:p>
    <w:p>
      <w:pPr>
        <w:pStyle w:val="Normal"/>
        <w:rPr>
          <w:b/>
          <w:color w:val="FF0000"/>
        </w:rPr>
      </w:pPr>
      <w:r>
        <w:rPr>
          <w:b/>
          <w:color w:val="FF0000"/>
        </w:rPr>
        <w:t xml:space="preserve">Kapitálové príjmy </w:t>
      </w:r>
    </w:p>
    <w:tbl>
      <w:tblPr>
        <w:jc w:val="left"/>
        <w:tblInd w:w="98" w:type="dxa"/>
        <w:tblBorders>
          <w:top w:val="single" w:sz="4" w:space="0" w:color="000001"/>
          <w:left w:val="single" w:sz="4" w:space="0" w:color="000001"/>
          <w:bottom w:val="single" w:sz="4" w:space="0" w:color="000001"/>
          <w:insideH w:val="single" w:sz="4" w:space="0" w:color="000001"/>
          <w:right w:val="nil"/>
          <w:insideV w:val="nil"/>
        </w:tblBorders>
        <w:tblCellMar>
          <w:top w:w="0" w:type="dxa"/>
          <w:left w:w="93" w:type="dxa"/>
          <w:bottom w:w="0" w:type="dxa"/>
          <w:right w:w="108" w:type="dxa"/>
        </w:tblCellMar>
      </w:tblPr>
      <w:tblGrid>
        <w:gridCol w:w="2960"/>
        <w:gridCol w:w="3071"/>
        <w:gridCol w:w="3415"/>
      </w:tblGrid>
      <w:tr>
        <w:trPr>
          <w:cantSplit w:val="false"/>
        </w:trPr>
        <w:tc>
          <w:tcPr>
            <w:tcW w:w="2960" w:type="dxa"/>
            <w:tcBorders>
              <w:top w:val="single" w:sz="4" w:space="0" w:color="000001"/>
              <w:left w:val="single" w:sz="4" w:space="0" w:color="000001"/>
              <w:bottom w:val="single" w:sz="4" w:space="0" w:color="000001"/>
              <w:insideH w:val="single" w:sz="4" w:space="0" w:color="000001"/>
              <w:right w:val="nil"/>
              <w:insideV w:val="nil"/>
            </w:tcBorders>
            <w:shd w:fill="D9D9D9" w:val="clear"/>
            <w:tcMar>
              <w:left w:w="93" w:type="dxa"/>
            </w:tcMar>
          </w:tcPr>
          <w:p>
            <w:pPr>
              <w:pStyle w:val="Normal"/>
              <w:jc w:val="center"/>
              <w:rPr>
                <w:b/>
              </w:rPr>
            </w:pPr>
            <w:r>
              <w:rPr>
                <w:b/>
              </w:rPr>
              <w:t>Rozpočet na rok 2014</w:t>
            </w:r>
          </w:p>
        </w:tc>
        <w:tc>
          <w:tcPr>
            <w:tcW w:w="3071" w:type="dxa"/>
            <w:tcBorders>
              <w:top w:val="single" w:sz="4" w:space="0" w:color="000001"/>
              <w:left w:val="single" w:sz="4" w:space="0" w:color="000001"/>
              <w:bottom w:val="single" w:sz="4" w:space="0" w:color="000001"/>
              <w:insideH w:val="single" w:sz="4" w:space="0" w:color="000001"/>
              <w:right w:val="nil"/>
              <w:insideV w:val="nil"/>
            </w:tcBorders>
            <w:shd w:fill="D9D9D9" w:val="clear"/>
            <w:tcMar>
              <w:left w:w="93" w:type="dxa"/>
            </w:tcMar>
          </w:tcPr>
          <w:p>
            <w:pPr>
              <w:pStyle w:val="Normal"/>
              <w:jc w:val="center"/>
              <w:rPr>
                <w:b/>
              </w:rPr>
            </w:pPr>
            <w:r>
              <w:rPr>
                <w:b/>
              </w:rPr>
              <w:t>Skutočnosť k 31.12.2014</w:t>
            </w:r>
          </w:p>
        </w:tc>
        <w:tc>
          <w:tcPr>
            <w:tcW w:w="3415" w:type="dxa"/>
            <w:tcBorders>
              <w:top w:val="single" w:sz="4" w:space="0" w:color="000001"/>
              <w:left w:val="single" w:sz="4" w:space="0" w:color="000001"/>
              <w:bottom w:val="single" w:sz="4" w:space="0" w:color="000001"/>
              <w:insideH w:val="single" w:sz="4" w:space="0" w:color="000001"/>
              <w:right w:val="single" w:sz="4" w:space="0" w:color="000001"/>
              <w:insideV w:val="single" w:sz="4" w:space="0" w:color="000001"/>
            </w:tcBorders>
            <w:shd w:fill="D9D9D9" w:val="clear"/>
            <w:tcMar>
              <w:left w:w="93" w:type="dxa"/>
            </w:tcMar>
          </w:tcPr>
          <w:p>
            <w:pPr>
              <w:pStyle w:val="Normal"/>
              <w:jc w:val="center"/>
              <w:rPr>
                <w:b/>
              </w:rPr>
            </w:pPr>
            <w:r>
              <w:rPr>
                <w:b/>
              </w:rPr>
              <w:t>% plnenia</w:t>
            </w:r>
          </w:p>
        </w:tc>
      </w:tr>
      <w:tr>
        <w:trPr>
          <w:cantSplit w:val="false"/>
        </w:trPr>
        <w:tc>
          <w:tcPr>
            <w:tcW w:w="2960" w:type="dxa"/>
            <w:tcBorders>
              <w:top w:val="single" w:sz="4" w:space="0" w:color="000001"/>
              <w:left w:val="single" w:sz="4" w:space="0" w:color="000001"/>
              <w:bottom w:val="single" w:sz="4" w:space="0" w:color="000001"/>
              <w:insideH w:val="single" w:sz="4" w:space="0" w:color="000001"/>
              <w:right w:val="nil"/>
              <w:insideV w:val="nil"/>
            </w:tcBorders>
            <w:shd w:fill="FFFFFF" w:val="clear"/>
            <w:tcMar>
              <w:left w:w="93" w:type="dxa"/>
            </w:tcMar>
          </w:tcPr>
          <w:p>
            <w:pPr>
              <w:pStyle w:val="Normal"/>
              <w:jc w:val="center"/>
              <w:rPr>
                <w:b/>
              </w:rPr>
            </w:pPr>
            <w:r>
              <w:rPr>
                <w:b/>
              </w:rPr>
              <w:t>0</w:t>
            </w:r>
          </w:p>
        </w:tc>
        <w:tc>
          <w:tcPr>
            <w:tcW w:w="3071" w:type="dxa"/>
            <w:tcBorders>
              <w:top w:val="single" w:sz="4" w:space="0" w:color="000001"/>
              <w:left w:val="single" w:sz="4" w:space="0" w:color="000001"/>
              <w:bottom w:val="single" w:sz="4" w:space="0" w:color="000001"/>
              <w:insideH w:val="single" w:sz="4" w:space="0" w:color="000001"/>
              <w:right w:val="nil"/>
              <w:insideV w:val="nil"/>
            </w:tcBorders>
            <w:shd w:fill="FFFFFF" w:val="clear"/>
            <w:tcMar>
              <w:left w:w="93" w:type="dxa"/>
            </w:tcMar>
          </w:tcPr>
          <w:p>
            <w:pPr>
              <w:pStyle w:val="Normal"/>
              <w:rPr/>
            </w:pPr>
            <w:r>
              <w:rPr/>
              <w:t xml:space="preserve">                 </w:t>
            </w:r>
            <w:r>
              <w:rPr/>
              <w:t xml:space="preserve">0 </w:t>
            </w:r>
          </w:p>
        </w:tc>
        <w:tc>
          <w:tcPr>
            <w:tcW w:w="3415" w:type="dxa"/>
            <w:tcBorders>
              <w:top w:val="single" w:sz="4" w:space="0" w:color="000001"/>
              <w:left w:val="single" w:sz="4" w:space="0" w:color="000001"/>
              <w:bottom w:val="single" w:sz="4" w:space="0" w:color="000001"/>
              <w:insideH w:val="single" w:sz="4" w:space="0" w:color="000001"/>
              <w:right w:val="single" w:sz="4" w:space="0" w:color="000001"/>
              <w:insideV w:val="single" w:sz="4" w:space="0" w:color="000001"/>
            </w:tcBorders>
            <w:shd w:fill="FFFFFF" w:val="clear"/>
            <w:tcMar>
              <w:left w:w="93" w:type="dxa"/>
            </w:tcMar>
          </w:tcPr>
          <w:p>
            <w:pPr>
              <w:pStyle w:val="Normal"/>
              <w:rPr>
                <w:b/>
              </w:rPr>
            </w:pPr>
            <w:r>
              <w:rPr>
                <w:b/>
                <w:i/>
              </w:rPr>
              <w:t xml:space="preserve"> </w:t>
            </w:r>
            <w:r>
              <w:rPr>
                <w:b/>
              </w:rPr>
              <w:t xml:space="preserve">              </w:t>
            </w:r>
          </w:p>
        </w:tc>
      </w:tr>
    </w:tbl>
    <w:p>
      <w:pPr>
        <w:pStyle w:val="Normal"/>
        <w:jc w:val="both"/>
        <w:rPr>
          <w:b/>
          <w:shd w:fill="C0C0C0" w:val="clear"/>
        </w:rPr>
      </w:pPr>
      <w:r>
        <w:rPr>
          <w:b/>
          <w:shd w:fill="C0C0C0" w:val="clear"/>
        </w:rPr>
      </w:r>
    </w:p>
    <w:p>
      <w:pPr>
        <w:pStyle w:val="Normal"/>
        <w:jc w:val="both"/>
        <w:rPr/>
      </w:pPr>
      <w:r>
        <w:rPr/>
        <w:t>Z rozpočtovaných kapitálových príjmov 0 EUR bol skutočný príjem k 31.12.2014 v sume 0 EUR.</w:t>
      </w:r>
    </w:p>
    <w:p>
      <w:pPr>
        <w:pStyle w:val="Normal"/>
        <w:rPr/>
      </w:pPr>
      <w:r>
        <w:rPr/>
      </w:r>
    </w:p>
    <w:p>
      <w:pPr>
        <w:pStyle w:val="Normal"/>
        <w:rPr>
          <w:b/>
          <w:color w:val="6600FF"/>
          <w:sz w:val="28"/>
          <w:szCs w:val="28"/>
        </w:rPr>
      </w:pPr>
      <w:r>
        <w:rPr>
          <w:b/>
          <w:color w:val="6600FF"/>
          <w:sz w:val="28"/>
          <w:szCs w:val="28"/>
        </w:rPr>
      </w:r>
    </w:p>
    <w:p>
      <w:pPr>
        <w:pStyle w:val="Normal"/>
        <w:rPr>
          <w:b/>
          <w:color w:val="0000FF"/>
          <w:sz w:val="28"/>
          <w:szCs w:val="28"/>
        </w:rPr>
      </w:pPr>
      <w:r>
        <w:rPr>
          <w:b/>
          <w:color w:val="0000FF"/>
          <w:sz w:val="28"/>
          <w:szCs w:val="28"/>
        </w:rPr>
        <w:t xml:space="preserve">3. Rozbor čerpania výdavkov za rok 2014 </w:t>
      </w:r>
    </w:p>
    <w:p>
      <w:pPr>
        <w:pStyle w:val="Normal"/>
        <w:rPr/>
      </w:pPr>
      <w:r>
        <w:rPr/>
      </w:r>
    </w:p>
    <w:tbl>
      <w:tblPr>
        <w:jc w:val="left"/>
        <w:tblInd w:w="98" w:type="dxa"/>
        <w:tblBorders>
          <w:top w:val="single" w:sz="4" w:space="0" w:color="000001"/>
          <w:left w:val="single" w:sz="4" w:space="0" w:color="000001"/>
          <w:bottom w:val="single" w:sz="4" w:space="0" w:color="000001"/>
          <w:insideH w:val="single" w:sz="4" w:space="0" w:color="000001"/>
          <w:right w:val="nil"/>
          <w:insideV w:val="nil"/>
        </w:tblBorders>
        <w:tblCellMar>
          <w:top w:w="0" w:type="dxa"/>
          <w:left w:w="93" w:type="dxa"/>
          <w:bottom w:w="0" w:type="dxa"/>
          <w:right w:w="108" w:type="dxa"/>
        </w:tblCellMar>
      </w:tblPr>
      <w:tblGrid>
        <w:gridCol w:w="2960"/>
        <w:gridCol w:w="3071"/>
        <w:gridCol w:w="3415"/>
      </w:tblGrid>
      <w:tr>
        <w:trPr>
          <w:cantSplit w:val="false"/>
        </w:trPr>
        <w:tc>
          <w:tcPr>
            <w:tcW w:w="2960" w:type="dxa"/>
            <w:tcBorders>
              <w:top w:val="single" w:sz="4" w:space="0" w:color="000001"/>
              <w:left w:val="single" w:sz="4" w:space="0" w:color="000001"/>
              <w:bottom w:val="single" w:sz="4" w:space="0" w:color="000001"/>
              <w:insideH w:val="single" w:sz="4" w:space="0" w:color="000001"/>
              <w:right w:val="nil"/>
              <w:insideV w:val="nil"/>
            </w:tcBorders>
            <w:shd w:fill="D9D9D9" w:val="clear"/>
            <w:tcMar>
              <w:left w:w="93" w:type="dxa"/>
            </w:tcMar>
          </w:tcPr>
          <w:p>
            <w:pPr>
              <w:pStyle w:val="Normal"/>
              <w:jc w:val="center"/>
              <w:rPr>
                <w:b/>
              </w:rPr>
            </w:pPr>
            <w:r>
              <w:rPr>
                <w:b/>
              </w:rPr>
              <w:t>Rozpočet na rok 2014</w:t>
            </w:r>
          </w:p>
        </w:tc>
        <w:tc>
          <w:tcPr>
            <w:tcW w:w="3071" w:type="dxa"/>
            <w:tcBorders>
              <w:top w:val="single" w:sz="4" w:space="0" w:color="000001"/>
              <w:left w:val="single" w:sz="4" w:space="0" w:color="000001"/>
              <w:bottom w:val="single" w:sz="4" w:space="0" w:color="000001"/>
              <w:insideH w:val="single" w:sz="4" w:space="0" w:color="000001"/>
              <w:right w:val="nil"/>
              <w:insideV w:val="nil"/>
            </w:tcBorders>
            <w:shd w:fill="D9D9D9" w:val="clear"/>
            <w:tcMar>
              <w:left w:w="93" w:type="dxa"/>
            </w:tcMar>
          </w:tcPr>
          <w:p>
            <w:pPr>
              <w:pStyle w:val="Normal"/>
              <w:jc w:val="center"/>
              <w:rPr>
                <w:b/>
              </w:rPr>
            </w:pPr>
            <w:r>
              <w:rPr>
                <w:b/>
              </w:rPr>
              <w:t>Skutočnosť k 31.12.2014</w:t>
            </w:r>
          </w:p>
        </w:tc>
        <w:tc>
          <w:tcPr>
            <w:tcW w:w="3415" w:type="dxa"/>
            <w:tcBorders>
              <w:top w:val="single" w:sz="4" w:space="0" w:color="000001"/>
              <w:left w:val="single" w:sz="4" w:space="0" w:color="000001"/>
              <w:bottom w:val="single" w:sz="4" w:space="0" w:color="000001"/>
              <w:insideH w:val="single" w:sz="4" w:space="0" w:color="000001"/>
              <w:right w:val="single" w:sz="4" w:space="0" w:color="000001"/>
              <w:insideV w:val="single" w:sz="4" w:space="0" w:color="000001"/>
            </w:tcBorders>
            <w:shd w:fill="D9D9D9" w:val="clear"/>
            <w:tcMar>
              <w:left w:w="93" w:type="dxa"/>
            </w:tcMar>
          </w:tcPr>
          <w:p>
            <w:pPr>
              <w:pStyle w:val="Normal"/>
              <w:jc w:val="center"/>
              <w:rPr>
                <w:b/>
              </w:rPr>
            </w:pPr>
            <w:r>
              <w:rPr>
                <w:b/>
              </w:rPr>
              <w:t>% čerpania</w:t>
            </w:r>
          </w:p>
        </w:tc>
      </w:tr>
      <w:tr>
        <w:trPr>
          <w:cantSplit w:val="false"/>
        </w:trPr>
        <w:tc>
          <w:tcPr>
            <w:tcW w:w="2960" w:type="dxa"/>
            <w:tcBorders>
              <w:top w:val="single" w:sz="4" w:space="0" w:color="000001"/>
              <w:left w:val="single" w:sz="4" w:space="0" w:color="000001"/>
              <w:bottom w:val="single" w:sz="4" w:space="0" w:color="000001"/>
              <w:insideH w:val="single" w:sz="4" w:space="0" w:color="000001"/>
              <w:right w:val="nil"/>
              <w:insideV w:val="nil"/>
            </w:tcBorders>
            <w:shd w:fill="FFFFFF" w:val="clear"/>
            <w:tcMar>
              <w:left w:w="93" w:type="dxa"/>
            </w:tcMar>
          </w:tcPr>
          <w:p>
            <w:pPr>
              <w:pStyle w:val="Normal"/>
              <w:jc w:val="center"/>
              <w:rPr>
                <w:b/>
                <w:i/>
              </w:rPr>
            </w:pPr>
            <w:r>
              <w:rPr>
                <w:b/>
                <w:i/>
              </w:rPr>
              <w:t>438 943</w:t>
            </w:r>
          </w:p>
        </w:tc>
        <w:tc>
          <w:tcPr>
            <w:tcW w:w="3071" w:type="dxa"/>
            <w:tcBorders>
              <w:top w:val="single" w:sz="4" w:space="0" w:color="000001"/>
              <w:left w:val="single" w:sz="4" w:space="0" w:color="000001"/>
              <w:bottom w:val="single" w:sz="4" w:space="0" w:color="000001"/>
              <w:insideH w:val="single" w:sz="4" w:space="0" w:color="000001"/>
              <w:right w:val="nil"/>
              <w:insideV w:val="nil"/>
            </w:tcBorders>
            <w:shd w:fill="FFFFFF" w:val="clear"/>
            <w:tcMar>
              <w:left w:w="93" w:type="dxa"/>
            </w:tcMar>
          </w:tcPr>
          <w:p>
            <w:pPr>
              <w:pStyle w:val="Normal"/>
              <w:rPr/>
            </w:pPr>
            <w:r>
              <w:rPr/>
              <w:t xml:space="preserve">                </w:t>
            </w:r>
            <w:r>
              <w:rPr/>
              <w:t>431 293,20</w:t>
            </w:r>
          </w:p>
        </w:tc>
        <w:tc>
          <w:tcPr>
            <w:tcW w:w="3415" w:type="dxa"/>
            <w:tcBorders>
              <w:top w:val="single" w:sz="4" w:space="0" w:color="000001"/>
              <w:left w:val="single" w:sz="4" w:space="0" w:color="000001"/>
              <w:bottom w:val="single" w:sz="4" w:space="0" w:color="000001"/>
              <w:insideH w:val="single" w:sz="4" w:space="0" w:color="000001"/>
              <w:right w:val="single" w:sz="4" w:space="0" w:color="000001"/>
              <w:insideV w:val="single" w:sz="4" w:space="0" w:color="000001"/>
            </w:tcBorders>
            <w:shd w:fill="FFFFFF" w:val="clear"/>
            <w:tcMar>
              <w:left w:w="93" w:type="dxa"/>
            </w:tcMar>
          </w:tcPr>
          <w:p>
            <w:pPr>
              <w:pStyle w:val="Normal"/>
              <w:rPr/>
            </w:pPr>
            <w:r>
              <w:rPr/>
              <w:t xml:space="preserve">                    </w:t>
            </w:r>
            <w:r>
              <w:rPr/>
              <w:t>98</w:t>
            </w:r>
          </w:p>
        </w:tc>
      </w:tr>
    </w:tbl>
    <w:p>
      <w:pPr>
        <w:pStyle w:val="Normal"/>
        <w:ind w:left="360" w:right="0" w:hanging="0"/>
        <w:jc w:val="both"/>
        <w:rPr/>
      </w:pPr>
      <w:r>
        <w:rPr/>
      </w:r>
    </w:p>
    <w:p>
      <w:pPr>
        <w:pStyle w:val="Normal"/>
        <w:jc w:val="both"/>
        <w:rPr/>
      </w:pPr>
      <w:r>
        <w:rPr/>
        <w:t xml:space="preserve">Z rozpočtovaných celkových výdavkov 438 943 EUR bolo skutočne čerpané  k 31.12.2014 v sume 431 293,20 EUR, čo predstavuje  98 % čerpanie. </w:t>
      </w:r>
    </w:p>
    <w:p>
      <w:pPr>
        <w:pStyle w:val="Normal"/>
        <w:rPr/>
      </w:pPr>
      <w:r>
        <w:rPr/>
      </w:r>
    </w:p>
    <w:p>
      <w:pPr>
        <w:pStyle w:val="Normal"/>
        <w:rPr/>
      </w:pPr>
      <w:r>
        <w:rPr/>
      </w:r>
    </w:p>
    <w:p>
      <w:pPr>
        <w:pStyle w:val="Normal"/>
        <w:rPr/>
      </w:pPr>
      <w:r>
        <w:rPr/>
      </w:r>
    </w:p>
    <w:p>
      <w:pPr>
        <w:pStyle w:val="Normal"/>
        <w:rPr/>
      </w:pPr>
      <w:r>
        <w:rPr/>
      </w:r>
    </w:p>
    <w:p>
      <w:pPr>
        <w:pStyle w:val="Normal"/>
        <w:numPr>
          <w:ilvl w:val="0"/>
          <w:numId w:val="10"/>
        </w:numPr>
        <w:ind w:left="284" w:right="0" w:hanging="360"/>
        <w:rPr>
          <w:b/>
          <w:color w:val="FF0000"/>
        </w:rPr>
      </w:pPr>
      <w:r>
        <w:rPr>
          <w:b/>
          <w:color w:val="FF0000"/>
        </w:rPr>
        <w:t xml:space="preserve">Bežné výdavky </w:t>
      </w:r>
    </w:p>
    <w:p>
      <w:pPr>
        <w:pStyle w:val="Normal"/>
        <w:rPr>
          <w:b/>
        </w:rPr>
      </w:pPr>
      <w:r>
        <w:rPr>
          <w:b/>
        </w:rPr>
        <w:t xml:space="preserve"> </w:t>
      </w:r>
    </w:p>
    <w:tbl>
      <w:tblPr>
        <w:jc w:val="left"/>
        <w:tblInd w:w="98" w:type="dxa"/>
        <w:tblBorders>
          <w:top w:val="single" w:sz="4" w:space="0" w:color="000001"/>
          <w:left w:val="single" w:sz="4" w:space="0" w:color="000001"/>
          <w:bottom w:val="single" w:sz="4" w:space="0" w:color="000001"/>
          <w:insideH w:val="single" w:sz="4" w:space="0" w:color="000001"/>
          <w:right w:val="nil"/>
          <w:insideV w:val="nil"/>
        </w:tblBorders>
        <w:tblCellMar>
          <w:top w:w="0" w:type="dxa"/>
          <w:left w:w="93" w:type="dxa"/>
          <w:bottom w:w="0" w:type="dxa"/>
          <w:right w:w="108" w:type="dxa"/>
        </w:tblCellMar>
      </w:tblPr>
      <w:tblGrid>
        <w:gridCol w:w="2960"/>
        <w:gridCol w:w="3071"/>
        <w:gridCol w:w="3415"/>
      </w:tblGrid>
      <w:tr>
        <w:trPr>
          <w:cantSplit w:val="false"/>
        </w:trPr>
        <w:tc>
          <w:tcPr>
            <w:tcW w:w="2960" w:type="dxa"/>
            <w:tcBorders>
              <w:top w:val="single" w:sz="4" w:space="0" w:color="000001"/>
              <w:left w:val="single" w:sz="4" w:space="0" w:color="000001"/>
              <w:bottom w:val="single" w:sz="4" w:space="0" w:color="000001"/>
              <w:insideH w:val="single" w:sz="4" w:space="0" w:color="000001"/>
              <w:right w:val="nil"/>
              <w:insideV w:val="nil"/>
            </w:tcBorders>
            <w:shd w:fill="D9D9D9" w:val="clear"/>
            <w:tcMar>
              <w:left w:w="93" w:type="dxa"/>
            </w:tcMar>
          </w:tcPr>
          <w:p>
            <w:pPr>
              <w:pStyle w:val="Normal"/>
              <w:jc w:val="center"/>
              <w:rPr>
                <w:b/>
              </w:rPr>
            </w:pPr>
            <w:r>
              <w:rPr>
                <w:b/>
              </w:rPr>
              <w:t>Rozpočet na rok 2014</w:t>
            </w:r>
          </w:p>
        </w:tc>
        <w:tc>
          <w:tcPr>
            <w:tcW w:w="3071" w:type="dxa"/>
            <w:tcBorders>
              <w:top w:val="single" w:sz="4" w:space="0" w:color="000001"/>
              <w:left w:val="single" w:sz="4" w:space="0" w:color="000001"/>
              <w:bottom w:val="single" w:sz="4" w:space="0" w:color="000001"/>
              <w:insideH w:val="single" w:sz="4" w:space="0" w:color="000001"/>
              <w:right w:val="nil"/>
              <w:insideV w:val="nil"/>
            </w:tcBorders>
            <w:shd w:fill="D9D9D9" w:val="clear"/>
            <w:tcMar>
              <w:left w:w="93" w:type="dxa"/>
            </w:tcMar>
          </w:tcPr>
          <w:p>
            <w:pPr>
              <w:pStyle w:val="Normal"/>
              <w:jc w:val="center"/>
              <w:rPr>
                <w:b/>
              </w:rPr>
            </w:pPr>
            <w:r>
              <w:rPr>
                <w:b/>
              </w:rPr>
              <w:t>Skutočnosť k 31.12.2014</w:t>
            </w:r>
          </w:p>
        </w:tc>
        <w:tc>
          <w:tcPr>
            <w:tcW w:w="3415" w:type="dxa"/>
            <w:tcBorders>
              <w:top w:val="single" w:sz="4" w:space="0" w:color="000001"/>
              <w:left w:val="single" w:sz="4" w:space="0" w:color="000001"/>
              <w:bottom w:val="single" w:sz="4" w:space="0" w:color="000001"/>
              <w:insideH w:val="single" w:sz="4" w:space="0" w:color="000001"/>
              <w:right w:val="single" w:sz="4" w:space="0" w:color="000001"/>
              <w:insideV w:val="single" w:sz="4" w:space="0" w:color="000001"/>
            </w:tcBorders>
            <w:shd w:fill="D9D9D9" w:val="clear"/>
            <w:tcMar>
              <w:left w:w="93" w:type="dxa"/>
            </w:tcMar>
          </w:tcPr>
          <w:p>
            <w:pPr>
              <w:pStyle w:val="Normal"/>
              <w:jc w:val="center"/>
              <w:rPr>
                <w:b/>
              </w:rPr>
            </w:pPr>
            <w:r>
              <w:rPr>
                <w:b/>
              </w:rPr>
              <w:t>% čerpania</w:t>
            </w:r>
          </w:p>
        </w:tc>
      </w:tr>
      <w:tr>
        <w:trPr>
          <w:cantSplit w:val="false"/>
        </w:trPr>
        <w:tc>
          <w:tcPr>
            <w:tcW w:w="2960" w:type="dxa"/>
            <w:tcBorders>
              <w:top w:val="single" w:sz="4" w:space="0" w:color="000001"/>
              <w:left w:val="single" w:sz="4" w:space="0" w:color="000001"/>
              <w:bottom w:val="single" w:sz="4" w:space="0" w:color="000001"/>
              <w:insideH w:val="single" w:sz="4" w:space="0" w:color="000001"/>
              <w:right w:val="nil"/>
              <w:insideV w:val="nil"/>
            </w:tcBorders>
            <w:shd w:fill="FFFFFF" w:val="clear"/>
            <w:tcMar>
              <w:left w:w="93" w:type="dxa"/>
            </w:tcMar>
          </w:tcPr>
          <w:p>
            <w:pPr>
              <w:pStyle w:val="Normal"/>
              <w:jc w:val="center"/>
              <w:rPr>
                <w:b/>
              </w:rPr>
            </w:pPr>
            <w:r>
              <w:rPr>
                <w:b/>
              </w:rPr>
              <w:t>337 401</w:t>
            </w:r>
          </w:p>
        </w:tc>
        <w:tc>
          <w:tcPr>
            <w:tcW w:w="3071" w:type="dxa"/>
            <w:tcBorders>
              <w:top w:val="single" w:sz="4" w:space="0" w:color="000001"/>
              <w:left w:val="single" w:sz="4" w:space="0" w:color="000001"/>
              <w:bottom w:val="single" w:sz="4" w:space="0" w:color="000001"/>
              <w:insideH w:val="single" w:sz="4" w:space="0" w:color="000001"/>
              <w:right w:val="nil"/>
              <w:insideV w:val="nil"/>
            </w:tcBorders>
            <w:shd w:fill="FFFFFF" w:val="clear"/>
            <w:tcMar>
              <w:left w:w="93" w:type="dxa"/>
            </w:tcMar>
          </w:tcPr>
          <w:p>
            <w:pPr>
              <w:pStyle w:val="Normal"/>
              <w:rPr>
                <w:b/>
                <w:i/>
              </w:rPr>
            </w:pPr>
            <w:r>
              <w:rPr/>
              <w:t xml:space="preserve">                  </w:t>
            </w:r>
            <w:r>
              <w:rPr>
                <w:b/>
                <w:i/>
              </w:rPr>
              <w:t>338 060,70</w:t>
            </w:r>
          </w:p>
        </w:tc>
        <w:tc>
          <w:tcPr>
            <w:tcW w:w="3415" w:type="dxa"/>
            <w:tcBorders>
              <w:top w:val="single" w:sz="4" w:space="0" w:color="000001"/>
              <w:left w:val="single" w:sz="4" w:space="0" w:color="000001"/>
              <w:bottom w:val="single" w:sz="4" w:space="0" w:color="000001"/>
              <w:insideH w:val="single" w:sz="4" w:space="0" w:color="000001"/>
              <w:right w:val="single" w:sz="4" w:space="0" w:color="000001"/>
              <w:insideV w:val="single" w:sz="4" w:space="0" w:color="000001"/>
            </w:tcBorders>
            <w:shd w:fill="FFFFFF" w:val="clear"/>
            <w:tcMar>
              <w:left w:w="93" w:type="dxa"/>
            </w:tcMar>
          </w:tcPr>
          <w:p>
            <w:pPr>
              <w:pStyle w:val="Normal"/>
              <w:rPr>
                <w:b/>
              </w:rPr>
            </w:pPr>
            <w:r>
              <w:rPr>
                <w:b/>
                <w:i/>
              </w:rPr>
              <w:t xml:space="preserve"> </w:t>
            </w:r>
            <w:r>
              <w:rPr>
                <w:b/>
              </w:rPr>
              <w:t xml:space="preserve">              </w:t>
            </w:r>
            <w:r>
              <w:rPr>
                <w:b/>
              </w:rPr>
              <w:t>100</w:t>
            </w:r>
          </w:p>
        </w:tc>
      </w:tr>
    </w:tbl>
    <w:p>
      <w:pPr>
        <w:pStyle w:val="Normal"/>
        <w:jc w:val="both"/>
        <w:rPr/>
      </w:pPr>
      <w:r>
        <w:rPr/>
      </w:r>
    </w:p>
    <w:p>
      <w:pPr>
        <w:pStyle w:val="Normal"/>
        <w:jc w:val="both"/>
        <w:rPr/>
      </w:pPr>
      <w:r>
        <w:rPr/>
        <w:t xml:space="preserve">Z rozpočtovaných bežných výdavkov 337 401 EUR bolo skutočne čerpané  k 31.12.2014 v sume 338 060,70 EUR, čo predstavuje  100 % čerpanie. </w:t>
      </w:r>
    </w:p>
    <w:p>
      <w:pPr>
        <w:pStyle w:val="Normal"/>
        <w:jc w:val="both"/>
        <w:rPr/>
      </w:pPr>
      <w:r>
        <w:rPr/>
      </w:r>
    </w:p>
    <w:p>
      <w:pPr>
        <w:pStyle w:val="Normal"/>
        <w:jc w:val="both"/>
        <w:rPr>
          <w:color w:val="FF0000"/>
        </w:rPr>
      </w:pPr>
      <w:r>
        <w:rPr>
          <w:color w:val="FF0000"/>
        </w:rPr>
        <w:t xml:space="preserve">Čerpanie jednotlivých rozpočtových položiek bežného rozpočtu je prílohou Záverečného účtu. </w:t>
      </w:r>
    </w:p>
    <w:p>
      <w:pPr>
        <w:pStyle w:val="Normal"/>
        <w:jc w:val="both"/>
        <w:rPr/>
      </w:pPr>
      <w:r>
        <w:rPr/>
      </w:r>
    </w:p>
    <w:p>
      <w:pPr>
        <w:pStyle w:val="Normal"/>
        <w:jc w:val="both"/>
        <w:rPr>
          <w:b/>
        </w:rPr>
      </w:pPr>
      <w:r>
        <w:rPr>
          <w:b/>
        </w:rPr>
        <w:t xml:space="preserve">Medzi významné položky bežného rozpočtu patrí: </w:t>
      </w:r>
    </w:p>
    <w:p>
      <w:pPr>
        <w:pStyle w:val="Normal"/>
        <w:tabs>
          <w:tab w:val="right" w:pos="284" w:leader="none"/>
        </w:tabs>
        <w:jc w:val="both"/>
        <w:rPr>
          <w:b/>
        </w:rPr>
      </w:pPr>
      <w:r>
        <w:rPr>
          <w:b/>
        </w:rPr>
        <w:t>Mzdy, platy, služobné príjmy a ostatné osobné vyrovnania</w:t>
      </w:r>
    </w:p>
    <w:p>
      <w:pPr>
        <w:pStyle w:val="Normal"/>
        <w:jc w:val="both"/>
        <w:rPr/>
      </w:pPr>
      <w:r>
        <w:rPr/>
        <w:t>Z rozpočtovaných 112 950 EUR bolo skutočné čerpanie k 31.12.2014 v sume 118 375,36 EUR, čo je 105 % čerpanie. Patria sem mzdové prostriedky pracovníkov OcÚ, pracovníkov miestneho hosporástva a pracovníka verejnej zelene.</w:t>
      </w:r>
    </w:p>
    <w:p>
      <w:pPr>
        <w:pStyle w:val="Normal"/>
        <w:tabs>
          <w:tab w:val="right" w:pos="284" w:leader="none"/>
        </w:tabs>
        <w:jc w:val="both"/>
        <w:rPr>
          <w:b/>
        </w:rPr>
      </w:pPr>
      <w:r>
        <w:rPr>
          <w:b/>
        </w:rPr>
        <w:t>Poistné a príspevok do poisťovní</w:t>
      </w:r>
    </w:p>
    <w:p>
      <w:pPr>
        <w:pStyle w:val="Normal"/>
        <w:jc w:val="both"/>
        <w:rPr/>
      </w:pPr>
      <w:r>
        <w:rPr/>
        <w:t xml:space="preserve">Z rozpočtovaných 40 214 EUR bolo skutočne čerpané k 31.12.2014 v sume 30 906,81 EUR, čo je 76 % čerpanie. </w:t>
      </w:r>
    </w:p>
    <w:p>
      <w:pPr>
        <w:pStyle w:val="Normal"/>
        <w:tabs>
          <w:tab w:val="right" w:pos="284" w:leader="none"/>
        </w:tabs>
        <w:jc w:val="both"/>
        <w:rPr>
          <w:b/>
        </w:rPr>
      </w:pPr>
      <w:r>
        <w:rPr>
          <w:b/>
        </w:rPr>
        <w:t>Tovary a služby</w:t>
      </w:r>
    </w:p>
    <w:p>
      <w:pPr>
        <w:pStyle w:val="Normal"/>
        <w:jc w:val="both"/>
        <w:rPr/>
      </w:pPr>
      <w:r>
        <w:rPr/>
        <w:t>Z rozpočtovaných 164 297 EUR bolo skutočne čerpané k 31.12.2014 v sume 164 499,25  EUR, čo je 100 % čerpanie. Ide o prevádzkové výdavky všetkých stredísk OcÚ, ako sú cestovné náhrady, energie, materiál, dopravné, rutinná a štandardná údržba, nájomné za nájom a ostatné tovary a služby.</w:t>
      </w:r>
    </w:p>
    <w:p>
      <w:pPr>
        <w:pStyle w:val="Normal"/>
        <w:tabs>
          <w:tab w:val="right" w:pos="284" w:leader="none"/>
        </w:tabs>
        <w:jc w:val="both"/>
        <w:rPr>
          <w:b/>
        </w:rPr>
      </w:pPr>
      <w:r>
        <w:rPr>
          <w:b/>
        </w:rPr>
        <w:t>Bežné transfery</w:t>
      </w:r>
    </w:p>
    <w:p>
      <w:pPr>
        <w:pStyle w:val="Normal"/>
        <w:jc w:val="both"/>
        <w:rPr/>
      </w:pPr>
      <w:r>
        <w:rPr/>
        <w:t>Z rozpočtovaných 19 940 EUR bolo skutočne čerpané k 31.12.2014 v sume 24 279,28 EUR, čo predstavuje 121,7 % čerpanie.</w:t>
      </w:r>
    </w:p>
    <w:p>
      <w:pPr>
        <w:pStyle w:val="Normal"/>
        <w:tabs>
          <w:tab w:val="right" w:pos="284" w:leader="none"/>
        </w:tabs>
        <w:jc w:val="both"/>
        <w:rPr/>
      </w:pPr>
      <w:r>
        <w:rPr/>
      </w:r>
    </w:p>
    <w:p>
      <w:pPr>
        <w:pStyle w:val="Normal"/>
        <w:jc w:val="both"/>
        <w:rPr/>
      </w:pPr>
      <w:r>
        <w:rPr/>
      </w:r>
    </w:p>
    <w:p>
      <w:pPr>
        <w:pStyle w:val="Normal"/>
        <w:rPr>
          <w:b/>
          <w:color w:val="FF0000"/>
        </w:rPr>
      </w:pPr>
      <w:r>
        <w:rPr>
          <w:b/>
          <w:color w:val="FF0000"/>
        </w:rPr>
        <w:t>2) Kapitálové výdavky :</w:t>
      </w:r>
    </w:p>
    <w:p>
      <w:pPr>
        <w:pStyle w:val="Normal"/>
        <w:rPr>
          <w:b/>
        </w:rPr>
      </w:pPr>
      <w:r>
        <w:rPr>
          <w:b/>
        </w:rPr>
        <w:t xml:space="preserve"> </w:t>
      </w:r>
    </w:p>
    <w:tbl>
      <w:tblPr>
        <w:jc w:val="left"/>
        <w:tblInd w:w="98" w:type="dxa"/>
        <w:tblBorders>
          <w:top w:val="single" w:sz="4" w:space="0" w:color="000001"/>
          <w:left w:val="single" w:sz="4" w:space="0" w:color="000001"/>
          <w:bottom w:val="single" w:sz="4" w:space="0" w:color="000001"/>
          <w:insideH w:val="single" w:sz="4" w:space="0" w:color="000001"/>
          <w:right w:val="nil"/>
          <w:insideV w:val="nil"/>
        </w:tblBorders>
        <w:tblCellMar>
          <w:top w:w="0" w:type="dxa"/>
          <w:left w:w="93" w:type="dxa"/>
          <w:bottom w:w="0" w:type="dxa"/>
          <w:right w:w="108" w:type="dxa"/>
        </w:tblCellMar>
      </w:tblPr>
      <w:tblGrid>
        <w:gridCol w:w="2960"/>
        <w:gridCol w:w="3071"/>
        <w:gridCol w:w="3415"/>
      </w:tblGrid>
      <w:tr>
        <w:trPr>
          <w:cantSplit w:val="false"/>
        </w:trPr>
        <w:tc>
          <w:tcPr>
            <w:tcW w:w="2960" w:type="dxa"/>
            <w:tcBorders>
              <w:top w:val="single" w:sz="4" w:space="0" w:color="000001"/>
              <w:left w:val="single" w:sz="4" w:space="0" w:color="000001"/>
              <w:bottom w:val="single" w:sz="4" w:space="0" w:color="000001"/>
              <w:insideH w:val="single" w:sz="4" w:space="0" w:color="000001"/>
              <w:right w:val="nil"/>
              <w:insideV w:val="nil"/>
            </w:tcBorders>
            <w:shd w:fill="D9D9D9" w:val="clear"/>
            <w:tcMar>
              <w:left w:w="93" w:type="dxa"/>
            </w:tcMar>
          </w:tcPr>
          <w:p>
            <w:pPr>
              <w:pStyle w:val="Normal"/>
              <w:jc w:val="center"/>
              <w:rPr>
                <w:b/>
              </w:rPr>
            </w:pPr>
            <w:r>
              <w:rPr>
                <w:b/>
              </w:rPr>
              <w:t>Rozpočet na rok 2014</w:t>
            </w:r>
          </w:p>
        </w:tc>
        <w:tc>
          <w:tcPr>
            <w:tcW w:w="3071" w:type="dxa"/>
            <w:tcBorders>
              <w:top w:val="single" w:sz="4" w:space="0" w:color="000001"/>
              <w:left w:val="single" w:sz="4" w:space="0" w:color="000001"/>
              <w:bottom w:val="single" w:sz="4" w:space="0" w:color="000001"/>
              <w:insideH w:val="single" w:sz="4" w:space="0" w:color="000001"/>
              <w:right w:val="nil"/>
              <w:insideV w:val="nil"/>
            </w:tcBorders>
            <w:shd w:fill="D9D9D9" w:val="clear"/>
            <w:tcMar>
              <w:left w:w="93" w:type="dxa"/>
            </w:tcMar>
          </w:tcPr>
          <w:p>
            <w:pPr>
              <w:pStyle w:val="Normal"/>
              <w:jc w:val="center"/>
              <w:rPr>
                <w:b/>
              </w:rPr>
            </w:pPr>
            <w:r>
              <w:rPr>
                <w:b/>
              </w:rPr>
              <w:t>Skutočnosť k 31.12.2014</w:t>
            </w:r>
          </w:p>
        </w:tc>
        <w:tc>
          <w:tcPr>
            <w:tcW w:w="3415" w:type="dxa"/>
            <w:tcBorders>
              <w:top w:val="single" w:sz="4" w:space="0" w:color="000001"/>
              <w:left w:val="single" w:sz="4" w:space="0" w:color="000001"/>
              <w:bottom w:val="single" w:sz="4" w:space="0" w:color="000001"/>
              <w:insideH w:val="single" w:sz="4" w:space="0" w:color="000001"/>
              <w:right w:val="single" w:sz="4" w:space="0" w:color="000001"/>
              <w:insideV w:val="single" w:sz="4" w:space="0" w:color="000001"/>
            </w:tcBorders>
            <w:shd w:fill="D9D9D9" w:val="clear"/>
            <w:tcMar>
              <w:left w:w="93" w:type="dxa"/>
            </w:tcMar>
          </w:tcPr>
          <w:p>
            <w:pPr>
              <w:pStyle w:val="Normal"/>
              <w:jc w:val="center"/>
              <w:rPr>
                <w:b/>
              </w:rPr>
            </w:pPr>
            <w:r>
              <w:rPr>
                <w:b/>
              </w:rPr>
              <w:t>% čerpania</w:t>
            </w:r>
          </w:p>
        </w:tc>
      </w:tr>
      <w:tr>
        <w:trPr>
          <w:cantSplit w:val="false"/>
        </w:trPr>
        <w:tc>
          <w:tcPr>
            <w:tcW w:w="2960" w:type="dxa"/>
            <w:tcBorders>
              <w:top w:val="single" w:sz="4" w:space="0" w:color="000001"/>
              <w:left w:val="single" w:sz="4" w:space="0" w:color="000001"/>
              <w:bottom w:val="single" w:sz="4" w:space="0" w:color="000001"/>
              <w:insideH w:val="single" w:sz="4" w:space="0" w:color="000001"/>
              <w:right w:val="nil"/>
              <w:insideV w:val="nil"/>
            </w:tcBorders>
            <w:shd w:fill="FFFFFF" w:val="clear"/>
            <w:tcMar>
              <w:left w:w="93" w:type="dxa"/>
            </w:tcMar>
          </w:tcPr>
          <w:p>
            <w:pPr>
              <w:pStyle w:val="Normal"/>
              <w:jc w:val="center"/>
              <w:rPr>
                <w:b/>
              </w:rPr>
            </w:pPr>
            <w:r>
              <w:rPr>
                <w:b/>
              </w:rPr>
              <w:t>66 582</w:t>
            </w:r>
          </w:p>
        </w:tc>
        <w:tc>
          <w:tcPr>
            <w:tcW w:w="3071" w:type="dxa"/>
            <w:tcBorders>
              <w:top w:val="single" w:sz="4" w:space="0" w:color="000001"/>
              <w:left w:val="single" w:sz="4" w:space="0" w:color="000001"/>
              <w:bottom w:val="single" w:sz="4" w:space="0" w:color="000001"/>
              <w:insideH w:val="single" w:sz="4" w:space="0" w:color="000001"/>
              <w:right w:val="nil"/>
              <w:insideV w:val="nil"/>
            </w:tcBorders>
            <w:shd w:fill="FFFFFF" w:val="clear"/>
            <w:tcMar>
              <w:left w:w="93" w:type="dxa"/>
            </w:tcMar>
          </w:tcPr>
          <w:p>
            <w:pPr>
              <w:pStyle w:val="Normal"/>
              <w:rPr>
                <w:b/>
                <w:i/>
              </w:rPr>
            </w:pPr>
            <w:r>
              <w:rPr/>
              <w:t xml:space="preserve">                 </w:t>
            </w:r>
            <w:r>
              <w:rPr>
                <w:b/>
                <w:i/>
              </w:rPr>
              <w:t>58 318,02</w:t>
            </w:r>
          </w:p>
        </w:tc>
        <w:tc>
          <w:tcPr>
            <w:tcW w:w="3415" w:type="dxa"/>
            <w:tcBorders>
              <w:top w:val="single" w:sz="4" w:space="0" w:color="000001"/>
              <w:left w:val="single" w:sz="4" w:space="0" w:color="000001"/>
              <w:bottom w:val="single" w:sz="4" w:space="0" w:color="000001"/>
              <w:insideH w:val="single" w:sz="4" w:space="0" w:color="000001"/>
              <w:right w:val="single" w:sz="4" w:space="0" w:color="000001"/>
              <w:insideV w:val="single" w:sz="4" w:space="0" w:color="000001"/>
            </w:tcBorders>
            <w:shd w:fill="FFFFFF" w:val="clear"/>
            <w:tcMar>
              <w:left w:w="93" w:type="dxa"/>
            </w:tcMar>
          </w:tcPr>
          <w:p>
            <w:pPr>
              <w:pStyle w:val="Normal"/>
              <w:rPr>
                <w:b/>
              </w:rPr>
            </w:pPr>
            <w:r>
              <w:rPr>
                <w:b/>
                <w:i/>
              </w:rPr>
              <w:t xml:space="preserve"> </w:t>
            </w:r>
            <w:r>
              <w:rPr>
                <w:b/>
              </w:rPr>
              <w:t xml:space="preserve">             </w:t>
            </w:r>
            <w:r>
              <w:rPr>
                <w:b/>
              </w:rPr>
              <w:t>88</w:t>
            </w:r>
          </w:p>
        </w:tc>
      </w:tr>
    </w:tbl>
    <w:p>
      <w:pPr>
        <w:pStyle w:val="Normal"/>
        <w:rPr/>
      </w:pPr>
      <w:r>
        <w:rPr/>
      </w:r>
    </w:p>
    <w:p>
      <w:pPr>
        <w:pStyle w:val="Normal"/>
        <w:jc w:val="both"/>
        <w:rPr/>
      </w:pPr>
      <w:r>
        <w:rPr/>
        <w:t xml:space="preserve">Z rozpočtovaných kapitálových výdavkov 66 582 EUR bolo skutočne čerpané  k 31.12.2014 v sume 58 318,02 EUR, čo predstavuje  88 % čerpanie. </w:t>
      </w:r>
    </w:p>
    <w:p>
      <w:pPr>
        <w:pStyle w:val="Normal"/>
        <w:rPr/>
      </w:pPr>
      <w:r>
        <w:rPr/>
      </w:r>
    </w:p>
    <w:p>
      <w:pPr>
        <w:pStyle w:val="Normal"/>
        <w:jc w:val="both"/>
        <w:rPr>
          <w:color w:val="FF0000"/>
        </w:rPr>
      </w:pPr>
      <w:r>
        <w:rPr>
          <w:color w:val="FF0000"/>
        </w:rPr>
        <w:t xml:space="preserve">Čerpanie jednotlivých rozpočtových položiek kapitálového rozpočtu je prílohou Záverečného účtu. </w:t>
      </w:r>
    </w:p>
    <w:p>
      <w:pPr>
        <w:pStyle w:val="Normal"/>
        <w:rPr>
          <w:color w:val="FF0000"/>
        </w:rPr>
      </w:pPr>
      <w:r>
        <w:rPr>
          <w:color w:val="FF0000"/>
        </w:rPr>
      </w:r>
    </w:p>
    <w:p>
      <w:pPr>
        <w:pStyle w:val="Normal"/>
        <w:jc w:val="both"/>
        <w:rPr>
          <w:b/>
        </w:rPr>
      </w:pPr>
      <w:r>
        <w:rPr>
          <w:b/>
        </w:rPr>
        <w:t xml:space="preserve">Medzi významné položky kapitálového rozpočtu patrí: </w:t>
      </w:r>
    </w:p>
    <w:p>
      <w:pPr>
        <w:pStyle w:val="Normal"/>
        <w:numPr>
          <w:ilvl w:val="0"/>
          <w:numId w:val="11"/>
        </w:numPr>
        <w:ind w:left="284" w:right="0" w:hanging="360"/>
        <w:jc w:val="both"/>
        <w:rPr>
          <w:b/>
        </w:rPr>
      </w:pPr>
      <w:r>
        <w:rPr>
          <w:b/>
        </w:rPr>
        <w:t>rekonštrukcia telocvične</w:t>
      </w:r>
    </w:p>
    <w:p>
      <w:pPr>
        <w:pStyle w:val="Normal"/>
        <w:jc w:val="both"/>
        <w:rPr/>
      </w:pPr>
      <w:r>
        <w:rPr/>
        <w:t>Z rozpočtovaných  0 EUR bolo skutočne vyčerpané k 31.12.2014 v sume 16 611,51 EUR.</w:t>
      </w:r>
    </w:p>
    <w:p>
      <w:pPr>
        <w:pStyle w:val="Normal"/>
        <w:numPr>
          <w:ilvl w:val="0"/>
          <w:numId w:val="11"/>
        </w:numPr>
        <w:ind w:left="284" w:right="0" w:hanging="360"/>
        <w:jc w:val="both"/>
        <w:rPr>
          <w:b/>
        </w:rPr>
      </w:pPr>
      <w:r>
        <w:rPr>
          <w:b/>
        </w:rPr>
        <w:t>Na výstavbu trhoviska</w:t>
      </w:r>
    </w:p>
    <w:p>
      <w:pPr>
        <w:pStyle w:val="Normal"/>
        <w:jc w:val="both"/>
        <w:rPr/>
      </w:pPr>
      <w:r>
        <w:rPr/>
        <w:t>Z rozpočtovaných  0  EUR bolo skutočne vyčerpané k 31.12.2014 v sume 4900 EUR.</w:t>
      </w:r>
    </w:p>
    <w:p>
      <w:pPr>
        <w:pStyle w:val="Normal"/>
        <w:jc w:val="both"/>
        <w:rPr>
          <w:b/>
        </w:rPr>
      </w:pPr>
      <w:r>
        <w:rPr>
          <w:b/>
        </w:rPr>
        <w:t xml:space="preserve">c) nákup pozemkov: </w:t>
      </w:r>
    </w:p>
    <w:p>
      <w:pPr>
        <w:pStyle w:val="Normal"/>
        <w:ind w:left="360" w:right="0" w:hanging="0"/>
        <w:jc w:val="both"/>
        <w:rPr>
          <w:b/>
        </w:rPr>
      </w:pPr>
      <w:r>
        <w:rPr>
          <w:b/>
        </w:rPr>
        <w:t>Z rozpočtovaných  0  EUR bolo skutočne vyčerpané k 31.12.2014 v sume 35 257 EUR.</w:t>
      </w:r>
    </w:p>
    <w:p>
      <w:pPr>
        <w:pStyle w:val="Normal"/>
        <w:ind w:left="360" w:right="0" w:hanging="0"/>
        <w:jc w:val="both"/>
        <w:rPr>
          <w:b/>
        </w:rPr>
      </w:pPr>
      <w:r>
        <w:rPr>
          <w:b/>
        </w:rPr>
      </w:r>
    </w:p>
    <w:p>
      <w:pPr>
        <w:pStyle w:val="Normal"/>
        <w:ind w:left="360" w:right="0" w:hanging="0"/>
        <w:jc w:val="both"/>
        <w:rPr>
          <w:b/>
        </w:rPr>
      </w:pPr>
      <w:r>
        <w:rPr>
          <w:b/>
        </w:rPr>
      </w:r>
    </w:p>
    <w:p>
      <w:pPr>
        <w:pStyle w:val="Normal"/>
        <w:ind w:left="360" w:right="0" w:hanging="0"/>
        <w:jc w:val="both"/>
        <w:rPr>
          <w:b/>
        </w:rPr>
      </w:pPr>
      <w:r>
        <w:rPr>
          <w:b/>
        </w:rPr>
      </w:r>
    </w:p>
    <w:p>
      <w:pPr>
        <w:pStyle w:val="Normal"/>
        <w:ind w:left="360" w:right="0" w:hanging="0"/>
        <w:jc w:val="both"/>
        <w:rPr>
          <w:b/>
        </w:rPr>
      </w:pPr>
      <w:r>
        <w:rPr>
          <w:b/>
        </w:rPr>
      </w:r>
    </w:p>
    <w:p>
      <w:pPr>
        <w:pStyle w:val="Normal"/>
        <w:rPr>
          <w:b/>
          <w:color w:val="FF0000"/>
        </w:rPr>
      </w:pPr>
      <w:r>
        <w:rPr>
          <w:b/>
          <w:color w:val="FF0000"/>
        </w:rPr>
        <w:t>3) Výdavkové finančné operácie :</w:t>
      </w:r>
    </w:p>
    <w:p>
      <w:pPr>
        <w:pStyle w:val="Normal"/>
        <w:rPr>
          <w:b/>
        </w:rPr>
      </w:pPr>
      <w:r>
        <w:rPr>
          <w:b/>
        </w:rPr>
        <w:t xml:space="preserve"> </w:t>
      </w:r>
    </w:p>
    <w:tbl>
      <w:tblPr>
        <w:jc w:val="left"/>
        <w:tblInd w:w="98" w:type="dxa"/>
        <w:tblBorders>
          <w:top w:val="single" w:sz="4" w:space="0" w:color="000001"/>
          <w:left w:val="single" w:sz="4" w:space="0" w:color="000001"/>
          <w:bottom w:val="single" w:sz="4" w:space="0" w:color="000001"/>
          <w:insideH w:val="single" w:sz="4" w:space="0" w:color="000001"/>
          <w:right w:val="nil"/>
          <w:insideV w:val="nil"/>
        </w:tblBorders>
        <w:tblCellMar>
          <w:top w:w="0" w:type="dxa"/>
          <w:left w:w="93" w:type="dxa"/>
          <w:bottom w:w="0" w:type="dxa"/>
          <w:right w:w="108" w:type="dxa"/>
        </w:tblCellMar>
      </w:tblPr>
      <w:tblGrid>
        <w:gridCol w:w="2960"/>
        <w:gridCol w:w="3071"/>
        <w:gridCol w:w="3415"/>
      </w:tblGrid>
      <w:tr>
        <w:trPr>
          <w:cantSplit w:val="false"/>
        </w:trPr>
        <w:tc>
          <w:tcPr>
            <w:tcW w:w="2960" w:type="dxa"/>
            <w:tcBorders>
              <w:top w:val="single" w:sz="4" w:space="0" w:color="000001"/>
              <w:left w:val="single" w:sz="4" w:space="0" w:color="000001"/>
              <w:bottom w:val="single" w:sz="4" w:space="0" w:color="000001"/>
              <w:insideH w:val="single" w:sz="4" w:space="0" w:color="000001"/>
              <w:right w:val="nil"/>
              <w:insideV w:val="nil"/>
            </w:tcBorders>
            <w:shd w:fill="D9D9D9" w:val="clear"/>
            <w:tcMar>
              <w:left w:w="93" w:type="dxa"/>
            </w:tcMar>
          </w:tcPr>
          <w:p>
            <w:pPr>
              <w:pStyle w:val="Normal"/>
              <w:jc w:val="center"/>
              <w:rPr>
                <w:b/>
              </w:rPr>
            </w:pPr>
            <w:r>
              <w:rPr>
                <w:b/>
              </w:rPr>
              <w:t>Rozpočet na rok 2014</w:t>
            </w:r>
          </w:p>
        </w:tc>
        <w:tc>
          <w:tcPr>
            <w:tcW w:w="3071" w:type="dxa"/>
            <w:tcBorders>
              <w:top w:val="single" w:sz="4" w:space="0" w:color="000001"/>
              <w:left w:val="single" w:sz="4" w:space="0" w:color="000001"/>
              <w:bottom w:val="single" w:sz="4" w:space="0" w:color="000001"/>
              <w:insideH w:val="single" w:sz="4" w:space="0" w:color="000001"/>
              <w:right w:val="nil"/>
              <w:insideV w:val="nil"/>
            </w:tcBorders>
            <w:shd w:fill="D9D9D9" w:val="clear"/>
            <w:tcMar>
              <w:left w:w="93" w:type="dxa"/>
            </w:tcMar>
          </w:tcPr>
          <w:p>
            <w:pPr>
              <w:pStyle w:val="Normal"/>
              <w:jc w:val="center"/>
              <w:rPr>
                <w:b/>
              </w:rPr>
            </w:pPr>
            <w:r>
              <w:rPr>
                <w:b/>
              </w:rPr>
              <w:t>Skutočnosť k 31.12.2014</w:t>
            </w:r>
          </w:p>
        </w:tc>
        <w:tc>
          <w:tcPr>
            <w:tcW w:w="3415" w:type="dxa"/>
            <w:tcBorders>
              <w:top w:val="single" w:sz="4" w:space="0" w:color="000001"/>
              <w:left w:val="single" w:sz="4" w:space="0" w:color="000001"/>
              <w:bottom w:val="single" w:sz="4" w:space="0" w:color="000001"/>
              <w:insideH w:val="single" w:sz="4" w:space="0" w:color="000001"/>
              <w:right w:val="single" w:sz="4" w:space="0" w:color="000001"/>
              <w:insideV w:val="single" w:sz="4" w:space="0" w:color="000001"/>
            </w:tcBorders>
            <w:shd w:fill="D9D9D9" w:val="clear"/>
            <w:tcMar>
              <w:left w:w="93" w:type="dxa"/>
            </w:tcMar>
          </w:tcPr>
          <w:p>
            <w:pPr>
              <w:pStyle w:val="Normal"/>
              <w:jc w:val="center"/>
              <w:rPr>
                <w:b/>
              </w:rPr>
            </w:pPr>
            <w:r>
              <w:rPr>
                <w:b/>
              </w:rPr>
              <w:t>% čerpania</w:t>
            </w:r>
          </w:p>
        </w:tc>
      </w:tr>
      <w:tr>
        <w:trPr>
          <w:cantSplit w:val="false"/>
        </w:trPr>
        <w:tc>
          <w:tcPr>
            <w:tcW w:w="2960" w:type="dxa"/>
            <w:tcBorders>
              <w:top w:val="single" w:sz="4" w:space="0" w:color="000001"/>
              <w:left w:val="single" w:sz="4" w:space="0" w:color="000001"/>
              <w:bottom w:val="single" w:sz="4" w:space="0" w:color="000001"/>
              <w:insideH w:val="single" w:sz="4" w:space="0" w:color="000001"/>
              <w:right w:val="nil"/>
              <w:insideV w:val="nil"/>
            </w:tcBorders>
            <w:shd w:fill="FFFFFF" w:val="clear"/>
            <w:tcMar>
              <w:left w:w="93" w:type="dxa"/>
            </w:tcMar>
          </w:tcPr>
          <w:p>
            <w:pPr>
              <w:pStyle w:val="Normal"/>
              <w:jc w:val="center"/>
              <w:rPr>
                <w:b/>
              </w:rPr>
            </w:pPr>
            <w:r>
              <w:rPr>
                <w:b/>
              </w:rPr>
              <w:t>34 960</w:t>
            </w:r>
          </w:p>
        </w:tc>
        <w:tc>
          <w:tcPr>
            <w:tcW w:w="3071" w:type="dxa"/>
            <w:tcBorders>
              <w:top w:val="single" w:sz="4" w:space="0" w:color="000001"/>
              <w:left w:val="single" w:sz="4" w:space="0" w:color="000001"/>
              <w:bottom w:val="single" w:sz="4" w:space="0" w:color="000001"/>
              <w:insideH w:val="single" w:sz="4" w:space="0" w:color="000001"/>
              <w:right w:val="nil"/>
              <w:insideV w:val="nil"/>
            </w:tcBorders>
            <w:shd w:fill="FFFFFF" w:val="clear"/>
            <w:tcMar>
              <w:left w:w="93" w:type="dxa"/>
            </w:tcMar>
          </w:tcPr>
          <w:p>
            <w:pPr>
              <w:pStyle w:val="Normal"/>
              <w:rPr>
                <w:b/>
                <w:i/>
              </w:rPr>
            </w:pPr>
            <w:r>
              <w:rPr/>
              <w:t xml:space="preserve">                  </w:t>
            </w:r>
            <w:r>
              <w:rPr>
                <w:b/>
                <w:i/>
              </w:rPr>
              <w:t>34 914,48</w:t>
            </w:r>
          </w:p>
        </w:tc>
        <w:tc>
          <w:tcPr>
            <w:tcW w:w="3415" w:type="dxa"/>
            <w:tcBorders>
              <w:top w:val="single" w:sz="4" w:space="0" w:color="000001"/>
              <w:left w:val="single" w:sz="4" w:space="0" w:color="000001"/>
              <w:bottom w:val="single" w:sz="4" w:space="0" w:color="000001"/>
              <w:insideH w:val="single" w:sz="4" w:space="0" w:color="000001"/>
              <w:right w:val="single" w:sz="4" w:space="0" w:color="000001"/>
              <w:insideV w:val="single" w:sz="4" w:space="0" w:color="000001"/>
            </w:tcBorders>
            <w:shd w:fill="FFFFFF" w:val="clear"/>
            <w:tcMar>
              <w:left w:w="93" w:type="dxa"/>
            </w:tcMar>
          </w:tcPr>
          <w:p>
            <w:pPr>
              <w:pStyle w:val="Normal"/>
              <w:rPr>
                <w:b/>
              </w:rPr>
            </w:pPr>
            <w:r>
              <w:rPr>
                <w:b/>
                <w:i/>
              </w:rPr>
              <w:t xml:space="preserve"> </w:t>
            </w:r>
            <w:r>
              <w:rPr>
                <w:b/>
              </w:rPr>
              <w:t xml:space="preserve">              </w:t>
            </w:r>
            <w:r>
              <w:rPr>
                <w:b/>
              </w:rPr>
              <w:t>99,8</w:t>
            </w:r>
          </w:p>
        </w:tc>
      </w:tr>
    </w:tbl>
    <w:p>
      <w:pPr>
        <w:pStyle w:val="Normal"/>
        <w:jc w:val="both"/>
        <w:rPr/>
      </w:pPr>
      <w:r>
        <w:rPr/>
      </w:r>
    </w:p>
    <w:p>
      <w:pPr>
        <w:pStyle w:val="Normal"/>
        <w:jc w:val="both"/>
        <w:rPr/>
      </w:pPr>
      <w:r>
        <w:rPr/>
        <w:t>Z rozpočtovaných finančných  výdavkov 34 960 EUR bolo skutočne čerpané  k 31.12.2014 v sume 34 914,48  EUR, čo predstavuje  99,8 % čerpanie. Splácanie úveru ŠFRB</w:t>
      </w:r>
    </w:p>
    <w:p>
      <w:pPr>
        <w:pStyle w:val="Normal"/>
        <w:jc w:val="both"/>
        <w:rPr/>
      </w:pPr>
      <w:r>
        <w:rPr/>
      </w:r>
    </w:p>
    <w:p>
      <w:pPr>
        <w:pStyle w:val="Normal"/>
        <w:jc w:val="both"/>
        <w:rPr/>
      </w:pPr>
      <w:r>
        <w:rPr/>
        <w:t xml:space="preserve">Čerpanie jednotlivých rozpočtových položiek v oblasti finančných operácií je prílohou Záverečného účtu. </w:t>
      </w:r>
    </w:p>
    <w:p>
      <w:pPr>
        <w:pStyle w:val="Normal"/>
        <w:jc w:val="both"/>
        <w:rPr/>
      </w:pPr>
      <w:r>
        <w:rPr/>
      </w:r>
    </w:p>
    <w:p>
      <w:pPr>
        <w:pStyle w:val="Normal"/>
        <w:jc w:val="both"/>
        <w:rPr/>
      </w:pPr>
      <w:r>
        <w:rPr/>
      </w:r>
    </w:p>
    <w:p>
      <w:pPr>
        <w:pStyle w:val="Normal"/>
        <w:jc w:val="both"/>
        <w:rPr/>
      </w:pPr>
      <w:r>
        <w:rPr/>
      </w:r>
    </w:p>
    <w:p>
      <w:pPr>
        <w:pStyle w:val="Normal"/>
        <w:rPr>
          <w:b/>
          <w:color w:val="FF0000"/>
        </w:rPr>
      </w:pPr>
      <w:r>
        <w:rPr>
          <w:b/>
          <w:color w:val="FF0000"/>
        </w:rPr>
        <w:t xml:space="preserve"> </w:t>
      </w:r>
      <w:r>
        <w:rPr>
          <w:b/>
          <w:color w:val="FF0000"/>
        </w:rPr>
        <w:t>4) Výdavky rozpočtových organizácií s právnou subjektivitou:</w:t>
      </w:r>
    </w:p>
    <w:p>
      <w:pPr>
        <w:pStyle w:val="Normal"/>
        <w:rPr>
          <w:b/>
        </w:rPr>
      </w:pPr>
      <w:r>
        <w:rPr>
          <w:b/>
        </w:rPr>
      </w:r>
    </w:p>
    <w:p>
      <w:pPr>
        <w:pStyle w:val="Normal"/>
        <w:rPr>
          <w:b/>
          <w:color w:val="FF0000"/>
        </w:rPr>
      </w:pPr>
      <w:r>
        <w:rPr>
          <w:b/>
        </w:rPr>
        <w:t xml:space="preserve"> </w:t>
      </w:r>
      <w:r>
        <w:rPr>
          <w:b/>
          <w:color w:val="FF0000"/>
        </w:rPr>
        <w:t xml:space="preserve">Bežné výdavky </w:t>
      </w:r>
    </w:p>
    <w:tbl>
      <w:tblPr>
        <w:jc w:val="left"/>
        <w:tblInd w:w="98" w:type="dxa"/>
        <w:tblBorders>
          <w:top w:val="single" w:sz="4" w:space="0" w:color="000001"/>
          <w:left w:val="single" w:sz="4" w:space="0" w:color="000001"/>
          <w:bottom w:val="single" w:sz="4" w:space="0" w:color="000001"/>
          <w:insideH w:val="single" w:sz="4" w:space="0" w:color="000001"/>
          <w:right w:val="nil"/>
          <w:insideV w:val="nil"/>
        </w:tblBorders>
        <w:tblCellMar>
          <w:top w:w="0" w:type="dxa"/>
          <w:left w:w="93" w:type="dxa"/>
          <w:bottom w:w="0" w:type="dxa"/>
          <w:right w:w="108" w:type="dxa"/>
        </w:tblCellMar>
      </w:tblPr>
      <w:tblGrid>
        <w:gridCol w:w="2960"/>
        <w:gridCol w:w="3071"/>
        <w:gridCol w:w="3415"/>
      </w:tblGrid>
      <w:tr>
        <w:trPr>
          <w:cantSplit w:val="false"/>
        </w:trPr>
        <w:tc>
          <w:tcPr>
            <w:tcW w:w="2960" w:type="dxa"/>
            <w:tcBorders>
              <w:top w:val="single" w:sz="4" w:space="0" w:color="000001"/>
              <w:left w:val="single" w:sz="4" w:space="0" w:color="000001"/>
              <w:bottom w:val="single" w:sz="4" w:space="0" w:color="000001"/>
              <w:insideH w:val="single" w:sz="4" w:space="0" w:color="000001"/>
              <w:right w:val="nil"/>
              <w:insideV w:val="nil"/>
            </w:tcBorders>
            <w:shd w:fill="D9D9D9" w:val="clear"/>
            <w:tcMar>
              <w:left w:w="93" w:type="dxa"/>
            </w:tcMar>
          </w:tcPr>
          <w:p>
            <w:pPr>
              <w:pStyle w:val="Normal"/>
              <w:jc w:val="center"/>
              <w:rPr>
                <w:b/>
              </w:rPr>
            </w:pPr>
            <w:r>
              <w:rPr>
                <w:b/>
              </w:rPr>
              <w:t>Rozpočet na rok 2014</w:t>
            </w:r>
          </w:p>
        </w:tc>
        <w:tc>
          <w:tcPr>
            <w:tcW w:w="3071" w:type="dxa"/>
            <w:tcBorders>
              <w:top w:val="single" w:sz="4" w:space="0" w:color="000001"/>
              <w:left w:val="single" w:sz="4" w:space="0" w:color="000001"/>
              <w:bottom w:val="single" w:sz="4" w:space="0" w:color="000001"/>
              <w:insideH w:val="single" w:sz="4" w:space="0" w:color="000001"/>
              <w:right w:val="nil"/>
              <w:insideV w:val="nil"/>
            </w:tcBorders>
            <w:shd w:fill="D9D9D9" w:val="clear"/>
            <w:tcMar>
              <w:left w:w="93" w:type="dxa"/>
            </w:tcMar>
          </w:tcPr>
          <w:p>
            <w:pPr>
              <w:pStyle w:val="Normal"/>
              <w:jc w:val="center"/>
              <w:rPr>
                <w:b/>
              </w:rPr>
            </w:pPr>
            <w:r>
              <w:rPr>
                <w:b/>
              </w:rPr>
              <w:t>Skutočnosť k 31.12.2014</w:t>
            </w:r>
          </w:p>
        </w:tc>
        <w:tc>
          <w:tcPr>
            <w:tcW w:w="3415" w:type="dxa"/>
            <w:tcBorders>
              <w:top w:val="single" w:sz="4" w:space="0" w:color="000001"/>
              <w:left w:val="single" w:sz="4" w:space="0" w:color="000001"/>
              <w:bottom w:val="single" w:sz="4" w:space="0" w:color="000001"/>
              <w:insideH w:val="single" w:sz="4" w:space="0" w:color="000001"/>
              <w:right w:val="single" w:sz="4" w:space="0" w:color="000001"/>
              <w:insideV w:val="single" w:sz="4" w:space="0" w:color="000001"/>
            </w:tcBorders>
            <w:shd w:fill="D9D9D9" w:val="clear"/>
            <w:tcMar>
              <w:left w:w="93" w:type="dxa"/>
            </w:tcMar>
          </w:tcPr>
          <w:p>
            <w:pPr>
              <w:pStyle w:val="Normal"/>
              <w:jc w:val="center"/>
              <w:rPr>
                <w:b/>
              </w:rPr>
            </w:pPr>
            <w:r>
              <w:rPr>
                <w:b/>
              </w:rPr>
              <w:t>% čerpania</w:t>
            </w:r>
          </w:p>
        </w:tc>
      </w:tr>
      <w:tr>
        <w:trPr>
          <w:cantSplit w:val="false"/>
        </w:trPr>
        <w:tc>
          <w:tcPr>
            <w:tcW w:w="2960" w:type="dxa"/>
            <w:tcBorders>
              <w:top w:val="single" w:sz="4" w:space="0" w:color="000001"/>
              <w:left w:val="single" w:sz="4" w:space="0" w:color="000001"/>
              <w:bottom w:val="single" w:sz="4" w:space="0" w:color="000001"/>
              <w:insideH w:val="single" w:sz="4" w:space="0" w:color="000001"/>
              <w:right w:val="nil"/>
              <w:insideV w:val="nil"/>
            </w:tcBorders>
            <w:shd w:fill="FFFFFF" w:val="clear"/>
            <w:tcMar>
              <w:left w:w="93" w:type="dxa"/>
            </w:tcMar>
          </w:tcPr>
          <w:p>
            <w:pPr>
              <w:pStyle w:val="Normal"/>
              <w:jc w:val="center"/>
              <w:rPr>
                <w:b/>
              </w:rPr>
            </w:pPr>
            <w:r>
              <w:rPr>
                <w:b/>
              </w:rPr>
              <w:t>491 560,62</w:t>
            </w:r>
          </w:p>
        </w:tc>
        <w:tc>
          <w:tcPr>
            <w:tcW w:w="3071" w:type="dxa"/>
            <w:tcBorders>
              <w:top w:val="single" w:sz="4" w:space="0" w:color="000001"/>
              <w:left w:val="single" w:sz="4" w:space="0" w:color="000001"/>
              <w:bottom w:val="single" w:sz="4" w:space="0" w:color="000001"/>
              <w:insideH w:val="single" w:sz="4" w:space="0" w:color="000001"/>
              <w:right w:val="nil"/>
              <w:insideV w:val="nil"/>
            </w:tcBorders>
            <w:shd w:fill="FFFFFF" w:val="clear"/>
            <w:tcMar>
              <w:left w:w="93" w:type="dxa"/>
            </w:tcMar>
          </w:tcPr>
          <w:p>
            <w:pPr>
              <w:pStyle w:val="Normal"/>
              <w:rPr/>
            </w:pPr>
            <w:r>
              <w:rPr/>
              <w:t xml:space="preserve">           </w:t>
            </w:r>
            <w:r>
              <w:rPr/>
              <w:t xml:space="preserve">491 560,62       </w:t>
            </w:r>
          </w:p>
        </w:tc>
        <w:tc>
          <w:tcPr>
            <w:tcW w:w="3415" w:type="dxa"/>
            <w:tcBorders>
              <w:top w:val="single" w:sz="4" w:space="0" w:color="000001"/>
              <w:left w:val="single" w:sz="4" w:space="0" w:color="000001"/>
              <w:bottom w:val="single" w:sz="4" w:space="0" w:color="000001"/>
              <w:insideH w:val="single" w:sz="4" w:space="0" w:color="000001"/>
              <w:right w:val="single" w:sz="4" w:space="0" w:color="000001"/>
              <w:insideV w:val="single" w:sz="4" w:space="0" w:color="000001"/>
            </w:tcBorders>
            <w:shd w:fill="FFFFFF" w:val="clear"/>
            <w:tcMar>
              <w:left w:w="93" w:type="dxa"/>
            </w:tcMar>
          </w:tcPr>
          <w:p>
            <w:pPr>
              <w:pStyle w:val="Normal"/>
              <w:rPr>
                <w:b/>
              </w:rPr>
            </w:pPr>
            <w:r>
              <w:rPr>
                <w:b/>
                <w:i/>
              </w:rPr>
              <w:t xml:space="preserve"> </w:t>
            </w:r>
            <w:r>
              <w:rPr>
                <w:b/>
              </w:rPr>
              <w:t xml:space="preserve">              </w:t>
            </w:r>
            <w:r>
              <w:rPr>
                <w:b/>
              </w:rPr>
              <w:t>100</w:t>
            </w:r>
          </w:p>
        </w:tc>
      </w:tr>
    </w:tbl>
    <w:p>
      <w:pPr>
        <w:pStyle w:val="Normal"/>
        <w:jc w:val="both"/>
        <w:rPr/>
      </w:pPr>
      <w:r>
        <w:rPr/>
      </w:r>
    </w:p>
    <w:p>
      <w:pPr>
        <w:pStyle w:val="Normal"/>
        <w:jc w:val="both"/>
        <w:rPr/>
      </w:pPr>
      <w:r>
        <w:rPr/>
        <w:t xml:space="preserve">Z rozpočtovaných bežných  výdavkov 491 560,62 EUR bolo skutočne čerpané  k 31.12.2014 v sume 491 560,62 EUR, čo predstavuje  100 % čerpanie. </w:t>
      </w:r>
    </w:p>
    <w:p>
      <w:pPr>
        <w:pStyle w:val="Normal"/>
        <w:jc w:val="both"/>
        <w:rPr>
          <w:b/>
          <w:shd w:fill="C0C0C0" w:val="clear"/>
        </w:rPr>
      </w:pPr>
      <w:r>
        <w:rPr>
          <w:b/>
          <w:shd w:fill="C0C0C0" w:val="clear"/>
        </w:rPr>
      </w:r>
    </w:p>
    <w:p>
      <w:pPr>
        <w:pStyle w:val="Normal"/>
        <w:jc w:val="both"/>
        <w:rPr>
          <w:color w:val="FF0000"/>
        </w:rPr>
      </w:pPr>
      <w:r>
        <w:rPr>
          <w:color w:val="FF0000"/>
        </w:rPr>
        <w:t xml:space="preserve">Čerpanie jednotlivých rozpočtových položiek bežného rozpočtu je prílohou Záverečného účtu. </w:t>
      </w:r>
    </w:p>
    <w:p>
      <w:pPr>
        <w:pStyle w:val="Normal"/>
        <w:jc w:val="both"/>
        <w:rPr>
          <w:b/>
          <w:shd w:fill="C0C0C0" w:val="clear"/>
        </w:rPr>
      </w:pPr>
      <w:r>
        <w:rPr>
          <w:b/>
          <w:shd w:fill="C0C0C0" w:val="clear"/>
        </w:rPr>
      </w:r>
    </w:p>
    <w:p>
      <w:pPr>
        <w:pStyle w:val="Normal"/>
        <w:rPr>
          <w:b/>
        </w:rPr>
      </w:pPr>
      <w:r>
        <w:rPr>
          <w:b/>
        </w:rPr>
        <w:t>Bežné výdavky rozpočtových organizácií s právnou subjektivitou  z toho :</w:t>
      </w:r>
    </w:p>
    <w:p>
      <w:pPr>
        <w:pStyle w:val="Normal"/>
        <w:tabs>
          <w:tab w:val="left" w:pos="-3060" w:leader="none"/>
          <w:tab w:val="right" w:pos="5040" w:leader="none"/>
        </w:tabs>
        <w:rPr/>
      </w:pPr>
      <w:r>
        <w:rPr/>
        <w:t>Základná škola                                   360 783,35   EUR</w:t>
      </w:r>
    </w:p>
    <w:p>
      <w:pPr>
        <w:pStyle w:val="Normal"/>
        <w:tabs>
          <w:tab w:val="right" w:pos="5040" w:leader="none"/>
        </w:tabs>
        <w:jc w:val="both"/>
        <w:rPr/>
      </w:pPr>
      <w:r>
        <w:rPr/>
        <w:t>Originálne kompetencie MŠ a ŠKD  128 951,46  EUR</w:t>
        <w:tab/>
      </w:r>
    </w:p>
    <w:p>
      <w:pPr>
        <w:pStyle w:val="Normal"/>
        <w:rPr>
          <w:b/>
          <w:color w:val="FF0000"/>
        </w:rPr>
      </w:pPr>
      <w:r>
        <w:rPr>
          <w:b/>
          <w:color w:val="FF0000"/>
        </w:rPr>
      </w:r>
    </w:p>
    <w:p>
      <w:pPr>
        <w:pStyle w:val="Normal"/>
        <w:rPr>
          <w:b/>
          <w:color w:val="FF0000"/>
        </w:rPr>
      </w:pPr>
      <w:r>
        <w:rPr>
          <w:b/>
          <w:color w:val="FF0000"/>
        </w:rPr>
        <w:t>Kapitálové výdavky</w:t>
      </w:r>
    </w:p>
    <w:tbl>
      <w:tblPr>
        <w:jc w:val="left"/>
        <w:tblInd w:w="98" w:type="dxa"/>
        <w:tblBorders>
          <w:top w:val="single" w:sz="4" w:space="0" w:color="000001"/>
          <w:left w:val="single" w:sz="4" w:space="0" w:color="000001"/>
          <w:bottom w:val="single" w:sz="4" w:space="0" w:color="000001"/>
          <w:insideH w:val="single" w:sz="4" w:space="0" w:color="000001"/>
          <w:right w:val="nil"/>
          <w:insideV w:val="nil"/>
        </w:tblBorders>
        <w:tblCellMar>
          <w:top w:w="0" w:type="dxa"/>
          <w:left w:w="93" w:type="dxa"/>
          <w:bottom w:w="0" w:type="dxa"/>
          <w:right w:w="108" w:type="dxa"/>
        </w:tblCellMar>
      </w:tblPr>
      <w:tblGrid>
        <w:gridCol w:w="2960"/>
        <w:gridCol w:w="3071"/>
        <w:gridCol w:w="3415"/>
      </w:tblGrid>
      <w:tr>
        <w:trPr>
          <w:cantSplit w:val="false"/>
        </w:trPr>
        <w:tc>
          <w:tcPr>
            <w:tcW w:w="2960" w:type="dxa"/>
            <w:tcBorders>
              <w:top w:val="single" w:sz="4" w:space="0" w:color="000001"/>
              <w:left w:val="single" w:sz="4" w:space="0" w:color="000001"/>
              <w:bottom w:val="single" w:sz="4" w:space="0" w:color="000001"/>
              <w:insideH w:val="single" w:sz="4" w:space="0" w:color="000001"/>
              <w:right w:val="nil"/>
              <w:insideV w:val="nil"/>
            </w:tcBorders>
            <w:shd w:fill="D9D9D9" w:val="clear"/>
            <w:tcMar>
              <w:left w:w="93" w:type="dxa"/>
            </w:tcMar>
          </w:tcPr>
          <w:p>
            <w:pPr>
              <w:pStyle w:val="Normal"/>
              <w:jc w:val="center"/>
              <w:rPr>
                <w:b/>
              </w:rPr>
            </w:pPr>
            <w:r>
              <w:rPr>
                <w:b/>
              </w:rPr>
              <w:t>Rozpočet na rok 2014</w:t>
            </w:r>
          </w:p>
        </w:tc>
        <w:tc>
          <w:tcPr>
            <w:tcW w:w="3071" w:type="dxa"/>
            <w:tcBorders>
              <w:top w:val="single" w:sz="4" w:space="0" w:color="000001"/>
              <w:left w:val="single" w:sz="4" w:space="0" w:color="000001"/>
              <w:bottom w:val="single" w:sz="4" w:space="0" w:color="000001"/>
              <w:insideH w:val="single" w:sz="4" w:space="0" w:color="000001"/>
              <w:right w:val="nil"/>
              <w:insideV w:val="nil"/>
            </w:tcBorders>
            <w:shd w:fill="D9D9D9" w:val="clear"/>
            <w:tcMar>
              <w:left w:w="93" w:type="dxa"/>
            </w:tcMar>
          </w:tcPr>
          <w:p>
            <w:pPr>
              <w:pStyle w:val="Normal"/>
              <w:jc w:val="center"/>
              <w:rPr>
                <w:b/>
              </w:rPr>
            </w:pPr>
            <w:r>
              <w:rPr>
                <w:b/>
              </w:rPr>
              <w:t>Skutočnosť k 31.12.2014</w:t>
            </w:r>
          </w:p>
        </w:tc>
        <w:tc>
          <w:tcPr>
            <w:tcW w:w="3415" w:type="dxa"/>
            <w:tcBorders>
              <w:top w:val="single" w:sz="4" w:space="0" w:color="000001"/>
              <w:left w:val="single" w:sz="4" w:space="0" w:color="000001"/>
              <w:bottom w:val="single" w:sz="4" w:space="0" w:color="000001"/>
              <w:insideH w:val="single" w:sz="4" w:space="0" w:color="000001"/>
              <w:right w:val="single" w:sz="4" w:space="0" w:color="000001"/>
              <w:insideV w:val="single" w:sz="4" w:space="0" w:color="000001"/>
            </w:tcBorders>
            <w:shd w:fill="D9D9D9" w:val="clear"/>
            <w:tcMar>
              <w:left w:w="93" w:type="dxa"/>
            </w:tcMar>
          </w:tcPr>
          <w:p>
            <w:pPr>
              <w:pStyle w:val="Normal"/>
              <w:jc w:val="center"/>
              <w:rPr>
                <w:b/>
              </w:rPr>
            </w:pPr>
            <w:r>
              <w:rPr>
                <w:b/>
              </w:rPr>
              <w:t>% čerpania</w:t>
            </w:r>
          </w:p>
        </w:tc>
      </w:tr>
      <w:tr>
        <w:trPr>
          <w:cantSplit w:val="false"/>
        </w:trPr>
        <w:tc>
          <w:tcPr>
            <w:tcW w:w="2960" w:type="dxa"/>
            <w:tcBorders>
              <w:top w:val="single" w:sz="4" w:space="0" w:color="000001"/>
              <w:left w:val="single" w:sz="4" w:space="0" w:color="000001"/>
              <w:bottom w:val="single" w:sz="4" w:space="0" w:color="000001"/>
              <w:insideH w:val="single" w:sz="4" w:space="0" w:color="000001"/>
              <w:right w:val="nil"/>
              <w:insideV w:val="nil"/>
            </w:tcBorders>
            <w:shd w:fill="FFFFFF" w:val="clear"/>
            <w:tcMar>
              <w:left w:w="93" w:type="dxa"/>
            </w:tcMar>
          </w:tcPr>
          <w:p>
            <w:pPr>
              <w:pStyle w:val="Normal"/>
              <w:jc w:val="center"/>
              <w:rPr>
                <w:b/>
              </w:rPr>
            </w:pPr>
            <w:r>
              <w:rPr>
                <w:b/>
              </w:rPr>
              <w:t>0</w:t>
            </w:r>
          </w:p>
        </w:tc>
        <w:tc>
          <w:tcPr>
            <w:tcW w:w="3071" w:type="dxa"/>
            <w:tcBorders>
              <w:top w:val="single" w:sz="4" w:space="0" w:color="000001"/>
              <w:left w:val="single" w:sz="4" w:space="0" w:color="000001"/>
              <w:bottom w:val="single" w:sz="4" w:space="0" w:color="000001"/>
              <w:insideH w:val="single" w:sz="4" w:space="0" w:color="000001"/>
              <w:right w:val="nil"/>
              <w:insideV w:val="nil"/>
            </w:tcBorders>
            <w:shd w:fill="FFFFFF" w:val="clear"/>
            <w:tcMar>
              <w:left w:w="93" w:type="dxa"/>
            </w:tcMar>
          </w:tcPr>
          <w:p>
            <w:pPr>
              <w:pStyle w:val="Normal"/>
              <w:rPr>
                <w:b/>
                <w:i/>
              </w:rPr>
            </w:pPr>
            <w:r>
              <w:rPr/>
              <w:t xml:space="preserve">                  </w:t>
            </w:r>
            <w:r>
              <w:rPr>
                <w:b/>
                <w:i/>
              </w:rPr>
              <w:t>0</w:t>
            </w:r>
          </w:p>
        </w:tc>
        <w:tc>
          <w:tcPr>
            <w:tcW w:w="3415" w:type="dxa"/>
            <w:tcBorders>
              <w:top w:val="single" w:sz="4" w:space="0" w:color="000001"/>
              <w:left w:val="single" w:sz="4" w:space="0" w:color="000001"/>
              <w:bottom w:val="single" w:sz="4" w:space="0" w:color="000001"/>
              <w:insideH w:val="single" w:sz="4" w:space="0" w:color="000001"/>
              <w:right w:val="single" w:sz="4" w:space="0" w:color="000001"/>
              <w:insideV w:val="single" w:sz="4" w:space="0" w:color="000001"/>
            </w:tcBorders>
            <w:shd w:fill="FFFFFF" w:val="clear"/>
            <w:tcMar>
              <w:left w:w="93" w:type="dxa"/>
            </w:tcMar>
          </w:tcPr>
          <w:p>
            <w:pPr>
              <w:pStyle w:val="Normal"/>
              <w:rPr>
                <w:b/>
              </w:rPr>
            </w:pPr>
            <w:r>
              <w:rPr>
                <w:b/>
                <w:i/>
              </w:rPr>
              <w:t xml:space="preserve"> </w:t>
            </w:r>
            <w:r>
              <w:rPr>
                <w:b/>
              </w:rPr>
              <w:t xml:space="preserve">              </w:t>
            </w:r>
          </w:p>
        </w:tc>
      </w:tr>
    </w:tbl>
    <w:p>
      <w:pPr>
        <w:pStyle w:val="Normal"/>
        <w:rPr/>
      </w:pPr>
      <w:r>
        <w:rPr/>
      </w:r>
    </w:p>
    <w:p>
      <w:pPr>
        <w:pStyle w:val="Normal"/>
        <w:jc w:val="both"/>
        <w:rPr/>
      </w:pPr>
      <w:r>
        <w:rPr/>
        <w:t xml:space="preserve">Z rozpočtovaných kapitálových  výdavkov 0 EUR bolo skutočne čerpané  k 31.12.2014 v sume 0 EUR. </w:t>
      </w:r>
    </w:p>
    <w:p>
      <w:pPr>
        <w:pStyle w:val="Normal"/>
        <w:jc w:val="both"/>
        <w:rPr>
          <w:b/>
          <w:shd w:fill="C0C0C0" w:val="clear"/>
        </w:rPr>
      </w:pPr>
      <w:r>
        <w:rPr>
          <w:b/>
          <w:shd w:fill="C0C0C0" w:val="clear"/>
        </w:rPr>
      </w:r>
    </w:p>
    <w:p>
      <w:pPr>
        <w:pStyle w:val="Normal"/>
        <w:jc w:val="both"/>
        <w:rPr>
          <w:color w:val="FF0000"/>
        </w:rPr>
      </w:pPr>
      <w:r>
        <w:rPr>
          <w:color w:val="FF0000"/>
        </w:rPr>
        <w:t xml:space="preserve"> </w:t>
      </w:r>
    </w:p>
    <w:p>
      <w:pPr>
        <w:pStyle w:val="Normal"/>
        <w:tabs>
          <w:tab w:val="right" w:pos="5040" w:leader="none"/>
        </w:tabs>
        <w:jc w:val="both"/>
        <w:rPr/>
      </w:pPr>
      <w:r>
        <w:rPr/>
      </w:r>
    </w:p>
    <w:p>
      <w:pPr>
        <w:pStyle w:val="Normal"/>
        <w:tabs>
          <w:tab w:val="right" w:pos="5040" w:leader="none"/>
        </w:tabs>
        <w:jc w:val="both"/>
        <w:rPr>
          <w:b/>
          <w:color w:val="0000FF"/>
          <w:sz w:val="28"/>
          <w:szCs w:val="28"/>
        </w:rPr>
      </w:pPr>
      <w:r>
        <w:rPr/>
        <w:tab/>
      </w:r>
      <w:r>
        <w:rPr>
          <w:b/>
          <w:color w:val="0000FF"/>
          <w:sz w:val="28"/>
          <w:szCs w:val="28"/>
        </w:rPr>
        <w:t>4. Prebytok/schodok rozpočtového hospodárenia za rok 2014</w:t>
      </w:r>
    </w:p>
    <w:p>
      <w:pPr>
        <w:pStyle w:val="Normal"/>
        <w:tabs>
          <w:tab w:val="right" w:pos="5040" w:leader="none"/>
        </w:tabs>
        <w:jc w:val="both"/>
        <w:rPr>
          <w:b/>
          <w:color w:val="0000FF"/>
          <w:sz w:val="28"/>
          <w:szCs w:val="28"/>
        </w:rPr>
      </w:pPr>
      <w:r>
        <w:rPr>
          <w:b/>
          <w:color w:val="0000FF"/>
          <w:sz w:val="28"/>
          <w:szCs w:val="28"/>
        </w:rPr>
      </w:r>
    </w:p>
    <w:tbl>
      <w:tblPr>
        <w:jc w:val="left"/>
        <w:tblInd w:w="0" w:type="dxa"/>
        <w:tblBorders>
          <w:top w:val="double" w:sz="6" w:space="0" w:color="000000"/>
          <w:left w:val="double" w:sz="6" w:space="0" w:color="000000"/>
          <w:bottom w:val="nil"/>
          <w:insideH w:val="nil"/>
          <w:right w:val="nil"/>
          <w:insideV w:val="nil"/>
        </w:tblBorders>
        <w:tblCellMar>
          <w:top w:w="0" w:type="dxa"/>
          <w:left w:w="-22" w:type="dxa"/>
          <w:bottom w:w="0" w:type="dxa"/>
          <w:right w:w="0" w:type="dxa"/>
        </w:tblCellMar>
      </w:tblPr>
      <w:tblGrid>
        <w:gridCol w:w="5670"/>
        <w:gridCol w:w="3866"/>
      </w:tblGrid>
      <w:tr>
        <w:trPr>
          <w:trHeight w:val="300" w:hRule="atLeast"/>
          <w:cantSplit w:val="false"/>
        </w:trPr>
        <w:tc>
          <w:tcPr>
            <w:tcW w:w="5670" w:type="dxa"/>
            <w:tcBorders>
              <w:top w:val="double" w:sz="6" w:space="0" w:color="000000"/>
              <w:left w:val="double" w:sz="6" w:space="0" w:color="000000"/>
              <w:bottom w:val="nil"/>
              <w:insideH w:val="nil"/>
              <w:right w:val="nil"/>
              <w:insideV w:val="nil"/>
            </w:tcBorders>
            <w:shd w:fill="D9D9D9" w:val="clear"/>
            <w:tcMar>
              <w:left w:w="-22" w:type="dxa"/>
            </w:tcMar>
            <w:vAlign w:val="center"/>
          </w:tcPr>
          <w:p>
            <w:pPr>
              <w:pStyle w:val="Normal"/>
              <w:snapToGrid w:val="false"/>
              <w:jc w:val="center"/>
              <w:rPr/>
            </w:pPr>
            <w:r>
              <w:rPr/>
            </w:r>
          </w:p>
          <w:p>
            <w:pPr>
              <w:pStyle w:val="Normal"/>
              <w:jc w:val="center"/>
              <w:rPr>
                <w:rStyle w:val="Silnzvraznenie"/>
              </w:rPr>
            </w:pPr>
            <w:r>
              <w:rPr>
                <w:rStyle w:val="Silnzvraznenie"/>
              </w:rPr>
              <w:t>Hospodárenie obce</w:t>
            </w:r>
          </w:p>
        </w:tc>
        <w:tc>
          <w:tcPr>
            <w:tcW w:w="3866" w:type="dxa"/>
            <w:vMerge w:val="restart"/>
            <w:tcBorders>
              <w:top w:val="double" w:sz="6" w:space="0" w:color="000000"/>
              <w:left w:val="single" w:sz="8" w:space="0" w:color="000000"/>
              <w:bottom w:val="single" w:sz="8" w:space="0" w:color="000000"/>
              <w:insideH w:val="single" w:sz="8" w:space="0" w:color="000000"/>
              <w:right w:val="double" w:sz="6" w:space="0" w:color="000000"/>
              <w:insideV w:val="double" w:sz="6" w:space="0" w:color="000000"/>
            </w:tcBorders>
            <w:shd w:fill="D9D9D9" w:val="clear"/>
            <w:tcMar>
              <w:left w:w="-10" w:type="dxa"/>
            </w:tcMar>
            <w:vAlign w:val="center"/>
          </w:tcPr>
          <w:p>
            <w:pPr>
              <w:pStyle w:val="Normal"/>
              <w:tabs>
                <w:tab w:val="right" w:pos="8820" w:leader="none"/>
              </w:tabs>
              <w:snapToGrid w:val="false"/>
              <w:jc w:val="center"/>
              <w:rPr>
                <w:b/>
              </w:rPr>
            </w:pPr>
            <w:r>
              <w:rPr>
                <w:b/>
              </w:rPr>
            </w:r>
          </w:p>
          <w:p>
            <w:pPr>
              <w:pStyle w:val="Normal"/>
              <w:tabs>
                <w:tab w:val="right" w:pos="8820" w:leader="none"/>
              </w:tabs>
              <w:jc w:val="center"/>
              <w:rPr>
                <w:b/>
              </w:rPr>
            </w:pPr>
            <w:r>
              <w:rPr>
                <w:b/>
              </w:rPr>
              <w:t>Skutočnosť k 31.12.2014 v EUR</w:t>
            </w:r>
          </w:p>
          <w:p>
            <w:pPr>
              <w:pStyle w:val="Normal"/>
              <w:jc w:val="center"/>
              <w:rPr/>
            </w:pPr>
            <w:r>
              <w:rPr/>
            </w:r>
          </w:p>
        </w:tc>
      </w:tr>
      <w:tr>
        <w:trPr>
          <w:trHeight w:val="300" w:hRule="atLeast"/>
          <w:cantSplit w:val="false"/>
        </w:trPr>
        <w:tc>
          <w:tcPr>
            <w:tcW w:w="5670" w:type="dxa"/>
            <w:tcBorders>
              <w:top w:val="nil"/>
              <w:left w:val="double" w:sz="6" w:space="0" w:color="000000"/>
              <w:bottom w:val="single" w:sz="8" w:space="0" w:color="000000"/>
              <w:insideH w:val="single" w:sz="8" w:space="0" w:color="000000"/>
              <w:right w:val="nil"/>
              <w:insideV w:val="nil"/>
            </w:tcBorders>
            <w:shd w:fill="D9D9D9" w:val="clear"/>
            <w:tcMar>
              <w:left w:w="-22" w:type="dxa"/>
            </w:tcMar>
            <w:vAlign w:val="center"/>
          </w:tcPr>
          <w:p>
            <w:pPr>
              <w:pStyle w:val="Normal"/>
              <w:snapToGrid w:val="false"/>
              <w:rPr/>
            </w:pPr>
            <w:r>
              <w:rPr/>
            </w:r>
          </w:p>
        </w:tc>
        <w:tc>
          <w:tcPr>
            <w:tcW w:w="3866" w:type="dxa"/>
            <w:vMerge w:val="continue"/>
            <w:tcBorders>
              <w:top w:val="double" w:sz="6" w:space="0" w:color="000000"/>
              <w:left w:val="single" w:sz="8" w:space="0" w:color="000000"/>
              <w:bottom w:val="single" w:sz="8" w:space="0" w:color="000000"/>
              <w:insideH w:val="single" w:sz="8" w:space="0" w:color="000000"/>
              <w:right w:val="double" w:sz="6" w:space="0" w:color="000000"/>
              <w:insideV w:val="double" w:sz="6" w:space="0" w:color="000000"/>
            </w:tcBorders>
            <w:shd w:fill="D9D9D9" w:val="clear"/>
            <w:tcMar>
              <w:left w:w="-10" w:type="dxa"/>
            </w:tcMar>
            <w:vAlign w:val="center"/>
          </w:tcPr>
          <w:p>
            <w:pPr>
              <w:pStyle w:val="Normal"/>
              <w:snapToGrid w:val="false"/>
              <w:rPr/>
            </w:pPr>
            <w:r>
              <w:rPr/>
            </w:r>
          </w:p>
        </w:tc>
      </w:tr>
      <w:tr>
        <w:trPr>
          <w:trHeight w:val="300" w:hRule="atLeast"/>
          <w:cantSplit w:val="false"/>
        </w:trPr>
        <w:tc>
          <w:tcPr>
            <w:tcW w:w="5670" w:type="dxa"/>
            <w:tcBorders>
              <w:top w:val="single" w:sz="8" w:space="0" w:color="000000"/>
              <w:left w:val="double" w:sz="6" w:space="0" w:color="000000"/>
              <w:bottom w:val="single" w:sz="8" w:space="0" w:color="000000"/>
              <w:insideH w:val="single" w:sz="8" w:space="0" w:color="000000"/>
              <w:right w:val="nil"/>
              <w:insideV w:val="nil"/>
            </w:tcBorders>
            <w:shd w:fill="DDD9C3" w:val="clear"/>
            <w:tcMar>
              <w:left w:w="-22" w:type="dxa"/>
            </w:tcMar>
            <w:vAlign w:val="center"/>
          </w:tcPr>
          <w:p>
            <w:pPr>
              <w:pStyle w:val="Normal"/>
              <w:rPr>
                <w:sz w:val="20"/>
                <w:szCs w:val="20"/>
              </w:rPr>
            </w:pPr>
            <w:r>
              <w:rPr>
                <w:sz w:val="20"/>
                <w:szCs w:val="20"/>
              </w:rPr>
              <w:t>Bežné  príjmy spolu</w:t>
            </w:r>
          </w:p>
        </w:tc>
        <w:tc>
          <w:tcPr>
            <w:tcW w:w="3866" w:type="dxa"/>
            <w:tcBorders>
              <w:top w:val="nil"/>
              <w:left w:val="single" w:sz="8" w:space="0" w:color="000000"/>
              <w:bottom w:val="single" w:sz="8" w:space="0" w:color="000000"/>
              <w:insideH w:val="single" w:sz="8" w:space="0" w:color="000000"/>
              <w:right w:val="double" w:sz="6" w:space="0" w:color="000000"/>
              <w:insideV w:val="double" w:sz="6" w:space="0" w:color="000000"/>
            </w:tcBorders>
            <w:shd w:fill="FFFFFF" w:val="clear"/>
            <w:tcMar>
              <w:left w:w="-10" w:type="dxa"/>
            </w:tcMar>
            <w:vAlign w:val="center"/>
          </w:tcPr>
          <w:p>
            <w:pPr>
              <w:pStyle w:val="Normal"/>
              <w:snapToGrid w:val="false"/>
              <w:jc w:val="right"/>
              <w:rPr>
                <w:b/>
                <w:bCs/>
              </w:rPr>
            </w:pPr>
            <w:r>
              <w:rPr>
                <w:b/>
                <w:bCs/>
              </w:rPr>
              <w:t>924 463,72</w:t>
            </w:r>
          </w:p>
        </w:tc>
      </w:tr>
      <w:tr>
        <w:trPr>
          <w:trHeight w:val="300" w:hRule="atLeast"/>
          <w:cantSplit w:val="false"/>
        </w:trPr>
        <w:tc>
          <w:tcPr>
            <w:tcW w:w="5670" w:type="dxa"/>
            <w:tcBorders>
              <w:top w:val="single" w:sz="8" w:space="0" w:color="000000"/>
              <w:left w:val="double" w:sz="6" w:space="0" w:color="000000"/>
              <w:bottom w:val="single" w:sz="8" w:space="0" w:color="000000"/>
              <w:insideH w:val="single" w:sz="8" w:space="0" w:color="000000"/>
              <w:right w:val="nil"/>
              <w:insideV w:val="nil"/>
            </w:tcBorders>
            <w:shd w:fill="auto" w:val="clear"/>
            <w:tcMar>
              <w:left w:w="-22" w:type="dxa"/>
            </w:tcMar>
            <w:vAlign w:val="center"/>
          </w:tcPr>
          <w:p>
            <w:pPr>
              <w:pStyle w:val="Normal"/>
              <w:rPr>
                <w:sz w:val="20"/>
                <w:szCs w:val="20"/>
              </w:rPr>
            </w:pPr>
            <w:r>
              <w:rPr>
                <w:sz w:val="20"/>
                <w:szCs w:val="20"/>
              </w:rPr>
              <w:t xml:space="preserve">z toho : bežné príjmy obce </w:t>
            </w:r>
          </w:p>
        </w:tc>
        <w:tc>
          <w:tcPr>
            <w:tcW w:w="3866" w:type="dxa"/>
            <w:tcBorders>
              <w:top w:val="nil"/>
              <w:left w:val="single" w:sz="8" w:space="0" w:color="000000"/>
              <w:bottom w:val="single" w:sz="8" w:space="0" w:color="000000"/>
              <w:insideH w:val="single" w:sz="8" w:space="0" w:color="000000"/>
              <w:right w:val="double" w:sz="6" w:space="0" w:color="000000"/>
              <w:insideV w:val="double" w:sz="6" w:space="0" w:color="000000"/>
            </w:tcBorders>
            <w:shd w:fill="auto" w:val="clear"/>
            <w:tcMar>
              <w:left w:w="-10" w:type="dxa"/>
            </w:tcMar>
            <w:vAlign w:val="center"/>
          </w:tcPr>
          <w:p>
            <w:pPr>
              <w:pStyle w:val="Normal"/>
              <w:snapToGrid w:val="false"/>
              <w:jc w:val="right"/>
              <w:rPr/>
            </w:pPr>
            <w:r>
              <w:rPr/>
              <w:t>561 854,56</w:t>
            </w:r>
          </w:p>
        </w:tc>
      </w:tr>
      <w:tr>
        <w:trPr>
          <w:trHeight w:val="300" w:hRule="atLeast"/>
          <w:cantSplit w:val="false"/>
        </w:trPr>
        <w:tc>
          <w:tcPr>
            <w:tcW w:w="5670" w:type="dxa"/>
            <w:tcBorders>
              <w:top w:val="single" w:sz="8" w:space="0" w:color="000000"/>
              <w:left w:val="double" w:sz="6" w:space="0" w:color="000000"/>
              <w:bottom w:val="single" w:sz="8" w:space="0" w:color="000000"/>
              <w:insideH w:val="single" w:sz="8" w:space="0" w:color="000000"/>
              <w:right w:val="nil"/>
              <w:insideV w:val="nil"/>
            </w:tcBorders>
            <w:shd w:fill="auto" w:val="clear"/>
            <w:tcMar>
              <w:left w:w="-22" w:type="dxa"/>
            </w:tcMar>
            <w:vAlign w:val="center"/>
          </w:tcPr>
          <w:p>
            <w:pPr>
              <w:pStyle w:val="Normal"/>
              <w:rPr>
                <w:sz w:val="20"/>
                <w:szCs w:val="20"/>
              </w:rPr>
            </w:pPr>
            <w:r>
              <w:rPr>
                <w:sz w:val="20"/>
                <w:szCs w:val="20"/>
              </w:rPr>
              <w:t xml:space="preserve">             </w:t>
            </w:r>
            <w:r>
              <w:rPr>
                <w:sz w:val="20"/>
                <w:szCs w:val="20"/>
              </w:rPr>
              <w:t>bežné príjmy RO</w:t>
            </w:r>
          </w:p>
        </w:tc>
        <w:tc>
          <w:tcPr>
            <w:tcW w:w="3866" w:type="dxa"/>
            <w:tcBorders>
              <w:top w:val="nil"/>
              <w:left w:val="single" w:sz="8" w:space="0" w:color="000000"/>
              <w:bottom w:val="single" w:sz="8" w:space="0" w:color="000000"/>
              <w:insideH w:val="single" w:sz="8" w:space="0" w:color="000000"/>
              <w:right w:val="double" w:sz="6" w:space="0" w:color="000000"/>
              <w:insideV w:val="double" w:sz="6" w:space="0" w:color="000000"/>
            </w:tcBorders>
            <w:shd w:fill="auto" w:val="clear"/>
            <w:tcMar>
              <w:left w:w="-10" w:type="dxa"/>
            </w:tcMar>
            <w:vAlign w:val="center"/>
          </w:tcPr>
          <w:p>
            <w:pPr>
              <w:pStyle w:val="Normal"/>
              <w:snapToGrid w:val="false"/>
              <w:jc w:val="right"/>
              <w:rPr/>
            </w:pPr>
            <w:r>
              <w:rPr/>
              <w:t>362 609,16</w:t>
            </w:r>
          </w:p>
        </w:tc>
      </w:tr>
      <w:tr>
        <w:trPr>
          <w:trHeight w:val="300" w:hRule="atLeast"/>
          <w:cantSplit w:val="false"/>
        </w:trPr>
        <w:tc>
          <w:tcPr>
            <w:tcW w:w="5670" w:type="dxa"/>
            <w:tcBorders>
              <w:top w:val="single" w:sz="8" w:space="0" w:color="000000"/>
              <w:left w:val="double" w:sz="6" w:space="0" w:color="000000"/>
              <w:bottom w:val="single" w:sz="8" w:space="0" w:color="000000"/>
              <w:insideH w:val="single" w:sz="8" w:space="0" w:color="000000"/>
              <w:right w:val="nil"/>
              <w:insideV w:val="nil"/>
            </w:tcBorders>
            <w:shd w:fill="DDD9C3" w:val="clear"/>
            <w:tcMar>
              <w:left w:w="-22" w:type="dxa"/>
            </w:tcMar>
            <w:vAlign w:val="center"/>
          </w:tcPr>
          <w:p>
            <w:pPr>
              <w:pStyle w:val="Normal"/>
              <w:rPr>
                <w:sz w:val="20"/>
                <w:szCs w:val="20"/>
              </w:rPr>
            </w:pPr>
            <w:r>
              <w:rPr>
                <w:sz w:val="20"/>
                <w:szCs w:val="20"/>
              </w:rPr>
              <w:t>Bežné výdavky spolu</w:t>
            </w:r>
          </w:p>
        </w:tc>
        <w:tc>
          <w:tcPr>
            <w:tcW w:w="3866" w:type="dxa"/>
            <w:tcBorders>
              <w:top w:val="nil"/>
              <w:left w:val="single" w:sz="8" w:space="0" w:color="000000"/>
              <w:bottom w:val="single" w:sz="8" w:space="0" w:color="000000"/>
              <w:insideH w:val="single" w:sz="8" w:space="0" w:color="000000"/>
              <w:right w:val="double" w:sz="6" w:space="0" w:color="000000"/>
              <w:insideV w:val="double" w:sz="6" w:space="0" w:color="000000"/>
            </w:tcBorders>
            <w:shd w:fill="FFFFFF" w:val="clear"/>
            <w:tcMar>
              <w:left w:w="-10" w:type="dxa"/>
            </w:tcMar>
            <w:vAlign w:val="center"/>
          </w:tcPr>
          <w:p>
            <w:pPr>
              <w:pStyle w:val="Normal"/>
              <w:snapToGrid w:val="false"/>
              <w:jc w:val="right"/>
              <w:rPr>
                <w:b/>
                <w:bCs/>
              </w:rPr>
            </w:pPr>
            <w:r>
              <w:rPr>
                <w:b/>
                <w:bCs/>
              </w:rPr>
              <w:t>829 621,32</w:t>
            </w:r>
          </w:p>
        </w:tc>
      </w:tr>
      <w:tr>
        <w:trPr>
          <w:trHeight w:val="300" w:hRule="atLeast"/>
          <w:cantSplit w:val="false"/>
        </w:trPr>
        <w:tc>
          <w:tcPr>
            <w:tcW w:w="5670" w:type="dxa"/>
            <w:tcBorders>
              <w:top w:val="single" w:sz="8" w:space="0" w:color="000000"/>
              <w:left w:val="double" w:sz="6" w:space="0" w:color="000000"/>
              <w:bottom w:val="single" w:sz="8" w:space="0" w:color="000000"/>
              <w:insideH w:val="single" w:sz="8" w:space="0" w:color="000000"/>
              <w:right w:val="nil"/>
              <w:insideV w:val="nil"/>
            </w:tcBorders>
            <w:shd w:fill="auto" w:val="clear"/>
            <w:tcMar>
              <w:left w:w="-22" w:type="dxa"/>
            </w:tcMar>
            <w:vAlign w:val="center"/>
          </w:tcPr>
          <w:p>
            <w:pPr>
              <w:pStyle w:val="Normal"/>
              <w:rPr>
                <w:sz w:val="20"/>
                <w:szCs w:val="20"/>
              </w:rPr>
            </w:pPr>
            <w:r>
              <w:rPr>
                <w:sz w:val="20"/>
                <w:szCs w:val="20"/>
              </w:rPr>
              <w:t xml:space="preserve">z toho : bežné výdavky  obce </w:t>
            </w:r>
          </w:p>
        </w:tc>
        <w:tc>
          <w:tcPr>
            <w:tcW w:w="3866" w:type="dxa"/>
            <w:tcBorders>
              <w:top w:val="nil"/>
              <w:left w:val="single" w:sz="8" w:space="0" w:color="000000"/>
              <w:bottom w:val="single" w:sz="8" w:space="0" w:color="000000"/>
              <w:insideH w:val="single" w:sz="8" w:space="0" w:color="000000"/>
              <w:right w:val="double" w:sz="6" w:space="0" w:color="000000"/>
              <w:insideV w:val="double" w:sz="6" w:space="0" w:color="000000"/>
            </w:tcBorders>
            <w:shd w:fill="auto" w:val="clear"/>
            <w:tcMar>
              <w:left w:w="-10" w:type="dxa"/>
            </w:tcMar>
            <w:vAlign w:val="center"/>
          </w:tcPr>
          <w:p>
            <w:pPr>
              <w:pStyle w:val="Normal"/>
              <w:snapToGrid w:val="false"/>
              <w:jc w:val="right"/>
              <w:rPr/>
            </w:pPr>
            <w:r>
              <w:rPr/>
              <w:t>338 060,70</w:t>
            </w:r>
          </w:p>
        </w:tc>
      </w:tr>
      <w:tr>
        <w:trPr>
          <w:trHeight w:val="300" w:hRule="atLeast"/>
          <w:cantSplit w:val="false"/>
        </w:trPr>
        <w:tc>
          <w:tcPr>
            <w:tcW w:w="5670" w:type="dxa"/>
            <w:tcBorders>
              <w:top w:val="single" w:sz="8" w:space="0" w:color="000000"/>
              <w:left w:val="double" w:sz="6" w:space="0" w:color="000000"/>
              <w:bottom w:val="single" w:sz="8" w:space="0" w:color="000000"/>
              <w:insideH w:val="single" w:sz="8" w:space="0" w:color="000000"/>
              <w:right w:val="nil"/>
              <w:insideV w:val="nil"/>
            </w:tcBorders>
            <w:shd w:fill="auto" w:val="clear"/>
            <w:tcMar>
              <w:left w:w="-22" w:type="dxa"/>
            </w:tcMar>
            <w:vAlign w:val="center"/>
          </w:tcPr>
          <w:p>
            <w:pPr>
              <w:pStyle w:val="Normal"/>
              <w:rPr>
                <w:sz w:val="20"/>
                <w:szCs w:val="20"/>
              </w:rPr>
            </w:pPr>
            <w:r>
              <w:rPr>
                <w:sz w:val="20"/>
                <w:szCs w:val="20"/>
              </w:rPr>
              <w:t xml:space="preserve">             </w:t>
            </w:r>
            <w:r>
              <w:rPr>
                <w:sz w:val="20"/>
                <w:szCs w:val="20"/>
              </w:rPr>
              <w:t>bežné výdavky  RO</w:t>
            </w:r>
          </w:p>
        </w:tc>
        <w:tc>
          <w:tcPr>
            <w:tcW w:w="3866" w:type="dxa"/>
            <w:tcBorders>
              <w:top w:val="nil"/>
              <w:left w:val="single" w:sz="8" w:space="0" w:color="000000"/>
              <w:bottom w:val="single" w:sz="8" w:space="0" w:color="000000"/>
              <w:insideH w:val="single" w:sz="8" w:space="0" w:color="000000"/>
              <w:right w:val="double" w:sz="6" w:space="0" w:color="000000"/>
              <w:insideV w:val="double" w:sz="6" w:space="0" w:color="000000"/>
            </w:tcBorders>
            <w:shd w:fill="auto" w:val="clear"/>
            <w:tcMar>
              <w:left w:w="-10" w:type="dxa"/>
            </w:tcMar>
            <w:vAlign w:val="center"/>
          </w:tcPr>
          <w:p>
            <w:pPr>
              <w:pStyle w:val="Normal"/>
              <w:snapToGrid w:val="false"/>
              <w:jc w:val="right"/>
              <w:rPr/>
            </w:pPr>
            <w:r>
              <w:rPr/>
              <w:t>491 560,62</w:t>
            </w:r>
          </w:p>
        </w:tc>
      </w:tr>
      <w:tr>
        <w:trPr>
          <w:trHeight w:val="285" w:hRule="atLeast"/>
          <w:cantSplit w:val="false"/>
        </w:trPr>
        <w:tc>
          <w:tcPr>
            <w:tcW w:w="5670" w:type="dxa"/>
            <w:tcBorders>
              <w:top w:val="single" w:sz="8" w:space="0" w:color="000000"/>
              <w:left w:val="double" w:sz="6" w:space="0" w:color="000000"/>
              <w:bottom w:val="single" w:sz="8" w:space="0" w:color="000000"/>
              <w:insideH w:val="single" w:sz="8" w:space="0" w:color="000000"/>
              <w:right w:val="nil"/>
              <w:insideV w:val="nil"/>
            </w:tcBorders>
            <w:shd w:fill="D9D9D9" w:val="clear"/>
            <w:tcMar>
              <w:left w:w="-22" w:type="dxa"/>
            </w:tcMar>
            <w:vAlign w:val="center"/>
          </w:tcPr>
          <w:p>
            <w:pPr>
              <w:pStyle w:val="Normal"/>
              <w:rPr>
                <w:rStyle w:val="Zdraznenie"/>
                <w:b/>
                <w:bCs/>
                <w:sz w:val="20"/>
                <w:szCs w:val="20"/>
              </w:rPr>
            </w:pPr>
            <w:r>
              <w:rPr>
                <w:rStyle w:val="Zdraznenie"/>
                <w:b/>
                <w:bCs/>
                <w:sz w:val="20"/>
                <w:szCs w:val="20"/>
              </w:rPr>
              <w:t>Bežný rozpočet</w:t>
            </w:r>
          </w:p>
        </w:tc>
        <w:tc>
          <w:tcPr>
            <w:tcW w:w="3866" w:type="dxa"/>
            <w:tcBorders>
              <w:top w:val="nil"/>
              <w:left w:val="single" w:sz="8" w:space="0" w:color="000000"/>
              <w:bottom w:val="single" w:sz="8" w:space="0" w:color="000000"/>
              <w:insideH w:val="single" w:sz="8" w:space="0" w:color="000000"/>
              <w:right w:val="double" w:sz="6" w:space="0" w:color="000000"/>
              <w:insideV w:val="double" w:sz="6" w:space="0" w:color="000000"/>
            </w:tcBorders>
            <w:shd w:fill="D9D9D9" w:val="clear"/>
            <w:tcMar>
              <w:left w:w="-10" w:type="dxa"/>
            </w:tcMar>
            <w:vAlign w:val="center"/>
          </w:tcPr>
          <w:p>
            <w:pPr>
              <w:pStyle w:val="Normal"/>
              <w:snapToGrid w:val="false"/>
              <w:jc w:val="right"/>
              <w:rPr/>
            </w:pPr>
            <w:r>
              <w:rPr/>
              <w:t>94 842,40</w:t>
            </w:r>
          </w:p>
        </w:tc>
      </w:tr>
      <w:tr>
        <w:trPr>
          <w:trHeight w:val="300" w:hRule="atLeast"/>
          <w:cantSplit w:val="false"/>
        </w:trPr>
        <w:tc>
          <w:tcPr>
            <w:tcW w:w="5670" w:type="dxa"/>
            <w:tcBorders>
              <w:top w:val="single" w:sz="8" w:space="0" w:color="000000"/>
              <w:left w:val="double" w:sz="6" w:space="0" w:color="000000"/>
              <w:bottom w:val="single" w:sz="8" w:space="0" w:color="000000"/>
              <w:insideH w:val="single" w:sz="8" w:space="0" w:color="000000"/>
              <w:right w:val="nil"/>
              <w:insideV w:val="nil"/>
            </w:tcBorders>
            <w:shd w:fill="DDD9C3" w:val="clear"/>
            <w:tcMar>
              <w:left w:w="-22" w:type="dxa"/>
            </w:tcMar>
            <w:vAlign w:val="center"/>
          </w:tcPr>
          <w:p>
            <w:pPr>
              <w:pStyle w:val="Normal"/>
              <w:rPr>
                <w:sz w:val="20"/>
                <w:szCs w:val="20"/>
              </w:rPr>
            </w:pPr>
            <w:r>
              <w:rPr>
                <w:sz w:val="20"/>
                <w:szCs w:val="20"/>
              </w:rPr>
              <w:t>Kapitálové  príjmy spolu</w:t>
            </w:r>
          </w:p>
        </w:tc>
        <w:tc>
          <w:tcPr>
            <w:tcW w:w="3866" w:type="dxa"/>
            <w:tcBorders>
              <w:top w:val="nil"/>
              <w:left w:val="single" w:sz="8" w:space="0" w:color="000000"/>
              <w:bottom w:val="single" w:sz="8" w:space="0" w:color="000000"/>
              <w:insideH w:val="single" w:sz="8" w:space="0" w:color="000000"/>
              <w:right w:val="double" w:sz="6" w:space="0" w:color="000000"/>
              <w:insideV w:val="double" w:sz="6" w:space="0" w:color="000000"/>
            </w:tcBorders>
            <w:shd w:fill="FFFFFF" w:val="clear"/>
            <w:tcMar>
              <w:left w:w="-10" w:type="dxa"/>
            </w:tcMar>
            <w:vAlign w:val="center"/>
          </w:tcPr>
          <w:p>
            <w:pPr>
              <w:pStyle w:val="Normal"/>
              <w:snapToGrid w:val="false"/>
              <w:jc w:val="right"/>
              <w:rPr/>
            </w:pPr>
            <w:r>
              <w:rPr/>
              <w:t>14 095,60</w:t>
            </w:r>
          </w:p>
        </w:tc>
      </w:tr>
      <w:tr>
        <w:trPr>
          <w:trHeight w:val="300" w:hRule="atLeast"/>
          <w:cantSplit w:val="false"/>
        </w:trPr>
        <w:tc>
          <w:tcPr>
            <w:tcW w:w="5670" w:type="dxa"/>
            <w:tcBorders>
              <w:top w:val="single" w:sz="8" w:space="0" w:color="000000"/>
              <w:left w:val="double" w:sz="6" w:space="0" w:color="000000"/>
              <w:bottom w:val="single" w:sz="8" w:space="0" w:color="000000"/>
              <w:insideH w:val="single" w:sz="8" w:space="0" w:color="000000"/>
              <w:right w:val="nil"/>
              <w:insideV w:val="nil"/>
            </w:tcBorders>
            <w:shd w:fill="auto" w:val="clear"/>
            <w:tcMar>
              <w:left w:w="-22" w:type="dxa"/>
            </w:tcMar>
            <w:vAlign w:val="center"/>
          </w:tcPr>
          <w:p>
            <w:pPr>
              <w:pStyle w:val="Normal"/>
              <w:rPr>
                <w:sz w:val="20"/>
                <w:szCs w:val="20"/>
              </w:rPr>
            </w:pPr>
            <w:r>
              <w:rPr>
                <w:sz w:val="20"/>
                <w:szCs w:val="20"/>
              </w:rPr>
              <w:t xml:space="preserve">z toho : kapitálové  príjmy obce </w:t>
            </w:r>
          </w:p>
        </w:tc>
        <w:tc>
          <w:tcPr>
            <w:tcW w:w="3866" w:type="dxa"/>
            <w:tcBorders>
              <w:top w:val="nil"/>
              <w:left w:val="single" w:sz="8" w:space="0" w:color="000000"/>
              <w:bottom w:val="single" w:sz="8" w:space="0" w:color="000000"/>
              <w:insideH w:val="single" w:sz="8" w:space="0" w:color="000000"/>
              <w:right w:val="double" w:sz="6" w:space="0" w:color="000000"/>
              <w:insideV w:val="double" w:sz="6" w:space="0" w:color="000000"/>
            </w:tcBorders>
            <w:shd w:fill="auto" w:val="clear"/>
            <w:tcMar>
              <w:left w:w="-10" w:type="dxa"/>
            </w:tcMar>
            <w:vAlign w:val="center"/>
          </w:tcPr>
          <w:p>
            <w:pPr>
              <w:pStyle w:val="Normal"/>
              <w:snapToGrid w:val="false"/>
              <w:jc w:val="right"/>
              <w:rPr/>
            </w:pPr>
            <w:r>
              <w:rPr/>
              <w:t>14 095,60</w:t>
            </w:r>
          </w:p>
        </w:tc>
      </w:tr>
      <w:tr>
        <w:trPr>
          <w:trHeight w:val="300" w:hRule="atLeast"/>
          <w:cantSplit w:val="false"/>
        </w:trPr>
        <w:tc>
          <w:tcPr>
            <w:tcW w:w="5670" w:type="dxa"/>
            <w:tcBorders>
              <w:top w:val="single" w:sz="8" w:space="0" w:color="000000"/>
              <w:left w:val="double" w:sz="6" w:space="0" w:color="000000"/>
              <w:bottom w:val="single" w:sz="8" w:space="0" w:color="000000"/>
              <w:insideH w:val="single" w:sz="8" w:space="0" w:color="000000"/>
              <w:right w:val="nil"/>
              <w:insideV w:val="nil"/>
            </w:tcBorders>
            <w:shd w:fill="auto" w:val="clear"/>
            <w:tcMar>
              <w:left w:w="-22" w:type="dxa"/>
            </w:tcMar>
            <w:vAlign w:val="center"/>
          </w:tcPr>
          <w:p>
            <w:pPr>
              <w:pStyle w:val="Normal"/>
              <w:rPr>
                <w:sz w:val="20"/>
                <w:szCs w:val="20"/>
              </w:rPr>
            </w:pPr>
            <w:r>
              <w:rPr>
                <w:sz w:val="20"/>
                <w:szCs w:val="20"/>
              </w:rPr>
              <w:t xml:space="preserve">             </w:t>
            </w:r>
            <w:r>
              <w:rPr>
                <w:sz w:val="20"/>
                <w:szCs w:val="20"/>
              </w:rPr>
              <w:t>kapitálové  príjmy RO</w:t>
            </w:r>
          </w:p>
        </w:tc>
        <w:tc>
          <w:tcPr>
            <w:tcW w:w="3866" w:type="dxa"/>
            <w:tcBorders>
              <w:top w:val="nil"/>
              <w:left w:val="single" w:sz="8" w:space="0" w:color="000000"/>
              <w:bottom w:val="single" w:sz="8" w:space="0" w:color="000000"/>
              <w:insideH w:val="single" w:sz="8" w:space="0" w:color="000000"/>
              <w:right w:val="double" w:sz="6" w:space="0" w:color="000000"/>
              <w:insideV w:val="double" w:sz="6" w:space="0" w:color="000000"/>
            </w:tcBorders>
            <w:shd w:fill="auto" w:val="clear"/>
            <w:tcMar>
              <w:left w:w="-10" w:type="dxa"/>
            </w:tcMar>
            <w:vAlign w:val="center"/>
          </w:tcPr>
          <w:p>
            <w:pPr>
              <w:pStyle w:val="Normal"/>
              <w:snapToGrid w:val="false"/>
              <w:jc w:val="right"/>
              <w:rPr/>
            </w:pPr>
            <w:r>
              <w:rPr/>
              <w:t>0</w:t>
            </w:r>
          </w:p>
        </w:tc>
      </w:tr>
      <w:tr>
        <w:trPr>
          <w:trHeight w:val="300" w:hRule="atLeast"/>
          <w:cantSplit w:val="false"/>
        </w:trPr>
        <w:tc>
          <w:tcPr>
            <w:tcW w:w="5670" w:type="dxa"/>
            <w:tcBorders>
              <w:top w:val="single" w:sz="8" w:space="0" w:color="000000"/>
              <w:left w:val="double" w:sz="6" w:space="0" w:color="000000"/>
              <w:bottom w:val="single" w:sz="8" w:space="0" w:color="000000"/>
              <w:insideH w:val="single" w:sz="8" w:space="0" w:color="000000"/>
              <w:right w:val="nil"/>
              <w:insideV w:val="nil"/>
            </w:tcBorders>
            <w:shd w:fill="DDD9C3" w:val="clear"/>
            <w:tcMar>
              <w:left w:w="-22" w:type="dxa"/>
            </w:tcMar>
            <w:vAlign w:val="center"/>
          </w:tcPr>
          <w:p>
            <w:pPr>
              <w:pStyle w:val="Normal"/>
              <w:rPr>
                <w:sz w:val="20"/>
                <w:szCs w:val="20"/>
              </w:rPr>
            </w:pPr>
            <w:r>
              <w:rPr>
                <w:sz w:val="20"/>
                <w:szCs w:val="20"/>
              </w:rPr>
              <w:t>Kapitálové  výdavky spolu</w:t>
            </w:r>
          </w:p>
        </w:tc>
        <w:tc>
          <w:tcPr>
            <w:tcW w:w="3866" w:type="dxa"/>
            <w:tcBorders>
              <w:top w:val="nil"/>
              <w:left w:val="single" w:sz="8" w:space="0" w:color="000000"/>
              <w:bottom w:val="single" w:sz="8" w:space="0" w:color="000000"/>
              <w:insideH w:val="single" w:sz="8" w:space="0" w:color="000000"/>
              <w:right w:val="double" w:sz="6" w:space="0" w:color="000000"/>
              <w:insideV w:val="double" w:sz="6" w:space="0" w:color="000000"/>
            </w:tcBorders>
            <w:shd w:fill="FFFFFF" w:val="clear"/>
            <w:tcMar>
              <w:left w:w="-10" w:type="dxa"/>
            </w:tcMar>
            <w:vAlign w:val="center"/>
          </w:tcPr>
          <w:p>
            <w:pPr>
              <w:pStyle w:val="Normal"/>
              <w:snapToGrid w:val="false"/>
              <w:jc w:val="right"/>
              <w:rPr/>
            </w:pPr>
            <w:r>
              <w:rPr/>
              <w:t>58 318,02</w:t>
            </w:r>
          </w:p>
        </w:tc>
      </w:tr>
      <w:tr>
        <w:trPr>
          <w:trHeight w:val="300" w:hRule="atLeast"/>
          <w:cantSplit w:val="false"/>
        </w:trPr>
        <w:tc>
          <w:tcPr>
            <w:tcW w:w="5670" w:type="dxa"/>
            <w:tcBorders>
              <w:top w:val="single" w:sz="8" w:space="0" w:color="000000"/>
              <w:left w:val="double" w:sz="6" w:space="0" w:color="000000"/>
              <w:bottom w:val="single" w:sz="8" w:space="0" w:color="000000"/>
              <w:insideH w:val="single" w:sz="8" w:space="0" w:color="000000"/>
              <w:right w:val="nil"/>
              <w:insideV w:val="nil"/>
            </w:tcBorders>
            <w:shd w:fill="auto" w:val="clear"/>
            <w:tcMar>
              <w:left w:w="-22" w:type="dxa"/>
            </w:tcMar>
            <w:vAlign w:val="center"/>
          </w:tcPr>
          <w:p>
            <w:pPr>
              <w:pStyle w:val="Normal"/>
              <w:rPr>
                <w:sz w:val="20"/>
                <w:szCs w:val="20"/>
              </w:rPr>
            </w:pPr>
            <w:r>
              <w:rPr>
                <w:sz w:val="20"/>
                <w:szCs w:val="20"/>
              </w:rPr>
              <w:t xml:space="preserve">z toho : kapitálové  výdavky  obce </w:t>
            </w:r>
          </w:p>
        </w:tc>
        <w:tc>
          <w:tcPr>
            <w:tcW w:w="3866" w:type="dxa"/>
            <w:tcBorders>
              <w:top w:val="nil"/>
              <w:left w:val="single" w:sz="8" w:space="0" w:color="000000"/>
              <w:bottom w:val="single" w:sz="8" w:space="0" w:color="000000"/>
              <w:insideH w:val="single" w:sz="8" w:space="0" w:color="000000"/>
              <w:right w:val="double" w:sz="6" w:space="0" w:color="000000"/>
              <w:insideV w:val="double" w:sz="6" w:space="0" w:color="000000"/>
            </w:tcBorders>
            <w:shd w:fill="auto" w:val="clear"/>
            <w:tcMar>
              <w:left w:w="-10" w:type="dxa"/>
            </w:tcMar>
            <w:vAlign w:val="center"/>
          </w:tcPr>
          <w:p>
            <w:pPr>
              <w:pStyle w:val="Normal"/>
              <w:snapToGrid w:val="false"/>
              <w:jc w:val="right"/>
              <w:rPr/>
            </w:pPr>
            <w:r>
              <w:rPr/>
              <w:t>58 318,02</w:t>
            </w:r>
          </w:p>
        </w:tc>
      </w:tr>
      <w:tr>
        <w:trPr>
          <w:trHeight w:val="300" w:hRule="atLeast"/>
          <w:cantSplit w:val="false"/>
        </w:trPr>
        <w:tc>
          <w:tcPr>
            <w:tcW w:w="5670" w:type="dxa"/>
            <w:tcBorders>
              <w:top w:val="single" w:sz="8" w:space="0" w:color="000000"/>
              <w:left w:val="double" w:sz="6" w:space="0" w:color="000000"/>
              <w:bottom w:val="single" w:sz="8" w:space="0" w:color="000000"/>
              <w:insideH w:val="single" w:sz="8" w:space="0" w:color="000000"/>
              <w:right w:val="nil"/>
              <w:insideV w:val="nil"/>
            </w:tcBorders>
            <w:shd w:fill="auto" w:val="clear"/>
            <w:tcMar>
              <w:left w:w="-22" w:type="dxa"/>
            </w:tcMar>
            <w:vAlign w:val="center"/>
          </w:tcPr>
          <w:p>
            <w:pPr>
              <w:pStyle w:val="Normal"/>
              <w:rPr>
                <w:sz w:val="20"/>
                <w:szCs w:val="20"/>
              </w:rPr>
            </w:pPr>
            <w:r>
              <w:rPr>
                <w:sz w:val="20"/>
                <w:szCs w:val="20"/>
              </w:rPr>
              <w:t xml:space="preserve">             </w:t>
            </w:r>
            <w:r>
              <w:rPr>
                <w:sz w:val="20"/>
                <w:szCs w:val="20"/>
              </w:rPr>
              <w:t>kapitálové  výdavky  RO</w:t>
            </w:r>
          </w:p>
        </w:tc>
        <w:tc>
          <w:tcPr>
            <w:tcW w:w="3866" w:type="dxa"/>
            <w:tcBorders>
              <w:top w:val="nil"/>
              <w:left w:val="single" w:sz="8" w:space="0" w:color="000000"/>
              <w:bottom w:val="single" w:sz="8" w:space="0" w:color="000000"/>
              <w:insideH w:val="single" w:sz="8" w:space="0" w:color="000000"/>
              <w:right w:val="double" w:sz="6" w:space="0" w:color="000000"/>
              <w:insideV w:val="double" w:sz="6" w:space="0" w:color="000000"/>
            </w:tcBorders>
            <w:shd w:fill="auto" w:val="clear"/>
            <w:tcMar>
              <w:left w:w="-10" w:type="dxa"/>
            </w:tcMar>
            <w:vAlign w:val="center"/>
          </w:tcPr>
          <w:p>
            <w:pPr>
              <w:pStyle w:val="Normal"/>
              <w:snapToGrid w:val="false"/>
              <w:jc w:val="right"/>
              <w:rPr/>
            </w:pPr>
            <w:r>
              <w:rPr/>
              <w:t>0</w:t>
            </w:r>
          </w:p>
        </w:tc>
      </w:tr>
      <w:tr>
        <w:trPr>
          <w:trHeight w:val="285" w:hRule="atLeast"/>
          <w:cantSplit w:val="false"/>
        </w:trPr>
        <w:tc>
          <w:tcPr>
            <w:tcW w:w="5670" w:type="dxa"/>
            <w:tcBorders>
              <w:top w:val="single" w:sz="8" w:space="0" w:color="000000"/>
              <w:left w:val="double" w:sz="6" w:space="0" w:color="000000"/>
              <w:bottom w:val="single" w:sz="8" w:space="0" w:color="000000"/>
              <w:insideH w:val="single" w:sz="8" w:space="0" w:color="000000"/>
              <w:right w:val="nil"/>
              <w:insideV w:val="nil"/>
            </w:tcBorders>
            <w:shd w:fill="D9D9D9" w:val="clear"/>
            <w:tcMar>
              <w:left w:w="-22" w:type="dxa"/>
            </w:tcMar>
            <w:vAlign w:val="center"/>
          </w:tcPr>
          <w:p>
            <w:pPr>
              <w:pStyle w:val="Normal"/>
              <w:rPr>
                <w:b/>
                <w:i/>
                <w:sz w:val="20"/>
                <w:szCs w:val="20"/>
              </w:rPr>
            </w:pPr>
            <w:r>
              <w:rPr>
                <w:b/>
                <w:i/>
                <w:sz w:val="20"/>
                <w:szCs w:val="20"/>
              </w:rPr>
              <w:t xml:space="preserve">Kapitálový rozpočet </w:t>
            </w:r>
          </w:p>
        </w:tc>
        <w:tc>
          <w:tcPr>
            <w:tcW w:w="3866" w:type="dxa"/>
            <w:tcBorders>
              <w:top w:val="nil"/>
              <w:left w:val="single" w:sz="8" w:space="0" w:color="000000"/>
              <w:bottom w:val="single" w:sz="8" w:space="0" w:color="000000"/>
              <w:insideH w:val="single" w:sz="8" w:space="0" w:color="000000"/>
              <w:right w:val="double" w:sz="6" w:space="0" w:color="000000"/>
              <w:insideV w:val="double" w:sz="6" w:space="0" w:color="000000"/>
            </w:tcBorders>
            <w:shd w:fill="D9D9D9" w:val="clear"/>
            <w:tcMar>
              <w:left w:w="-10" w:type="dxa"/>
            </w:tcMar>
            <w:vAlign w:val="center"/>
          </w:tcPr>
          <w:p>
            <w:pPr>
              <w:pStyle w:val="Normal"/>
              <w:snapToGrid w:val="false"/>
              <w:jc w:val="right"/>
              <w:rPr/>
            </w:pPr>
            <w:r>
              <w:rPr/>
            </w:r>
          </w:p>
        </w:tc>
      </w:tr>
      <w:tr>
        <w:trPr>
          <w:trHeight w:val="285" w:hRule="atLeast"/>
          <w:cantSplit w:val="false"/>
        </w:trPr>
        <w:tc>
          <w:tcPr>
            <w:tcW w:w="5670" w:type="dxa"/>
            <w:tcBorders>
              <w:top w:val="single" w:sz="8" w:space="0" w:color="000000"/>
              <w:left w:val="double" w:sz="6" w:space="0" w:color="000000"/>
              <w:bottom w:val="single" w:sz="8" w:space="0" w:color="000000"/>
              <w:insideH w:val="single" w:sz="8" w:space="0" w:color="000000"/>
              <w:right w:val="nil"/>
              <w:insideV w:val="nil"/>
            </w:tcBorders>
            <w:shd w:fill="DDD9C3" w:val="clear"/>
            <w:tcMar>
              <w:left w:w="-22" w:type="dxa"/>
            </w:tcMar>
            <w:vAlign w:val="center"/>
          </w:tcPr>
          <w:p>
            <w:pPr>
              <w:pStyle w:val="Normal"/>
              <w:rPr>
                <w:rStyle w:val="Zdraznenie"/>
                <w:b/>
                <w:bCs/>
                <w:sz w:val="20"/>
                <w:szCs w:val="20"/>
              </w:rPr>
            </w:pPr>
            <w:r>
              <w:rPr>
                <w:rStyle w:val="Zdraznenie"/>
                <w:b/>
                <w:bCs/>
                <w:sz w:val="20"/>
                <w:szCs w:val="20"/>
              </w:rPr>
              <w:t>Prebytok/schodok bežného a kapitálového rozpočtu</w:t>
            </w:r>
          </w:p>
        </w:tc>
        <w:tc>
          <w:tcPr>
            <w:tcW w:w="3866" w:type="dxa"/>
            <w:tcBorders>
              <w:top w:val="nil"/>
              <w:left w:val="single" w:sz="8" w:space="0" w:color="000000"/>
              <w:bottom w:val="single" w:sz="8" w:space="0" w:color="000000"/>
              <w:insideH w:val="single" w:sz="8" w:space="0" w:color="000000"/>
              <w:right w:val="double" w:sz="6" w:space="0" w:color="000000"/>
              <w:insideV w:val="double" w:sz="6" w:space="0" w:color="000000"/>
            </w:tcBorders>
            <w:shd w:fill="DDD9C3" w:val="clear"/>
            <w:tcMar>
              <w:left w:w="-10" w:type="dxa"/>
            </w:tcMar>
            <w:vAlign w:val="center"/>
          </w:tcPr>
          <w:p>
            <w:pPr>
              <w:pStyle w:val="Normal"/>
              <w:snapToGrid w:val="false"/>
              <w:jc w:val="right"/>
              <w:rPr>
                <w:b/>
              </w:rPr>
            </w:pPr>
            <w:r>
              <w:rPr>
                <w:b/>
              </w:rPr>
            </w:r>
          </w:p>
        </w:tc>
      </w:tr>
      <w:tr>
        <w:trPr>
          <w:trHeight w:val="285" w:hRule="atLeast"/>
          <w:cantSplit w:val="false"/>
        </w:trPr>
        <w:tc>
          <w:tcPr>
            <w:tcW w:w="5670" w:type="dxa"/>
            <w:tcBorders>
              <w:top w:val="single" w:sz="8" w:space="0" w:color="000000"/>
              <w:left w:val="double" w:sz="6" w:space="0" w:color="000000"/>
              <w:bottom w:val="single" w:sz="8" w:space="0" w:color="000000"/>
              <w:insideH w:val="single" w:sz="8" w:space="0" w:color="000000"/>
              <w:right w:val="nil"/>
              <w:insideV w:val="nil"/>
            </w:tcBorders>
            <w:shd w:fill="FFFFFF" w:val="clear"/>
            <w:tcMar>
              <w:left w:w="-22" w:type="dxa"/>
            </w:tcMar>
            <w:vAlign w:val="center"/>
          </w:tcPr>
          <w:p>
            <w:pPr>
              <w:pStyle w:val="Normal"/>
              <w:rPr>
                <w:rStyle w:val="Zdraznenie"/>
                <w:b/>
                <w:sz w:val="20"/>
                <w:szCs w:val="20"/>
              </w:rPr>
            </w:pPr>
            <w:r>
              <w:rPr>
                <w:rStyle w:val="Zdraznenie"/>
                <w:b/>
                <w:sz w:val="20"/>
                <w:szCs w:val="20"/>
              </w:rPr>
              <w:t xml:space="preserve">Vylúčenie z prebytku </w:t>
            </w:r>
          </w:p>
        </w:tc>
        <w:tc>
          <w:tcPr>
            <w:tcW w:w="3866" w:type="dxa"/>
            <w:tcBorders>
              <w:top w:val="nil"/>
              <w:left w:val="single" w:sz="8" w:space="0" w:color="000000"/>
              <w:bottom w:val="single" w:sz="8" w:space="0" w:color="000000"/>
              <w:insideH w:val="single" w:sz="8" w:space="0" w:color="000000"/>
              <w:right w:val="double" w:sz="6" w:space="0" w:color="000000"/>
              <w:insideV w:val="double" w:sz="6" w:space="0" w:color="000000"/>
            </w:tcBorders>
            <w:shd w:fill="FFFFFF" w:val="clear"/>
            <w:tcMar>
              <w:left w:w="-10" w:type="dxa"/>
            </w:tcMar>
            <w:vAlign w:val="center"/>
          </w:tcPr>
          <w:p>
            <w:pPr>
              <w:pStyle w:val="Normal"/>
              <w:snapToGrid w:val="false"/>
              <w:jc w:val="right"/>
              <w:rPr/>
            </w:pPr>
            <w:r>
              <w:rPr/>
            </w:r>
          </w:p>
        </w:tc>
      </w:tr>
      <w:tr>
        <w:trPr>
          <w:trHeight w:val="285" w:hRule="atLeast"/>
          <w:cantSplit w:val="false"/>
        </w:trPr>
        <w:tc>
          <w:tcPr>
            <w:tcW w:w="5670" w:type="dxa"/>
            <w:tcBorders>
              <w:top w:val="single" w:sz="8" w:space="0" w:color="000000"/>
              <w:left w:val="double" w:sz="6" w:space="0" w:color="000000"/>
              <w:bottom w:val="single" w:sz="8" w:space="0" w:color="000000"/>
              <w:insideH w:val="single" w:sz="8" w:space="0" w:color="000000"/>
              <w:right w:val="nil"/>
              <w:insideV w:val="nil"/>
            </w:tcBorders>
            <w:shd w:fill="DDD9C3" w:val="clear"/>
            <w:tcMar>
              <w:left w:w="-22" w:type="dxa"/>
            </w:tcMar>
            <w:vAlign w:val="center"/>
          </w:tcPr>
          <w:p>
            <w:pPr>
              <w:pStyle w:val="Normal"/>
              <w:rPr>
                <w:rStyle w:val="Zdraznenie"/>
                <w:b/>
                <w:bCs/>
                <w:sz w:val="20"/>
                <w:szCs w:val="20"/>
              </w:rPr>
            </w:pPr>
            <w:r>
              <w:rPr>
                <w:rStyle w:val="Zdraznenie"/>
                <w:b/>
                <w:sz w:val="20"/>
                <w:szCs w:val="20"/>
              </w:rPr>
              <w:t xml:space="preserve">Upravený prebytok/schodok </w:t>
            </w:r>
            <w:r>
              <w:rPr>
                <w:rStyle w:val="Zdraznenie"/>
                <w:b/>
                <w:bCs/>
                <w:sz w:val="20"/>
                <w:szCs w:val="20"/>
              </w:rPr>
              <w:t>bežného a kapitálového rozpočtu</w:t>
            </w:r>
          </w:p>
        </w:tc>
        <w:tc>
          <w:tcPr>
            <w:tcW w:w="3866" w:type="dxa"/>
            <w:tcBorders>
              <w:top w:val="nil"/>
              <w:left w:val="single" w:sz="8" w:space="0" w:color="000000"/>
              <w:bottom w:val="single" w:sz="8" w:space="0" w:color="000000"/>
              <w:insideH w:val="single" w:sz="8" w:space="0" w:color="000000"/>
              <w:right w:val="double" w:sz="6" w:space="0" w:color="000000"/>
              <w:insideV w:val="double" w:sz="6" w:space="0" w:color="000000"/>
            </w:tcBorders>
            <w:shd w:fill="DDD9C3" w:val="clear"/>
            <w:tcMar>
              <w:left w:w="-10" w:type="dxa"/>
            </w:tcMar>
            <w:vAlign w:val="center"/>
          </w:tcPr>
          <w:p>
            <w:pPr>
              <w:pStyle w:val="Normal"/>
              <w:snapToGrid w:val="false"/>
              <w:jc w:val="right"/>
              <w:rPr/>
            </w:pPr>
            <w:r>
              <w:rPr/>
            </w:r>
          </w:p>
        </w:tc>
      </w:tr>
      <w:tr>
        <w:trPr>
          <w:trHeight w:val="300" w:hRule="atLeast"/>
          <w:cantSplit w:val="false"/>
        </w:trPr>
        <w:tc>
          <w:tcPr>
            <w:tcW w:w="5670" w:type="dxa"/>
            <w:tcBorders>
              <w:top w:val="single" w:sz="8" w:space="0" w:color="000000"/>
              <w:left w:val="double" w:sz="6" w:space="0" w:color="000000"/>
              <w:bottom w:val="single" w:sz="8" w:space="0" w:color="000000"/>
              <w:insideH w:val="single" w:sz="8" w:space="0" w:color="000000"/>
              <w:right w:val="nil"/>
              <w:insideV w:val="nil"/>
            </w:tcBorders>
            <w:shd w:fill="auto" w:val="clear"/>
            <w:tcMar>
              <w:left w:w="-22" w:type="dxa"/>
            </w:tcMar>
            <w:vAlign w:val="center"/>
          </w:tcPr>
          <w:p>
            <w:pPr>
              <w:pStyle w:val="Normal"/>
              <w:rPr>
                <w:sz w:val="20"/>
                <w:szCs w:val="20"/>
              </w:rPr>
            </w:pPr>
            <w:r>
              <w:rPr>
                <w:sz w:val="20"/>
                <w:szCs w:val="20"/>
              </w:rPr>
              <w:t>Príjmy z finančných operácií</w:t>
            </w:r>
          </w:p>
        </w:tc>
        <w:tc>
          <w:tcPr>
            <w:tcW w:w="3866" w:type="dxa"/>
            <w:tcBorders>
              <w:top w:val="nil"/>
              <w:left w:val="single" w:sz="8" w:space="0" w:color="000000"/>
              <w:bottom w:val="single" w:sz="4" w:space="0" w:color="000000"/>
              <w:insideH w:val="single" w:sz="4" w:space="0" w:color="000000"/>
              <w:right w:val="double" w:sz="6" w:space="0" w:color="000000"/>
              <w:insideV w:val="double" w:sz="6" w:space="0" w:color="000000"/>
            </w:tcBorders>
            <w:shd w:fill="auto" w:val="clear"/>
            <w:tcMar>
              <w:left w:w="-10" w:type="dxa"/>
            </w:tcMar>
            <w:vAlign w:val="center"/>
          </w:tcPr>
          <w:p>
            <w:pPr>
              <w:pStyle w:val="Normal"/>
              <w:snapToGrid w:val="false"/>
              <w:jc w:val="right"/>
              <w:rPr>
                <w:i/>
                <w:sz w:val="20"/>
                <w:szCs w:val="20"/>
              </w:rPr>
            </w:pPr>
            <w:r>
              <w:rPr>
                <w:i/>
                <w:sz w:val="20"/>
                <w:szCs w:val="20"/>
              </w:rPr>
              <w:t>9740</w:t>
            </w:r>
          </w:p>
        </w:tc>
      </w:tr>
      <w:tr>
        <w:trPr>
          <w:trHeight w:val="300" w:hRule="atLeast"/>
          <w:cantSplit w:val="false"/>
        </w:trPr>
        <w:tc>
          <w:tcPr>
            <w:tcW w:w="5670" w:type="dxa"/>
            <w:tcBorders>
              <w:top w:val="single" w:sz="8" w:space="0" w:color="000000"/>
              <w:left w:val="double" w:sz="6" w:space="0" w:color="000000"/>
              <w:bottom w:val="single" w:sz="8" w:space="0" w:color="000000"/>
              <w:insideH w:val="single" w:sz="8" w:space="0" w:color="000000"/>
              <w:right w:val="nil"/>
              <w:insideV w:val="nil"/>
            </w:tcBorders>
            <w:shd w:fill="auto" w:val="clear"/>
            <w:tcMar>
              <w:left w:w="-22" w:type="dxa"/>
            </w:tcMar>
            <w:vAlign w:val="center"/>
          </w:tcPr>
          <w:p>
            <w:pPr>
              <w:pStyle w:val="Normal"/>
              <w:rPr>
                <w:sz w:val="20"/>
                <w:szCs w:val="20"/>
              </w:rPr>
            </w:pPr>
            <w:r>
              <w:rPr>
                <w:sz w:val="20"/>
                <w:szCs w:val="20"/>
              </w:rPr>
              <w:t>Výdavky z finančných operácií</w:t>
            </w:r>
          </w:p>
        </w:tc>
        <w:tc>
          <w:tcPr>
            <w:tcW w:w="3866" w:type="dxa"/>
            <w:tcBorders>
              <w:top w:val="nil"/>
              <w:left w:val="single" w:sz="8" w:space="0" w:color="000000"/>
              <w:bottom w:val="single" w:sz="4" w:space="0" w:color="000000"/>
              <w:insideH w:val="single" w:sz="4" w:space="0" w:color="000000"/>
              <w:right w:val="double" w:sz="6" w:space="0" w:color="000000"/>
              <w:insideV w:val="double" w:sz="6" w:space="0" w:color="000000"/>
            </w:tcBorders>
            <w:shd w:fill="auto" w:val="clear"/>
            <w:tcMar>
              <w:left w:w="-10" w:type="dxa"/>
            </w:tcMar>
            <w:vAlign w:val="center"/>
          </w:tcPr>
          <w:p>
            <w:pPr>
              <w:pStyle w:val="Normal"/>
              <w:snapToGrid w:val="false"/>
              <w:jc w:val="right"/>
              <w:rPr>
                <w:i/>
                <w:sz w:val="20"/>
                <w:szCs w:val="20"/>
              </w:rPr>
            </w:pPr>
            <w:r>
              <w:rPr>
                <w:i/>
                <w:sz w:val="20"/>
                <w:szCs w:val="20"/>
              </w:rPr>
              <w:t>34 914,48</w:t>
            </w:r>
          </w:p>
        </w:tc>
      </w:tr>
      <w:tr>
        <w:trPr>
          <w:trHeight w:val="285" w:hRule="atLeast"/>
          <w:cantSplit w:val="false"/>
        </w:trPr>
        <w:tc>
          <w:tcPr>
            <w:tcW w:w="5670" w:type="dxa"/>
            <w:tcBorders>
              <w:top w:val="single" w:sz="8" w:space="0" w:color="000000"/>
              <w:left w:val="double" w:sz="6" w:space="0" w:color="000000"/>
              <w:bottom w:val="single" w:sz="8" w:space="0" w:color="000000"/>
              <w:insideH w:val="single" w:sz="8" w:space="0" w:color="000000"/>
              <w:right w:val="nil"/>
              <w:insideV w:val="nil"/>
            </w:tcBorders>
            <w:shd w:fill="D9D9D9" w:val="clear"/>
            <w:tcMar>
              <w:left w:w="-22" w:type="dxa"/>
            </w:tcMar>
            <w:vAlign w:val="center"/>
          </w:tcPr>
          <w:p>
            <w:pPr>
              <w:pStyle w:val="Normal"/>
              <w:rPr>
                <w:rStyle w:val="Zdraznenie"/>
                <w:b/>
                <w:bCs/>
                <w:sz w:val="20"/>
                <w:szCs w:val="20"/>
              </w:rPr>
            </w:pPr>
            <w:r>
              <w:rPr>
                <w:rStyle w:val="Zdraznenie"/>
                <w:b/>
                <w:bCs/>
                <w:sz w:val="20"/>
                <w:szCs w:val="20"/>
              </w:rPr>
              <w:t>Rozdiel finančných operácií</w:t>
            </w:r>
          </w:p>
        </w:tc>
        <w:tc>
          <w:tcPr>
            <w:tcW w:w="3866" w:type="dxa"/>
            <w:tcBorders>
              <w:top w:val="single" w:sz="4" w:space="0" w:color="000000"/>
              <w:left w:val="single" w:sz="8" w:space="0" w:color="000000"/>
              <w:bottom w:val="single" w:sz="8" w:space="0" w:color="000000"/>
              <w:insideH w:val="single" w:sz="8" w:space="0" w:color="000000"/>
              <w:right w:val="double" w:sz="6" w:space="0" w:color="000000"/>
              <w:insideV w:val="double" w:sz="6" w:space="0" w:color="000000"/>
            </w:tcBorders>
            <w:shd w:fill="D9D9D9" w:val="clear"/>
            <w:tcMar>
              <w:left w:w="-10" w:type="dxa"/>
            </w:tcMar>
            <w:vAlign w:val="center"/>
          </w:tcPr>
          <w:p>
            <w:pPr>
              <w:pStyle w:val="Normal"/>
              <w:snapToGrid w:val="false"/>
              <w:jc w:val="right"/>
              <w:rPr>
                <w:b/>
              </w:rPr>
            </w:pPr>
            <w:r>
              <w:rPr>
                <w:b/>
              </w:rPr>
              <w:t>-25 220</w:t>
            </w:r>
          </w:p>
        </w:tc>
      </w:tr>
      <w:tr>
        <w:trPr>
          <w:trHeight w:val="300" w:hRule="atLeast"/>
          <w:cantSplit w:val="false"/>
        </w:trPr>
        <w:tc>
          <w:tcPr>
            <w:tcW w:w="5670" w:type="dxa"/>
            <w:tcBorders>
              <w:top w:val="single" w:sz="6" w:space="0" w:color="000000"/>
              <w:left w:val="double" w:sz="6" w:space="0" w:color="000000"/>
              <w:bottom w:val="single" w:sz="6" w:space="0" w:color="000000"/>
              <w:insideH w:val="single" w:sz="6" w:space="0" w:color="000000"/>
              <w:right w:val="nil"/>
              <w:insideV w:val="nil"/>
            </w:tcBorders>
            <w:shd w:fill="auto" w:val="clear"/>
            <w:tcMar>
              <w:left w:w="85" w:type="dxa"/>
              <w:right w:w="108" w:type="dxa"/>
            </w:tcMar>
          </w:tcPr>
          <w:p>
            <w:pPr>
              <w:pStyle w:val="Normal"/>
              <w:ind w:left="-85" w:right="0" w:hanging="0"/>
              <w:rPr>
                <w:caps/>
                <w:sz w:val="20"/>
                <w:szCs w:val="20"/>
              </w:rPr>
            </w:pPr>
            <w:r>
              <w:rPr>
                <w:caps/>
                <w:sz w:val="20"/>
                <w:szCs w:val="20"/>
              </w:rPr>
              <w:t xml:space="preserve">Príjmy spolu  </w:t>
            </w:r>
          </w:p>
        </w:tc>
        <w:tc>
          <w:tcPr>
            <w:tcW w:w="3866" w:type="dxa"/>
            <w:tcBorders>
              <w:top w:val="single" w:sz="6" w:space="0" w:color="000000"/>
              <w:left w:val="single" w:sz="6" w:space="0" w:color="000000"/>
              <w:bottom w:val="single" w:sz="6" w:space="0" w:color="000000"/>
              <w:insideH w:val="single" w:sz="6" w:space="0" w:color="000000"/>
              <w:right w:val="double" w:sz="6" w:space="0" w:color="000000"/>
              <w:insideV w:val="double" w:sz="6" w:space="0" w:color="000000"/>
            </w:tcBorders>
            <w:shd w:fill="auto" w:val="clear"/>
            <w:tcMar>
              <w:left w:w="100" w:type="dxa"/>
              <w:right w:w="108" w:type="dxa"/>
            </w:tcMar>
          </w:tcPr>
          <w:p>
            <w:pPr>
              <w:pStyle w:val="Normal"/>
              <w:snapToGrid w:val="false"/>
              <w:ind w:left="0" w:right="-108" w:hanging="0"/>
              <w:jc w:val="right"/>
              <w:rPr>
                <w:caps/>
              </w:rPr>
            </w:pPr>
            <w:r>
              <w:rPr>
                <w:caps/>
              </w:rPr>
              <w:t>938 558,72</w:t>
            </w:r>
          </w:p>
        </w:tc>
      </w:tr>
      <w:tr>
        <w:trPr>
          <w:trHeight w:val="300" w:hRule="atLeast"/>
          <w:cantSplit w:val="false"/>
        </w:trPr>
        <w:tc>
          <w:tcPr>
            <w:tcW w:w="5670" w:type="dxa"/>
            <w:tcBorders>
              <w:top w:val="single" w:sz="6" w:space="0" w:color="000000"/>
              <w:left w:val="double" w:sz="6" w:space="0" w:color="000000"/>
              <w:bottom w:val="single" w:sz="6" w:space="0" w:color="000000"/>
              <w:insideH w:val="single" w:sz="6" w:space="0" w:color="000000"/>
              <w:right w:val="nil"/>
              <w:insideV w:val="nil"/>
            </w:tcBorders>
            <w:shd w:fill="auto" w:val="clear"/>
            <w:tcMar>
              <w:left w:w="85" w:type="dxa"/>
              <w:right w:w="108" w:type="dxa"/>
            </w:tcMar>
          </w:tcPr>
          <w:p>
            <w:pPr>
              <w:pStyle w:val="Normal"/>
              <w:ind w:left="-85" w:right="0" w:hanging="0"/>
              <w:rPr>
                <w:sz w:val="20"/>
                <w:szCs w:val="20"/>
              </w:rPr>
            </w:pPr>
            <w:r>
              <w:rPr>
                <w:caps/>
                <w:sz w:val="20"/>
                <w:szCs w:val="20"/>
              </w:rPr>
              <w:t>VÝDAVKY</w:t>
            </w:r>
            <w:r>
              <w:rPr>
                <w:sz w:val="20"/>
                <w:szCs w:val="20"/>
              </w:rPr>
              <w:t xml:space="preserve"> SPOLU</w:t>
            </w:r>
          </w:p>
        </w:tc>
        <w:tc>
          <w:tcPr>
            <w:tcW w:w="3866" w:type="dxa"/>
            <w:tcBorders>
              <w:top w:val="single" w:sz="6" w:space="0" w:color="000000"/>
              <w:left w:val="single" w:sz="6" w:space="0" w:color="000000"/>
              <w:bottom w:val="single" w:sz="6" w:space="0" w:color="000000"/>
              <w:insideH w:val="single" w:sz="6" w:space="0" w:color="000000"/>
              <w:right w:val="double" w:sz="6" w:space="0" w:color="000000"/>
              <w:insideV w:val="double" w:sz="6" w:space="0" w:color="000000"/>
            </w:tcBorders>
            <w:shd w:fill="auto" w:val="clear"/>
            <w:tcMar>
              <w:left w:w="100" w:type="dxa"/>
              <w:right w:w="108" w:type="dxa"/>
            </w:tcMar>
          </w:tcPr>
          <w:p>
            <w:pPr>
              <w:pStyle w:val="Normal"/>
              <w:snapToGrid w:val="false"/>
              <w:ind w:left="0" w:right="-108" w:hanging="0"/>
              <w:jc w:val="right"/>
              <w:rPr/>
            </w:pPr>
            <w:r>
              <w:rPr/>
              <w:t>887 939,34</w:t>
            </w:r>
          </w:p>
        </w:tc>
      </w:tr>
      <w:tr>
        <w:trPr>
          <w:trHeight w:val="285" w:hRule="atLeast"/>
          <w:cantSplit w:val="false"/>
        </w:trPr>
        <w:tc>
          <w:tcPr>
            <w:tcW w:w="5670" w:type="dxa"/>
            <w:tcBorders>
              <w:top w:val="single" w:sz="6" w:space="0" w:color="000000"/>
              <w:left w:val="double" w:sz="6" w:space="0" w:color="000000"/>
              <w:bottom w:val="single" w:sz="6" w:space="0" w:color="000000"/>
              <w:insideH w:val="single" w:sz="6" w:space="0" w:color="000000"/>
              <w:right w:val="nil"/>
              <w:insideV w:val="nil"/>
            </w:tcBorders>
            <w:shd w:fill="DDD9C3" w:val="clear"/>
            <w:tcMar>
              <w:left w:w="85" w:type="dxa"/>
              <w:right w:w="108" w:type="dxa"/>
            </w:tcMar>
          </w:tcPr>
          <w:p>
            <w:pPr>
              <w:pStyle w:val="Normal"/>
              <w:ind w:left="-85" w:right="0" w:hanging="0"/>
              <w:rPr>
                <w:rStyle w:val="Zdraznenie"/>
                <w:b/>
                <w:bCs/>
                <w:sz w:val="20"/>
                <w:szCs w:val="20"/>
              </w:rPr>
            </w:pPr>
            <w:r>
              <w:rPr>
                <w:rStyle w:val="Zdraznenie"/>
                <w:b/>
                <w:bCs/>
                <w:sz w:val="20"/>
                <w:szCs w:val="20"/>
              </w:rPr>
              <w:t xml:space="preserve">Hospodárenie obce </w:t>
            </w:r>
          </w:p>
        </w:tc>
        <w:tc>
          <w:tcPr>
            <w:tcW w:w="3866" w:type="dxa"/>
            <w:tcBorders>
              <w:top w:val="single" w:sz="6" w:space="0" w:color="000000"/>
              <w:left w:val="single" w:sz="6" w:space="0" w:color="000000"/>
              <w:bottom w:val="single" w:sz="6" w:space="0" w:color="000000"/>
              <w:insideH w:val="single" w:sz="6" w:space="0" w:color="000000"/>
              <w:right w:val="double" w:sz="6" w:space="0" w:color="000000"/>
              <w:insideV w:val="double" w:sz="6" w:space="0" w:color="000000"/>
            </w:tcBorders>
            <w:shd w:fill="DDD9C3" w:val="clear"/>
            <w:tcMar>
              <w:left w:w="100" w:type="dxa"/>
              <w:right w:w="108" w:type="dxa"/>
            </w:tcMar>
          </w:tcPr>
          <w:p>
            <w:pPr>
              <w:pStyle w:val="Normal"/>
              <w:snapToGrid w:val="false"/>
              <w:ind w:left="0" w:right="-108" w:hanging="0"/>
              <w:jc w:val="right"/>
              <w:rPr>
                <w:b/>
              </w:rPr>
            </w:pPr>
            <w:r>
              <w:rPr>
                <w:b/>
              </w:rPr>
              <w:t>50 619,38</w:t>
            </w:r>
          </w:p>
        </w:tc>
      </w:tr>
      <w:tr>
        <w:trPr>
          <w:trHeight w:val="300" w:hRule="atLeast"/>
          <w:cantSplit w:val="false"/>
        </w:trPr>
        <w:tc>
          <w:tcPr>
            <w:tcW w:w="5670" w:type="dxa"/>
            <w:tcBorders>
              <w:top w:val="single" w:sz="6" w:space="0" w:color="000000"/>
              <w:left w:val="double" w:sz="6" w:space="0" w:color="000000"/>
              <w:bottom w:val="single" w:sz="6" w:space="0" w:color="000000"/>
              <w:insideH w:val="single" w:sz="6" w:space="0" w:color="000000"/>
              <w:right w:val="nil"/>
              <w:insideV w:val="nil"/>
            </w:tcBorders>
            <w:shd w:fill="auto" w:val="clear"/>
            <w:tcMar>
              <w:left w:w="85" w:type="dxa"/>
              <w:right w:w="108" w:type="dxa"/>
            </w:tcMar>
          </w:tcPr>
          <w:p>
            <w:pPr>
              <w:pStyle w:val="Normal"/>
              <w:ind w:left="-85" w:right="0" w:hanging="0"/>
              <w:rPr>
                <w:rStyle w:val="Zdraznenie"/>
                <w:b/>
                <w:sz w:val="20"/>
                <w:szCs w:val="20"/>
              </w:rPr>
            </w:pPr>
            <w:r>
              <w:rPr>
                <w:rStyle w:val="Zdraznenie"/>
                <w:b/>
                <w:sz w:val="20"/>
                <w:szCs w:val="20"/>
              </w:rPr>
              <w:t>Vylúčenie z prebytku</w:t>
            </w:r>
          </w:p>
        </w:tc>
        <w:tc>
          <w:tcPr>
            <w:tcW w:w="3866" w:type="dxa"/>
            <w:tcBorders>
              <w:top w:val="single" w:sz="6" w:space="0" w:color="000000"/>
              <w:left w:val="single" w:sz="6" w:space="0" w:color="000000"/>
              <w:bottom w:val="single" w:sz="6" w:space="0" w:color="000000"/>
              <w:insideH w:val="single" w:sz="6" w:space="0" w:color="000000"/>
              <w:right w:val="double" w:sz="6" w:space="0" w:color="000000"/>
              <w:insideV w:val="double" w:sz="6" w:space="0" w:color="000000"/>
            </w:tcBorders>
            <w:shd w:fill="auto" w:val="clear"/>
            <w:tcMar>
              <w:left w:w="100" w:type="dxa"/>
              <w:right w:w="108" w:type="dxa"/>
            </w:tcMar>
          </w:tcPr>
          <w:p>
            <w:pPr>
              <w:pStyle w:val="Normal"/>
              <w:snapToGrid w:val="false"/>
              <w:ind w:left="0" w:right="-108" w:hanging="0"/>
              <w:jc w:val="right"/>
              <w:rPr/>
            </w:pPr>
            <w:r>
              <w:rPr/>
            </w:r>
          </w:p>
        </w:tc>
      </w:tr>
      <w:tr>
        <w:trPr>
          <w:trHeight w:val="285" w:hRule="atLeast"/>
          <w:cantSplit w:val="false"/>
        </w:trPr>
        <w:tc>
          <w:tcPr>
            <w:tcW w:w="5670" w:type="dxa"/>
            <w:tcBorders>
              <w:top w:val="single" w:sz="6" w:space="0" w:color="000000"/>
              <w:left w:val="double" w:sz="6" w:space="0" w:color="000000"/>
              <w:bottom w:val="double" w:sz="6" w:space="0" w:color="000000"/>
              <w:insideH w:val="double" w:sz="6" w:space="0" w:color="000000"/>
              <w:right w:val="nil"/>
              <w:insideV w:val="nil"/>
            </w:tcBorders>
            <w:shd w:fill="D9D9D9" w:val="clear"/>
            <w:tcMar>
              <w:left w:w="85" w:type="dxa"/>
              <w:right w:w="108" w:type="dxa"/>
            </w:tcMar>
          </w:tcPr>
          <w:p>
            <w:pPr>
              <w:pStyle w:val="Normal"/>
              <w:ind w:left="-85" w:right="0" w:hanging="0"/>
              <w:rPr>
                <w:rStyle w:val="Zdraznenie"/>
                <w:b/>
                <w:bCs/>
                <w:sz w:val="20"/>
                <w:szCs w:val="20"/>
              </w:rPr>
            </w:pPr>
            <w:r>
              <w:rPr>
                <w:rStyle w:val="Zdraznenie"/>
                <w:b/>
                <w:bCs/>
                <w:sz w:val="20"/>
                <w:szCs w:val="20"/>
              </w:rPr>
              <w:t>Upravené hospodárenie obce</w:t>
            </w:r>
          </w:p>
        </w:tc>
        <w:tc>
          <w:tcPr>
            <w:tcW w:w="3866" w:type="dxa"/>
            <w:tcBorders>
              <w:top w:val="single" w:sz="6" w:space="0" w:color="000000"/>
              <w:left w:val="single" w:sz="6" w:space="0" w:color="000000"/>
              <w:bottom w:val="double" w:sz="6" w:space="0" w:color="000000"/>
              <w:insideH w:val="double" w:sz="6" w:space="0" w:color="000000"/>
              <w:right w:val="double" w:sz="6" w:space="0" w:color="000000"/>
              <w:insideV w:val="double" w:sz="6" w:space="0" w:color="000000"/>
            </w:tcBorders>
            <w:shd w:fill="D9D9D9" w:val="clear"/>
            <w:tcMar>
              <w:left w:w="100" w:type="dxa"/>
              <w:right w:w="108" w:type="dxa"/>
            </w:tcMar>
          </w:tcPr>
          <w:p>
            <w:pPr>
              <w:pStyle w:val="Normal"/>
              <w:snapToGrid w:val="false"/>
              <w:ind w:left="0" w:right="-108" w:hanging="0"/>
              <w:jc w:val="right"/>
              <w:rPr/>
            </w:pPr>
            <w:r>
              <w:rPr/>
            </w:r>
          </w:p>
        </w:tc>
      </w:tr>
    </w:tbl>
    <w:p>
      <w:pPr>
        <w:pStyle w:val="Normal"/>
        <w:ind w:left="540" w:right="0" w:hanging="0"/>
        <w:rPr>
          <w:rFonts w:cs="Arial" w:ascii="Arial" w:hAnsi="Arial"/>
          <w:sz w:val="22"/>
          <w:szCs w:val="22"/>
        </w:rPr>
      </w:pPr>
      <w:r>
        <w:rPr>
          <w:rFonts w:cs="Arial" w:ascii="Arial" w:hAnsi="Arial"/>
          <w:sz w:val="22"/>
          <w:szCs w:val="22"/>
        </w:rPr>
      </w:r>
    </w:p>
    <w:p>
      <w:pPr>
        <w:pStyle w:val="Normal"/>
        <w:jc w:val="both"/>
        <w:rPr>
          <w:b/>
        </w:rPr>
      </w:pPr>
      <w:r>
        <w:rPr>
          <w:b/>
          <w:shd w:fill="C0C0C0" w:val="clear"/>
        </w:rPr>
        <w:t>Hospodárenie obce – prebytok rozpočtu</w:t>
      </w:r>
      <w:r>
        <w:rPr>
          <w:b/>
        </w:rPr>
        <w:t xml:space="preserve"> </w:t>
      </w:r>
    </w:p>
    <w:p>
      <w:pPr>
        <w:pStyle w:val="Normal"/>
        <w:tabs>
          <w:tab w:val="left" w:pos="5850" w:leader="none"/>
        </w:tabs>
        <w:rPr>
          <w:b/>
          <w:bCs/>
          <w:color w:val="FF6600"/>
        </w:rPr>
      </w:pPr>
      <w:r>
        <w:rPr>
          <w:b/>
          <w:bCs/>
          <w:color w:val="FF6600"/>
        </w:rPr>
        <w:tab/>
      </w:r>
    </w:p>
    <w:p>
      <w:pPr>
        <w:pStyle w:val="Normal"/>
        <w:tabs>
          <w:tab w:val="right" w:pos="7740" w:leader="none"/>
        </w:tabs>
        <w:jc w:val="both"/>
        <w:rPr>
          <w:color w:val="000000"/>
        </w:rPr>
      </w:pPr>
      <w:r>
        <w:rPr>
          <w:b/>
          <w:color w:val="000000"/>
        </w:rPr>
        <w:t>Prebytok rozpočtu</w:t>
      </w:r>
      <w:r>
        <w:rPr>
          <w:color w:val="000000"/>
        </w:rPr>
        <w:t xml:space="preserve"> v sume 5 061,94 EUR  zistený podľa ustanovenia § 10 ods. 3 písm. a) a b) zákona č. 583/2004 Z.z. o rozpočtových pravidlách územnej samosprávy a o zmene a doplnení niektorých zákonov v znení neskorších predpisov, navrhujeme použiť na: financovanie kapitálových výdavkov v r. 2015.</w:t>
        <w:tab/>
      </w:r>
    </w:p>
    <w:p>
      <w:pPr>
        <w:pStyle w:val="Normal"/>
        <w:tabs>
          <w:tab w:val="right" w:pos="5580" w:leader="none"/>
        </w:tabs>
        <w:ind w:left="0" w:right="0" w:hanging="0"/>
        <w:jc w:val="both"/>
        <w:rPr/>
      </w:pPr>
      <w:r>
        <w:rPr/>
      </w:r>
    </w:p>
    <w:p>
      <w:pPr>
        <w:pStyle w:val="Normal"/>
        <w:spacing w:lineRule="auto" w:line="360"/>
        <w:jc w:val="both"/>
        <w:rPr>
          <w:color w:val="FF0000"/>
        </w:rPr>
      </w:pPr>
      <w:r>
        <w:rPr>
          <w:color w:val="FF0000"/>
        </w:rPr>
      </w:r>
    </w:p>
    <w:p>
      <w:pPr>
        <w:pStyle w:val="Normal"/>
        <w:jc w:val="both"/>
        <w:rPr>
          <w:b/>
          <w:color w:val="0000FF"/>
          <w:sz w:val="28"/>
          <w:szCs w:val="28"/>
        </w:rPr>
      </w:pPr>
      <w:r>
        <w:rPr>
          <w:b/>
          <w:color w:val="0000FF"/>
          <w:sz w:val="28"/>
          <w:szCs w:val="28"/>
        </w:rPr>
        <w:t>5. Tvorba a použitie prostriedkov peňažných fondov (rezervného fondu) a sociálneho fondu</w:t>
      </w:r>
    </w:p>
    <w:p>
      <w:pPr>
        <w:pStyle w:val="Normal"/>
        <w:jc w:val="both"/>
        <w:rPr/>
      </w:pPr>
      <w:r>
        <w:rPr/>
      </w:r>
    </w:p>
    <w:p>
      <w:pPr>
        <w:pStyle w:val="Normal"/>
        <w:jc w:val="both"/>
        <w:rPr>
          <w:b/>
        </w:rPr>
      </w:pPr>
      <w:r>
        <w:rPr>
          <w:b/>
        </w:rPr>
        <w:t>Rezervný fond</w:t>
      </w:r>
    </w:p>
    <w:p>
      <w:pPr>
        <w:pStyle w:val="Normal"/>
        <w:jc w:val="both"/>
        <w:rPr/>
      </w:pPr>
      <w:r>
        <w:rPr/>
        <w:t>Obec vytvára rezervný fond v zmysle ustanovenia § 15 zákona č.583/2004 Z.z. v z.n.p.. O použití rezervného fondu rozhoduje obecné zastupiteľstvo.</w:t>
      </w:r>
    </w:p>
    <w:p>
      <w:pPr>
        <w:pStyle w:val="Normal"/>
        <w:tabs>
          <w:tab w:val="right" w:pos="7560" w:leader="none"/>
        </w:tabs>
        <w:rPr/>
      </w:pPr>
      <w:r>
        <w:rPr/>
        <w:tab/>
        <w:tab/>
        <w:tab/>
        <w:t xml:space="preserve">          </w:t>
      </w:r>
    </w:p>
    <w:tbl>
      <w:tblPr>
        <w:jc w:val="left"/>
        <w:tblInd w:w="108" w:type="dxa"/>
        <w:tblBorders>
          <w:top w:val="single" w:sz="4" w:space="0" w:color="000000"/>
          <w:left w:val="single" w:sz="4" w:space="0" w:color="000000"/>
          <w:bottom w:val="single" w:sz="4" w:space="0" w:color="000000"/>
          <w:insideH w:val="single" w:sz="4" w:space="0" w:color="000000"/>
          <w:right w:val="nil"/>
          <w:insideV w:val="nil"/>
        </w:tblBorders>
        <w:tblCellMar>
          <w:top w:w="0" w:type="dxa"/>
          <w:left w:w="103" w:type="dxa"/>
          <w:bottom w:w="0" w:type="dxa"/>
          <w:right w:w="108" w:type="dxa"/>
        </w:tblCellMar>
      </w:tblPr>
      <w:tblGrid>
        <w:gridCol w:w="5103"/>
        <w:gridCol w:w="4373"/>
      </w:tblGrid>
      <w:tr>
        <w:trPr>
          <w:cantSplit w:val="false"/>
        </w:trPr>
        <w:tc>
          <w:tcPr>
            <w:tcW w:w="5103" w:type="dxa"/>
            <w:tcBorders>
              <w:top w:val="single" w:sz="4" w:space="0" w:color="000000"/>
              <w:left w:val="single" w:sz="4" w:space="0" w:color="000000"/>
              <w:bottom w:val="single" w:sz="4" w:space="0" w:color="000000"/>
              <w:insideH w:val="single" w:sz="4" w:space="0" w:color="000000"/>
              <w:right w:val="nil"/>
              <w:insideV w:val="nil"/>
            </w:tcBorders>
            <w:shd w:fill="D9D9D9" w:val="clear"/>
            <w:tcMar>
              <w:left w:w="103" w:type="dxa"/>
            </w:tcMar>
          </w:tcPr>
          <w:p>
            <w:pPr>
              <w:pStyle w:val="Normal"/>
              <w:rPr>
                <w:b/>
              </w:rPr>
            </w:pPr>
            <w:r>
              <w:rPr>
                <w:b/>
              </w:rPr>
              <w:t>Fond rezervný</w:t>
            </w:r>
          </w:p>
        </w:tc>
        <w:tc>
          <w:tcPr>
            <w:tcW w:w="4373" w:type="dxa"/>
            <w:tcBorders>
              <w:top w:val="single" w:sz="4" w:space="0" w:color="000000"/>
              <w:left w:val="single" w:sz="4" w:space="0" w:color="000000"/>
              <w:bottom w:val="single" w:sz="4" w:space="0" w:color="000000"/>
              <w:insideH w:val="single" w:sz="4" w:space="0" w:color="000000"/>
              <w:right w:val="single" w:sz="4" w:space="0" w:color="000000"/>
              <w:insideV w:val="single" w:sz="4" w:space="0" w:color="000000"/>
            </w:tcBorders>
            <w:shd w:fill="D9D9D9" w:val="clear"/>
            <w:tcMar>
              <w:left w:w="103" w:type="dxa"/>
            </w:tcMar>
          </w:tcPr>
          <w:p>
            <w:pPr>
              <w:pStyle w:val="Normal"/>
              <w:jc w:val="center"/>
              <w:rPr>
                <w:b/>
              </w:rPr>
            </w:pPr>
            <w:r>
              <w:rPr>
                <w:b/>
              </w:rPr>
              <w:t>Suma v EUR</w:t>
            </w:r>
          </w:p>
        </w:tc>
      </w:tr>
      <w:tr>
        <w:trPr>
          <w:cantSplit w:val="false"/>
        </w:trPr>
        <w:tc>
          <w:tcPr>
            <w:tcW w:w="5103" w:type="dxa"/>
            <w:tcBorders>
              <w:top w:val="single" w:sz="4" w:space="0" w:color="000000"/>
              <w:left w:val="single" w:sz="4" w:space="0" w:color="000000"/>
              <w:bottom w:val="single" w:sz="4" w:space="0" w:color="000000"/>
              <w:insideH w:val="single" w:sz="4" w:space="0" w:color="000000"/>
              <w:right w:val="nil"/>
              <w:insideV w:val="nil"/>
            </w:tcBorders>
            <w:shd w:fill="auto" w:val="clear"/>
            <w:tcMar>
              <w:left w:w="103" w:type="dxa"/>
            </w:tcMar>
          </w:tcPr>
          <w:p>
            <w:pPr>
              <w:pStyle w:val="Normal"/>
              <w:rPr/>
            </w:pPr>
            <w:r>
              <w:rPr/>
              <w:t xml:space="preserve">ZS k 1.1.2014 </w:t>
            </w:r>
          </w:p>
        </w:tc>
        <w:tc>
          <w:tcPr>
            <w:tcW w:w="4373" w:type="dxa"/>
            <w:tcBorders>
              <w:top w:val="single" w:sz="4" w:space="0" w:color="000000"/>
              <w:left w:val="single" w:sz="4" w:space="0" w:color="000000"/>
              <w:bottom w:val="single" w:sz="4" w:space="0" w:color="000000"/>
              <w:insideH w:val="single" w:sz="4" w:space="0" w:color="000000"/>
              <w:right w:val="single" w:sz="4" w:space="0" w:color="000000"/>
              <w:insideV w:val="single" w:sz="4" w:space="0" w:color="000000"/>
            </w:tcBorders>
            <w:shd w:fill="auto" w:val="clear"/>
            <w:tcMar>
              <w:left w:w="103" w:type="dxa"/>
            </w:tcMar>
          </w:tcPr>
          <w:p>
            <w:pPr>
              <w:pStyle w:val="Normal"/>
              <w:jc w:val="center"/>
              <w:rPr/>
            </w:pPr>
            <w:r>
              <w:rPr/>
              <w:t xml:space="preserve">8 009,30      </w:t>
            </w:r>
          </w:p>
        </w:tc>
      </w:tr>
      <w:tr>
        <w:trPr>
          <w:cantSplit w:val="false"/>
        </w:trPr>
        <w:tc>
          <w:tcPr>
            <w:tcW w:w="5103" w:type="dxa"/>
            <w:tcBorders>
              <w:top w:val="single" w:sz="4" w:space="0" w:color="000000"/>
              <w:left w:val="single" w:sz="4" w:space="0" w:color="000000"/>
              <w:bottom w:val="single" w:sz="4" w:space="0" w:color="000000"/>
              <w:insideH w:val="single" w:sz="4" w:space="0" w:color="000000"/>
              <w:right w:val="nil"/>
              <w:insideV w:val="nil"/>
            </w:tcBorders>
            <w:shd w:fill="auto" w:val="clear"/>
            <w:tcMar>
              <w:left w:w="103" w:type="dxa"/>
            </w:tcMar>
          </w:tcPr>
          <w:p>
            <w:pPr>
              <w:pStyle w:val="Normal"/>
              <w:rPr/>
            </w:pPr>
            <w:r>
              <w:rPr/>
              <w:t xml:space="preserve">Prírastky - z prebytku rozpočtu za uplynulý </w:t>
            </w:r>
          </w:p>
          <w:p>
            <w:pPr>
              <w:pStyle w:val="Normal"/>
              <w:rPr/>
            </w:pPr>
            <w:r>
              <w:rPr/>
              <w:t xml:space="preserve">                  </w:t>
            </w:r>
            <w:r>
              <w:rPr/>
              <w:t xml:space="preserve">rozpočtový rok </w:t>
            </w:r>
          </w:p>
        </w:tc>
        <w:tc>
          <w:tcPr>
            <w:tcW w:w="4373" w:type="dxa"/>
            <w:tcBorders>
              <w:top w:val="single" w:sz="4" w:space="0" w:color="000000"/>
              <w:left w:val="single" w:sz="4" w:space="0" w:color="000000"/>
              <w:bottom w:val="single" w:sz="4" w:space="0" w:color="000000"/>
              <w:insideH w:val="single" w:sz="4" w:space="0" w:color="000000"/>
              <w:right w:val="single" w:sz="4" w:space="0" w:color="000000"/>
              <w:insideV w:val="single" w:sz="4" w:space="0" w:color="000000"/>
            </w:tcBorders>
            <w:shd w:fill="auto" w:val="clear"/>
            <w:tcMar>
              <w:left w:w="103" w:type="dxa"/>
            </w:tcMar>
          </w:tcPr>
          <w:p>
            <w:pPr>
              <w:pStyle w:val="Normal"/>
              <w:jc w:val="center"/>
              <w:rPr/>
            </w:pPr>
            <w:r>
              <w:rPr/>
              <w:t>5 061,94</w:t>
            </w:r>
          </w:p>
        </w:tc>
      </w:tr>
      <w:tr>
        <w:trPr>
          <w:cantSplit w:val="false"/>
        </w:trPr>
        <w:tc>
          <w:tcPr>
            <w:tcW w:w="5103" w:type="dxa"/>
            <w:tcBorders>
              <w:top w:val="single" w:sz="4" w:space="0" w:color="000000"/>
              <w:left w:val="single" w:sz="4" w:space="0" w:color="000000"/>
              <w:bottom w:val="single" w:sz="4" w:space="0" w:color="000000"/>
              <w:insideH w:val="single" w:sz="4" w:space="0" w:color="000000"/>
              <w:right w:val="nil"/>
              <w:insideV w:val="nil"/>
            </w:tcBorders>
            <w:shd w:fill="auto" w:val="clear"/>
            <w:tcMar>
              <w:left w:w="103" w:type="dxa"/>
            </w:tcMar>
          </w:tcPr>
          <w:p>
            <w:pPr>
              <w:pStyle w:val="Normal"/>
              <w:rPr/>
            </w:pPr>
            <w:r>
              <w:rPr/>
              <w:t xml:space="preserve">                </w:t>
            </w:r>
            <w:r>
              <w:rPr/>
              <w:t xml:space="preserve">- z rozdielu medzi výnosmi a nákladmi </w:t>
            </w:r>
          </w:p>
          <w:p>
            <w:pPr>
              <w:pStyle w:val="Normal"/>
              <w:rPr/>
            </w:pPr>
            <w:r>
              <w:rPr/>
              <w:t xml:space="preserve">                  </w:t>
            </w:r>
            <w:r>
              <w:rPr/>
              <w:t xml:space="preserve">z podnikateľskej činnosti po zdanení </w:t>
            </w:r>
          </w:p>
        </w:tc>
        <w:tc>
          <w:tcPr>
            <w:tcW w:w="4373" w:type="dxa"/>
            <w:tcBorders>
              <w:top w:val="single" w:sz="4" w:space="0" w:color="000000"/>
              <w:left w:val="single" w:sz="4" w:space="0" w:color="000000"/>
              <w:bottom w:val="single" w:sz="4" w:space="0" w:color="000000"/>
              <w:insideH w:val="single" w:sz="4" w:space="0" w:color="000000"/>
              <w:right w:val="single" w:sz="4" w:space="0" w:color="000000"/>
              <w:insideV w:val="single" w:sz="4" w:space="0" w:color="000000"/>
            </w:tcBorders>
            <w:shd w:fill="auto" w:val="clear"/>
            <w:tcMar>
              <w:left w:w="103" w:type="dxa"/>
            </w:tcMar>
          </w:tcPr>
          <w:p>
            <w:pPr>
              <w:pStyle w:val="Normal"/>
              <w:snapToGrid w:val="false"/>
              <w:jc w:val="center"/>
              <w:rPr/>
            </w:pPr>
            <w:r>
              <w:rPr/>
            </w:r>
          </w:p>
        </w:tc>
      </w:tr>
      <w:tr>
        <w:trPr>
          <w:cantSplit w:val="false"/>
        </w:trPr>
        <w:tc>
          <w:tcPr>
            <w:tcW w:w="5103" w:type="dxa"/>
            <w:tcBorders>
              <w:top w:val="single" w:sz="4" w:space="0" w:color="000000"/>
              <w:left w:val="single" w:sz="4" w:space="0" w:color="000000"/>
              <w:bottom w:val="single" w:sz="4" w:space="0" w:color="000000"/>
              <w:insideH w:val="single" w:sz="4" w:space="0" w:color="000000"/>
              <w:right w:val="nil"/>
              <w:insideV w:val="nil"/>
            </w:tcBorders>
            <w:shd w:fill="auto" w:val="clear"/>
            <w:tcMar>
              <w:left w:w="103" w:type="dxa"/>
            </w:tcMar>
          </w:tcPr>
          <w:p>
            <w:pPr>
              <w:pStyle w:val="Normal"/>
              <w:rPr/>
            </w:pPr>
            <w:r>
              <w:rPr/>
              <w:t xml:space="preserve">                </w:t>
            </w:r>
            <w:r>
              <w:rPr/>
              <w:t>- z finančných operácií</w:t>
            </w:r>
          </w:p>
        </w:tc>
        <w:tc>
          <w:tcPr>
            <w:tcW w:w="4373" w:type="dxa"/>
            <w:tcBorders>
              <w:top w:val="single" w:sz="4" w:space="0" w:color="000000"/>
              <w:left w:val="single" w:sz="4" w:space="0" w:color="000000"/>
              <w:bottom w:val="single" w:sz="4" w:space="0" w:color="000000"/>
              <w:insideH w:val="single" w:sz="4" w:space="0" w:color="000000"/>
              <w:right w:val="single" w:sz="4" w:space="0" w:color="000000"/>
              <w:insideV w:val="single" w:sz="4" w:space="0" w:color="000000"/>
            </w:tcBorders>
            <w:shd w:fill="auto" w:val="clear"/>
            <w:tcMar>
              <w:left w:w="103" w:type="dxa"/>
            </w:tcMar>
          </w:tcPr>
          <w:p>
            <w:pPr>
              <w:pStyle w:val="Normal"/>
              <w:snapToGrid w:val="false"/>
              <w:jc w:val="center"/>
              <w:rPr/>
            </w:pPr>
            <w:r>
              <w:rPr/>
            </w:r>
          </w:p>
        </w:tc>
      </w:tr>
      <w:tr>
        <w:trPr>
          <w:cantSplit w:val="false"/>
        </w:trPr>
        <w:tc>
          <w:tcPr>
            <w:tcW w:w="5103" w:type="dxa"/>
            <w:tcBorders>
              <w:top w:val="single" w:sz="4" w:space="0" w:color="000000"/>
              <w:left w:val="single" w:sz="4" w:space="0" w:color="000000"/>
              <w:bottom w:val="single" w:sz="4" w:space="0" w:color="000000"/>
              <w:insideH w:val="single" w:sz="4" w:space="0" w:color="000000"/>
              <w:right w:val="nil"/>
              <w:insideV w:val="nil"/>
            </w:tcBorders>
            <w:shd w:fill="auto" w:val="clear"/>
            <w:tcMar>
              <w:left w:w="103" w:type="dxa"/>
            </w:tcMar>
          </w:tcPr>
          <w:p>
            <w:pPr>
              <w:pStyle w:val="Normal"/>
              <w:rPr/>
            </w:pPr>
            <w:r>
              <w:rPr/>
              <w:t>Úbytky   - použitie rezervného fondu :</w:t>
            </w:r>
          </w:p>
          <w:p>
            <w:pPr>
              <w:pStyle w:val="Normal"/>
              <w:rPr/>
            </w:pPr>
            <w:r>
              <w:rPr/>
              <w:t xml:space="preserve">- uznesenie č.      zo dňa ......... obstaranie ..........      </w:t>
            </w:r>
          </w:p>
          <w:p>
            <w:pPr>
              <w:pStyle w:val="Normal"/>
              <w:rPr/>
            </w:pPr>
            <w:r>
              <w:rPr/>
              <w:t xml:space="preserve">- uznesenie č.      zo dňa ......... obstaranie ..........  </w:t>
            </w:r>
          </w:p>
        </w:tc>
        <w:tc>
          <w:tcPr>
            <w:tcW w:w="4373" w:type="dxa"/>
            <w:tcBorders>
              <w:top w:val="single" w:sz="4" w:space="0" w:color="000000"/>
              <w:left w:val="single" w:sz="4" w:space="0" w:color="000000"/>
              <w:bottom w:val="single" w:sz="4" w:space="0" w:color="000000"/>
              <w:insideH w:val="single" w:sz="4" w:space="0" w:color="000000"/>
              <w:right w:val="single" w:sz="4" w:space="0" w:color="000000"/>
              <w:insideV w:val="single" w:sz="4" w:space="0" w:color="000000"/>
            </w:tcBorders>
            <w:shd w:fill="auto" w:val="clear"/>
            <w:tcMar>
              <w:left w:w="103" w:type="dxa"/>
            </w:tcMar>
          </w:tcPr>
          <w:p>
            <w:pPr>
              <w:pStyle w:val="Normal"/>
              <w:jc w:val="center"/>
              <w:rPr/>
            </w:pPr>
            <w:r>
              <w:rPr/>
              <w:t xml:space="preserve">      </w:t>
            </w:r>
          </w:p>
        </w:tc>
      </w:tr>
      <w:tr>
        <w:trPr>
          <w:cantSplit w:val="false"/>
        </w:trPr>
        <w:tc>
          <w:tcPr>
            <w:tcW w:w="5103" w:type="dxa"/>
            <w:tcBorders>
              <w:top w:val="single" w:sz="4" w:space="0" w:color="000000"/>
              <w:left w:val="single" w:sz="4" w:space="0" w:color="000000"/>
              <w:bottom w:val="single" w:sz="4" w:space="0" w:color="000000"/>
              <w:insideH w:val="single" w:sz="4" w:space="0" w:color="000000"/>
              <w:right w:val="nil"/>
              <w:insideV w:val="nil"/>
            </w:tcBorders>
            <w:shd w:fill="auto" w:val="clear"/>
            <w:tcMar>
              <w:left w:w="103" w:type="dxa"/>
            </w:tcMar>
          </w:tcPr>
          <w:p>
            <w:pPr>
              <w:pStyle w:val="Normal"/>
              <w:rPr/>
            </w:pPr>
            <w:r>
              <w:rPr/>
              <w:t xml:space="preserve">               </w:t>
            </w:r>
            <w:r>
              <w:rPr/>
              <w:t>- krytie schodku rozpočtu</w:t>
            </w:r>
          </w:p>
        </w:tc>
        <w:tc>
          <w:tcPr>
            <w:tcW w:w="4373" w:type="dxa"/>
            <w:tcBorders>
              <w:top w:val="single" w:sz="4" w:space="0" w:color="000000"/>
              <w:left w:val="single" w:sz="4" w:space="0" w:color="000000"/>
              <w:bottom w:val="single" w:sz="4" w:space="0" w:color="000000"/>
              <w:insideH w:val="single" w:sz="4" w:space="0" w:color="000000"/>
              <w:right w:val="single" w:sz="4" w:space="0" w:color="000000"/>
              <w:insideV w:val="single" w:sz="4" w:space="0" w:color="000000"/>
            </w:tcBorders>
            <w:shd w:fill="auto" w:val="clear"/>
            <w:tcMar>
              <w:left w:w="103" w:type="dxa"/>
            </w:tcMar>
          </w:tcPr>
          <w:p>
            <w:pPr>
              <w:pStyle w:val="Normal"/>
              <w:snapToGrid w:val="false"/>
              <w:jc w:val="center"/>
              <w:rPr/>
            </w:pPr>
            <w:r>
              <w:rPr/>
            </w:r>
          </w:p>
        </w:tc>
      </w:tr>
      <w:tr>
        <w:trPr>
          <w:cantSplit w:val="false"/>
        </w:trPr>
        <w:tc>
          <w:tcPr>
            <w:tcW w:w="5103" w:type="dxa"/>
            <w:tcBorders>
              <w:top w:val="single" w:sz="4" w:space="0" w:color="000000"/>
              <w:left w:val="single" w:sz="4" w:space="0" w:color="000000"/>
              <w:bottom w:val="single" w:sz="4" w:space="0" w:color="000000"/>
              <w:insideH w:val="single" w:sz="4" w:space="0" w:color="000000"/>
              <w:right w:val="nil"/>
              <w:insideV w:val="nil"/>
            </w:tcBorders>
            <w:shd w:fill="auto" w:val="clear"/>
            <w:tcMar>
              <w:left w:w="103" w:type="dxa"/>
            </w:tcMar>
          </w:tcPr>
          <w:p>
            <w:pPr>
              <w:pStyle w:val="Normal"/>
              <w:rPr/>
            </w:pPr>
            <w:r>
              <w:rPr/>
              <w:t xml:space="preserve">               </w:t>
            </w:r>
            <w:r>
              <w:rPr/>
              <w:t xml:space="preserve">- ostatné úbytky </w:t>
            </w:r>
          </w:p>
        </w:tc>
        <w:tc>
          <w:tcPr>
            <w:tcW w:w="4373" w:type="dxa"/>
            <w:tcBorders>
              <w:top w:val="single" w:sz="4" w:space="0" w:color="000000"/>
              <w:left w:val="single" w:sz="4" w:space="0" w:color="000000"/>
              <w:bottom w:val="single" w:sz="4" w:space="0" w:color="000000"/>
              <w:insideH w:val="single" w:sz="4" w:space="0" w:color="000000"/>
              <w:right w:val="single" w:sz="4" w:space="0" w:color="000000"/>
              <w:insideV w:val="single" w:sz="4" w:space="0" w:color="000000"/>
            </w:tcBorders>
            <w:shd w:fill="auto" w:val="clear"/>
            <w:tcMar>
              <w:left w:w="103" w:type="dxa"/>
            </w:tcMar>
          </w:tcPr>
          <w:p>
            <w:pPr>
              <w:pStyle w:val="Normal"/>
              <w:snapToGrid w:val="false"/>
              <w:jc w:val="center"/>
              <w:rPr/>
            </w:pPr>
            <w:r>
              <w:rPr/>
            </w:r>
          </w:p>
        </w:tc>
      </w:tr>
      <w:tr>
        <w:trPr>
          <w:cantSplit w:val="false"/>
        </w:trPr>
        <w:tc>
          <w:tcPr>
            <w:tcW w:w="5103" w:type="dxa"/>
            <w:tcBorders>
              <w:top w:val="single" w:sz="4" w:space="0" w:color="000000"/>
              <w:left w:val="single" w:sz="4" w:space="0" w:color="000000"/>
              <w:bottom w:val="single" w:sz="4" w:space="0" w:color="000000"/>
              <w:insideH w:val="single" w:sz="4" w:space="0" w:color="000000"/>
              <w:right w:val="nil"/>
              <w:insideV w:val="nil"/>
            </w:tcBorders>
            <w:shd w:fill="D9D9D9" w:val="clear"/>
            <w:tcMar>
              <w:left w:w="103" w:type="dxa"/>
            </w:tcMar>
          </w:tcPr>
          <w:p>
            <w:pPr>
              <w:pStyle w:val="Normal"/>
              <w:rPr/>
            </w:pPr>
            <w:r>
              <w:rPr/>
              <w:t>KZ k 31.12.2014</w:t>
            </w:r>
          </w:p>
        </w:tc>
        <w:tc>
          <w:tcPr>
            <w:tcW w:w="4373" w:type="dxa"/>
            <w:tcBorders>
              <w:top w:val="single" w:sz="4" w:space="0" w:color="000000"/>
              <w:left w:val="single" w:sz="4" w:space="0" w:color="000000"/>
              <w:bottom w:val="single" w:sz="4" w:space="0" w:color="000000"/>
              <w:insideH w:val="single" w:sz="4" w:space="0" w:color="000000"/>
              <w:right w:val="single" w:sz="4" w:space="0" w:color="000000"/>
              <w:insideV w:val="single" w:sz="4" w:space="0" w:color="000000"/>
            </w:tcBorders>
            <w:shd w:fill="D9D9D9" w:val="clear"/>
            <w:tcMar>
              <w:left w:w="103" w:type="dxa"/>
            </w:tcMar>
          </w:tcPr>
          <w:p>
            <w:pPr>
              <w:pStyle w:val="Normal"/>
              <w:jc w:val="center"/>
              <w:rPr/>
            </w:pPr>
            <w:r>
              <w:rPr/>
              <w:t xml:space="preserve">  </w:t>
            </w:r>
            <w:r>
              <w:rPr/>
              <w:t>13  071,24</w:t>
            </w:r>
          </w:p>
        </w:tc>
      </w:tr>
    </w:tbl>
    <w:p>
      <w:pPr>
        <w:pStyle w:val="Normal"/>
        <w:tabs>
          <w:tab w:val="right" w:pos="5040" w:leader="none"/>
        </w:tabs>
        <w:jc w:val="both"/>
        <w:rPr>
          <w:b/>
        </w:rPr>
      </w:pPr>
      <w:r>
        <w:rPr>
          <w:b/>
        </w:rPr>
      </w:r>
    </w:p>
    <w:p>
      <w:pPr>
        <w:pStyle w:val="Normal"/>
        <w:tabs>
          <w:tab w:val="right" w:pos="5040" w:leader="none"/>
        </w:tabs>
        <w:jc w:val="both"/>
        <w:rPr>
          <w:b/>
        </w:rPr>
      </w:pPr>
      <w:r>
        <w:rPr>
          <w:b/>
        </w:rPr>
      </w:r>
    </w:p>
    <w:p>
      <w:pPr>
        <w:pStyle w:val="Normal"/>
        <w:rPr>
          <w:b/>
        </w:rPr>
      </w:pPr>
      <w:r>
        <w:rPr>
          <w:b/>
        </w:rPr>
        <w:t>Sociálny fond</w:t>
      </w:r>
    </w:p>
    <w:p>
      <w:pPr>
        <w:pStyle w:val="Normal"/>
        <w:rPr>
          <w:color w:val="000000"/>
        </w:rPr>
      </w:pPr>
      <w:r>
        <w:rPr/>
        <w:t xml:space="preserve">Tvorbu a použitie sociálneho fondu upravuje </w:t>
      </w:r>
      <w:r>
        <w:rPr>
          <w:color w:val="000000"/>
        </w:rPr>
        <w:t>kolektívna zmluva.</w:t>
      </w:r>
    </w:p>
    <w:p>
      <w:pPr>
        <w:pStyle w:val="Normal"/>
        <w:tabs>
          <w:tab w:val="right" w:pos="7560" w:leader="none"/>
        </w:tabs>
        <w:rPr/>
      </w:pPr>
      <w:r>
        <w:rPr/>
      </w:r>
    </w:p>
    <w:tbl>
      <w:tblPr>
        <w:jc w:val="left"/>
        <w:tblInd w:w="98" w:type="dxa"/>
        <w:tblBorders>
          <w:top w:val="single" w:sz="4" w:space="0" w:color="000001"/>
          <w:left w:val="single" w:sz="4" w:space="0" w:color="000001"/>
          <w:bottom w:val="single" w:sz="4" w:space="0" w:color="000001"/>
          <w:insideH w:val="single" w:sz="4" w:space="0" w:color="000001"/>
          <w:right w:val="nil"/>
          <w:insideV w:val="nil"/>
        </w:tblBorders>
        <w:tblCellMar>
          <w:top w:w="0" w:type="dxa"/>
          <w:left w:w="93" w:type="dxa"/>
          <w:bottom w:w="0" w:type="dxa"/>
          <w:right w:w="108" w:type="dxa"/>
        </w:tblCellMar>
      </w:tblPr>
      <w:tblGrid>
        <w:gridCol w:w="5101"/>
        <w:gridCol w:w="4343"/>
      </w:tblGrid>
      <w:tr>
        <w:trPr>
          <w:cantSplit w:val="false"/>
        </w:trPr>
        <w:tc>
          <w:tcPr>
            <w:tcW w:w="5101" w:type="dxa"/>
            <w:tcBorders>
              <w:top w:val="single" w:sz="4" w:space="0" w:color="000001"/>
              <w:left w:val="single" w:sz="4" w:space="0" w:color="000001"/>
              <w:bottom w:val="single" w:sz="4" w:space="0" w:color="000001"/>
              <w:insideH w:val="single" w:sz="4" w:space="0" w:color="000001"/>
              <w:right w:val="nil"/>
              <w:insideV w:val="nil"/>
            </w:tcBorders>
            <w:shd w:fill="D9D9D9" w:val="clear"/>
            <w:tcMar>
              <w:left w:w="93" w:type="dxa"/>
            </w:tcMar>
          </w:tcPr>
          <w:p>
            <w:pPr>
              <w:pStyle w:val="Normal"/>
              <w:rPr>
                <w:b/>
              </w:rPr>
            </w:pPr>
            <w:r>
              <w:rPr>
                <w:b/>
              </w:rPr>
              <w:t>Sociálny fond</w:t>
            </w:r>
          </w:p>
        </w:tc>
        <w:tc>
          <w:tcPr>
            <w:tcW w:w="4343" w:type="dxa"/>
            <w:tcBorders>
              <w:top w:val="single" w:sz="4" w:space="0" w:color="000001"/>
              <w:left w:val="single" w:sz="4" w:space="0" w:color="000001"/>
              <w:bottom w:val="single" w:sz="4" w:space="0" w:color="000001"/>
              <w:insideH w:val="single" w:sz="4" w:space="0" w:color="000001"/>
              <w:right w:val="single" w:sz="4" w:space="0" w:color="000001"/>
              <w:insideV w:val="single" w:sz="4" w:space="0" w:color="000001"/>
            </w:tcBorders>
            <w:shd w:fill="D9D9D9" w:val="clear"/>
            <w:tcMar>
              <w:left w:w="93" w:type="dxa"/>
            </w:tcMar>
          </w:tcPr>
          <w:p>
            <w:pPr>
              <w:pStyle w:val="Normal"/>
              <w:jc w:val="center"/>
              <w:rPr>
                <w:b/>
              </w:rPr>
            </w:pPr>
            <w:r>
              <w:rPr>
                <w:b/>
              </w:rPr>
              <w:t>Suma v EUR</w:t>
            </w:r>
          </w:p>
        </w:tc>
      </w:tr>
      <w:tr>
        <w:trPr>
          <w:cantSplit w:val="false"/>
        </w:trPr>
        <w:tc>
          <w:tcPr>
            <w:tcW w:w="5101" w:type="dxa"/>
            <w:tcBorders>
              <w:top w:val="single" w:sz="4" w:space="0" w:color="000001"/>
              <w:left w:val="single" w:sz="4" w:space="0" w:color="000001"/>
              <w:bottom w:val="single" w:sz="4" w:space="0" w:color="000001"/>
              <w:insideH w:val="single" w:sz="4" w:space="0" w:color="000001"/>
              <w:right w:val="nil"/>
              <w:insideV w:val="nil"/>
            </w:tcBorders>
            <w:shd w:fill="FFFFFF" w:val="clear"/>
            <w:tcMar>
              <w:left w:w="93" w:type="dxa"/>
            </w:tcMar>
          </w:tcPr>
          <w:p>
            <w:pPr>
              <w:pStyle w:val="Normal"/>
              <w:rPr/>
            </w:pPr>
            <w:r>
              <w:rPr/>
              <w:t>ZS k 1.1.2014</w:t>
            </w:r>
          </w:p>
        </w:tc>
        <w:tc>
          <w:tcPr>
            <w:tcW w:w="4343" w:type="dxa"/>
            <w:tcBorders>
              <w:top w:val="single" w:sz="4" w:space="0" w:color="000001"/>
              <w:left w:val="single" w:sz="4" w:space="0" w:color="000001"/>
              <w:bottom w:val="single" w:sz="4" w:space="0" w:color="000001"/>
              <w:insideH w:val="single" w:sz="4" w:space="0" w:color="000001"/>
              <w:right w:val="single" w:sz="4" w:space="0" w:color="000001"/>
              <w:insideV w:val="single" w:sz="4" w:space="0" w:color="000001"/>
            </w:tcBorders>
            <w:shd w:fill="FFFFFF" w:val="clear"/>
            <w:tcMar>
              <w:left w:w="93" w:type="dxa"/>
            </w:tcMar>
          </w:tcPr>
          <w:p>
            <w:pPr>
              <w:pStyle w:val="Normal"/>
              <w:jc w:val="center"/>
              <w:rPr/>
            </w:pPr>
            <w:r>
              <w:rPr/>
              <w:t xml:space="preserve">304,84 </w:t>
            </w:r>
          </w:p>
        </w:tc>
      </w:tr>
      <w:tr>
        <w:trPr>
          <w:cantSplit w:val="false"/>
        </w:trPr>
        <w:tc>
          <w:tcPr>
            <w:tcW w:w="5101" w:type="dxa"/>
            <w:tcBorders>
              <w:top w:val="single" w:sz="4" w:space="0" w:color="000001"/>
              <w:left w:val="single" w:sz="4" w:space="0" w:color="000001"/>
              <w:bottom w:val="single" w:sz="4" w:space="0" w:color="000001"/>
              <w:insideH w:val="single" w:sz="4" w:space="0" w:color="000001"/>
              <w:right w:val="nil"/>
              <w:insideV w:val="nil"/>
            </w:tcBorders>
            <w:shd w:fill="FFFFFF" w:val="clear"/>
            <w:tcMar>
              <w:left w:w="93" w:type="dxa"/>
            </w:tcMar>
          </w:tcPr>
          <w:p>
            <w:pPr>
              <w:pStyle w:val="Normal"/>
              <w:rPr/>
            </w:pPr>
            <w:r>
              <w:rPr/>
              <w:t xml:space="preserve">Prírastky - povinný prídel -        %                   </w:t>
            </w:r>
          </w:p>
        </w:tc>
        <w:tc>
          <w:tcPr>
            <w:tcW w:w="4343" w:type="dxa"/>
            <w:tcBorders>
              <w:top w:val="single" w:sz="4" w:space="0" w:color="000001"/>
              <w:left w:val="single" w:sz="4" w:space="0" w:color="000001"/>
              <w:bottom w:val="single" w:sz="4" w:space="0" w:color="000001"/>
              <w:insideH w:val="single" w:sz="4" w:space="0" w:color="000001"/>
              <w:right w:val="single" w:sz="4" w:space="0" w:color="000001"/>
              <w:insideV w:val="single" w:sz="4" w:space="0" w:color="000001"/>
            </w:tcBorders>
            <w:shd w:fill="FFFFFF" w:val="clear"/>
            <w:tcMar>
              <w:left w:w="93" w:type="dxa"/>
            </w:tcMar>
          </w:tcPr>
          <w:p>
            <w:pPr>
              <w:pStyle w:val="Normal"/>
              <w:rPr/>
            </w:pPr>
            <w:r>
              <w:rPr/>
              <w:t xml:space="preserve">                            </w:t>
            </w:r>
            <w:r>
              <w:rPr/>
              <w:t xml:space="preserve">591,16 </w:t>
            </w:r>
          </w:p>
        </w:tc>
      </w:tr>
      <w:tr>
        <w:trPr>
          <w:cantSplit w:val="false"/>
        </w:trPr>
        <w:tc>
          <w:tcPr>
            <w:tcW w:w="5101" w:type="dxa"/>
            <w:tcBorders>
              <w:top w:val="single" w:sz="4" w:space="0" w:color="000001"/>
              <w:left w:val="single" w:sz="4" w:space="0" w:color="000001"/>
              <w:bottom w:val="single" w:sz="4" w:space="0" w:color="000001"/>
              <w:insideH w:val="single" w:sz="4" w:space="0" w:color="000001"/>
              <w:right w:val="nil"/>
              <w:insideV w:val="nil"/>
            </w:tcBorders>
            <w:shd w:fill="FFFFFF" w:val="clear"/>
            <w:tcMar>
              <w:left w:w="93" w:type="dxa"/>
            </w:tcMar>
          </w:tcPr>
          <w:p>
            <w:pPr>
              <w:pStyle w:val="Normal"/>
              <w:rPr/>
            </w:pPr>
            <w:r>
              <w:rPr/>
              <w:t xml:space="preserve">               </w:t>
            </w:r>
            <w:r>
              <w:rPr/>
              <w:t xml:space="preserve">- povinný prídel -        %                      </w:t>
            </w:r>
          </w:p>
        </w:tc>
        <w:tc>
          <w:tcPr>
            <w:tcW w:w="4343" w:type="dxa"/>
            <w:tcBorders>
              <w:top w:val="single" w:sz="4" w:space="0" w:color="000001"/>
              <w:left w:val="single" w:sz="4" w:space="0" w:color="000001"/>
              <w:bottom w:val="single" w:sz="4" w:space="0" w:color="000001"/>
              <w:insideH w:val="single" w:sz="4" w:space="0" w:color="000001"/>
              <w:right w:val="single" w:sz="4" w:space="0" w:color="000001"/>
              <w:insideV w:val="single" w:sz="4" w:space="0" w:color="000001"/>
            </w:tcBorders>
            <w:shd w:fill="FFFFFF" w:val="clear"/>
            <w:tcMar>
              <w:left w:w="93" w:type="dxa"/>
            </w:tcMar>
          </w:tcPr>
          <w:p>
            <w:pPr>
              <w:pStyle w:val="Normal"/>
              <w:rPr/>
            </w:pPr>
            <w:r>
              <w:rPr/>
              <w:t xml:space="preserve">                              </w:t>
            </w:r>
            <w:r>
              <w:rPr/>
              <w:t>0</w:t>
            </w:r>
          </w:p>
        </w:tc>
      </w:tr>
      <w:tr>
        <w:trPr>
          <w:cantSplit w:val="false"/>
        </w:trPr>
        <w:tc>
          <w:tcPr>
            <w:tcW w:w="5101" w:type="dxa"/>
            <w:tcBorders>
              <w:top w:val="single" w:sz="4" w:space="0" w:color="000001"/>
              <w:left w:val="single" w:sz="4" w:space="0" w:color="000001"/>
              <w:bottom w:val="single" w:sz="4" w:space="0" w:color="000001"/>
              <w:insideH w:val="single" w:sz="4" w:space="0" w:color="000001"/>
              <w:right w:val="nil"/>
              <w:insideV w:val="nil"/>
            </w:tcBorders>
            <w:shd w:fill="FFFFFF" w:val="clear"/>
            <w:tcMar>
              <w:left w:w="93" w:type="dxa"/>
            </w:tcMar>
          </w:tcPr>
          <w:p>
            <w:pPr>
              <w:pStyle w:val="Normal"/>
              <w:rPr/>
            </w:pPr>
            <w:r>
              <w:rPr/>
              <w:t xml:space="preserve">               </w:t>
            </w:r>
            <w:r>
              <w:rPr/>
              <w:t>- ostatné prírastky</w:t>
            </w:r>
          </w:p>
        </w:tc>
        <w:tc>
          <w:tcPr>
            <w:tcW w:w="4343" w:type="dxa"/>
            <w:tcBorders>
              <w:top w:val="single" w:sz="4" w:space="0" w:color="000001"/>
              <w:left w:val="single" w:sz="4" w:space="0" w:color="000001"/>
              <w:bottom w:val="single" w:sz="4" w:space="0" w:color="000001"/>
              <w:insideH w:val="single" w:sz="4" w:space="0" w:color="000001"/>
              <w:right w:val="single" w:sz="4" w:space="0" w:color="000001"/>
              <w:insideV w:val="single" w:sz="4" w:space="0" w:color="000001"/>
            </w:tcBorders>
            <w:shd w:fill="FFFFFF" w:val="clear"/>
            <w:tcMar>
              <w:left w:w="93" w:type="dxa"/>
            </w:tcMar>
          </w:tcPr>
          <w:p>
            <w:pPr>
              <w:pStyle w:val="Normal"/>
              <w:jc w:val="center"/>
              <w:rPr/>
            </w:pPr>
            <w:r>
              <w:rPr/>
              <w:t xml:space="preserve">0    </w:t>
            </w:r>
          </w:p>
        </w:tc>
      </w:tr>
      <w:tr>
        <w:trPr>
          <w:cantSplit w:val="false"/>
        </w:trPr>
        <w:tc>
          <w:tcPr>
            <w:tcW w:w="5101" w:type="dxa"/>
            <w:tcBorders>
              <w:top w:val="single" w:sz="4" w:space="0" w:color="000001"/>
              <w:left w:val="single" w:sz="4" w:space="0" w:color="000001"/>
              <w:bottom w:val="single" w:sz="4" w:space="0" w:color="000001"/>
              <w:insideH w:val="single" w:sz="4" w:space="0" w:color="000001"/>
              <w:right w:val="nil"/>
              <w:insideV w:val="nil"/>
            </w:tcBorders>
            <w:shd w:fill="FFFFFF" w:val="clear"/>
            <w:tcMar>
              <w:left w:w="93" w:type="dxa"/>
            </w:tcMar>
          </w:tcPr>
          <w:p>
            <w:pPr>
              <w:pStyle w:val="Normal"/>
              <w:rPr/>
            </w:pPr>
            <w:r>
              <w:rPr/>
              <w:t xml:space="preserve">Úbytky   - závodné stravovanie                    </w:t>
            </w:r>
          </w:p>
        </w:tc>
        <w:tc>
          <w:tcPr>
            <w:tcW w:w="4343" w:type="dxa"/>
            <w:tcBorders>
              <w:top w:val="single" w:sz="4" w:space="0" w:color="000001"/>
              <w:left w:val="single" w:sz="4" w:space="0" w:color="000001"/>
              <w:bottom w:val="single" w:sz="4" w:space="0" w:color="000001"/>
              <w:insideH w:val="single" w:sz="4" w:space="0" w:color="000001"/>
              <w:right w:val="single" w:sz="4" w:space="0" w:color="000001"/>
              <w:insideV w:val="single" w:sz="4" w:space="0" w:color="000001"/>
            </w:tcBorders>
            <w:shd w:fill="FFFFFF" w:val="clear"/>
            <w:tcMar>
              <w:left w:w="93" w:type="dxa"/>
            </w:tcMar>
          </w:tcPr>
          <w:p>
            <w:pPr>
              <w:pStyle w:val="Normal"/>
              <w:jc w:val="center"/>
              <w:rPr/>
            </w:pPr>
            <w:r>
              <w:rPr/>
              <w:t xml:space="preserve">376  </w:t>
            </w:r>
          </w:p>
        </w:tc>
      </w:tr>
      <w:tr>
        <w:trPr>
          <w:cantSplit w:val="false"/>
        </w:trPr>
        <w:tc>
          <w:tcPr>
            <w:tcW w:w="5101" w:type="dxa"/>
            <w:tcBorders>
              <w:top w:val="single" w:sz="4" w:space="0" w:color="000001"/>
              <w:left w:val="single" w:sz="4" w:space="0" w:color="000001"/>
              <w:bottom w:val="single" w:sz="4" w:space="0" w:color="000001"/>
              <w:insideH w:val="single" w:sz="4" w:space="0" w:color="000001"/>
              <w:right w:val="nil"/>
              <w:insideV w:val="nil"/>
            </w:tcBorders>
            <w:shd w:fill="FFFFFF" w:val="clear"/>
            <w:tcMar>
              <w:left w:w="93" w:type="dxa"/>
            </w:tcMar>
          </w:tcPr>
          <w:p>
            <w:pPr>
              <w:pStyle w:val="Normal"/>
              <w:rPr/>
            </w:pPr>
            <w:r>
              <w:rPr/>
              <w:t xml:space="preserve">               </w:t>
            </w:r>
            <w:r>
              <w:rPr/>
              <w:t xml:space="preserve">- regeneráciu PS, dopravu              </w:t>
            </w:r>
          </w:p>
        </w:tc>
        <w:tc>
          <w:tcPr>
            <w:tcW w:w="4343" w:type="dxa"/>
            <w:tcBorders>
              <w:top w:val="single" w:sz="4" w:space="0" w:color="000001"/>
              <w:left w:val="single" w:sz="4" w:space="0" w:color="000001"/>
              <w:bottom w:val="single" w:sz="4" w:space="0" w:color="000001"/>
              <w:insideH w:val="single" w:sz="4" w:space="0" w:color="000001"/>
              <w:right w:val="single" w:sz="4" w:space="0" w:color="000001"/>
              <w:insideV w:val="single" w:sz="4" w:space="0" w:color="000001"/>
            </w:tcBorders>
            <w:shd w:fill="FFFFFF" w:val="clear"/>
            <w:tcMar>
              <w:left w:w="93" w:type="dxa"/>
            </w:tcMar>
          </w:tcPr>
          <w:p>
            <w:pPr>
              <w:pStyle w:val="Normal"/>
              <w:jc w:val="center"/>
              <w:rPr/>
            </w:pPr>
            <w:r>
              <w:rPr/>
              <w:t xml:space="preserve">0   </w:t>
            </w:r>
          </w:p>
        </w:tc>
      </w:tr>
      <w:tr>
        <w:trPr>
          <w:cantSplit w:val="false"/>
        </w:trPr>
        <w:tc>
          <w:tcPr>
            <w:tcW w:w="5101" w:type="dxa"/>
            <w:tcBorders>
              <w:top w:val="single" w:sz="4" w:space="0" w:color="000001"/>
              <w:left w:val="single" w:sz="4" w:space="0" w:color="000001"/>
              <w:bottom w:val="single" w:sz="4" w:space="0" w:color="000001"/>
              <w:insideH w:val="single" w:sz="4" w:space="0" w:color="000001"/>
              <w:right w:val="nil"/>
              <w:insideV w:val="nil"/>
            </w:tcBorders>
            <w:shd w:fill="FFFFFF" w:val="clear"/>
            <w:tcMar>
              <w:left w:w="93" w:type="dxa"/>
            </w:tcMar>
          </w:tcPr>
          <w:p>
            <w:pPr>
              <w:pStyle w:val="Normal"/>
              <w:rPr/>
            </w:pPr>
            <w:r>
              <w:rPr/>
              <w:t xml:space="preserve">               </w:t>
            </w:r>
            <w:r>
              <w:rPr/>
              <w:t xml:space="preserve">- dopravné                          </w:t>
            </w:r>
          </w:p>
        </w:tc>
        <w:tc>
          <w:tcPr>
            <w:tcW w:w="4343" w:type="dxa"/>
            <w:tcBorders>
              <w:top w:val="single" w:sz="4" w:space="0" w:color="000001"/>
              <w:left w:val="single" w:sz="4" w:space="0" w:color="000001"/>
              <w:bottom w:val="single" w:sz="4" w:space="0" w:color="000001"/>
              <w:insideH w:val="single" w:sz="4" w:space="0" w:color="000001"/>
              <w:right w:val="single" w:sz="4" w:space="0" w:color="000001"/>
              <w:insideV w:val="single" w:sz="4" w:space="0" w:color="000001"/>
            </w:tcBorders>
            <w:shd w:fill="FFFFFF" w:val="clear"/>
            <w:tcMar>
              <w:left w:w="93" w:type="dxa"/>
            </w:tcMar>
          </w:tcPr>
          <w:p>
            <w:pPr>
              <w:pStyle w:val="Normal"/>
              <w:jc w:val="center"/>
              <w:rPr/>
            </w:pPr>
            <w:r>
              <w:rPr/>
              <w:t xml:space="preserve">0 </w:t>
            </w:r>
          </w:p>
        </w:tc>
      </w:tr>
      <w:tr>
        <w:trPr>
          <w:cantSplit w:val="false"/>
        </w:trPr>
        <w:tc>
          <w:tcPr>
            <w:tcW w:w="5101" w:type="dxa"/>
            <w:tcBorders>
              <w:top w:val="single" w:sz="4" w:space="0" w:color="000001"/>
              <w:left w:val="single" w:sz="4" w:space="0" w:color="000001"/>
              <w:bottom w:val="single" w:sz="4" w:space="0" w:color="000001"/>
              <w:insideH w:val="single" w:sz="4" w:space="0" w:color="000001"/>
              <w:right w:val="nil"/>
              <w:insideV w:val="nil"/>
            </w:tcBorders>
            <w:shd w:fill="FFFFFF" w:val="clear"/>
            <w:tcMar>
              <w:left w:w="93" w:type="dxa"/>
            </w:tcMar>
          </w:tcPr>
          <w:p>
            <w:pPr>
              <w:pStyle w:val="Normal"/>
              <w:rPr/>
            </w:pPr>
            <w:r>
              <w:rPr/>
              <w:t xml:space="preserve">               </w:t>
            </w:r>
            <w:r>
              <w:rPr/>
              <w:t xml:space="preserve">- ostatné úbytky                                               </w:t>
            </w:r>
          </w:p>
        </w:tc>
        <w:tc>
          <w:tcPr>
            <w:tcW w:w="4343" w:type="dxa"/>
            <w:tcBorders>
              <w:top w:val="single" w:sz="4" w:space="0" w:color="000001"/>
              <w:left w:val="single" w:sz="4" w:space="0" w:color="000001"/>
              <w:bottom w:val="single" w:sz="4" w:space="0" w:color="000001"/>
              <w:insideH w:val="single" w:sz="4" w:space="0" w:color="000001"/>
              <w:right w:val="single" w:sz="4" w:space="0" w:color="000001"/>
              <w:insideV w:val="single" w:sz="4" w:space="0" w:color="000001"/>
            </w:tcBorders>
            <w:shd w:fill="FFFFFF" w:val="clear"/>
            <w:tcMar>
              <w:left w:w="93" w:type="dxa"/>
            </w:tcMar>
          </w:tcPr>
          <w:p>
            <w:pPr>
              <w:pStyle w:val="Normal"/>
              <w:jc w:val="center"/>
              <w:rPr/>
            </w:pPr>
            <w:r>
              <w:rPr/>
              <w:t xml:space="preserve">0   </w:t>
            </w:r>
          </w:p>
        </w:tc>
      </w:tr>
      <w:tr>
        <w:trPr>
          <w:cantSplit w:val="false"/>
        </w:trPr>
        <w:tc>
          <w:tcPr>
            <w:tcW w:w="5101" w:type="dxa"/>
            <w:tcBorders>
              <w:top w:val="single" w:sz="4" w:space="0" w:color="000001"/>
              <w:left w:val="single" w:sz="4" w:space="0" w:color="000001"/>
              <w:bottom w:val="single" w:sz="4" w:space="0" w:color="000001"/>
              <w:insideH w:val="single" w:sz="4" w:space="0" w:color="000001"/>
              <w:right w:val="nil"/>
              <w:insideV w:val="nil"/>
            </w:tcBorders>
            <w:shd w:fill="D9D9D9" w:val="clear"/>
            <w:tcMar>
              <w:left w:w="93" w:type="dxa"/>
            </w:tcMar>
          </w:tcPr>
          <w:p>
            <w:pPr>
              <w:pStyle w:val="Normal"/>
              <w:rPr/>
            </w:pPr>
            <w:r>
              <w:rPr/>
              <w:t>KZ k 31.12.2014</w:t>
            </w:r>
          </w:p>
        </w:tc>
        <w:tc>
          <w:tcPr>
            <w:tcW w:w="4343" w:type="dxa"/>
            <w:tcBorders>
              <w:top w:val="single" w:sz="4" w:space="0" w:color="000001"/>
              <w:left w:val="single" w:sz="4" w:space="0" w:color="000001"/>
              <w:bottom w:val="single" w:sz="4" w:space="0" w:color="000001"/>
              <w:insideH w:val="single" w:sz="4" w:space="0" w:color="000001"/>
              <w:right w:val="single" w:sz="4" w:space="0" w:color="000001"/>
              <w:insideV w:val="single" w:sz="4" w:space="0" w:color="000001"/>
            </w:tcBorders>
            <w:shd w:fill="D9D9D9" w:val="clear"/>
            <w:tcMar>
              <w:left w:w="93" w:type="dxa"/>
            </w:tcMar>
          </w:tcPr>
          <w:p>
            <w:pPr>
              <w:pStyle w:val="Normal"/>
              <w:jc w:val="center"/>
              <w:rPr/>
            </w:pPr>
            <w:r>
              <w:rPr/>
              <w:t>520</w:t>
            </w:r>
          </w:p>
        </w:tc>
      </w:tr>
    </w:tbl>
    <w:p>
      <w:pPr>
        <w:pStyle w:val="Normal"/>
        <w:rPr>
          <w:b/>
          <w:color w:val="6600FF"/>
          <w:sz w:val="28"/>
          <w:szCs w:val="28"/>
        </w:rPr>
      </w:pPr>
      <w:r>
        <w:rPr>
          <w:b/>
          <w:color w:val="6600FF"/>
          <w:sz w:val="28"/>
          <w:szCs w:val="28"/>
        </w:rPr>
      </w:r>
    </w:p>
    <w:p>
      <w:pPr>
        <w:pStyle w:val="Normal"/>
        <w:rPr>
          <w:b/>
          <w:color w:val="0000FF"/>
          <w:sz w:val="28"/>
          <w:szCs w:val="28"/>
        </w:rPr>
      </w:pPr>
      <w:r>
        <w:rPr>
          <w:b/>
          <w:color w:val="0000FF"/>
          <w:sz w:val="28"/>
          <w:szCs w:val="28"/>
        </w:rPr>
        <w:t xml:space="preserve">6. Bilancia aktív a pasív k 31.12.2014 </w:t>
      </w:r>
    </w:p>
    <w:p>
      <w:pPr>
        <w:pStyle w:val="Normal"/>
        <w:rPr>
          <w:b/>
          <w:color w:val="6600FF"/>
          <w:sz w:val="28"/>
          <w:szCs w:val="28"/>
        </w:rPr>
      </w:pPr>
      <w:r>
        <w:rPr>
          <w:b/>
          <w:color w:val="6600FF"/>
          <w:sz w:val="28"/>
          <w:szCs w:val="28"/>
        </w:rPr>
      </w:r>
    </w:p>
    <w:p>
      <w:pPr>
        <w:pStyle w:val="Normal"/>
        <w:spacing w:lineRule="auto" w:line="360"/>
        <w:jc w:val="both"/>
        <w:rPr>
          <w:b/>
        </w:rPr>
      </w:pPr>
      <w:r>
        <w:rPr>
          <w:b/>
        </w:rPr>
        <w:t>A K T Í V A </w:t>
      </w:r>
    </w:p>
    <w:tbl>
      <w:tblPr>
        <w:jc w:val="left"/>
        <w:tblInd w:w="-55" w:type="dxa"/>
        <w:tblBorders>
          <w:top w:val="single" w:sz="4" w:space="0" w:color="000001"/>
          <w:left w:val="single" w:sz="4" w:space="0" w:color="000001"/>
          <w:bottom w:val="single" w:sz="4" w:space="0" w:color="000001"/>
          <w:insideH w:val="single" w:sz="4" w:space="0" w:color="000001"/>
          <w:right w:val="nil"/>
          <w:insideV w:val="nil"/>
        </w:tblBorders>
        <w:tblCellMar>
          <w:top w:w="0" w:type="dxa"/>
          <w:left w:w="55" w:type="dxa"/>
          <w:bottom w:w="0" w:type="dxa"/>
          <w:right w:w="70" w:type="dxa"/>
        </w:tblCellMar>
      </w:tblPr>
      <w:tblGrid>
        <w:gridCol w:w="3754"/>
        <w:gridCol w:w="2869"/>
        <w:gridCol w:w="2893"/>
      </w:tblGrid>
      <w:tr>
        <w:trPr>
          <w:cantSplit w:val="false"/>
        </w:trPr>
        <w:tc>
          <w:tcPr>
            <w:tcW w:w="3754" w:type="dxa"/>
            <w:tcBorders>
              <w:top w:val="single" w:sz="4" w:space="0" w:color="000001"/>
              <w:left w:val="single" w:sz="4" w:space="0" w:color="000001"/>
              <w:bottom w:val="single" w:sz="4" w:space="0" w:color="000001"/>
              <w:insideH w:val="single" w:sz="4" w:space="0" w:color="000001"/>
              <w:right w:val="nil"/>
              <w:insideV w:val="nil"/>
            </w:tcBorders>
            <w:shd w:fill="D9D9D9" w:val="clear"/>
            <w:tcMar>
              <w:left w:w="55" w:type="dxa"/>
            </w:tcMar>
          </w:tcPr>
          <w:p>
            <w:pPr>
              <w:pStyle w:val="Normal"/>
              <w:spacing w:lineRule="auto" w:line="360"/>
              <w:jc w:val="center"/>
              <w:rPr>
                <w:b/>
              </w:rPr>
            </w:pPr>
            <w:r>
              <w:rPr>
                <w:b/>
              </w:rPr>
              <w:t xml:space="preserve">Názov  </w:t>
            </w:r>
          </w:p>
        </w:tc>
        <w:tc>
          <w:tcPr>
            <w:tcW w:w="2869" w:type="dxa"/>
            <w:tcBorders>
              <w:top w:val="single" w:sz="4" w:space="0" w:color="000001"/>
              <w:left w:val="single" w:sz="4" w:space="0" w:color="000001"/>
              <w:bottom w:val="single" w:sz="4" w:space="0" w:color="000001"/>
              <w:insideH w:val="single" w:sz="4" w:space="0" w:color="000001"/>
              <w:right w:val="nil"/>
              <w:insideV w:val="nil"/>
            </w:tcBorders>
            <w:shd w:fill="D9D9D9" w:val="clear"/>
            <w:tcMar>
              <w:left w:w="55" w:type="dxa"/>
            </w:tcMar>
          </w:tcPr>
          <w:p>
            <w:pPr>
              <w:pStyle w:val="Normal"/>
              <w:spacing w:lineRule="auto" w:line="360"/>
              <w:jc w:val="center"/>
              <w:rPr>
                <w:b/>
              </w:rPr>
            </w:pPr>
            <w:r>
              <w:rPr>
                <w:b/>
              </w:rPr>
              <w:t>ZS  k  1.1.2014  v EUR</w:t>
            </w:r>
          </w:p>
        </w:tc>
        <w:tc>
          <w:tcPr>
            <w:tcW w:w="2893" w:type="dxa"/>
            <w:tcBorders>
              <w:top w:val="single" w:sz="4" w:space="0" w:color="000001"/>
              <w:left w:val="single" w:sz="4" w:space="0" w:color="000001"/>
              <w:bottom w:val="single" w:sz="4" w:space="0" w:color="000001"/>
              <w:insideH w:val="single" w:sz="4" w:space="0" w:color="000001"/>
              <w:right w:val="single" w:sz="4" w:space="0" w:color="000001"/>
              <w:insideV w:val="single" w:sz="4" w:space="0" w:color="000001"/>
            </w:tcBorders>
            <w:shd w:fill="D9D9D9" w:val="clear"/>
            <w:tcMar>
              <w:left w:w="55" w:type="dxa"/>
            </w:tcMar>
          </w:tcPr>
          <w:p>
            <w:pPr>
              <w:pStyle w:val="Normal"/>
              <w:spacing w:lineRule="auto" w:line="360"/>
              <w:jc w:val="center"/>
              <w:rPr>
                <w:b/>
              </w:rPr>
            </w:pPr>
            <w:r>
              <w:rPr>
                <w:b/>
              </w:rPr>
              <w:t>KZ  k  31.12.2014 v EUR</w:t>
            </w:r>
          </w:p>
        </w:tc>
      </w:tr>
      <w:tr>
        <w:trPr>
          <w:cantSplit w:val="false"/>
        </w:trPr>
        <w:tc>
          <w:tcPr>
            <w:tcW w:w="3754" w:type="dxa"/>
            <w:tcBorders>
              <w:top w:val="single" w:sz="4" w:space="0" w:color="000001"/>
              <w:left w:val="single" w:sz="4" w:space="0" w:color="000001"/>
              <w:bottom w:val="single" w:sz="4" w:space="0" w:color="000001"/>
              <w:insideH w:val="single" w:sz="4" w:space="0" w:color="000001"/>
              <w:right w:val="nil"/>
              <w:insideV w:val="nil"/>
            </w:tcBorders>
            <w:shd w:fill="C4BC96" w:val="clear"/>
            <w:tcMar>
              <w:left w:w="55" w:type="dxa"/>
            </w:tcMar>
          </w:tcPr>
          <w:p>
            <w:pPr>
              <w:pStyle w:val="Normal"/>
              <w:spacing w:lineRule="auto" w:line="360"/>
              <w:jc w:val="both"/>
              <w:rPr>
                <w:b/>
              </w:rPr>
            </w:pPr>
            <w:r>
              <w:rPr>
                <w:b/>
              </w:rPr>
              <w:t>Majetok spolu</w:t>
            </w:r>
          </w:p>
        </w:tc>
        <w:tc>
          <w:tcPr>
            <w:tcW w:w="2869" w:type="dxa"/>
            <w:tcBorders>
              <w:top w:val="single" w:sz="4" w:space="0" w:color="000001"/>
              <w:left w:val="single" w:sz="4" w:space="0" w:color="000001"/>
              <w:bottom w:val="single" w:sz="4" w:space="0" w:color="000001"/>
              <w:insideH w:val="single" w:sz="4" w:space="0" w:color="000001"/>
              <w:right w:val="nil"/>
              <w:insideV w:val="nil"/>
            </w:tcBorders>
            <w:shd w:fill="C4BC96" w:val="clear"/>
            <w:tcMar>
              <w:left w:w="55" w:type="dxa"/>
            </w:tcMar>
          </w:tcPr>
          <w:p>
            <w:pPr>
              <w:pStyle w:val="Normal"/>
              <w:spacing w:lineRule="auto" w:line="360"/>
              <w:jc w:val="center"/>
              <w:rPr/>
            </w:pPr>
            <w:r>
              <w:rPr/>
            </w:r>
          </w:p>
        </w:tc>
        <w:tc>
          <w:tcPr>
            <w:tcW w:w="2893" w:type="dxa"/>
            <w:tcBorders>
              <w:top w:val="single" w:sz="4" w:space="0" w:color="000001"/>
              <w:left w:val="single" w:sz="4" w:space="0" w:color="000001"/>
              <w:bottom w:val="single" w:sz="4" w:space="0" w:color="000001"/>
              <w:insideH w:val="single" w:sz="4" w:space="0" w:color="000001"/>
              <w:right w:val="single" w:sz="4" w:space="0" w:color="000001"/>
              <w:insideV w:val="single" w:sz="4" w:space="0" w:color="000001"/>
            </w:tcBorders>
            <w:shd w:fill="C4BC96" w:val="clear"/>
            <w:tcMar>
              <w:left w:w="55" w:type="dxa"/>
            </w:tcMar>
          </w:tcPr>
          <w:p>
            <w:pPr>
              <w:pStyle w:val="Normal"/>
              <w:spacing w:lineRule="auto" w:line="360"/>
              <w:jc w:val="center"/>
              <w:rPr/>
            </w:pPr>
            <w:r>
              <w:rPr/>
            </w:r>
          </w:p>
        </w:tc>
      </w:tr>
      <w:tr>
        <w:trPr>
          <w:cantSplit w:val="false"/>
        </w:trPr>
        <w:tc>
          <w:tcPr>
            <w:tcW w:w="3754" w:type="dxa"/>
            <w:tcBorders>
              <w:top w:val="single" w:sz="4" w:space="0" w:color="000001"/>
              <w:left w:val="single" w:sz="4" w:space="0" w:color="000001"/>
              <w:bottom w:val="single" w:sz="4" w:space="0" w:color="000001"/>
              <w:insideH w:val="single" w:sz="4" w:space="0" w:color="000001"/>
              <w:right w:val="nil"/>
              <w:insideV w:val="nil"/>
            </w:tcBorders>
            <w:shd w:fill="FFFFFF" w:val="clear"/>
            <w:tcMar>
              <w:left w:w="55" w:type="dxa"/>
            </w:tcMar>
          </w:tcPr>
          <w:p>
            <w:pPr>
              <w:pStyle w:val="Normal"/>
              <w:spacing w:lineRule="auto" w:line="360"/>
              <w:jc w:val="both"/>
              <w:rPr>
                <w:b/>
                <w:sz w:val="22"/>
                <w:szCs w:val="22"/>
              </w:rPr>
            </w:pPr>
            <w:r>
              <w:rPr>
                <w:b/>
                <w:sz w:val="22"/>
                <w:szCs w:val="22"/>
              </w:rPr>
              <w:t>Neobežný majetok spolu</w:t>
            </w:r>
          </w:p>
        </w:tc>
        <w:tc>
          <w:tcPr>
            <w:tcW w:w="2869" w:type="dxa"/>
            <w:tcBorders>
              <w:top w:val="single" w:sz="4" w:space="0" w:color="000001"/>
              <w:left w:val="single" w:sz="4" w:space="0" w:color="000001"/>
              <w:bottom w:val="single" w:sz="4" w:space="0" w:color="000001"/>
              <w:insideH w:val="single" w:sz="4" w:space="0" w:color="000001"/>
              <w:right w:val="nil"/>
              <w:insideV w:val="nil"/>
            </w:tcBorders>
            <w:shd w:fill="FFFFFF" w:val="clear"/>
            <w:tcMar>
              <w:left w:w="55" w:type="dxa"/>
            </w:tcMar>
          </w:tcPr>
          <w:p>
            <w:pPr>
              <w:pStyle w:val="Normal"/>
              <w:spacing w:lineRule="auto" w:line="360"/>
              <w:jc w:val="center"/>
              <w:rPr/>
            </w:pPr>
            <w:r>
              <w:rPr/>
            </w:r>
          </w:p>
        </w:tc>
        <w:tc>
          <w:tcPr>
            <w:tcW w:w="2893" w:type="dxa"/>
            <w:tcBorders>
              <w:top w:val="single" w:sz="4" w:space="0" w:color="000001"/>
              <w:left w:val="single" w:sz="4" w:space="0" w:color="000001"/>
              <w:bottom w:val="single" w:sz="4" w:space="0" w:color="000001"/>
              <w:insideH w:val="single" w:sz="4" w:space="0" w:color="000001"/>
              <w:right w:val="single" w:sz="4" w:space="0" w:color="000001"/>
              <w:insideV w:val="single" w:sz="4" w:space="0" w:color="000001"/>
            </w:tcBorders>
            <w:shd w:fill="FFFFFF" w:val="clear"/>
            <w:tcMar>
              <w:left w:w="55" w:type="dxa"/>
            </w:tcMar>
          </w:tcPr>
          <w:p>
            <w:pPr>
              <w:pStyle w:val="Normal"/>
              <w:spacing w:lineRule="auto" w:line="360"/>
              <w:jc w:val="center"/>
              <w:rPr/>
            </w:pPr>
            <w:r>
              <w:rPr/>
            </w:r>
          </w:p>
        </w:tc>
      </w:tr>
      <w:tr>
        <w:trPr>
          <w:cantSplit w:val="false"/>
        </w:trPr>
        <w:tc>
          <w:tcPr>
            <w:tcW w:w="3754" w:type="dxa"/>
            <w:tcBorders>
              <w:top w:val="single" w:sz="4" w:space="0" w:color="000001"/>
              <w:left w:val="single" w:sz="4" w:space="0" w:color="000001"/>
              <w:bottom w:val="single" w:sz="4" w:space="0" w:color="000001"/>
              <w:insideH w:val="single" w:sz="4" w:space="0" w:color="000001"/>
              <w:right w:val="nil"/>
              <w:insideV w:val="nil"/>
            </w:tcBorders>
            <w:shd w:fill="FFFFFF" w:val="clear"/>
            <w:tcMar>
              <w:left w:w="55" w:type="dxa"/>
            </w:tcMar>
          </w:tcPr>
          <w:p>
            <w:pPr>
              <w:pStyle w:val="Normal"/>
              <w:spacing w:lineRule="auto" w:line="360"/>
              <w:jc w:val="both"/>
              <w:rPr>
                <w:sz w:val="22"/>
                <w:szCs w:val="22"/>
              </w:rPr>
            </w:pPr>
            <w:r>
              <w:rPr>
                <w:sz w:val="22"/>
                <w:szCs w:val="22"/>
              </w:rPr>
              <w:t>z toho :</w:t>
            </w:r>
          </w:p>
        </w:tc>
        <w:tc>
          <w:tcPr>
            <w:tcW w:w="2869" w:type="dxa"/>
            <w:tcBorders>
              <w:top w:val="single" w:sz="4" w:space="0" w:color="000001"/>
              <w:left w:val="single" w:sz="4" w:space="0" w:color="000001"/>
              <w:bottom w:val="single" w:sz="4" w:space="0" w:color="000001"/>
              <w:insideH w:val="single" w:sz="4" w:space="0" w:color="000001"/>
              <w:right w:val="nil"/>
              <w:insideV w:val="nil"/>
            </w:tcBorders>
            <w:shd w:fill="FFFFFF" w:val="clear"/>
            <w:tcMar>
              <w:left w:w="55" w:type="dxa"/>
            </w:tcMar>
          </w:tcPr>
          <w:p>
            <w:pPr>
              <w:pStyle w:val="Normal"/>
              <w:spacing w:lineRule="auto" w:line="360"/>
              <w:jc w:val="center"/>
              <w:rPr/>
            </w:pPr>
            <w:r>
              <w:rPr/>
            </w:r>
          </w:p>
        </w:tc>
        <w:tc>
          <w:tcPr>
            <w:tcW w:w="2893" w:type="dxa"/>
            <w:tcBorders>
              <w:top w:val="single" w:sz="4" w:space="0" w:color="000001"/>
              <w:left w:val="single" w:sz="4" w:space="0" w:color="000001"/>
              <w:bottom w:val="single" w:sz="4" w:space="0" w:color="000001"/>
              <w:insideH w:val="single" w:sz="4" w:space="0" w:color="000001"/>
              <w:right w:val="single" w:sz="4" w:space="0" w:color="000001"/>
              <w:insideV w:val="single" w:sz="4" w:space="0" w:color="000001"/>
            </w:tcBorders>
            <w:shd w:fill="FFFFFF" w:val="clear"/>
            <w:tcMar>
              <w:left w:w="55" w:type="dxa"/>
            </w:tcMar>
          </w:tcPr>
          <w:p>
            <w:pPr>
              <w:pStyle w:val="Normal"/>
              <w:spacing w:lineRule="auto" w:line="360"/>
              <w:jc w:val="center"/>
              <w:rPr/>
            </w:pPr>
            <w:r>
              <w:rPr/>
            </w:r>
          </w:p>
        </w:tc>
      </w:tr>
      <w:tr>
        <w:trPr>
          <w:cantSplit w:val="false"/>
        </w:trPr>
        <w:tc>
          <w:tcPr>
            <w:tcW w:w="3754" w:type="dxa"/>
            <w:tcBorders>
              <w:top w:val="single" w:sz="4" w:space="0" w:color="000001"/>
              <w:left w:val="single" w:sz="4" w:space="0" w:color="000001"/>
              <w:bottom w:val="single" w:sz="4" w:space="0" w:color="000001"/>
              <w:insideH w:val="single" w:sz="4" w:space="0" w:color="000001"/>
              <w:right w:val="nil"/>
              <w:insideV w:val="nil"/>
            </w:tcBorders>
            <w:shd w:fill="FFFFFF" w:val="clear"/>
            <w:tcMar>
              <w:left w:w="55" w:type="dxa"/>
            </w:tcMar>
          </w:tcPr>
          <w:p>
            <w:pPr>
              <w:pStyle w:val="Normal"/>
              <w:spacing w:lineRule="auto" w:line="360"/>
              <w:jc w:val="both"/>
              <w:rPr>
                <w:sz w:val="22"/>
                <w:szCs w:val="22"/>
              </w:rPr>
            </w:pPr>
            <w:r>
              <w:rPr>
                <w:sz w:val="22"/>
                <w:szCs w:val="22"/>
              </w:rPr>
              <w:t>Dlhodobý nehmotný majetok</w:t>
            </w:r>
          </w:p>
        </w:tc>
        <w:tc>
          <w:tcPr>
            <w:tcW w:w="2869" w:type="dxa"/>
            <w:tcBorders>
              <w:top w:val="single" w:sz="4" w:space="0" w:color="000001"/>
              <w:left w:val="single" w:sz="4" w:space="0" w:color="000001"/>
              <w:bottom w:val="single" w:sz="4" w:space="0" w:color="000001"/>
              <w:insideH w:val="single" w:sz="4" w:space="0" w:color="000001"/>
              <w:right w:val="nil"/>
              <w:insideV w:val="nil"/>
            </w:tcBorders>
            <w:shd w:fill="FFFFFF" w:val="clear"/>
            <w:tcMar>
              <w:left w:w="55" w:type="dxa"/>
            </w:tcMar>
          </w:tcPr>
          <w:p>
            <w:pPr>
              <w:pStyle w:val="Normal"/>
              <w:spacing w:lineRule="auto" w:line="360"/>
              <w:jc w:val="center"/>
              <w:rPr/>
            </w:pPr>
            <w:r>
              <w:rPr/>
              <w:t>3 204 441,00</w:t>
            </w:r>
          </w:p>
        </w:tc>
        <w:tc>
          <w:tcPr>
            <w:tcW w:w="2893" w:type="dxa"/>
            <w:tcBorders>
              <w:top w:val="single" w:sz="4" w:space="0" w:color="000001"/>
              <w:left w:val="single" w:sz="4" w:space="0" w:color="000001"/>
              <w:bottom w:val="single" w:sz="4" w:space="0" w:color="000001"/>
              <w:insideH w:val="single" w:sz="4" w:space="0" w:color="000001"/>
              <w:right w:val="single" w:sz="4" w:space="0" w:color="000001"/>
              <w:insideV w:val="single" w:sz="4" w:space="0" w:color="000001"/>
            </w:tcBorders>
            <w:shd w:fill="FFFFFF" w:val="clear"/>
            <w:tcMar>
              <w:left w:w="55" w:type="dxa"/>
            </w:tcMar>
          </w:tcPr>
          <w:p>
            <w:pPr>
              <w:pStyle w:val="Normal"/>
              <w:spacing w:lineRule="auto" w:line="360"/>
              <w:jc w:val="center"/>
              <w:rPr/>
            </w:pPr>
            <w:r>
              <w:rPr/>
              <w:t>3 277 471,32</w:t>
            </w:r>
          </w:p>
        </w:tc>
      </w:tr>
      <w:tr>
        <w:trPr>
          <w:cantSplit w:val="false"/>
        </w:trPr>
        <w:tc>
          <w:tcPr>
            <w:tcW w:w="3754" w:type="dxa"/>
            <w:tcBorders>
              <w:top w:val="single" w:sz="4" w:space="0" w:color="000001"/>
              <w:left w:val="single" w:sz="4" w:space="0" w:color="000001"/>
              <w:bottom w:val="single" w:sz="4" w:space="0" w:color="000001"/>
              <w:insideH w:val="single" w:sz="4" w:space="0" w:color="000001"/>
              <w:right w:val="nil"/>
              <w:insideV w:val="nil"/>
            </w:tcBorders>
            <w:shd w:fill="FFFFFF" w:val="clear"/>
            <w:tcMar>
              <w:left w:w="55" w:type="dxa"/>
            </w:tcMar>
          </w:tcPr>
          <w:p>
            <w:pPr>
              <w:pStyle w:val="Normal"/>
              <w:spacing w:lineRule="auto" w:line="360"/>
              <w:jc w:val="both"/>
              <w:rPr>
                <w:sz w:val="22"/>
                <w:szCs w:val="22"/>
              </w:rPr>
            </w:pPr>
            <w:r>
              <w:rPr>
                <w:sz w:val="22"/>
                <w:szCs w:val="22"/>
              </w:rPr>
              <w:t>Dlhodobý hmotný majetok</w:t>
            </w:r>
          </w:p>
        </w:tc>
        <w:tc>
          <w:tcPr>
            <w:tcW w:w="2869" w:type="dxa"/>
            <w:tcBorders>
              <w:top w:val="single" w:sz="4" w:space="0" w:color="000001"/>
              <w:left w:val="single" w:sz="4" w:space="0" w:color="000001"/>
              <w:bottom w:val="single" w:sz="4" w:space="0" w:color="000001"/>
              <w:insideH w:val="single" w:sz="4" w:space="0" w:color="000001"/>
              <w:right w:val="nil"/>
              <w:insideV w:val="nil"/>
            </w:tcBorders>
            <w:shd w:fill="FFFFFF" w:val="clear"/>
            <w:tcMar>
              <w:left w:w="55" w:type="dxa"/>
            </w:tcMar>
          </w:tcPr>
          <w:p>
            <w:pPr>
              <w:pStyle w:val="Normal"/>
              <w:spacing w:lineRule="auto" w:line="360"/>
              <w:jc w:val="center"/>
              <w:rPr/>
            </w:pPr>
            <w:r>
              <w:rPr/>
              <w:t xml:space="preserve">   </w:t>
            </w:r>
            <w:r>
              <w:rPr/>
              <w:t>226 359,63</w:t>
            </w:r>
          </w:p>
        </w:tc>
        <w:tc>
          <w:tcPr>
            <w:tcW w:w="2893" w:type="dxa"/>
            <w:tcBorders>
              <w:top w:val="single" w:sz="4" w:space="0" w:color="000001"/>
              <w:left w:val="single" w:sz="4" w:space="0" w:color="000001"/>
              <w:bottom w:val="single" w:sz="4" w:space="0" w:color="000001"/>
              <w:insideH w:val="single" w:sz="4" w:space="0" w:color="000001"/>
              <w:right w:val="single" w:sz="4" w:space="0" w:color="000001"/>
              <w:insideV w:val="single" w:sz="4" w:space="0" w:color="000001"/>
            </w:tcBorders>
            <w:shd w:fill="FFFFFF" w:val="clear"/>
            <w:tcMar>
              <w:left w:w="55" w:type="dxa"/>
            </w:tcMar>
          </w:tcPr>
          <w:p>
            <w:pPr>
              <w:pStyle w:val="Normal"/>
              <w:spacing w:lineRule="auto" w:line="360"/>
              <w:jc w:val="center"/>
              <w:rPr/>
            </w:pPr>
            <w:r>
              <w:rPr/>
              <w:t xml:space="preserve">   </w:t>
            </w:r>
            <w:r>
              <w:rPr/>
              <w:t>307 966,07</w:t>
            </w:r>
          </w:p>
        </w:tc>
      </w:tr>
      <w:tr>
        <w:trPr>
          <w:cantSplit w:val="false"/>
        </w:trPr>
        <w:tc>
          <w:tcPr>
            <w:tcW w:w="3754" w:type="dxa"/>
            <w:tcBorders>
              <w:top w:val="single" w:sz="4" w:space="0" w:color="000001"/>
              <w:left w:val="single" w:sz="4" w:space="0" w:color="000001"/>
              <w:bottom w:val="single" w:sz="4" w:space="0" w:color="000001"/>
              <w:insideH w:val="single" w:sz="4" w:space="0" w:color="000001"/>
              <w:right w:val="nil"/>
              <w:insideV w:val="nil"/>
            </w:tcBorders>
            <w:shd w:fill="FFFFFF" w:val="clear"/>
            <w:tcMar>
              <w:left w:w="55" w:type="dxa"/>
            </w:tcMar>
          </w:tcPr>
          <w:p>
            <w:pPr>
              <w:pStyle w:val="Normal"/>
              <w:spacing w:lineRule="auto" w:line="360"/>
              <w:jc w:val="both"/>
              <w:rPr>
                <w:sz w:val="22"/>
                <w:szCs w:val="22"/>
              </w:rPr>
            </w:pPr>
            <w:r>
              <w:rPr>
                <w:sz w:val="22"/>
                <w:szCs w:val="22"/>
              </w:rPr>
              <w:t>Dlhodobý finančný majetok</w:t>
            </w:r>
          </w:p>
        </w:tc>
        <w:tc>
          <w:tcPr>
            <w:tcW w:w="2869" w:type="dxa"/>
            <w:tcBorders>
              <w:top w:val="single" w:sz="4" w:space="0" w:color="000001"/>
              <w:left w:val="single" w:sz="4" w:space="0" w:color="000001"/>
              <w:bottom w:val="single" w:sz="4" w:space="0" w:color="000001"/>
              <w:insideH w:val="single" w:sz="4" w:space="0" w:color="000001"/>
              <w:right w:val="nil"/>
              <w:insideV w:val="nil"/>
            </w:tcBorders>
            <w:shd w:fill="FFFFFF" w:val="clear"/>
            <w:tcMar>
              <w:left w:w="55" w:type="dxa"/>
            </w:tcMar>
          </w:tcPr>
          <w:p>
            <w:pPr>
              <w:pStyle w:val="Normal"/>
              <w:spacing w:lineRule="auto" w:line="360"/>
              <w:jc w:val="center"/>
              <w:rPr/>
            </w:pPr>
            <w:r>
              <w:rPr/>
              <w:t xml:space="preserve">   </w:t>
            </w:r>
            <w:r>
              <w:rPr/>
              <w:t>361 007,66</w:t>
            </w:r>
          </w:p>
        </w:tc>
        <w:tc>
          <w:tcPr>
            <w:tcW w:w="2893" w:type="dxa"/>
            <w:tcBorders>
              <w:top w:val="single" w:sz="4" w:space="0" w:color="000001"/>
              <w:left w:val="single" w:sz="4" w:space="0" w:color="000001"/>
              <w:bottom w:val="single" w:sz="4" w:space="0" w:color="000001"/>
              <w:insideH w:val="single" w:sz="4" w:space="0" w:color="000001"/>
              <w:right w:val="single" w:sz="4" w:space="0" w:color="000001"/>
              <w:insideV w:val="single" w:sz="4" w:space="0" w:color="000001"/>
            </w:tcBorders>
            <w:shd w:fill="FFFFFF" w:val="clear"/>
            <w:tcMar>
              <w:left w:w="55" w:type="dxa"/>
            </w:tcMar>
          </w:tcPr>
          <w:p>
            <w:pPr>
              <w:pStyle w:val="Normal"/>
              <w:spacing w:lineRule="auto" w:line="360"/>
              <w:jc w:val="center"/>
              <w:rPr/>
            </w:pPr>
            <w:r>
              <w:rPr/>
              <w:t xml:space="preserve">   </w:t>
            </w:r>
            <w:r>
              <w:rPr/>
              <w:t>361 007,66</w:t>
            </w:r>
          </w:p>
        </w:tc>
      </w:tr>
      <w:tr>
        <w:trPr>
          <w:cantSplit w:val="false"/>
        </w:trPr>
        <w:tc>
          <w:tcPr>
            <w:tcW w:w="3754" w:type="dxa"/>
            <w:tcBorders>
              <w:top w:val="single" w:sz="4" w:space="0" w:color="000001"/>
              <w:left w:val="single" w:sz="4" w:space="0" w:color="000001"/>
              <w:bottom w:val="single" w:sz="4" w:space="0" w:color="000001"/>
              <w:insideH w:val="single" w:sz="4" w:space="0" w:color="000001"/>
              <w:right w:val="nil"/>
              <w:insideV w:val="nil"/>
            </w:tcBorders>
            <w:shd w:fill="FFFFFF" w:val="clear"/>
            <w:tcMar>
              <w:left w:w="55" w:type="dxa"/>
            </w:tcMar>
          </w:tcPr>
          <w:p>
            <w:pPr>
              <w:pStyle w:val="Normal"/>
              <w:spacing w:lineRule="auto" w:line="360"/>
              <w:jc w:val="both"/>
              <w:rPr>
                <w:b/>
                <w:sz w:val="22"/>
                <w:szCs w:val="22"/>
              </w:rPr>
            </w:pPr>
            <w:r>
              <w:rPr>
                <w:b/>
                <w:sz w:val="22"/>
                <w:szCs w:val="22"/>
              </w:rPr>
              <w:t>Obežný majetok spolu</w:t>
            </w:r>
          </w:p>
        </w:tc>
        <w:tc>
          <w:tcPr>
            <w:tcW w:w="2869" w:type="dxa"/>
            <w:tcBorders>
              <w:top w:val="single" w:sz="4" w:space="0" w:color="000001"/>
              <w:left w:val="single" w:sz="4" w:space="0" w:color="000001"/>
              <w:bottom w:val="single" w:sz="4" w:space="0" w:color="000001"/>
              <w:insideH w:val="single" w:sz="4" w:space="0" w:color="000001"/>
              <w:right w:val="nil"/>
              <w:insideV w:val="nil"/>
            </w:tcBorders>
            <w:shd w:fill="FFFFFF" w:val="clear"/>
            <w:tcMar>
              <w:left w:w="55" w:type="dxa"/>
            </w:tcMar>
          </w:tcPr>
          <w:p>
            <w:pPr>
              <w:pStyle w:val="Normal"/>
              <w:spacing w:lineRule="auto" w:line="360"/>
              <w:jc w:val="center"/>
              <w:rPr/>
            </w:pPr>
            <w:r>
              <w:rPr/>
            </w:r>
          </w:p>
        </w:tc>
        <w:tc>
          <w:tcPr>
            <w:tcW w:w="2893" w:type="dxa"/>
            <w:tcBorders>
              <w:top w:val="single" w:sz="4" w:space="0" w:color="000001"/>
              <w:left w:val="single" w:sz="4" w:space="0" w:color="000001"/>
              <w:bottom w:val="single" w:sz="4" w:space="0" w:color="000001"/>
              <w:insideH w:val="single" w:sz="4" w:space="0" w:color="000001"/>
              <w:right w:val="single" w:sz="4" w:space="0" w:color="000001"/>
              <w:insideV w:val="single" w:sz="4" w:space="0" w:color="000001"/>
            </w:tcBorders>
            <w:shd w:fill="FFFFFF" w:val="clear"/>
            <w:tcMar>
              <w:left w:w="55" w:type="dxa"/>
            </w:tcMar>
          </w:tcPr>
          <w:p>
            <w:pPr>
              <w:pStyle w:val="Normal"/>
              <w:spacing w:lineRule="auto" w:line="360"/>
              <w:jc w:val="center"/>
              <w:rPr/>
            </w:pPr>
            <w:r>
              <w:rPr/>
            </w:r>
          </w:p>
        </w:tc>
      </w:tr>
      <w:tr>
        <w:trPr>
          <w:cantSplit w:val="false"/>
        </w:trPr>
        <w:tc>
          <w:tcPr>
            <w:tcW w:w="3754" w:type="dxa"/>
            <w:tcBorders>
              <w:top w:val="single" w:sz="4" w:space="0" w:color="000001"/>
              <w:left w:val="single" w:sz="4" w:space="0" w:color="000001"/>
              <w:bottom w:val="single" w:sz="4" w:space="0" w:color="000001"/>
              <w:insideH w:val="single" w:sz="4" w:space="0" w:color="000001"/>
              <w:right w:val="nil"/>
              <w:insideV w:val="nil"/>
            </w:tcBorders>
            <w:shd w:fill="FFFFFF" w:val="clear"/>
            <w:tcMar>
              <w:left w:w="55" w:type="dxa"/>
            </w:tcMar>
          </w:tcPr>
          <w:p>
            <w:pPr>
              <w:pStyle w:val="Normal"/>
              <w:spacing w:lineRule="auto" w:line="360"/>
              <w:jc w:val="both"/>
              <w:rPr>
                <w:sz w:val="22"/>
                <w:szCs w:val="22"/>
              </w:rPr>
            </w:pPr>
            <w:r>
              <w:rPr>
                <w:sz w:val="22"/>
                <w:szCs w:val="22"/>
              </w:rPr>
              <w:t>z toho :</w:t>
            </w:r>
          </w:p>
        </w:tc>
        <w:tc>
          <w:tcPr>
            <w:tcW w:w="2869" w:type="dxa"/>
            <w:tcBorders>
              <w:top w:val="single" w:sz="4" w:space="0" w:color="000001"/>
              <w:left w:val="single" w:sz="4" w:space="0" w:color="000001"/>
              <w:bottom w:val="single" w:sz="4" w:space="0" w:color="000001"/>
              <w:insideH w:val="single" w:sz="4" w:space="0" w:color="000001"/>
              <w:right w:val="nil"/>
              <w:insideV w:val="nil"/>
            </w:tcBorders>
            <w:shd w:fill="FFFFFF" w:val="clear"/>
            <w:tcMar>
              <w:left w:w="55" w:type="dxa"/>
            </w:tcMar>
          </w:tcPr>
          <w:p>
            <w:pPr>
              <w:pStyle w:val="Normal"/>
              <w:spacing w:lineRule="auto" w:line="360"/>
              <w:jc w:val="center"/>
              <w:rPr/>
            </w:pPr>
            <w:r>
              <w:rPr/>
            </w:r>
          </w:p>
        </w:tc>
        <w:tc>
          <w:tcPr>
            <w:tcW w:w="2893" w:type="dxa"/>
            <w:tcBorders>
              <w:top w:val="single" w:sz="4" w:space="0" w:color="000001"/>
              <w:left w:val="single" w:sz="4" w:space="0" w:color="000001"/>
              <w:bottom w:val="single" w:sz="4" w:space="0" w:color="000001"/>
              <w:insideH w:val="single" w:sz="4" w:space="0" w:color="000001"/>
              <w:right w:val="single" w:sz="4" w:space="0" w:color="000001"/>
              <w:insideV w:val="single" w:sz="4" w:space="0" w:color="000001"/>
            </w:tcBorders>
            <w:shd w:fill="FFFFFF" w:val="clear"/>
            <w:tcMar>
              <w:left w:w="55" w:type="dxa"/>
            </w:tcMar>
          </w:tcPr>
          <w:p>
            <w:pPr>
              <w:pStyle w:val="Normal"/>
              <w:spacing w:lineRule="auto" w:line="360"/>
              <w:jc w:val="center"/>
              <w:rPr/>
            </w:pPr>
            <w:r>
              <w:rPr/>
            </w:r>
          </w:p>
        </w:tc>
      </w:tr>
      <w:tr>
        <w:trPr>
          <w:cantSplit w:val="false"/>
        </w:trPr>
        <w:tc>
          <w:tcPr>
            <w:tcW w:w="3754" w:type="dxa"/>
            <w:tcBorders>
              <w:top w:val="single" w:sz="4" w:space="0" w:color="000001"/>
              <w:left w:val="single" w:sz="4" w:space="0" w:color="000001"/>
              <w:bottom w:val="single" w:sz="4" w:space="0" w:color="000001"/>
              <w:insideH w:val="single" w:sz="4" w:space="0" w:color="000001"/>
              <w:right w:val="nil"/>
              <w:insideV w:val="nil"/>
            </w:tcBorders>
            <w:shd w:fill="FFFFFF" w:val="clear"/>
            <w:tcMar>
              <w:left w:w="55" w:type="dxa"/>
            </w:tcMar>
          </w:tcPr>
          <w:p>
            <w:pPr>
              <w:pStyle w:val="Normal"/>
              <w:spacing w:lineRule="auto" w:line="360"/>
              <w:jc w:val="both"/>
              <w:rPr>
                <w:sz w:val="22"/>
                <w:szCs w:val="22"/>
              </w:rPr>
            </w:pPr>
            <w:r>
              <w:rPr>
                <w:sz w:val="22"/>
                <w:szCs w:val="22"/>
              </w:rPr>
              <w:t>Zásoby</w:t>
            </w:r>
          </w:p>
        </w:tc>
        <w:tc>
          <w:tcPr>
            <w:tcW w:w="2869" w:type="dxa"/>
            <w:tcBorders>
              <w:top w:val="single" w:sz="4" w:space="0" w:color="000001"/>
              <w:left w:val="single" w:sz="4" w:space="0" w:color="000001"/>
              <w:bottom w:val="single" w:sz="4" w:space="0" w:color="000001"/>
              <w:insideH w:val="single" w:sz="4" w:space="0" w:color="000001"/>
              <w:right w:val="nil"/>
              <w:insideV w:val="nil"/>
            </w:tcBorders>
            <w:shd w:fill="FFFFFF" w:val="clear"/>
            <w:tcMar>
              <w:left w:w="55" w:type="dxa"/>
            </w:tcMar>
          </w:tcPr>
          <w:p>
            <w:pPr>
              <w:pStyle w:val="Normal"/>
              <w:spacing w:lineRule="auto" w:line="360"/>
              <w:jc w:val="center"/>
              <w:rPr/>
            </w:pPr>
            <w:r>
              <w:rPr/>
              <w:t>0</w:t>
            </w:r>
          </w:p>
        </w:tc>
        <w:tc>
          <w:tcPr>
            <w:tcW w:w="2893" w:type="dxa"/>
            <w:tcBorders>
              <w:top w:val="single" w:sz="4" w:space="0" w:color="000001"/>
              <w:left w:val="single" w:sz="4" w:space="0" w:color="000001"/>
              <w:bottom w:val="single" w:sz="4" w:space="0" w:color="000001"/>
              <w:insideH w:val="single" w:sz="4" w:space="0" w:color="000001"/>
              <w:right w:val="single" w:sz="4" w:space="0" w:color="000001"/>
              <w:insideV w:val="single" w:sz="4" w:space="0" w:color="000001"/>
            </w:tcBorders>
            <w:shd w:fill="FFFFFF" w:val="clear"/>
            <w:tcMar>
              <w:left w:w="55" w:type="dxa"/>
            </w:tcMar>
          </w:tcPr>
          <w:p>
            <w:pPr>
              <w:pStyle w:val="Normal"/>
              <w:spacing w:lineRule="auto" w:line="360"/>
              <w:jc w:val="center"/>
              <w:rPr/>
            </w:pPr>
            <w:r>
              <w:rPr/>
              <w:t>0</w:t>
            </w:r>
          </w:p>
        </w:tc>
      </w:tr>
      <w:tr>
        <w:trPr>
          <w:cantSplit w:val="false"/>
        </w:trPr>
        <w:tc>
          <w:tcPr>
            <w:tcW w:w="3754" w:type="dxa"/>
            <w:tcBorders>
              <w:top w:val="single" w:sz="4" w:space="0" w:color="000001"/>
              <w:left w:val="single" w:sz="4" w:space="0" w:color="000001"/>
              <w:bottom w:val="single" w:sz="4" w:space="0" w:color="000001"/>
              <w:insideH w:val="single" w:sz="4" w:space="0" w:color="000001"/>
              <w:right w:val="nil"/>
              <w:insideV w:val="nil"/>
            </w:tcBorders>
            <w:shd w:fill="FFFFFF" w:val="clear"/>
            <w:tcMar>
              <w:left w:w="55" w:type="dxa"/>
            </w:tcMar>
          </w:tcPr>
          <w:p>
            <w:pPr>
              <w:pStyle w:val="Normal"/>
              <w:spacing w:lineRule="auto" w:line="360"/>
              <w:jc w:val="both"/>
              <w:rPr>
                <w:sz w:val="22"/>
                <w:szCs w:val="22"/>
              </w:rPr>
            </w:pPr>
            <w:r>
              <w:rPr>
                <w:sz w:val="22"/>
                <w:szCs w:val="22"/>
              </w:rPr>
              <w:t>Zúčtovanie medzi subjektami VS</w:t>
            </w:r>
          </w:p>
        </w:tc>
        <w:tc>
          <w:tcPr>
            <w:tcW w:w="2869" w:type="dxa"/>
            <w:tcBorders>
              <w:top w:val="single" w:sz="4" w:space="0" w:color="000001"/>
              <w:left w:val="single" w:sz="4" w:space="0" w:color="000001"/>
              <w:bottom w:val="single" w:sz="4" w:space="0" w:color="000001"/>
              <w:insideH w:val="single" w:sz="4" w:space="0" w:color="000001"/>
              <w:right w:val="nil"/>
              <w:insideV w:val="nil"/>
            </w:tcBorders>
            <w:shd w:fill="FFFFFF" w:val="clear"/>
            <w:tcMar>
              <w:left w:w="55" w:type="dxa"/>
            </w:tcMar>
          </w:tcPr>
          <w:p>
            <w:pPr>
              <w:pStyle w:val="Normal"/>
              <w:spacing w:lineRule="auto" w:line="360"/>
              <w:jc w:val="center"/>
              <w:rPr/>
            </w:pPr>
            <w:r>
              <w:rPr/>
              <w:t xml:space="preserve">    </w:t>
            </w:r>
            <w:r>
              <w:rPr/>
              <w:t>500</w:t>
            </w:r>
          </w:p>
        </w:tc>
        <w:tc>
          <w:tcPr>
            <w:tcW w:w="2893" w:type="dxa"/>
            <w:tcBorders>
              <w:top w:val="single" w:sz="4" w:space="0" w:color="000001"/>
              <w:left w:val="single" w:sz="4" w:space="0" w:color="000001"/>
              <w:bottom w:val="single" w:sz="4" w:space="0" w:color="000001"/>
              <w:insideH w:val="single" w:sz="4" w:space="0" w:color="000001"/>
              <w:right w:val="single" w:sz="4" w:space="0" w:color="000001"/>
              <w:insideV w:val="single" w:sz="4" w:space="0" w:color="000001"/>
            </w:tcBorders>
            <w:shd w:fill="FFFFFF" w:val="clear"/>
            <w:tcMar>
              <w:left w:w="55" w:type="dxa"/>
            </w:tcMar>
          </w:tcPr>
          <w:p>
            <w:pPr>
              <w:pStyle w:val="Normal"/>
              <w:spacing w:lineRule="auto" w:line="360"/>
              <w:jc w:val="center"/>
              <w:rPr/>
            </w:pPr>
            <w:r>
              <w:rPr/>
              <w:t>0</w:t>
            </w:r>
          </w:p>
        </w:tc>
      </w:tr>
      <w:tr>
        <w:trPr>
          <w:cantSplit w:val="false"/>
        </w:trPr>
        <w:tc>
          <w:tcPr>
            <w:tcW w:w="3754" w:type="dxa"/>
            <w:tcBorders>
              <w:top w:val="single" w:sz="4" w:space="0" w:color="000001"/>
              <w:left w:val="single" w:sz="4" w:space="0" w:color="000001"/>
              <w:bottom w:val="single" w:sz="4" w:space="0" w:color="000001"/>
              <w:insideH w:val="single" w:sz="4" w:space="0" w:color="000001"/>
              <w:right w:val="nil"/>
              <w:insideV w:val="nil"/>
            </w:tcBorders>
            <w:shd w:fill="FFFFFF" w:val="clear"/>
            <w:tcMar>
              <w:left w:w="55" w:type="dxa"/>
            </w:tcMar>
          </w:tcPr>
          <w:p>
            <w:pPr>
              <w:pStyle w:val="Normal"/>
              <w:spacing w:lineRule="auto" w:line="360"/>
              <w:jc w:val="both"/>
              <w:rPr>
                <w:sz w:val="22"/>
                <w:szCs w:val="22"/>
              </w:rPr>
            </w:pPr>
            <w:r>
              <w:rPr>
                <w:sz w:val="22"/>
                <w:szCs w:val="22"/>
              </w:rPr>
              <w:t>Dlhodobé pohľadávky</w:t>
            </w:r>
          </w:p>
        </w:tc>
        <w:tc>
          <w:tcPr>
            <w:tcW w:w="2869" w:type="dxa"/>
            <w:tcBorders>
              <w:top w:val="single" w:sz="4" w:space="0" w:color="000001"/>
              <w:left w:val="single" w:sz="4" w:space="0" w:color="000001"/>
              <w:bottom w:val="single" w:sz="4" w:space="0" w:color="000001"/>
              <w:insideH w:val="single" w:sz="4" w:space="0" w:color="000001"/>
              <w:right w:val="nil"/>
              <w:insideV w:val="nil"/>
            </w:tcBorders>
            <w:shd w:fill="FFFFFF" w:val="clear"/>
            <w:tcMar>
              <w:left w:w="55" w:type="dxa"/>
            </w:tcMar>
          </w:tcPr>
          <w:p>
            <w:pPr>
              <w:pStyle w:val="Normal"/>
              <w:spacing w:lineRule="auto" w:line="360"/>
              <w:jc w:val="center"/>
              <w:rPr/>
            </w:pPr>
            <w:r>
              <w:rPr/>
            </w:r>
          </w:p>
        </w:tc>
        <w:tc>
          <w:tcPr>
            <w:tcW w:w="2893" w:type="dxa"/>
            <w:tcBorders>
              <w:top w:val="single" w:sz="4" w:space="0" w:color="000001"/>
              <w:left w:val="single" w:sz="4" w:space="0" w:color="000001"/>
              <w:bottom w:val="single" w:sz="4" w:space="0" w:color="000001"/>
              <w:insideH w:val="single" w:sz="4" w:space="0" w:color="000001"/>
              <w:right w:val="single" w:sz="4" w:space="0" w:color="000001"/>
              <w:insideV w:val="single" w:sz="4" w:space="0" w:color="000001"/>
            </w:tcBorders>
            <w:shd w:fill="FFFFFF" w:val="clear"/>
            <w:tcMar>
              <w:left w:w="55" w:type="dxa"/>
            </w:tcMar>
          </w:tcPr>
          <w:p>
            <w:pPr>
              <w:pStyle w:val="Normal"/>
              <w:spacing w:lineRule="auto" w:line="360"/>
              <w:jc w:val="center"/>
              <w:rPr/>
            </w:pPr>
            <w:r>
              <w:rPr/>
              <w:t xml:space="preserve">        </w:t>
            </w:r>
          </w:p>
        </w:tc>
      </w:tr>
      <w:tr>
        <w:trPr>
          <w:cantSplit w:val="false"/>
        </w:trPr>
        <w:tc>
          <w:tcPr>
            <w:tcW w:w="3754" w:type="dxa"/>
            <w:tcBorders>
              <w:top w:val="single" w:sz="4" w:space="0" w:color="000001"/>
              <w:left w:val="single" w:sz="4" w:space="0" w:color="000001"/>
              <w:bottom w:val="single" w:sz="4" w:space="0" w:color="000001"/>
              <w:insideH w:val="single" w:sz="4" w:space="0" w:color="000001"/>
              <w:right w:val="nil"/>
              <w:insideV w:val="nil"/>
            </w:tcBorders>
            <w:shd w:fill="FFFFFF" w:val="clear"/>
            <w:tcMar>
              <w:left w:w="55" w:type="dxa"/>
            </w:tcMar>
          </w:tcPr>
          <w:p>
            <w:pPr>
              <w:pStyle w:val="Normal"/>
              <w:spacing w:lineRule="auto" w:line="360"/>
              <w:jc w:val="both"/>
              <w:rPr>
                <w:sz w:val="22"/>
                <w:szCs w:val="22"/>
              </w:rPr>
            </w:pPr>
            <w:r>
              <w:rPr>
                <w:sz w:val="22"/>
                <w:szCs w:val="22"/>
              </w:rPr>
              <w:t xml:space="preserve">Krátkodobé pohľadávky </w:t>
            </w:r>
          </w:p>
        </w:tc>
        <w:tc>
          <w:tcPr>
            <w:tcW w:w="2869" w:type="dxa"/>
            <w:tcBorders>
              <w:top w:val="single" w:sz="4" w:space="0" w:color="000001"/>
              <w:left w:val="single" w:sz="4" w:space="0" w:color="000001"/>
              <w:bottom w:val="single" w:sz="4" w:space="0" w:color="000001"/>
              <w:insideH w:val="single" w:sz="4" w:space="0" w:color="000001"/>
              <w:right w:val="nil"/>
              <w:insideV w:val="nil"/>
            </w:tcBorders>
            <w:shd w:fill="FFFFFF" w:val="clear"/>
            <w:tcMar>
              <w:left w:w="55" w:type="dxa"/>
            </w:tcMar>
          </w:tcPr>
          <w:p>
            <w:pPr>
              <w:pStyle w:val="Normal"/>
              <w:spacing w:lineRule="auto" w:line="360"/>
              <w:jc w:val="center"/>
              <w:rPr/>
            </w:pPr>
            <w:r>
              <w:rPr/>
              <w:t xml:space="preserve">  </w:t>
            </w:r>
            <w:r>
              <w:rPr/>
              <w:t>8 609</w:t>
            </w:r>
          </w:p>
        </w:tc>
        <w:tc>
          <w:tcPr>
            <w:tcW w:w="2893" w:type="dxa"/>
            <w:tcBorders>
              <w:top w:val="single" w:sz="4" w:space="0" w:color="000001"/>
              <w:left w:val="single" w:sz="4" w:space="0" w:color="000001"/>
              <w:bottom w:val="single" w:sz="4" w:space="0" w:color="000001"/>
              <w:insideH w:val="single" w:sz="4" w:space="0" w:color="000001"/>
              <w:right w:val="single" w:sz="4" w:space="0" w:color="000001"/>
              <w:insideV w:val="single" w:sz="4" w:space="0" w:color="000001"/>
            </w:tcBorders>
            <w:shd w:fill="FFFFFF" w:val="clear"/>
            <w:tcMar>
              <w:left w:w="55" w:type="dxa"/>
            </w:tcMar>
          </w:tcPr>
          <w:p>
            <w:pPr>
              <w:pStyle w:val="Normal"/>
              <w:spacing w:lineRule="auto" w:line="360"/>
              <w:jc w:val="center"/>
              <w:rPr/>
            </w:pPr>
            <w:r>
              <w:rPr/>
              <w:t xml:space="preserve">      </w:t>
            </w:r>
            <w:r>
              <w:rPr/>
              <w:t>7 596,31</w:t>
            </w:r>
          </w:p>
        </w:tc>
      </w:tr>
      <w:tr>
        <w:trPr>
          <w:cantSplit w:val="false"/>
        </w:trPr>
        <w:tc>
          <w:tcPr>
            <w:tcW w:w="3754" w:type="dxa"/>
            <w:tcBorders>
              <w:top w:val="single" w:sz="4" w:space="0" w:color="000001"/>
              <w:left w:val="single" w:sz="4" w:space="0" w:color="000001"/>
              <w:bottom w:val="single" w:sz="4" w:space="0" w:color="000001"/>
              <w:insideH w:val="single" w:sz="4" w:space="0" w:color="000001"/>
              <w:right w:val="nil"/>
              <w:insideV w:val="nil"/>
            </w:tcBorders>
            <w:shd w:fill="FFFFFF" w:val="clear"/>
            <w:tcMar>
              <w:left w:w="55" w:type="dxa"/>
            </w:tcMar>
          </w:tcPr>
          <w:p>
            <w:pPr>
              <w:pStyle w:val="Normal"/>
              <w:spacing w:lineRule="auto" w:line="360"/>
              <w:jc w:val="both"/>
              <w:rPr>
                <w:sz w:val="22"/>
                <w:szCs w:val="22"/>
              </w:rPr>
            </w:pPr>
            <w:r>
              <w:rPr>
                <w:sz w:val="22"/>
                <w:szCs w:val="22"/>
              </w:rPr>
              <w:t xml:space="preserve">Finančné účty </w:t>
            </w:r>
          </w:p>
        </w:tc>
        <w:tc>
          <w:tcPr>
            <w:tcW w:w="2869" w:type="dxa"/>
            <w:tcBorders>
              <w:top w:val="single" w:sz="4" w:space="0" w:color="000001"/>
              <w:left w:val="single" w:sz="4" w:space="0" w:color="000001"/>
              <w:bottom w:val="single" w:sz="4" w:space="0" w:color="000001"/>
              <w:insideH w:val="single" w:sz="4" w:space="0" w:color="000001"/>
              <w:right w:val="nil"/>
              <w:insideV w:val="nil"/>
            </w:tcBorders>
            <w:shd w:fill="FFFFFF" w:val="clear"/>
            <w:tcMar>
              <w:left w:w="55" w:type="dxa"/>
            </w:tcMar>
          </w:tcPr>
          <w:p>
            <w:pPr>
              <w:pStyle w:val="Normal"/>
              <w:spacing w:lineRule="auto" w:line="360"/>
              <w:jc w:val="center"/>
              <w:rPr/>
            </w:pPr>
            <w:r>
              <w:rPr/>
              <w:t>71 692</w:t>
            </w:r>
          </w:p>
        </w:tc>
        <w:tc>
          <w:tcPr>
            <w:tcW w:w="2893" w:type="dxa"/>
            <w:tcBorders>
              <w:top w:val="single" w:sz="4" w:space="0" w:color="000001"/>
              <w:left w:val="single" w:sz="4" w:space="0" w:color="000001"/>
              <w:bottom w:val="single" w:sz="4" w:space="0" w:color="000001"/>
              <w:insideH w:val="single" w:sz="4" w:space="0" w:color="000001"/>
              <w:right w:val="single" w:sz="4" w:space="0" w:color="000001"/>
              <w:insideV w:val="single" w:sz="4" w:space="0" w:color="000001"/>
            </w:tcBorders>
            <w:shd w:fill="FFFFFF" w:val="clear"/>
            <w:tcMar>
              <w:left w:w="55" w:type="dxa"/>
            </w:tcMar>
          </w:tcPr>
          <w:p>
            <w:pPr>
              <w:pStyle w:val="Normal"/>
              <w:spacing w:lineRule="auto" w:line="360"/>
              <w:jc w:val="center"/>
              <w:rPr/>
            </w:pPr>
            <w:r>
              <w:rPr/>
              <w:t xml:space="preserve">   </w:t>
            </w:r>
            <w:r>
              <w:rPr/>
              <w:t>82 548,97</w:t>
            </w:r>
          </w:p>
        </w:tc>
      </w:tr>
      <w:tr>
        <w:trPr>
          <w:cantSplit w:val="false"/>
        </w:trPr>
        <w:tc>
          <w:tcPr>
            <w:tcW w:w="3754" w:type="dxa"/>
            <w:tcBorders>
              <w:top w:val="single" w:sz="4" w:space="0" w:color="000001"/>
              <w:left w:val="single" w:sz="4" w:space="0" w:color="000001"/>
              <w:bottom w:val="single" w:sz="4" w:space="0" w:color="000001"/>
              <w:insideH w:val="single" w:sz="4" w:space="0" w:color="000001"/>
              <w:right w:val="nil"/>
              <w:insideV w:val="nil"/>
            </w:tcBorders>
            <w:shd w:fill="FFFFFF" w:val="clear"/>
            <w:tcMar>
              <w:left w:w="55" w:type="dxa"/>
            </w:tcMar>
          </w:tcPr>
          <w:p>
            <w:pPr>
              <w:pStyle w:val="Normal"/>
              <w:spacing w:lineRule="auto" w:line="360"/>
              <w:jc w:val="both"/>
              <w:rPr>
                <w:sz w:val="22"/>
                <w:szCs w:val="22"/>
              </w:rPr>
            </w:pPr>
            <w:r>
              <w:rPr>
                <w:sz w:val="22"/>
                <w:szCs w:val="22"/>
              </w:rPr>
              <w:t>Poskytnuté návratné fin. výpomoci dlh.</w:t>
            </w:r>
          </w:p>
        </w:tc>
        <w:tc>
          <w:tcPr>
            <w:tcW w:w="2869" w:type="dxa"/>
            <w:tcBorders>
              <w:top w:val="single" w:sz="4" w:space="0" w:color="000001"/>
              <w:left w:val="single" w:sz="4" w:space="0" w:color="000001"/>
              <w:bottom w:val="single" w:sz="4" w:space="0" w:color="000001"/>
              <w:insideH w:val="single" w:sz="4" w:space="0" w:color="000001"/>
              <w:right w:val="nil"/>
              <w:insideV w:val="nil"/>
            </w:tcBorders>
            <w:shd w:fill="FFFFFF" w:val="clear"/>
            <w:tcMar>
              <w:left w:w="55" w:type="dxa"/>
            </w:tcMar>
          </w:tcPr>
          <w:p>
            <w:pPr>
              <w:pStyle w:val="Normal"/>
              <w:spacing w:lineRule="auto" w:line="360"/>
              <w:jc w:val="center"/>
              <w:rPr/>
            </w:pPr>
            <w:r>
              <w:rPr/>
              <w:t>0</w:t>
            </w:r>
          </w:p>
        </w:tc>
        <w:tc>
          <w:tcPr>
            <w:tcW w:w="2893" w:type="dxa"/>
            <w:tcBorders>
              <w:top w:val="single" w:sz="4" w:space="0" w:color="000001"/>
              <w:left w:val="single" w:sz="4" w:space="0" w:color="000001"/>
              <w:bottom w:val="single" w:sz="4" w:space="0" w:color="000001"/>
              <w:insideH w:val="single" w:sz="4" w:space="0" w:color="000001"/>
              <w:right w:val="single" w:sz="4" w:space="0" w:color="000001"/>
              <w:insideV w:val="single" w:sz="4" w:space="0" w:color="000001"/>
            </w:tcBorders>
            <w:shd w:fill="FFFFFF" w:val="clear"/>
            <w:tcMar>
              <w:left w:w="55" w:type="dxa"/>
            </w:tcMar>
          </w:tcPr>
          <w:p>
            <w:pPr>
              <w:pStyle w:val="Normal"/>
              <w:spacing w:lineRule="auto" w:line="360"/>
              <w:jc w:val="center"/>
              <w:rPr/>
            </w:pPr>
            <w:r>
              <w:rPr/>
              <w:t>0</w:t>
            </w:r>
          </w:p>
        </w:tc>
      </w:tr>
      <w:tr>
        <w:trPr>
          <w:cantSplit w:val="false"/>
        </w:trPr>
        <w:tc>
          <w:tcPr>
            <w:tcW w:w="3754" w:type="dxa"/>
            <w:tcBorders>
              <w:top w:val="single" w:sz="4" w:space="0" w:color="000001"/>
              <w:left w:val="single" w:sz="4" w:space="0" w:color="000001"/>
              <w:bottom w:val="single" w:sz="4" w:space="0" w:color="000001"/>
              <w:insideH w:val="single" w:sz="4" w:space="0" w:color="000001"/>
              <w:right w:val="nil"/>
              <w:insideV w:val="nil"/>
            </w:tcBorders>
            <w:shd w:fill="FFFFFF" w:val="clear"/>
            <w:tcMar>
              <w:left w:w="55" w:type="dxa"/>
            </w:tcMar>
          </w:tcPr>
          <w:p>
            <w:pPr>
              <w:pStyle w:val="Normal"/>
              <w:spacing w:lineRule="auto" w:line="360"/>
              <w:jc w:val="both"/>
              <w:rPr>
                <w:sz w:val="22"/>
                <w:szCs w:val="22"/>
              </w:rPr>
            </w:pPr>
            <w:r>
              <w:rPr>
                <w:sz w:val="22"/>
                <w:szCs w:val="22"/>
              </w:rPr>
              <w:t>Poskytnuté návratné fin. výpomoci krát.</w:t>
            </w:r>
          </w:p>
        </w:tc>
        <w:tc>
          <w:tcPr>
            <w:tcW w:w="2869" w:type="dxa"/>
            <w:tcBorders>
              <w:top w:val="single" w:sz="4" w:space="0" w:color="000001"/>
              <w:left w:val="single" w:sz="4" w:space="0" w:color="000001"/>
              <w:bottom w:val="single" w:sz="4" w:space="0" w:color="000001"/>
              <w:insideH w:val="single" w:sz="4" w:space="0" w:color="000001"/>
              <w:right w:val="nil"/>
              <w:insideV w:val="nil"/>
            </w:tcBorders>
            <w:shd w:fill="FFFFFF" w:val="clear"/>
            <w:tcMar>
              <w:left w:w="55" w:type="dxa"/>
            </w:tcMar>
          </w:tcPr>
          <w:p>
            <w:pPr>
              <w:pStyle w:val="Normal"/>
              <w:spacing w:lineRule="auto" w:line="360"/>
              <w:jc w:val="center"/>
              <w:rPr/>
            </w:pPr>
            <w:r>
              <w:rPr/>
              <w:t>0</w:t>
            </w:r>
          </w:p>
        </w:tc>
        <w:tc>
          <w:tcPr>
            <w:tcW w:w="2893" w:type="dxa"/>
            <w:tcBorders>
              <w:top w:val="single" w:sz="4" w:space="0" w:color="000001"/>
              <w:left w:val="single" w:sz="4" w:space="0" w:color="000001"/>
              <w:bottom w:val="single" w:sz="4" w:space="0" w:color="000001"/>
              <w:insideH w:val="single" w:sz="4" w:space="0" w:color="000001"/>
              <w:right w:val="single" w:sz="4" w:space="0" w:color="000001"/>
              <w:insideV w:val="single" w:sz="4" w:space="0" w:color="000001"/>
            </w:tcBorders>
            <w:shd w:fill="FFFFFF" w:val="clear"/>
            <w:tcMar>
              <w:left w:w="55" w:type="dxa"/>
            </w:tcMar>
          </w:tcPr>
          <w:p>
            <w:pPr>
              <w:pStyle w:val="Normal"/>
              <w:spacing w:lineRule="auto" w:line="360"/>
              <w:jc w:val="center"/>
              <w:rPr/>
            </w:pPr>
            <w:r>
              <w:rPr/>
              <w:t>0</w:t>
            </w:r>
          </w:p>
        </w:tc>
      </w:tr>
      <w:tr>
        <w:trPr>
          <w:cantSplit w:val="false"/>
        </w:trPr>
        <w:tc>
          <w:tcPr>
            <w:tcW w:w="3754" w:type="dxa"/>
            <w:tcBorders>
              <w:top w:val="single" w:sz="4" w:space="0" w:color="000001"/>
              <w:left w:val="single" w:sz="4" w:space="0" w:color="000001"/>
              <w:bottom w:val="single" w:sz="4" w:space="0" w:color="000001"/>
              <w:insideH w:val="single" w:sz="4" w:space="0" w:color="000001"/>
              <w:right w:val="nil"/>
              <w:insideV w:val="nil"/>
            </w:tcBorders>
            <w:shd w:fill="FFFFFF" w:val="clear"/>
            <w:tcMar>
              <w:left w:w="55" w:type="dxa"/>
            </w:tcMar>
          </w:tcPr>
          <w:p>
            <w:pPr>
              <w:pStyle w:val="Normal"/>
              <w:spacing w:lineRule="auto" w:line="360"/>
              <w:jc w:val="both"/>
              <w:rPr>
                <w:b/>
                <w:sz w:val="22"/>
                <w:szCs w:val="22"/>
              </w:rPr>
            </w:pPr>
            <w:r>
              <w:rPr>
                <w:b/>
                <w:sz w:val="22"/>
                <w:szCs w:val="22"/>
              </w:rPr>
              <w:t xml:space="preserve">Časové rozlíšenie </w:t>
            </w:r>
          </w:p>
        </w:tc>
        <w:tc>
          <w:tcPr>
            <w:tcW w:w="2869" w:type="dxa"/>
            <w:tcBorders>
              <w:top w:val="single" w:sz="4" w:space="0" w:color="000001"/>
              <w:left w:val="single" w:sz="4" w:space="0" w:color="000001"/>
              <w:bottom w:val="single" w:sz="4" w:space="0" w:color="000001"/>
              <w:insideH w:val="single" w:sz="4" w:space="0" w:color="000001"/>
              <w:right w:val="nil"/>
              <w:insideV w:val="nil"/>
            </w:tcBorders>
            <w:shd w:fill="FFFFFF" w:val="clear"/>
            <w:tcMar>
              <w:left w:w="55" w:type="dxa"/>
            </w:tcMar>
          </w:tcPr>
          <w:p>
            <w:pPr>
              <w:pStyle w:val="Normal"/>
              <w:spacing w:lineRule="auto" w:line="360"/>
              <w:jc w:val="center"/>
              <w:rPr/>
            </w:pPr>
            <w:r>
              <w:rPr/>
            </w:r>
          </w:p>
        </w:tc>
        <w:tc>
          <w:tcPr>
            <w:tcW w:w="2893" w:type="dxa"/>
            <w:tcBorders>
              <w:top w:val="single" w:sz="4" w:space="0" w:color="000001"/>
              <w:left w:val="single" w:sz="4" w:space="0" w:color="000001"/>
              <w:bottom w:val="single" w:sz="4" w:space="0" w:color="000001"/>
              <w:insideH w:val="single" w:sz="4" w:space="0" w:color="000001"/>
              <w:right w:val="single" w:sz="4" w:space="0" w:color="000001"/>
              <w:insideV w:val="single" w:sz="4" w:space="0" w:color="000001"/>
            </w:tcBorders>
            <w:shd w:fill="FFFFFF" w:val="clear"/>
            <w:tcMar>
              <w:left w:w="55" w:type="dxa"/>
            </w:tcMar>
          </w:tcPr>
          <w:p>
            <w:pPr>
              <w:pStyle w:val="Normal"/>
              <w:spacing w:lineRule="auto" w:line="360"/>
              <w:jc w:val="center"/>
              <w:rPr/>
            </w:pPr>
            <w:r>
              <w:rPr/>
            </w:r>
          </w:p>
        </w:tc>
      </w:tr>
    </w:tbl>
    <w:p>
      <w:pPr>
        <w:pStyle w:val="Normal"/>
        <w:spacing w:lineRule="auto" w:line="360"/>
        <w:jc w:val="both"/>
        <w:rPr>
          <w:b/>
        </w:rPr>
      </w:pPr>
      <w:r>
        <w:rPr>
          <w:b/>
        </w:rPr>
      </w:r>
    </w:p>
    <w:p>
      <w:pPr>
        <w:pStyle w:val="Normal"/>
        <w:spacing w:lineRule="auto" w:line="360"/>
        <w:jc w:val="both"/>
        <w:rPr>
          <w:b/>
        </w:rPr>
      </w:pPr>
      <w:r>
        <w:rPr>
          <w:b/>
        </w:rPr>
      </w:r>
    </w:p>
    <w:p>
      <w:pPr>
        <w:pStyle w:val="Normal"/>
        <w:spacing w:lineRule="auto" w:line="360"/>
        <w:jc w:val="both"/>
        <w:rPr>
          <w:b/>
        </w:rPr>
      </w:pPr>
      <w:r>
        <w:rPr>
          <w:b/>
        </w:rPr>
      </w:r>
    </w:p>
    <w:p>
      <w:pPr>
        <w:pStyle w:val="Normal"/>
        <w:spacing w:lineRule="auto" w:line="360"/>
        <w:jc w:val="both"/>
        <w:rPr>
          <w:b/>
        </w:rPr>
      </w:pPr>
      <w:r>
        <w:rPr>
          <w:b/>
        </w:rPr>
      </w:r>
    </w:p>
    <w:p>
      <w:pPr>
        <w:pStyle w:val="Normal"/>
        <w:spacing w:lineRule="auto" w:line="360"/>
        <w:jc w:val="both"/>
        <w:rPr>
          <w:b/>
        </w:rPr>
      </w:pPr>
      <w:r>
        <w:rPr>
          <w:b/>
        </w:rPr>
      </w:r>
    </w:p>
    <w:p>
      <w:pPr>
        <w:pStyle w:val="Normal"/>
        <w:spacing w:lineRule="auto" w:line="360"/>
        <w:jc w:val="both"/>
        <w:rPr>
          <w:b/>
        </w:rPr>
      </w:pPr>
      <w:r>
        <w:rPr>
          <w:b/>
        </w:rPr>
        <w:t xml:space="preserve">P A S Í V A </w:t>
      </w:r>
    </w:p>
    <w:tbl>
      <w:tblPr>
        <w:jc w:val="left"/>
        <w:tblInd w:w="-55" w:type="dxa"/>
        <w:tblBorders>
          <w:top w:val="single" w:sz="4" w:space="0" w:color="000001"/>
          <w:left w:val="single" w:sz="4" w:space="0" w:color="000001"/>
          <w:bottom w:val="single" w:sz="4" w:space="0" w:color="000001"/>
          <w:insideH w:val="single" w:sz="4" w:space="0" w:color="000001"/>
          <w:right w:val="nil"/>
          <w:insideV w:val="nil"/>
        </w:tblBorders>
        <w:tblCellMar>
          <w:top w:w="0" w:type="dxa"/>
          <w:left w:w="55" w:type="dxa"/>
          <w:bottom w:w="0" w:type="dxa"/>
          <w:right w:w="70" w:type="dxa"/>
        </w:tblCellMar>
      </w:tblPr>
      <w:tblGrid>
        <w:gridCol w:w="3754"/>
        <w:gridCol w:w="2869"/>
        <w:gridCol w:w="2893"/>
      </w:tblGrid>
      <w:tr>
        <w:trPr>
          <w:cantSplit w:val="false"/>
        </w:trPr>
        <w:tc>
          <w:tcPr>
            <w:tcW w:w="3754" w:type="dxa"/>
            <w:tcBorders>
              <w:top w:val="single" w:sz="4" w:space="0" w:color="000001"/>
              <w:left w:val="single" w:sz="4" w:space="0" w:color="000001"/>
              <w:bottom w:val="single" w:sz="4" w:space="0" w:color="000001"/>
              <w:insideH w:val="single" w:sz="4" w:space="0" w:color="000001"/>
              <w:right w:val="nil"/>
              <w:insideV w:val="nil"/>
            </w:tcBorders>
            <w:shd w:fill="D9D9D9" w:val="clear"/>
            <w:tcMar>
              <w:left w:w="55" w:type="dxa"/>
            </w:tcMar>
          </w:tcPr>
          <w:p>
            <w:pPr>
              <w:pStyle w:val="Normal"/>
              <w:spacing w:lineRule="auto" w:line="360"/>
              <w:jc w:val="center"/>
              <w:rPr>
                <w:b/>
              </w:rPr>
            </w:pPr>
            <w:r>
              <w:rPr>
                <w:b/>
              </w:rPr>
              <w:t>Názov</w:t>
            </w:r>
          </w:p>
        </w:tc>
        <w:tc>
          <w:tcPr>
            <w:tcW w:w="2869" w:type="dxa"/>
            <w:tcBorders>
              <w:top w:val="single" w:sz="4" w:space="0" w:color="000001"/>
              <w:left w:val="single" w:sz="4" w:space="0" w:color="000001"/>
              <w:bottom w:val="single" w:sz="4" w:space="0" w:color="000001"/>
              <w:insideH w:val="single" w:sz="4" w:space="0" w:color="000001"/>
              <w:right w:val="nil"/>
              <w:insideV w:val="nil"/>
            </w:tcBorders>
            <w:shd w:fill="D9D9D9" w:val="clear"/>
            <w:tcMar>
              <w:left w:w="55" w:type="dxa"/>
            </w:tcMar>
          </w:tcPr>
          <w:p>
            <w:pPr>
              <w:pStyle w:val="Normal"/>
              <w:spacing w:lineRule="auto" w:line="360"/>
              <w:jc w:val="center"/>
              <w:rPr>
                <w:b/>
              </w:rPr>
            </w:pPr>
            <w:r>
              <w:rPr>
                <w:b/>
              </w:rPr>
              <w:t>ZS  k  1.1.2014 v EUR</w:t>
            </w:r>
          </w:p>
        </w:tc>
        <w:tc>
          <w:tcPr>
            <w:tcW w:w="2893" w:type="dxa"/>
            <w:tcBorders>
              <w:top w:val="single" w:sz="4" w:space="0" w:color="000001"/>
              <w:left w:val="single" w:sz="4" w:space="0" w:color="000001"/>
              <w:bottom w:val="single" w:sz="4" w:space="0" w:color="000001"/>
              <w:insideH w:val="single" w:sz="4" w:space="0" w:color="000001"/>
              <w:right w:val="single" w:sz="4" w:space="0" w:color="000001"/>
              <w:insideV w:val="single" w:sz="4" w:space="0" w:color="000001"/>
            </w:tcBorders>
            <w:shd w:fill="D9D9D9" w:val="clear"/>
            <w:tcMar>
              <w:left w:w="55" w:type="dxa"/>
            </w:tcMar>
          </w:tcPr>
          <w:p>
            <w:pPr>
              <w:pStyle w:val="Normal"/>
              <w:spacing w:lineRule="auto" w:line="360"/>
              <w:jc w:val="center"/>
              <w:rPr>
                <w:b/>
              </w:rPr>
            </w:pPr>
            <w:r>
              <w:rPr>
                <w:b/>
              </w:rPr>
              <w:t>KZ  k  31.12.2014 v EUR</w:t>
            </w:r>
          </w:p>
        </w:tc>
      </w:tr>
      <w:tr>
        <w:trPr>
          <w:cantSplit w:val="false"/>
        </w:trPr>
        <w:tc>
          <w:tcPr>
            <w:tcW w:w="3754" w:type="dxa"/>
            <w:tcBorders>
              <w:top w:val="single" w:sz="4" w:space="0" w:color="000001"/>
              <w:left w:val="single" w:sz="4" w:space="0" w:color="000001"/>
              <w:bottom w:val="single" w:sz="4" w:space="0" w:color="000001"/>
              <w:insideH w:val="single" w:sz="4" w:space="0" w:color="000001"/>
              <w:right w:val="nil"/>
              <w:insideV w:val="nil"/>
            </w:tcBorders>
            <w:shd w:fill="C4BC96" w:val="clear"/>
            <w:tcMar>
              <w:left w:w="55" w:type="dxa"/>
            </w:tcMar>
          </w:tcPr>
          <w:p>
            <w:pPr>
              <w:pStyle w:val="Normal"/>
              <w:spacing w:lineRule="auto" w:line="360"/>
              <w:jc w:val="both"/>
              <w:rPr>
                <w:b/>
              </w:rPr>
            </w:pPr>
            <w:r>
              <w:rPr>
                <w:b/>
              </w:rPr>
              <w:t>Vlastné imanie a záväzky spolu</w:t>
            </w:r>
          </w:p>
        </w:tc>
        <w:tc>
          <w:tcPr>
            <w:tcW w:w="2869" w:type="dxa"/>
            <w:tcBorders>
              <w:top w:val="single" w:sz="4" w:space="0" w:color="000001"/>
              <w:left w:val="single" w:sz="4" w:space="0" w:color="000001"/>
              <w:bottom w:val="single" w:sz="4" w:space="0" w:color="000001"/>
              <w:insideH w:val="single" w:sz="4" w:space="0" w:color="000001"/>
              <w:right w:val="nil"/>
              <w:insideV w:val="nil"/>
            </w:tcBorders>
            <w:shd w:fill="C4BC96" w:val="clear"/>
            <w:tcMar>
              <w:left w:w="55" w:type="dxa"/>
            </w:tcMar>
          </w:tcPr>
          <w:p>
            <w:pPr>
              <w:pStyle w:val="Normal"/>
              <w:spacing w:lineRule="auto" w:line="360"/>
              <w:jc w:val="center"/>
              <w:rPr/>
            </w:pPr>
            <w:r>
              <w:rPr/>
              <w:t>3 359 867</w:t>
            </w:r>
          </w:p>
        </w:tc>
        <w:tc>
          <w:tcPr>
            <w:tcW w:w="2893" w:type="dxa"/>
            <w:tcBorders>
              <w:top w:val="single" w:sz="4" w:space="0" w:color="000001"/>
              <w:left w:val="single" w:sz="4" w:space="0" w:color="000001"/>
              <w:bottom w:val="single" w:sz="4" w:space="0" w:color="000001"/>
              <w:insideH w:val="single" w:sz="4" w:space="0" w:color="000001"/>
              <w:right w:val="single" w:sz="4" w:space="0" w:color="000001"/>
              <w:insideV w:val="single" w:sz="4" w:space="0" w:color="000001"/>
            </w:tcBorders>
            <w:shd w:fill="C4BC96" w:val="clear"/>
            <w:tcMar>
              <w:left w:w="55" w:type="dxa"/>
            </w:tcMar>
          </w:tcPr>
          <w:p>
            <w:pPr>
              <w:pStyle w:val="Normal"/>
              <w:spacing w:lineRule="auto" w:line="360"/>
              <w:jc w:val="center"/>
              <w:rPr/>
            </w:pPr>
            <w:r>
              <w:rPr/>
              <w:t>3 389269,17</w:t>
            </w:r>
          </w:p>
        </w:tc>
      </w:tr>
      <w:tr>
        <w:trPr>
          <w:cantSplit w:val="false"/>
        </w:trPr>
        <w:tc>
          <w:tcPr>
            <w:tcW w:w="3754" w:type="dxa"/>
            <w:tcBorders>
              <w:top w:val="single" w:sz="4" w:space="0" w:color="000001"/>
              <w:left w:val="single" w:sz="4" w:space="0" w:color="000001"/>
              <w:bottom w:val="single" w:sz="4" w:space="0" w:color="000001"/>
              <w:insideH w:val="single" w:sz="4" w:space="0" w:color="000001"/>
              <w:right w:val="nil"/>
              <w:insideV w:val="nil"/>
            </w:tcBorders>
            <w:shd w:fill="FFFFFF" w:val="clear"/>
            <w:tcMar>
              <w:left w:w="55" w:type="dxa"/>
            </w:tcMar>
          </w:tcPr>
          <w:p>
            <w:pPr>
              <w:pStyle w:val="Normal"/>
              <w:spacing w:lineRule="auto" w:line="360"/>
              <w:jc w:val="both"/>
              <w:rPr>
                <w:b/>
                <w:sz w:val="22"/>
                <w:szCs w:val="22"/>
              </w:rPr>
            </w:pPr>
            <w:r>
              <w:rPr>
                <w:b/>
                <w:sz w:val="22"/>
                <w:szCs w:val="22"/>
              </w:rPr>
              <w:t xml:space="preserve">Vlastné imanie </w:t>
            </w:r>
          </w:p>
        </w:tc>
        <w:tc>
          <w:tcPr>
            <w:tcW w:w="2869" w:type="dxa"/>
            <w:tcBorders>
              <w:top w:val="single" w:sz="4" w:space="0" w:color="000001"/>
              <w:left w:val="single" w:sz="4" w:space="0" w:color="000001"/>
              <w:bottom w:val="single" w:sz="4" w:space="0" w:color="000001"/>
              <w:insideH w:val="single" w:sz="4" w:space="0" w:color="000001"/>
              <w:right w:val="nil"/>
              <w:insideV w:val="nil"/>
            </w:tcBorders>
            <w:shd w:fill="FFFFFF" w:val="clear"/>
            <w:tcMar>
              <w:left w:w="55" w:type="dxa"/>
            </w:tcMar>
          </w:tcPr>
          <w:p>
            <w:pPr>
              <w:pStyle w:val="Normal"/>
              <w:spacing w:lineRule="auto" w:line="360"/>
              <w:jc w:val="center"/>
              <w:rPr/>
            </w:pPr>
            <w:r>
              <w:rPr/>
              <w:t xml:space="preserve">    </w:t>
            </w:r>
            <w:r>
              <w:rPr/>
              <w:t>808 283</w:t>
            </w:r>
          </w:p>
        </w:tc>
        <w:tc>
          <w:tcPr>
            <w:tcW w:w="2893" w:type="dxa"/>
            <w:tcBorders>
              <w:top w:val="single" w:sz="4" w:space="0" w:color="000001"/>
              <w:left w:val="single" w:sz="4" w:space="0" w:color="000001"/>
              <w:bottom w:val="single" w:sz="4" w:space="0" w:color="000001"/>
              <w:insideH w:val="single" w:sz="4" w:space="0" w:color="000001"/>
              <w:right w:val="single" w:sz="4" w:space="0" w:color="000001"/>
              <w:insideV w:val="single" w:sz="4" w:space="0" w:color="000001"/>
            </w:tcBorders>
            <w:shd w:fill="FFFFFF" w:val="clear"/>
            <w:tcMar>
              <w:left w:w="55" w:type="dxa"/>
            </w:tcMar>
          </w:tcPr>
          <w:p>
            <w:pPr>
              <w:pStyle w:val="Normal"/>
              <w:spacing w:lineRule="auto" w:line="360"/>
              <w:jc w:val="center"/>
              <w:rPr/>
            </w:pPr>
            <w:r>
              <w:rPr/>
              <w:t>980 973,97</w:t>
            </w:r>
          </w:p>
        </w:tc>
      </w:tr>
      <w:tr>
        <w:trPr>
          <w:cantSplit w:val="false"/>
        </w:trPr>
        <w:tc>
          <w:tcPr>
            <w:tcW w:w="3754" w:type="dxa"/>
            <w:tcBorders>
              <w:top w:val="single" w:sz="4" w:space="0" w:color="000001"/>
              <w:left w:val="single" w:sz="4" w:space="0" w:color="000001"/>
              <w:bottom w:val="single" w:sz="4" w:space="0" w:color="000001"/>
              <w:insideH w:val="single" w:sz="4" w:space="0" w:color="000001"/>
              <w:right w:val="nil"/>
              <w:insideV w:val="nil"/>
            </w:tcBorders>
            <w:shd w:fill="FFFFFF" w:val="clear"/>
            <w:tcMar>
              <w:left w:w="55" w:type="dxa"/>
            </w:tcMar>
          </w:tcPr>
          <w:p>
            <w:pPr>
              <w:pStyle w:val="Normal"/>
              <w:spacing w:lineRule="auto" w:line="360"/>
              <w:jc w:val="both"/>
              <w:rPr>
                <w:sz w:val="22"/>
                <w:szCs w:val="22"/>
              </w:rPr>
            </w:pPr>
            <w:r>
              <w:rPr>
                <w:sz w:val="22"/>
                <w:szCs w:val="22"/>
              </w:rPr>
              <w:t>z toho :</w:t>
            </w:r>
          </w:p>
        </w:tc>
        <w:tc>
          <w:tcPr>
            <w:tcW w:w="2869" w:type="dxa"/>
            <w:tcBorders>
              <w:top w:val="single" w:sz="4" w:space="0" w:color="000001"/>
              <w:left w:val="single" w:sz="4" w:space="0" w:color="000001"/>
              <w:bottom w:val="single" w:sz="4" w:space="0" w:color="000001"/>
              <w:insideH w:val="single" w:sz="4" w:space="0" w:color="000001"/>
              <w:right w:val="nil"/>
              <w:insideV w:val="nil"/>
            </w:tcBorders>
            <w:shd w:fill="FFFFFF" w:val="clear"/>
            <w:tcMar>
              <w:left w:w="55" w:type="dxa"/>
            </w:tcMar>
          </w:tcPr>
          <w:p>
            <w:pPr>
              <w:pStyle w:val="Normal"/>
              <w:spacing w:lineRule="auto" w:line="360"/>
              <w:jc w:val="center"/>
              <w:rPr/>
            </w:pPr>
            <w:r>
              <w:rPr/>
            </w:r>
          </w:p>
        </w:tc>
        <w:tc>
          <w:tcPr>
            <w:tcW w:w="2893" w:type="dxa"/>
            <w:tcBorders>
              <w:top w:val="single" w:sz="4" w:space="0" w:color="000001"/>
              <w:left w:val="single" w:sz="4" w:space="0" w:color="000001"/>
              <w:bottom w:val="single" w:sz="4" w:space="0" w:color="000001"/>
              <w:insideH w:val="single" w:sz="4" w:space="0" w:color="000001"/>
              <w:right w:val="single" w:sz="4" w:space="0" w:color="000001"/>
              <w:insideV w:val="single" w:sz="4" w:space="0" w:color="000001"/>
            </w:tcBorders>
            <w:shd w:fill="FFFFFF" w:val="clear"/>
            <w:tcMar>
              <w:left w:w="55" w:type="dxa"/>
            </w:tcMar>
          </w:tcPr>
          <w:p>
            <w:pPr>
              <w:pStyle w:val="Normal"/>
              <w:spacing w:lineRule="auto" w:line="360"/>
              <w:jc w:val="center"/>
              <w:rPr/>
            </w:pPr>
            <w:r>
              <w:rPr/>
            </w:r>
          </w:p>
        </w:tc>
      </w:tr>
      <w:tr>
        <w:trPr>
          <w:cantSplit w:val="false"/>
        </w:trPr>
        <w:tc>
          <w:tcPr>
            <w:tcW w:w="3754" w:type="dxa"/>
            <w:tcBorders>
              <w:top w:val="single" w:sz="4" w:space="0" w:color="000001"/>
              <w:left w:val="single" w:sz="4" w:space="0" w:color="000001"/>
              <w:bottom w:val="single" w:sz="4" w:space="0" w:color="000001"/>
              <w:insideH w:val="single" w:sz="4" w:space="0" w:color="000001"/>
              <w:right w:val="nil"/>
              <w:insideV w:val="nil"/>
            </w:tcBorders>
            <w:shd w:fill="FFFFFF" w:val="clear"/>
            <w:tcMar>
              <w:left w:w="55" w:type="dxa"/>
            </w:tcMar>
          </w:tcPr>
          <w:p>
            <w:pPr>
              <w:pStyle w:val="Normal"/>
              <w:spacing w:lineRule="auto" w:line="360"/>
              <w:jc w:val="both"/>
              <w:rPr>
                <w:sz w:val="22"/>
                <w:szCs w:val="22"/>
              </w:rPr>
            </w:pPr>
            <w:r>
              <w:rPr>
                <w:sz w:val="22"/>
                <w:szCs w:val="22"/>
              </w:rPr>
              <w:t xml:space="preserve">Oceňovacie rozdiely </w:t>
            </w:r>
          </w:p>
        </w:tc>
        <w:tc>
          <w:tcPr>
            <w:tcW w:w="2869" w:type="dxa"/>
            <w:tcBorders>
              <w:top w:val="single" w:sz="4" w:space="0" w:color="000001"/>
              <w:left w:val="single" w:sz="4" w:space="0" w:color="000001"/>
              <w:bottom w:val="single" w:sz="4" w:space="0" w:color="000001"/>
              <w:insideH w:val="single" w:sz="4" w:space="0" w:color="000001"/>
              <w:right w:val="nil"/>
              <w:insideV w:val="nil"/>
            </w:tcBorders>
            <w:shd w:fill="FFFFFF" w:val="clear"/>
            <w:tcMar>
              <w:left w:w="55" w:type="dxa"/>
            </w:tcMar>
          </w:tcPr>
          <w:p>
            <w:pPr>
              <w:pStyle w:val="Normal"/>
              <w:spacing w:lineRule="auto" w:line="360"/>
              <w:jc w:val="center"/>
              <w:rPr/>
            </w:pPr>
            <w:r>
              <w:rPr/>
            </w:r>
          </w:p>
        </w:tc>
        <w:tc>
          <w:tcPr>
            <w:tcW w:w="2893" w:type="dxa"/>
            <w:tcBorders>
              <w:top w:val="single" w:sz="4" w:space="0" w:color="000001"/>
              <w:left w:val="single" w:sz="4" w:space="0" w:color="000001"/>
              <w:bottom w:val="single" w:sz="4" w:space="0" w:color="000001"/>
              <w:insideH w:val="single" w:sz="4" w:space="0" w:color="000001"/>
              <w:right w:val="single" w:sz="4" w:space="0" w:color="000001"/>
              <w:insideV w:val="single" w:sz="4" w:space="0" w:color="000001"/>
            </w:tcBorders>
            <w:shd w:fill="FFFFFF" w:val="clear"/>
            <w:tcMar>
              <w:left w:w="55" w:type="dxa"/>
            </w:tcMar>
          </w:tcPr>
          <w:p>
            <w:pPr>
              <w:pStyle w:val="Normal"/>
              <w:spacing w:lineRule="auto" w:line="360"/>
              <w:jc w:val="center"/>
              <w:rPr/>
            </w:pPr>
            <w:r>
              <w:rPr/>
            </w:r>
          </w:p>
        </w:tc>
      </w:tr>
      <w:tr>
        <w:trPr>
          <w:cantSplit w:val="false"/>
        </w:trPr>
        <w:tc>
          <w:tcPr>
            <w:tcW w:w="3754" w:type="dxa"/>
            <w:tcBorders>
              <w:top w:val="single" w:sz="4" w:space="0" w:color="000001"/>
              <w:left w:val="single" w:sz="4" w:space="0" w:color="000001"/>
              <w:bottom w:val="single" w:sz="4" w:space="0" w:color="000001"/>
              <w:insideH w:val="single" w:sz="4" w:space="0" w:color="000001"/>
              <w:right w:val="nil"/>
              <w:insideV w:val="nil"/>
            </w:tcBorders>
            <w:shd w:fill="FFFFFF" w:val="clear"/>
            <w:tcMar>
              <w:left w:w="55" w:type="dxa"/>
            </w:tcMar>
          </w:tcPr>
          <w:p>
            <w:pPr>
              <w:pStyle w:val="Normal"/>
              <w:spacing w:lineRule="auto" w:line="360"/>
              <w:jc w:val="both"/>
              <w:rPr>
                <w:sz w:val="22"/>
                <w:szCs w:val="22"/>
              </w:rPr>
            </w:pPr>
            <w:r>
              <w:rPr>
                <w:sz w:val="22"/>
                <w:szCs w:val="22"/>
              </w:rPr>
              <w:t>Fondy</w:t>
            </w:r>
          </w:p>
        </w:tc>
        <w:tc>
          <w:tcPr>
            <w:tcW w:w="2869" w:type="dxa"/>
            <w:tcBorders>
              <w:top w:val="single" w:sz="4" w:space="0" w:color="000001"/>
              <w:left w:val="single" w:sz="4" w:space="0" w:color="000001"/>
              <w:bottom w:val="single" w:sz="4" w:space="0" w:color="000001"/>
              <w:insideH w:val="single" w:sz="4" w:space="0" w:color="000001"/>
              <w:right w:val="nil"/>
              <w:insideV w:val="nil"/>
            </w:tcBorders>
            <w:shd w:fill="FFFFFF" w:val="clear"/>
            <w:tcMar>
              <w:left w:w="55" w:type="dxa"/>
            </w:tcMar>
          </w:tcPr>
          <w:p>
            <w:pPr>
              <w:pStyle w:val="Normal"/>
              <w:spacing w:lineRule="auto" w:line="360"/>
              <w:jc w:val="center"/>
              <w:rPr/>
            </w:pPr>
            <w:r>
              <w:rPr/>
            </w:r>
          </w:p>
        </w:tc>
        <w:tc>
          <w:tcPr>
            <w:tcW w:w="2893" w:type="dxa"/>
            <w:tcBorders>
              <w:top w:val="single" w:sz="4" w:space="0" w:color="000001"/>
              <w:left w:val="single" w:sz="4" w:space="0" w:color="000001"/>
              <w:bottom w:val="single" w:sz="4" w:space="0" w:color="000001"/>
              <w:insideH w:val="single" w:sz="4" w:space="0" w:color="000001"/>
              <w:right w:val="single" w:sz="4" w:space="0" w:color="000001"/>
              <w:insideV w:val="single" w:sz="4" w:space="0" w:color="000001"/>
            </w:tcBorders>
            <w:shd w:fill="FFFFFF" w:val="clear"/>
            <w:tcMar>
              <w:left w:w="55" w:type="dxa"/>
            </w:tcMar>
          </w:tcPr>
          <w:p>
            <w:pPr>
              <w:pStyle w:val="Normal"/>
              <w:spacing w:lineRule="auto" w:line="360"/>
              <w:jc w:val="center"/>
              <w:rPr/>
            </w:pPr>
            <w:r>
              <w:rPr/>
            </w:r>
          </w:p>
        </w:tc>
      </w:tr>
      <w:tr>
        <w:trPr>
          <w:cantSplit w:val="false"/>
        </w:trPr>
        <w:tc>
          <w:tcPr>
            <w:tcW w:w="3754" w:type="dxa"/>
            <w:tcBorders>
              <w:top w:val="single" w:sz="4" w:space="0" w:color="000001"/>
              <w:left w:val="single" w:sz="4" w:space="0" w:color="000001"/>
              <w:bottom w:val="single" w:sz="4" w:space="0" w:color="000001"/>
              <w:insideH w:val="single" w:sz="4" w:space="0" w:color="000001"/>
              <w:right w:val="nil"/>
              <w:insideV w:val="nil"/>
            </w:tcBorders>
            <w:shd w:fill="FFFFFF" w:val="clear"/>
            <w:tcMar>
              <w:left w:w="55" w:type="dxa"/>
            </w:tcMar>
          </w:tcPr>
          <w:p>
            <w:pPr>
              <w:pStyle w:val="Normal"/>
              <w:spacing w:lineRule="auto" w:line="360"/>
              <w:jc w:val="both"/>
              <w:rPr>
                <w:sz w:val="22"/>
                <w:szCs w:val="22"/>
              </w:rPr>
            </w:pPr>
            <w:r>
              <w:rPr>
                <w:sz w:val="22"/>
                <w:szCs w:val="22"/>
              </w:rPr>
              <w:t xml:space="preserve">Výsledok hospodárenia </w:t>
            </w:r>
          </w:p>
        </w:tc>
        <w:tc>
          <w:tcPr>
            <w:tcW w:w="2869" w:type="dxa"/>
            <w:tcBorders>
              <w:top w:val="single" w:sz="4" w:space="0" w:color="000001"/>
              <w:left w:val="single" w:sz="4" w:space="0" w:color="000001"/>
              <w:bottom w:val="single" w:sz="4" w:space="0" w:color="000001"/>
              <w:insideH w:val="single" w:sz="4" w:space="0" w:color="000001"/>
              <w:right w:val="nil"/>
              <w:insideV w:val="nil"/>
            </w:tcBorders>
            <w:shd w:fill="FFFFFF" w:val="clear"/>
            <w:tcMar>
              <w:left w:w="55" w:type="dxa"/>
            </w:tcMar>
          </w:tcPr>
          <w:p>
            <w:pPr>
              <w:pStyle w:val="Normal"/>
              <w:spacing w:lineRule="auto" w:line="360"/>
              <w:jc w:val="center"/>
              <w:rPr/>
            </w:pPr>
            <w:r>
              <w:rPr/>
              <w:t>-217 188</w:t>
            </w:r>
          </w:p>
        </w:tc>
        <w:tc>
          <w:tcPr>
            <w:tcW w:w="2893" w:type="dxa"/>
            <w:tcBorders>
              <w:top w:val="single" w:sz="4" w:space="0" w:color="000001"/>
              <w:left w:val="single" w:sz="4" w:space="0" w:color="000001"/>
              <w:bottom w:val="single" w:sz="4" w:space="0" w:color="000001"/>
              <w:insideH w:val="single" w:sz="4" w:space="0" w:color="000001"/>
              <w:right w:val="single" w:sz="4" w:space="0" w:color="000001"/>
              <w:insideV w:val="single" w:sz="4" w:space="0" w:color="000001"/>
            </w:tcBorders>
            <w:shd w:fill="FFFFFF" w:val="clear"/>
            <w:tcMar>
              <w:left w:w="55" w:type="dxa"/>
            </w:tcMar>
          </w:tcPr>
          <w:p>
            <w:pPr>
              <w:pStyle w:val="Normal"/>
              <w:spacing w:lineRule="auto" w:line="360"/>
              <w:jc w:val="center"/>
              <w:rPr/>
            </w:pPr>
            <w:r>
              <w:rPr/>
              <w:t>-57 022,60</w:t>
            </w:r>
          </w:p>
        </w:tc>
      </w:tr>
      <w:tr>
        <w:trPr>
          <w:cantSplit w:val="false"/>
        </w:trPr>
        <w:tc>
          <w:tcPr>
            <w:tcW w:w="3754" w:type="dxa"/>
            <w:tcBorders>
              <w:top w:val="single" w:sz="4" w:space="0" w:color="000001"/>
              <w:left w:val="single" w:sz="4" w:space="0" w:color="000001"/>
              <w:bottom w:val="single" w:sz="4" w:space="0" w:color="000001"/>
              <w:insideH w:val="single" w:sz="4" w:space="0" w:color="000001"/>
              <w:right w:val="nil"/>
              <w:insideV w:val="nil"/>
            </w:tcBorders>
            <w:shd w:fill="FFFFFF" w:val="clear"/>
            <w:tcMar>
              <w:left w:w="55" w:type="dxa"/>
            </w:tcMar>
          </w:tcPr>
          <w:p>
            <w:pPr>
              <w:pStyle w:val="Normal"/>
              <w:spacing w:lineRule="auto" w:line="360"/>
              <w:jc w:val="both"/>
              <w:rPr>
                <w:b/>
                <w:sz w:val="22"/>
                <w:szCs w:val="22"/>
              </w:rPr>
            </w:pPr>
            <w:r>
              <w:rPr>
                <w:b/>
                <w:sz w:val="22"/>
                <w:szCs w:val="22"/>
              </w:rPr>
              <w:t>Záväzky</w:t>
            </w:r>
          </w:p>
        </w:tc>
        <w:tc>
          <w:tcPr>
            <w:tcW w:w="2869" w:type="dxa"/>
            <w:tcBorders>
              <w:top w:val="single" w:sz="4" w:space="0" w:color="000001"/>
              <w:left w:val="single" w:sz="4" w:space="0" w:color="000001"/>
              <w:bottom w:val="single" w:sz="4" w:space="0" w:color="000001"/>
              <w:insideH w:val="single" w:sz="4" w:space="0" w:color="000001"/>
              <w:right w:val="nil"/>
              <w:insideV w:val="nil"/>
            </w:tcBorders>
            <w:shd w:fill="FFFFFF" w:val="clear"/>
            <w:tcMar>
              <w:left w:w="55" w:type="dxa"/>
            </w:tcMar>
          </w:tcPr>
          <w:p>
            <w:pPr>
              <w:pStyle w:val="Normal"/>
              <w:spacing w:lineRule="auto" w:line="360"/>
              <w:jc w:val="center"/>
              <w:rPr/>
            </w:pPr>
            <w:r>
              <w:rPr/>
              <w:t>824 565</w:t>
            </w:r>
          </w:p>
        </w:tc>
        <w:tc>
          <w:tcPr>
            <w:tcW w:w="2893" w:type="dxa"/>
            <w:tcBorders>
              <w:top w:val="single" w:sz="4" w:space="0" w:color="000001"/>
              <w:left w:val="single" w:sz="4" w:space="0" w:color="000001"/>
              <w:bottom w:val="single" w:sz="4" w:space="0" w:color="000001"/>
              <w:insideH w:val="single" w:sz="4" w:space="0" w:color="000001"/>
              <w:right w:val="single" w:sz="4" w:space="0" w:color="000001"/>
              <w:insideV w:val="single" w:sz="4" w:space="0" w:color="000001"/>
            </w:tcBorders>
            <w:shd w:fill="FFFFFF" w:val="clear"/>
            <w:tcMar>
              <w:left w:w="55" w:type="dxa"/>
            </w:tcMar>
          </w:tcPr>
          <w:p>
            <w:pPr>
              <w:pStyle w:val="Normal"/>
              <w:spacing w:lineRule="auto" w:line="360"/>
              <w:jc w:val="center"/>
              <w:rPr/>
            </w:pPr>
            <w:r>
              <w:rPr/>
              <w:t>798 035,97</w:t>
            </w:r>
          </w:p>
        </w:tc>
      </w:tr>
      <w:tr>
        <w:trPr>
          <w:cantSplit w:val="false"/>
        </w:trPr>
        <w:tc>
          <w:tcPr>
            <w:tcW w:w="3754" w:type="dxa"/>
            <w:tcBorders>
              <w:top w:val="single" w:sz="4" w:space="0" w:color="000001"/>
              <w:left w:val="single" w:sz="4" w:space="0" w:color="000001"/>
              <w:bottom w:val="single" w:sz="4" w:space="0" w:color="000001"/>
              <w:insideH w:val="single" w:sz="4" w:space="0" w:color="000001"/>
              <w:right w:val="nil"/>
              <w:insideV w:val="nil"/>
            </w:tcBorders>
            <w:shd w:fill="FFFFFF" w:val="clear"/>
            <w:tcMar>
              <w:left w:w="55" w:type="dxa"/>
            </w:tcMar>
          </w:tcPr>
          <w:p>
            <w:pPr>
              <w:pStyle w:val="Normal"/>
              <w:spacing w:lineRule="auto" w:line="360"/>
              <w:jc w:val="both"/>
              <w:rPr>
                <w:sz w:val="22"/>
                <w:szCs w:val="22"/>
              </w:rPr>
            </w:pPr>
            <w:r>
              <w:rPr>
                <w:sz w:val="22"/>
                <w:szCs w:val="22"/>
              </w:rPr>
              <w:t>z toho :</w:t>
            </w:r>
          </w:p>
        </w:tc>
        <w:tc>
          <w:tcPr>
            <w:tcW w:w="2869" w:type="dxa"/>
            <w:tcBorders>
              <w:top w:val="single" w:sz="4" w:space="0" w:color="000001"/>
              <w:left w:val="single" w:sz="4" w:space="0" w:color="000001"/>
              <w:bottom w:val="single" w:sz="4" w:space="0" w:color="000001"/>
              <w:insideH w:val="single" w:sz="4" w:space="0" w:color="000001"/>
              <w:right w:val="nil"/>
              <w:insideV w:val="nil"/>
            </w:tcBorders>
            <w:shd w:fill="FFFFFF" w:val="clear"/>
            <w:tcMar>
              <w:left w:w="55" w:type="dxa"/>
            </w:tcMar>
          </w:tcPr>
          <w:p>
            <w:pPr>
              <w:pStyle w:val="Normal"/>
              <w:spacing w:lineRule="auto" w:line="360"/>
              <w:jc w:val="center"/>
              <w:rPr/>
            </w:pPr>
            <w:r>
              <w:rPr/>
            </w:r>
          </w:p>
        </w:tc>
        <w:tc>
          <w:tcPr>
            <w:tcW w:w="2893" w:type="dxa"/>
            <w:tcBorders>
              <w:top w:val="single" w:sz="4" w:space="0" w:color="000001"/>
              <w:left w:val="single" w:sz="4" w:space="0" w:color="000001"/>
              <w:bottom w:val="single" w:sz="4" w:space="0" w:color="000001"/>
              <w:insideH w:val="single" w:sz="4" w:space="0" w:color="000001"/>
              <w:right w:val="single" w:sz="4" w:space="0" w:color="000001"/>
              <w:insideV w:val="single" w:sz="4" w:space="0" w:color="000001"/>
            </w:tcBorders>
            <w:shd w:fill="FFFFFF" w:val="clear"/>
            <w:tcMar>
              <w:left w:w="55" w:type="dxa"/>
            </w:tcMar>
          </w:tcPr>
          <w:p>
            <w:pPr>
              <w:pStyle w:val="Normal"/>
              <w:spacing w:lineRule="auto" w:line="360"/>
              <w:jc w:val="center"/>
              <w:rPr/>
            </w:pPr>
            <w:r>
              <w:rPr/>
            </w:r>
          </w:p>
        </w:tc>
      </w:tr>
      <w:tr>
        <w:trPr>
          <w:cantSplit w:val="false"/>
        </w:trPr>
        <w:tc>
          <w:tcPr>
            <w:tcW w:w="3754" w:type="dxa"/>
            <w:tcBorders>
              <w:top w:val="single" w:sz="4" w:space="0" w:color="000001"/>
              <w:left w:val="single" w:sz="4" w:space="0" w:color="000001"/>
              <w:bottom w:val="single" w:sz="4" w:space="0" w:color="000001"/>
              <w:insideH w:val="single" w:sz="4" w:space="0" w:color="000001"/>
              <w:right w:val="nil"/>
              <w:insideV w:val="nil"/>
            </w:tcBorders>
            <w:shd w:fill="FFFFFF" w:val="clear"/>
            <w:tcMar>
              <w:left w:w="55" w:type="dxa"/>
            </w:tcMar>
          </w:tcPr>
          <w:p>
            <w:pPr>
              <w:pStyle w:val="Normal"/>
              <w:spacing w:lineRule="auto" w:line="360"/>
              <w:jc w:val="both"/>
              <w:rPr>
                <w:sz w:val="22"/>
                <w:szCs w:val="22"/>
              </w:rPr>
            </w:pPr>
            <w:r>
              <w:rPr>
                <w:sz w:val="22"/>
                <w:szCs w:val="22"/>
              </w:rPr>
              <w:t xml:space="preserve">Rezervy </w:t>
            </w:r>
          </w:p>
        </w:tc>
        <w:tc>
          <w:tcPr>
            <w:tcW w:w="2869" w:type="dxa"/>
            <w:tcBorders>
              <w:top w:val="single" w:sz="4" w:space="0" w:color="000001"/>
              <w:left w:val="single" w:sz="4" w:space="0" w:color="000001"/>
              <w:bottom w:val="single" w:sz="4" w:space="0" w:color="000001"/>
              <w:insideH w:val="single" w:sz="4" w:space="0" w:color="000001"/>
              <w:right w:val="nil"/>
              <w:insideV w:val="nil"/>
            </w:tcBorders>
            <w:shd w:fill="FFFFFF" w:val="clear"/>
            <w:tcMar>
              <w:left w:w="55" w:type="dxa"/>
            </w:tcMar>
          </w:tcPr>
          <w:p>
            <w:pPr>
              <w:pStyle w:val="Normal"/>
              <w:spacing w:lineRule="auto" w:line="360"/>
              <w:jc w:val="center"/>
              <w:rPr/>
            </w:pPr>
            <w:r>
              <w:rPr/>
              <w:t>11 820</w:t>
            </w:r>
          </w:p>
        </w:tc>
        <w:tc>
          <w:tcPr>
            <w:tcW w:w="2893" w:type="dxa"/>
            <w:tcBorders>
              <w:top w:val="single" w:sz="4" w:space="0" w:color="000001"/>
              <w:left w:val="single" w:sz="4" w:space="0" w:color="000001"/>
              <w:bottom w:val="single" w:sz="4" w:space="0" w:color="000001"/>
              <w:insideH w:val="single" w:sz="4" w:space="0" w:color="000001"/>
              <w:right w:val="single" w:sz="4" w:space="0" w:color="000001"/>
              <w:insideV w:val="single" w:sz="4" w:space="0" w:color="000001"/>
            </w:tcBorders>
            <w:shd w:fill="FFFFFF" w:val="clear"/>
            <w:tcMar>
              <w:left w:w="55" w:type="dxa"/>
            </w:tcMar>
          </w:tcPr>
          <w:p>
            <w:pPr>
              <w:pStyle w:val="Normal"/>
              <w:spacing w:lineRule="auto" w:line="360"/>
              <w:jc w:val="center"/>
              <w:rPr/>
            </w:pPr>
            <w:r>
              <w:rPr/>
              <w:t>11 820</w:t>
            </w:r>
          </w:p>
        </w:tc>
      </w:tr>
      <w:tr>
        <w:trPr>
          <w:trHeight w:val="452" w:hRule="atLeast"/>
          <w:cantSplit w:val="false"/>
        </w:trPr>
        <w:tc>
          <w:tcPr>
            <w:tcW w:w="3754" w:type="dxa"/>
            <w:tcBorders>
              <w:top w:val="single" w:sz="4" w:space="0" w:color="000001"/>
              <w:left w:val="single" w:sz="4" w:space="0" w:color="000001"/>
              <w:bottom w:val="single" w:sz="4" w:space="0" w:color="000001"/>
              <w:insideH w:val="single" w:sz="4" w:space="0" w:color="000001"/>
              <w:right w:val="nil"/>
              <w:insideV w:val="nil"/>
            </w:tcBorders>
            <w:shd w:fill="FFFFFF" w:val="clear"/>
            <w:tcMar>
              <w:left w:w="55" w:type="dxa"/>
            </w:tcMar>
          </w:tcPr>
          <w:p>
            <w:pPr>
              <w:pStyle w:val="Normal"/>
              <w:spacing w:lineRule="auto" w:line="360"/>
              <w:jc w:val="both"/>
              <w:rPr>
                <w:sz w:val="22"/>
                <w:szCs w:val="22"/>
              </w:rPr>
            </w:pPr>
            <w:r>
              <w:rPr>
                <w:sz w:val="22"/>
                <w:szCs w:val="22"/>
              </w:rPr>
              <w:t>Zúčtovanie medzi subjektami VS</w:t>
            </w:r>
          </w:p>
        </w:tc>
        <w:tc>
          <w:tcPr>
            <w:tcW w:w="2869" w:type="dxa"/>
            <w:tcBorders>
              <w:top w:val="single" w:sz="4" w:space="0" w:color="000001"/>
              <w:left w:val="single" w:sz="4" w:space="0" w:color="000001"/>
              <w:bottom w:val="single" w:sz="4" w:space="0" w:color="000001"/>
              <w:insideH w:val="single" w:sz="4" w:space="0" w:color="000001"/>
              <w:right w:val="nil"/>
              <w:insideV w:val="nil"/>
            </w:tcBorders>
            <w:shd w:fill="FFFFFF" w:val="clear"/>
            <w:tcMar>
              <w:left w:w="55" w:type="dxa"/>
            </w:tcMar>
          </w:tcPr>
          <w:p>
            <w:pPr>
              <w:pStyle w:val="Normal"/>
              <w:spacing w:lineRule="auto" w:line="360"/>
              <w:jc w:val="center"/>
              <w:rPr>
                <w:i/>
              </w:rPr>
            </w:pPr>
            <w:r>
              <w:rPr>
                <w:i/>
              </w:rPr>
            </w:r>
          </w:p>
        </w:tc>
        <w:tc>
          <w:tcPr>
            <w:tcW w:w="2893" w:type="dxa"/>
            <w:tcBorders>
              <w:top w:val="single" w:sz="4" w:space="0" w:color="000001"/>
              <w:left w:val="single" w:sz="4" w:space="0" w:color="000001"/>
              <w:bottom w:val="single" w:sz="4" w:space="0" w:color="000001"/>
              <w:insideH w:val="single" w:sz="4" w:space="0" w:color="000001"/>
              <w:right w:val="single" w:sz="4" w:space="0" w:color="000001"/>
              <w:insideV w:val="single" w:sz="4" w:space="0" w:color="000001"/>
            </w:tcBorders>
            <w:shd w:fill="FFFFFF" w:val="clear"/>
            <w:tcMar>
              <w:left w:w="55" w:type="dxa"/>
            </w:tcMar>
          </w:tcPr>
          <w:p>
            <w:pPr>
              <w:pStyle w:val="Normal"/>
              <w:spacing w:lineRule="auto" w:line="360"/>
              <w:jc w:val="center"/>
              <w:rPr>
                <w:i/>
              </w:rPr>
            </w:pPr>
            <w:r>
              <w:rPr>
                <w:i/>
              </w:rPr>
            </w:r>
          </w:p>
        </w:tc>
      </w:tr>
      <w:tr>
        <w:trPr>
          <w:cantSplit w:val="false"/>
        </w:trPr>
        <w:tc>
          <w:tcPr>
            <w:tcW w:w="3754" w:type="dxa"/>
            <w:tcBorders>
              <w:top w:val="single" w:sz="4" w:space="0" w:color="000001"/>
              <w:left w:val="single" w:sz="4" w:space="0" w:color="000001"/>
              <w:bottom w:val="single" w:sz="4" w:space="0" w:color="000001"/>
              <w:insideH w:val="single" w:sz="4" w:space="0" w:color="000001"/>
              <w:right w:val="nil"/>
              <w:insideV w:val="nil"/>
            </w:tcBorders>
            <w:shd w:fill="FFFFFF" w:val="clear"/>
            <w:tcMar>
              <w:left w:w="55" w:type="dxa"/>
            </w:tcMar>
          </w:tcPr>
          <w:p>
            <w:pPr>
              <w:pStyle w:val="Normal"/>
              <w:spacing w:lineRule="auto" w:line="360"/>
              <w:jc w:val="both"/>
              <w:rPr>
                <w:sz w:val="22"/>
                <w:szCs w:val="22"/>
              </w:rPr>
            </w:pPr>
            <w:r>
              <w:rPr>
                <w:sz w:val="22"/>
                <w:szCs w:val="22"/>
              </w:rPr>
              <w:t>Dlhodobé záväzky</w:t>
            </w:r>
          </w:p>
        </w:tc>
        <w:tc>
          <w:tcPr>
            <w:tcW w:w="2869" w:type="dxa"/>
            <w:tcBorders>
              <w:top w:val="single" w:sz="4" w:space="0" w:color="000001"/>
              <w:left w:val="single" w:sz="4" w:space="0" w:color="000001"/>
              <w:bottom w:val="single" w:sz="4" w:space="0" w:color="000001"/>
              <w:insideH w:val="single" w:sz="4" w:space="0" w:color="000001"/>
              <w:right w:val="nil"/>
              <w:insideV w:val="nil"/>
            </w:tcBorders>
            <w:shd w:fill="FFFFFF" w:val="clear"/>
            <w:tcMar>
              <w:left w:w="55" w:type="dxa"/>
            </w:tcMar>
          </w:tcPr>
          <w:p>
            <w:pPr>
              <w:pStyle w:val="Normal"/>
              <w:spacing w:lineRule="auto" w:line="360"/>
              <w:jc w:val="center"/>
              <w:rPr/>
            </w:pPr>
            <w:r>
              <w:rPr/>
              <w:t>790 068,33</w:t>
            </w:r>
          </w:p>
        </w:tc>
        <w:tc>
          <w:tcPr>
            <w:tcW w:w="2893" w:type="dxa"/>
            <w:tcBorders>
              <w:top w:val="single" w:sz="4" w:space="0" w:color="000001"/>
              <w:left w:val="single" w:sz="4" w:space="0" w:color="000001"/>
              <w:bottom w:val="single" w:sz="4" w:space="0" w:color="000001"/>
              <w:insideH w:val="single" w:sz="4" w:space="0" w:color="000001"/>
              <w:right w:val="single" w:sz="4" w:space="0" w:color="000001"/>
              <w:insideV w:val="single" w:sz="4" w:space="0" w:color="000001"/>
            </w:tcBorders>
            <w:shd w:fill="FFFFFF" w:val="clear"/>
            <w:tcMar>
              <w:left w:w="55" w:type="dxa"/>
            </w:tcMar>
          </w:tcPr>
          <w:p>
            <w:pPr>
              <w:pStyle w:val="Normal"/>
              <w:spacing w:lineRule="auto" w:line="360"/>
              <w:jc w:val="center"/>
              <w:rPr/>
            </w:pPr>
            <w:r>
              <w:rPr/>
              <w:t>768 304,18</w:t>
            </w:r>
          </w:p>
        </w:tc>
      </w:tr>
      <w:tr>
        <w:trPr>
          <w:cantSplit w:val="false"/>
        </w:trPr>
        <w:tc>
          <w:tcPr>
            <w:tcW w:w="3754" w:type="dxa"/>
            <w:tcBorders>
              <w:top w:val="single" w:sz="4" w:space="0" w:color="000001"/>
              <w:left w:val="single" w:sz="4" w:space="0" w:color="000001"/>
              <w:bottom w:val="single" w:sz="4" w:space="0" w:color="000001"/>
              <w:insideH w:val="single" w:sz="4" w:space="0" w:color="000001"/>
              <w:right w:val="nil"/>
              <w:insideV w:val="nil"/>
            </w:tcBorders>
            <w:shd w:fill="FFFFFF" w:val="clear"/>
            <w:tcMar>
              <w:left w:w="55" w:type="dxa"/>
            </w:tcMar>
          </w:tcPr>
          <w:p>
            <w:pPr>
              <w:pStyle w:val="Normal"/>
              <w:spacing w:lineRule="auto" w:line="360"/>
              <w:jc w:val="both"/>
              <w:rPr>
                <w:sz w:val="22"/>
                <w:szCs w:val="22"/>
              </w:rPr>
            </w:pPr>
            <w:r>
              <w:rPr>
                <w:sz w:val="22"/>
                <w:szCs w:val="22"/>
              </w:rPr>
              <w:t>Krátkodobé záväzky</w:t>
            </w:r>
          </w:p>
        </w:tc>
        <w:tc>
          <w:tcPr>
            <w:tcW w:w="2869" w:type="dxa"/>
            <w:tcBorders>
              <w:top w:val="single" w:sz="4" w:space="0" w:color="000001"/>
              <w:left w:val="single" w:sz="4" w:space="0" w:color="000001"/>
              <w:bottom w:val="single" w:sz="4" w:space="0" w:color="000001"/>
              <w:insideH w:val="single" w:sz="4" w:space="0" w:color="000001"/>
              <w:right w:val="nil"/>
              <w:insideV w:val="nil"/>
            </w:tcBorders>
            <w:shd w:fill="FFFFFF" w:val="clear"/>
            <w:tcMar>
              <w:left w:w="55" w:type="dxa"/>
            </w:tcMar>
          </w:tcPr>
          <w:p>
            <w:pPr>
              <w:pStyle w:val="Normal"/>
              <w:spacing w:lineRule="auto" w:line="360"/>
              <w:jc w:val="center"/>
              <w:rPr>
                <w:i w:val="false"/>
                <w:iCs w:val="false"/>
              </w:rPr>
            </w:pPr>
            <w:r>
              <w:rPr>
                <w:i w:val="false"/>
                <w:iCs w:val="false"/>
              </w:rPr>
              <w:t>22 677</w:t>
            </w:r>
          </w:p>
        </w:tc>
        <w:tc>
          <w:tcPr>
            <w:tcW w:w="2893" w:type="dxa"/>
            <w:tcBorders>
              <w:top w:val="single" w:sz="4" w:space="0" w:color="000001"/>
              <w:left w:val="single" w:sz="4" w:space="0" w:color="000001"/>
              <w:bottom w:val="single" w:sz="4" w:space="0" w:color="000001"/>
              <w:insideH w:val="single" w:sz="4" w:space="0" w:color="000001"/>
              <w:right w:val="single" w:sz="4" w:space="0" w:color="000001"/>
              <w:insideV w:val="single" w:sz="4" w:space="0" w:color="000001"/>
            </w:tcBorders>
            <w:shd w:fill="FFFFFF" w:val="clear"/>
            <w:tcMar>
              <w:left w:w="55" w:type="dxa"/>
            </w:tcMar>
          </w:tcPr>
          <w:p>
            <w:pPr>
              <w:pStyle w:val="Normal"/>
              <w:spacing w:lineRule="auto" w:line="360"/>
              <w:jc w:val="center"/>
              <w:rPr>
                <w:i w:val="false"/>
                <w:iCs w:val="false"/>
              </w:rPr>
            </w:pPr>
            <w:r>
              <w:rPr>
                <w:i w:val="false"/>
                <w:iCs w:val="false"/>
              </w:rPr>
              <w:t xml:space="preserve"> </w:t>
            </w:r>
            <w:r>
              <w:rPr>
                <w:i w:val="false"/>
                <w:iCs w:val="false"/>
              </w:rPr>
              <w:t>17 911,79</w:t>
            </w:r>
          </w:p>
        </w:tc>
      </w:tr>
      <w:tr>
        <w:trPr>
          <w:cantSplit w:val="false"/>
        </w:trPr>
        <w:tc>
          <w:tcPr>
            <w:tcW w:w="3754" w:type="dxa"/>
            <w:tcBorders>
              <w:top w:val="single" w:sz="4" w:space="0" w:color="000001"/>
              <w:left w:val="single" w:sz="4" w:space="0" w:color="000001"/>
              <w:bottom w:val="single" w:sz="4" w:space="0" w:color="000001"/>
              <w:insideH w:val="single" w:sz="4" w:space="0" w:color="000001"/>
              <w:right w:val="nil"/>
              <w:insideV w:val="nil"/>
            </w:tcBorders>
            <w:shd w:fill="FFFFFF" w:val="clear"/>
            <w:tcMar>
              <w:left w:w="55" w:type="dxa"/>
            </w:tcMar>
          </w:tcPr>
          <w:p>
            <w:pPr>
              <w:pStyle w:val="Normal"/>
              <w:spacing w:lineRule="auto" w:line="360"/>
              <w:jc w:val="both"/>
              <w:rPr>
                <w:sz w:val="22"/>
                <w:szCs w:val="22"/>
              </w:rPr>
            </w:pPr>
            <w:r>
              <w:rPr>
                <w:sz w:val="22"/>
                <w:szCs w:val="22"/>
              </w:rPr>
              <w:t>Bankové úvery a výpomoci</w:t>
            </w:r>
          </w:p>
        </w:tc>
        <w:tc>
          <w:tcPr>
            <w:tcW w:w="2869" w:type="dxa"/>
            <w:tcBorders>
              <w:top w:val="single" w:sz="4" w:space="0" w:color="000001"/>
              <w:left w:val="single" w:sz="4" w:space="0" w:color="000001"/>
              <w:bottom w:val="single" w:sz="4" w:space="0" w:color="000001"/>
              <w:insideH w:val="single" w:sz="4" w:space="0" w:color="000001"/>
              <w:right w:val="nil"/>
              <w:insideV w:val="nil"/>
            </w:tcBorders>
            <w:shd w:fill="FFFFFF" w:val="clear"/>
            <w:tcMar>
              <w:left w:w="55" w:type="dxa"/>
            </w:tcMar>
          </w:tcPr>
          <w:p>
            <w:pPr>
              <w:pStyle w:val="Normal"/>
              <w:spacing w:lineRule="auto" w:line="360"/>
              <w:jc w:val="center"/>
              <w:rPr/>
            </w:pPr>
            <w:r>
              <w:rPr/>
              <w:t>0</w:t>
            </w:r>
          </w:p>
        </w:tc>
        <w:tc>
          <w:tcPr>
            <w:tcW w:w="2893" w:type="dxa"/>
            <w:tcBorders>
              <w:top w:val="single" w:sz="4" w:space="0" w:color="000001"/>
              <w:left w:val="single" w:sz="4" w:space="0" w:color="000001"/>
              <w:bottom w:val="single" w:sz="4" w:space="0" w:color="000001"/>
              <w:insideH w:val="single" w:sz="4" w:space="0" w:color="000001"/>
              <w:right w:val="single" w:sz="4" w:space="0" w:color="000001"/>
              <w:insideV w:val="single" w:sz="4" w:space="0" w:color="000001"/>
            </w:tcBorders>
            <w:shd w:fill="FFFFFF" w:val="clear"/>
            <w:tcMar>
              <w:left w:w="55" w:type="dxa"/>
            </w:tcMar>
          </w:tcPr>
          <w:p>
            <w:pPr>
              <w:pStyle w:val="Normal"/>
              <w:spacing w:lineRule="auto" w:line="360"/>
              <w:jc w:val="center"/>
              <w:rPr/>
            </w:pPr>
            <w:r>
              <w:rPr/>
              <w:t>0</w:t>
            </w:r>
          </w:p>
        </w:tc>
      </w:tr>
      <w:tr>
        <w:trPr>
          <w:cantSplit w:val="false"/>
        </w:trPr>
        <w:tc>
          <w:tcPr>
            <w:tcW w:w="3754" w:type="dxa"/>
            <w:tcBorders>
              <w:top w:val="single" w:sz="4" w:space="0" w:color="000001"/>
              <w:left w:val="single" w:sz="4" w:space="0" w:color="000001"/>
              <w:bottom w:val="single" w:sz="4" w:space="0" w:color="000001"/>
              <w:insideH w:val="single" w:sz="4" w:space="0" w:color="000001"/>
              <w:right w:val="nil"/>
              <w:insideV w:val="nil"/>
            </w:tcBorders>
            <w:shd w:fill="FFFFFF" w:val="clear"/>
            <w:tcMar>
              <w:left w:w="55" w:type="dxa"/>
            </w:tcMar>
          </w:tcPr>
          <w:p>
            <w:pPr>
              <w:pStyle w:val="Normal"/>
              <w:spacing w:lineRule="auto" w:line="360"/>
              <w:jc w:val="both"/>
              <w:rPr>
                <w:b/>
                <w:sz w:val="22"/>
                <w:szCs w:val="22"/>
              </w:rPr>
            </w:pPr>
            <w:r>
              <w:rPr>
                <w:b/>
                <w:sz w:val="22"/>
                <w:szCs w:val="22"/>
              </w:rPr>
              <w:t>Časové rozlíšenie</w:t>
            </w:r>
          </w:p>
        </w:tc>
        <w:tc>
          <w:tcPr>
            <w:tcW w:w="2869" w:type="dxa"/>
            <w:tcBorders>
              <w:top w:val="single" w:sz="4" w:space="0" w:color="000001"/>
              <w:left w:val="single" w:sz="4" w:space="0" w:color="000001"/>
              <w:bottom w:val="single" w:sz="4" w:space="0" w:color="000001"/>
              <w:insideH w:val="single" w:sz="4" w:space="0" w:color="000001"/>
              <w:right w:val="nil"/>
              <w:insideV w:val="nil"/>
            </w:tcBorders>
            <w:shd w:fill="FFFFFF" w:val="clear"/>
            <w:tcMar>
              <w:left w:w="55" w:type="dxa"/>
            </w:tcMar>
          </w:tcPr>
          <w:p>
            <w:pPr>
              <w:pStyle w:val="Normal"/>
              <w:spacing w:lineRule="auto" w:line="360"/>
              <w:jc w:val="center"/>
              <w:rPr/>
            </w:pPr>
            <w:r>
              <w:rPr/>
              <w:t>1 727 063,19</w:t>
            </w:r>
          </w:p>
        </w:tc>
        <w:tc>
          <w:tcPr>
            <w:tcW w:w="2893" w:type="dxa"/>
            <w:tcBorders>
              <w:top w:val="single" w:sz="4" w:space="0" w:color="000001"/>
              <w:left w:val="single" w:sz="4" w:space="0" w:color="000001"/>
              <w:bottom w:val="single" w:sz="4" w:space="0" w:color="000001"/>
              <w:insideH w:val="single" w:sz="4" w:space="0" w:color="000001"/>
              <w:right w:val="single" w:sz="4" w:space="0" w:color="000001"/>
              <w:insideV w:val="single" w:sz="4" w:space="0" w:color="000001"/>
            </w:tcBorders>
            <w:shd w:fill="FFFFFF" w:val="clear"/>
            <w:tcMar>
              <w:left w:w="55" w:type="dxa"/>
            </w:tcMar>
          </w:tcPr>
          <w:p>
            <w:pPr>
              <w:pStyle w:val="Normal"/>
              <w:spacing w:lineRule="auto" w:line="360"/>
              <w:jc w:val="center"/>
              <w:rPr/>
            </w:pPr>
            <w:r>
              <w:rPr/>
              <w:t>1 610 239,23</w:t>
            </w:r>
          </w:p>
        </w:tc>
      </w:tr>
    </w:tbl>
    <w:p>
      <w:pPr>
        <w:pStyle w:val="Normal"/>
        <w:rPr>
          <w:b/>
        </w:rPr>
      </w:pPr>
      <w:r>
        <w:rPr>
          <w:b/>
        </w:rPr>
      </w:r>
    </w:p>
    <w:p>
      <w:pPr>
        <w:pStyle w:val="Normal"/>
        <w:rPr>
          <w:b/>
          <w:color w:val="0000FF"/>
          <w:sz w:val="28"/>
          <w:szCs w:val="28"/>
        </w:rPr>
      </w:pPr>
      <w:r>
        <w:rPr>
          <w:b/>
          <w:color w:val="0000FF"/>
          <w:sz w:val="28"/>
          <w:szCs w:val="28"/>
        </w:rPr>
        <w:t>7. Prehľad o stave a vývoji dlhu k 31.12.2014</w:t>
      </w:r>
    </w:p>
    <w:p>
      <w:pPr>
        <w:pStyle w:val="Normal"/>
        <w:ind w:left="360" w:right="0" w:hanging="0"/>
        <w:jc w:val="both"/>
        <w:rPr/>
      </w:pPr>
      <w:r>
        <w:rPr/>
      </w:r>
    </w:p>
    <w:p>
      <w:pPr>
        <w:pStyle w:val="Normal"/>
        <w:jc w:val="both"/>
        <w:rPr/>
      </w:pPr>
      <w:r>
        <w:rPr/>
        <w:t>Obec k 31.12.2014 eviduje tieto záväzky:</w:t>
      </w:r>
    </w:p>
    <w:p>
      <w:pPr>
        <w:pStyle w:val="Normal"/>
        <w:numPr>
          <w:ilvl w:val="0"/>
          <w:numId w:val="12"/>
        </w:numPr>
        <w:tabs>
          <w:tab w:val="left" w:pos="567" w:leader="none"/>
          <w:tab w:val="right" w:pos="7088" w:leader="none"/>
        </w:tabs>
        <w:ind w:left="567" w:right="0" w:hanging="360"/>
        <w:jc w:val="both"/>
        <w:rPr/>
      </w:pPr>
      <w:r>
        <w:rPr/>
        <w:t xml:space="preserve">voči bankám </w:t>
        <w:tab/>
        <w:t xml:space="preserve">          EUR</w:t>
      </w:r>
    </w:p>
    <w:p>
      <w:pPr>
        <w:pStyle w:val="Normal"/>
        <w:numPr>
          <w:ilvl w:val="0"/>
          <w:numId w:val="12"/>
        </w:numPr>
        <w:tabs>
          <w:tab w:val="left" w:pos="567" w:leader="none"/>
          <w:tab w:val="right" w:pos="7088" w:leader="none"/>
        </w:tabs>
        <w:ind w:left="567" w:right="0" w:hanging="360"/>
        <w:jc w:val="both"/>
        <w:rPr/>
      </w:pPr>
      <w:r>
        <w:rPr/>
        <w:t>voči štátnym fondom (ŠFRB, ŠF)           768 304,18</w:t>
        <w:tab/>
        <w:t>EUR</w:t>
      </w:r>
    </w:p>
    <w:p>
      <w:pPr>
        <w:pStyle w:val="Normal"/>
        <w:numPr>
          <w:ilvl w:val="0"/>
          <w:numId w:val="12"/>
        </w:numPr>
        <w:tabs>
          <w:tab w:val="left" w:pos="567" w:leader="none"/>
          <w:tab w:val="right" w:pos="7088" w:leader="none"/>
        </w:tabs>
        <w:ind w:left="567" w:right="0" w:hanging="360"/>
        <w:jc w:val="both"/>
        <w:rPr/>
      </w:pPr>
      <w:r>
        <w:rPr/>
        <w:t xml:space="preserve">voči dodávateľom  </w:t>
        <w:tab/>
        <w:t xml:space="preserve">   1 491,50                  EUR</w:t>
      </w:r>
    </w:p>
    <w:p>
      <w:pPr>
        <w:pStyle w:val="Normal"/>
        <w:numPr>
          <w:ilvl w:val="0"/>
          <w:numId w:val="12"/>
        </w:numPr>
        <w:tabs>
          <w:tab w:val="left" w:pos="567" w:leader="none"/>
          <w:tab w:val="right" w:pos="7088" w:leader="none"/>
        </w:tabs>
        <w:ind w:left="567" w:right="0" w:hanging="360"/>
        <w:jc w:val="both"/>
        <w:rPr/>
      </w:pPr>
      <w:r>
        <w:rPr/>
        <w:t xml:space="preserve">voči štátnemu rozpočtu </w:t>
        <w:tab/>
        <w:t>0                   EUR</w:t>
      </w:r>
    </w:p>
    <w:p>
      <w:pPr>
        <w:pStyle w:val="Normal"/>
        <w:numPr>
          <w:ilvl w:val="0"/>
          <w:numId w:val="12"/>
        </w:numPr>
        <w:tabs>
          <w:tab w:val="left" w:pos="567" w:leader="none"/>
          <w:tab w:val="right" w:pos="7088" w:leader="none"/>
        </w:tabs>
        <w:ind w:left="567" w:right="0" w:hanging="360"/>
        <w:jc w:val="both"/>
        <w:rPr/>
      </w:pPr>
      <w:r>
        <w:rPr/>
        <w:t xml:space="preserve">voči zamestnancom   </w:t>
        <w:tab/>
        <w:t>5 496,10                   EUR</w:t>
      </w:r>
    </w:p>
    <w:p>
      <w:pPr>
        <w:pStyle w:val="Normal"/>
        <w:numPr>
          <w:ilvl w:val="0"/>
          <w:numId w:val="12"/>
        </w:numPr>
        <w:tabs>
          <w:tab w:val="left" w:pos="567" w:leader="none"/>
          <w:tab w:val="right" w:pos="7088" w:leader="none"/>
        </w:tabs>
        <w:ind w:left="567" w:right="0" w:hanging="360"/>
        <w:jc w:val="both"/>
        <w:rPr/>
      </w:pPr>
      <w:r>
        <w:rPr/>
        <w:t>voči poisťovniam a daňovému úradu         8 853,70</w:t>
        <w:tab/>
        <w:t>EUR</w:t>
      </w:r>
    </w:p>
    <w:p>
      <w:pPr>
        <w:pStyle w:val="Normal"/>
        <w:numPr>
          <w:ilvl w:val="0"/>
          <w:numId w:val="12"/>
        </w:numPr>
        <w:tabs>
          <w:tab w:val="left" w:pos="567" w:leader="none"/>
          <w:tab w:val="right" w:pos="7088" w:leader="none"/>
        </w:tabs>
        <w:ind w:left="567" w:right="0" w:hanging="360"/>
        <w:jc w:val="both"/>
        <w:rPr/>
      </w:pPr>
      <w:r>
        <w:rPr/>
        <w:t xml:space="preserve">ostatné </w:t>
        <w:tab/>
        <w:t>EUR</w:t>
      </w:r>
    </w:p>
    <w:p>
      <w:pPr>
        <w:pStyle w:val="Normal"/>
        <w:ind w:left="360" w:right="0" w:hanging="0"/>
        <w:jc w:val="both"/>
        <w:rPr/>
      </w:pPr>
      <w:r>
        <w:rPr/>
      </w:r>
    </w:p>
    <w:p>
      <w:pPr>
        <w:pStyle w:val="Normal"/>
        <w:jc w:val="both"/>
        <w:rPr/>
      </w:pPr>
      <w:r>
        <w:rPr/>
      </w:r>
    </w:p>
    <w:p>
      <w:pPr>
        <w:pStyle w:val="Normal"/>
        <w:jc w:val="both"/>
        <w:rPr/>
      </w:pPr>
      <w:r>
        <w:rPr/>
        <w:t>Obec uzatvorila v roku 2014 Zmluvu o úvere na výstavbu obecnej bytovky. Úver je dlhodobý s dobou splatnosti do r. 2017, splátky úveru budú štvrťročné a splátky úrokov mesačné.</w:t>
      </w:r>
    </w:p>
    <w:p>
      <w:pPr>
        <w:pStyle w:val="Normal"/>
        <w:jc w:val="both"/>
        <w:rPr/>
      </w:pPr>
      <w:r>
        <w:rPr/>
      </w:r>
    </w:p>
    <w:p>
      <w:pPr>
        <w:pStyle w:val="Normal"/>
        <w:jc w:val="both"/>
        <w:rPr/>
      </w:pPr>
      <w:r>
        <w:rPr/>
      </w:r>
    </w:p>
    <w:tbl>
      <w:tblPr>
        <w:jc w:val="left"/>
        <w:tblInd w:w="98" w:type="dxa"/>
        <w:tblBorders>
          <w:top w:val="single" w:sz="4" w:space="0" w:color="000001"/>
          <w:left w:val="single" w:sz="4" w:space="0" w:color="000001"/>
          <w:bottom w:val="single" w:sz="4" w:space="0" w:color="000001"/>
          <w:insideH w:val="single" w:sz="4" w:space="0" w:color="000001"/>
          <w:right w:val="nil"/>
          <w:insideV w:val="nil"/>
        </w:tblBorders>
        <w:tblCellMar>
          <w:top w:w="0" w:type="dxa"/>
          <w:left w:w="93" w:type="dxa"/>
          <w:bottom w:w="0" w:type="dxa"/>
          <w:right w:w="108" w:type="dxa"/>
        </w:tblCellMar>
      </w:tblPr>
      <w:tblGrid>
        <w:gridCol w:w="1416"/>
        <w:gridCol w:w="1842"/>
        <w:gridCol w:w="1133"/>
        <w:gridCol w:w="849"/>
        <w:gridCol w:w="1842"/>
        <w:gridCol w:w="1417"/>
        <w:gridCol w:w="1228"/>
      </w:tblGrid>
      <w:tr>
        <w:trPr>
          <w:cantSplit w:val="false"/>
        </w:trPr>
        <w:tc>
          <w:tcPr>
            <w:tcW w:w="1416" w:type="dxa"/>
            <w:tcBorders>
              <w:top w:val="single" w:sz="4" w:space="0" w:color="000001"/>
              <w:left w:val="single" w:sz="4" w:space="0" w:color="000001"/>
              <w:bottom w:val="single" w:sz="4" w:space="0" w:color="000001"/>
              <w:insideH w:val="single" w:sz="4" w:space="0" w:color="000001"/>
              <w:right w:val="nil"/>
              <w:insideV w:val="nil"/>
            </w:tcBorders>
            <w:shd w:fill="D9D9D9" w:val="clear"/>
            <w:tcMar>
              <w:left w:w="93" w:type="dxa"/>
            </w:tcMar>
          </w:tcPr>
          <w:p>
            <w:pPr>
              <w:pStyle w:val="Normal"/>
              <w:jc w:val="center"/>
              <w:rPr>
                <w:b/>
                <w:sz w:val="20"/>
                <w:szCs w:val="20"/>
              </w:rPr>
            </w:pPr>
            <w:r>
              <w:rPr>
                <w:b/>
                <w:sz w:val="20"/>
                <w:szCs w:val="20"/>
              </w:rPr>
              <w:t>Poskytovateľ úveru</w:t>
            </w:r>
          </w:p>
        </w:tc>
        <w:tc>
          <w:tcPr>
            <w:tcW w:w="1842" w:type="dxa"/>
            <w:tcBorders>
              <w:top w:val="single" w:sz="4" w:space="0" w:color="000001"/>
              <w:left w:val="single" w:sz="4" w:space="0" w:color="000001"/>
              <w:bottom w:val="single" w:sz="4" w:space="0" w:color="000001"/>
              <w:insideH w:val="single" w:sz="4" w:space="0" w:color="000001"/>
              <w:right w:val="nil"/>
              <w:insideV w:val="nil"/>
            </w:tcBorders>
            <w:shd w:fill="D9D9D9" w:val="clear"/>
            <w:tcMar>
              <w:left w:w="93" w:type="dxa"/>
            </w:tcMar>
          </w:tcPr>
          <w:p>
            <w:pPr>
              <w:pStyle w:val="Normal"/>
              <w:jc w:val="center"/>
              <w:rPr>
                <w:b/>
                <w:sz w:val="20"/>
                <w:szCs w:val="20"/>
              </w:rPr>
            </w:pPr>
            <w:r>
              <w:rPr>
                <w:b/>
                <w:sz w:val="20"/>
                <w:szCs w:val="20"/>
              </w:rPr>
              <w:t>Účel</w:t>
            </w:r>
          </w:p>
        </w:tc>
        <w:tc>
          <w:tcPr>
            <w:tcW w:w="1133" w:type="dxa"/>
            <w:tcBorders>
              <w:top w:val="single" w:sz="4" w:space="0" w:color="000001"/>
              <w:left w:val="single" w:sz="4" w:space="0" w:color="000001"/>
              <w:bottom w:val="single" w:sz="4" w:space="0" w:color="000001"/>
              <w:insideH w:val="single" w:sz="4" w:space="0" w:color="000001"/>
              <w:right w:val="nil"/>
              <w:insideV w:val="nil"/>
            </w:tcBorders>
            <w:shd w:fill="D9D9D9" w:val="clear"/>
            <w:tcMar>
              <w:left w:w="93" w:type="dxa"/>
            </w:tcMar>
          </w:tcPr>
          <w:p>
            <w:pPr>
              <w:pStyle w:val="Normal"/>
              <w:jc w:val="center"/>
              <w:rPr>
                <w:b/>
                <w:sz w:val="20"/>
                <w:szCs w:val="20"/>
              </w:rPr>
            </w:pPr>
            <w:r>
              <w:rPr>
                <w:b/>
                <w:sz w:val="20"/>
                <w:szCs w:val="20"/>
              </w:rPr>
              <w:t>Výška prijatého úveru</w:t>
            </w:r>
          </w:p>
        </w:tc>
        <w:tc>
          <w:tcPr>
            <w:tcW w:w="849" w:type="dxa"/>
            <w:tcBorders>
              <w:top w:val="single" w:sz="4" w:space="0" w:color="000001"/>
              <w:left w:val="single" w:sz="4" w:space="0" w:color="000001"/>
              <w:bottom w:val="single" w:sz="4" w:space="0" w:color="000001"/>
              <w:insideH w:val="single" w:sz="4" w:space="0" w:color="000001"/>
              <w:right w:val="nil"/>
              <w:insideV w:val="nil"/>
            </w:tcBorders>
            <w:shd w:fill="D9D9D9" w:val="clear"/>
            <w:tcMar>
              <w:left w:w="93" w:type="dxa"/>
            </w:tcMar>
          </w:tcPr>
          <w:p>
            <w:pPr>
              <w:pStyle w:val="Normal"/>
              <w:jc w:val="center"/>
              <w:rPr>
                <w:b/>
                <w:sz w:val="20"/>
                <w:szCs w:val="20"/>
              </w:rPr>
            </w:pPr>
            <w:r>
              <w:rPr>
                <w:b/>
                <w:sz w:val="20"/>
                <w:szCs w:val="20"/>
              </w:rPr>
              <w:t>Výška úroku</w:t>
            </w:r>
          </w:p>
        </w:tc>
        <w:tc>
          <w:tcPr>
            <w:tcW w:w="1842" w:type="dxa"/>
            <w:tcBorders>
              <w:top w:val="single" w:sz="4" w:space="0" w:color="000001"/>
              <w:left w:val="single" w:sz="4" w:space="0" w:color="000001"/>
              <w:bottom w:val="single" w:sz="4" w:space="0" w:color="000001"/>
              <w:insideH w:val="single" w:sz="4" w:space="0" w:color="000001"/>
              <w:right w:val="nil"/>
              <w:insideV w:val="nil"/>
            </w:tcBorders>
            <w:shd w:fill="D9D9D9" w:val="clear"/>
            <w:tcMar>
              <w:left w:w="93" w:type="dxa"/>
            </w:tcMar>
          </w:tcPr>
          <w:p>
            <w:pPr>
              <w:pStyle w:val="Normal"/>
              <w:jc w:val="center"/>
              <w:rPr>
                <w:b/>
                <w:sz w:val="20"/>
                <w:szCs w:val="20"/>
              </w:rPr>
            </w:pPr>
            <w:r>
              <w:rPr>
                <w:b/>
                <w:sz w:val="20"/>
                <w:szCs w:val="20"/>
              </w:rPr>
              <w:t>Zabezpečenie úveru</w:t>
            </w:r>
          </w:p>
        </w:tc>
        <w:tc>
          <w:tcPr>
            <w:tcW w:w="1417" w:type="dxa"/>
            <w:tcBorders>
              <w:top w:val="single" w:sz="4" w:space="0" w:color="000001"/>
              <w:left w:val="single" w:sz="4" w:space="0" w:color="000001"/>
              <w:bottom w:val="single" w:sz="4" w:space="0" w:color="000001"/>
              <w:insideH w:val="single" w:sz="4" w:space="0" w:color="000001"/>
              <w:right w:val="nil"/>
              <w:insideV w:val="nil"/>
            </w:tcBorders>
            <w:shd w:fill="D9D9D9" w:val="clear"/>
            <w:tcMar>
              <w:left w:w="93" w:type="dxa"/>
            </w:tcMar>
          </w:tcPr>
          <w:p>
            <w:pPr>
              <w:pStyle w:val="Normal"/>
              <w:jc w:val="center"/>
              <w:rPr>
                <w:b/>
                <w:sz w:val="20"/>
                <w:szCs w:val="20"/>
              </w:rPr>
            </w:pPr>
            <w:r>
              <w:rPr>
                <w:b/>
                <w:sz w:val="20"/>
                <w:szCs w:val="20"/>
              </w:rPr>
              <w:t>Zostatok k 31.12.2014</w:t>
            </w:r>
          </w:p>
        </w:tc>
        <w:tc>
          <w:tcPr>
            <w:tcW w:w="1228" w:type="dxa"/>
            <w:tcBorders>
              <w:top w:val="single" w:sz="4" w:space="0" w:color="000001"/>
              <w:left w:val="single" w:sz="4" w:space="0" w:color="000001"/>
              <w:bottom w:val="single" w:sz="4" w:space="0" w:color="000001"/>
              <w:insideH w:val="single" w:sz="4" w:space="0" w:color="000001"/>
              <w:right w:val="single" w:sz="4" w:space="0" w:color="000001"/>
              <w:insideV w:val="single" w:sz="4" w:space="0" w:color="000001"/>
            </w:tcBorders>
            <w:shd w:fill="D9D9D9" w:val="clear"/>
            <w:tcMar>
              <w:left w:w="93" w:type="dxa"/>
            </w:tcMar>
          </w:tcPr>
          <w:p>
            <w:pPr>
              <w:pStyle w:val="Normal"/>
              <w:jc w:val="center"/>
              <w:rPr>
                <w:b/>
                <w:sz w:val="20"/>
                <w:szCs w:val="20"/>
              </w:rPr>
            </w:pPr>
            <w:r>
              <w:rPr>
                <w:b/>
                <w:sz w:val="20"/>
                <w:szCs w:val="20"/>
              </w:rPr>
              <w:t>Splatnosť</w:t>
            </w:r>
          </w:p>
          <w:p>
            <w:pPr>
              <w:pStyle w:val="Normal"/>
              <w:jc w:val="center"/>
              <w:rPr>
                <w:b/>
                <w:sz w:val="20"/>
                <w:szCs w:val="20"/>
              </w:rPr>
            </w:pPr>
            <w:r>
              <w:rPr>
                <w:b/>
                <w:sz w:val="20"/>
                <w:szCs w:val="20"/>
              </w:rPr>
            </w:r>
          </w:p>
        </w:tc>
      </w:tr>
      <w:tr>
        <w:trPr>
          <w:cantSplit w:val="false"/>
        </w:trPr>
        <w:tc>
          <w:tcPr>
            <w:tcW w:w="1416" w:type="dxa"/>
            <w:tcBorders>
              <w:top w:val="single" w:sz="4" w:space="0" w:color="000001"/>
              <w:left w:val="single" w:sz="4" w:space="0" w:color="000001"/>
              <w:bottom w:val="single" w:sz="4" w:space="0" w:color="000001"/>
              <w:insideH w:val="single" w:sz="4" w:space="0" w:color="000001"/>
              <w:right w:val="nil"/>
              <w:insideV w:val="nil"/>
            </w:tcBorders>
            <w:shd w:fill="FFFFFF" w:val="clear"/>
            <w:tcMar>
              <w:left w:w="93" w:type="dxa"/>
            </w:tcMar>
          </w:tcPr>
          <w:p>
            <w:pPr>
              <w:pStyle w:val="Normal"/>
              <w:jc w:val="right"/>
              <w:rPr>
                <w:b/>
                <w:sz w:val="20"/>
                <w:szCs w:val="20"/>
              </w:rPr>
            </w:pPr>
            <w:r>
              <w:rPr>
                <w:b/>
                <w:sz w:val="20"/>
                <w:szCs w:val="20"/>
              </w:rPr>
              <w:t>ŠFRB</w:t>
            </w:r>
          </w:p>
        </w:tc>
        <w:tc>
          <w:tcPr>
            <w:tcW w:w="1842" w:type="dxa"/>
            <w:tcBorders>
              <w:top w:val="single" w:sz="4" w:space="0" w:color="000001"/>
              <w:left w:val="single" w:sz="4" w:space="0" w:color="000001"/>
              <w:bottom w:val="single" w:sz="4" w:space="0" w:color="000001"/>
              <w:insideH w:val="single" w:sz="4" w:space="0" w:color="000001"/>
              <w:right w:val="nil"/>
              <w:insideV w:val="nil"/>
            </w:tcBorders>
            <w:shd w:fill="FFFFFF" w:val="clear"/>
            <w:tcMar>
              <w:left w:w="93" w:type="dxa"/>
            </w:tcMar>
          </w:tcPr>
          <w:p>
            <w:pPr>
              <w:pStyle w:val="Normal"/>
              <w:rPr/>
            </w:pPr>
            <w:r>
              <w:rPr/>
              <w:t>Výstavba náj.bytov</w:t>
            </w:r>
          </w:p>
        </w:tc>
        <w:tc>
          <w:tcPr>
            <w:tcW w:w="1133" w:type="dxa"/>
            <w:tcBorders>
              <w:top w:val="single" w:sz="4" w:space="0" w:color="000001"/>
              <w:left w:val="single" w:sz="4" w:space="0" w:color="000001"/>
              <w:bottom w:val="single" w:sz="4" w:space="0" w:color="000001"/>
              <w:insideH w:val="single" w:sz="4" w:space="0" w:color="000001"/>
              <w:right w:val="nil"/>
              <w:insideV w:val="nil"/>
            </w:tcBorders>
            <w:shd w:fill="FFFFFF" w:val="clear"/>
            <w:tcMar>
              <w:left w:w="93" w:type="dxa"/>
            </w:tcMar>
          </w:tcPr>
          <w:p>
            <w:pPr>
              <w:pStyle w:val="Normal"/>
              <w:rPr/>
            </w:pPr>
            <w:r>
              <w:rPr/>
            </w:r>
          </w:p>
        </w:tc>
        <w:tc>
          <w:tcPr>
            <w:tcW w:w="849" w:type="dxa"/>
            <w:tcBorders>
              <w:top w:val="single" w:sz="4" w:space="0" w:color="000001"/>
              <w:left w:val="single" w:sz="4" w:space="0" w:color="000001"/>
              <w:bottom w:val="single" w:sz="4" w:space="0" w:color="000001"/>
              <w:insideH w:val="single" w:sz="4" w:space="0" w:color="000001"/>
              <w:right w:val="nil"/>
              <w:insideV w:val="nil"/>
            </w:tcBorders>
            <w:shd w:fill="FFFFFF" w:val="clear"/>
            <w:tcMar>
              <w:left w:w="93" w:type="dxa"/>
            </w:tcMar>
          </w:tcPr>
          <w:p>
            <w:pPr>
              <w:pStyle w:val="Normal"/>
              <w:rPr/>
            </w:pPr>
            <w:r>
              <w:rPr/>
            </w:r>
          </w:p>
        </w:tc>
        <w:tc>
          <w:tcPr>
            <w:tcW w:w="1842" w:type="dxa"/>
            <w:tcBorders>
              <w:top w:val="single" w:sz="4" w:space="0" w:color="000001"/>
              <w:left w:val="single" w:sz="4" w:space="0" w:color="000001"/>
              <w:bottom w:val="single" w:sz="4" w:space="0" w:color="000001"/>
              <w:insideH w:val="single" w:sz="4" w:space="0" w:color="000001"/>
              <w:right w:val="nil"/>
              <w:insideV w:val="nil"/>
            </w:tcBorders>
            <w:shd w:fill="FFFFFF" w:val="clear"/>
            <w:tcMar>
              <w:left w:w="93" w:type="dxa"/>
            </w:tcMar>
          </w:tcPr>
          <w:p>
            <w:pPr>
              <w:pStyle w:val="Normal"/>
              <w:rPr/>
            </w:pPr>
            <w:r>
              <w:rPr/>
              <w:t>Nájomné byty</w:t>
            </w:r>
          </w:p>
        </w:tc>
        <w:tc>
          <w:tcPr>
            <w:tcW w:w="1417" w:type="dxa"/>
            <w:tcBorders>
              <w:top w:val="single" w:sz="4" w:space="0" w:color="000001"/>
              <w:left w:val="single" w:sz="4" w:space="0" w:color="000001"/>
              <w:bottom w:val="single" w:sz="4" w:space="0" w:color="000001"/>
              <w:insideH w:val="single" w:sz="4" w:space="0" w:color="000001"/>
              <w:right w:val="nil"/>
              <w:insideV w:val="nil"/>
            </w:tcBorders>
            <w:shd w:fill="FFFFFF" w:val="clear"/>
            <w:tcMar>
              <w:left w:w="93" w:type="dxa"/>
            </w:tcMar>
          </w:tcPr>
          <w:p>
            <w:pPr>
              <w:pStyle w:val="Normal"/>
              <w:jc w:val="right"/>
              <w:rPr/>
            </w:pPr>
            <w:r>
              <w:rPr/>
              <w:t>768 304,18</w:t>
            </w:r>
          </w:p>
        </w:tc>
        <w:tc>
          <w:tcPr>
            <w:tcW w:w="1228" w:type="dxa"/>
            <w:tcBorders>
              <w:top w:val="single" w:sz="4" w:space="0" w:color="000001"/>
              <w:left w:val="single" w:sz="4" w:space="0" w:color="000001"/>
              <w:bottom w:val="single" w:sz="4" w:space="0" w:color="000001"/>
              <w:insideH w:val="single" w:sz="4" w:space="0" w:color="000001"/>
              <w:right w:val="single" w:sz="4" w:space="0" w:color="000001"/>
              <w:insideV w:val="single" w:sz="4" w:space="0" w:color="000001"/>
            </w:tcBorders>
            <w:shd w:fill="FFFFFF" w:val="clear"/>
            <w:tcMar>
              <w:left w:w="93" w:type="dxa"/>
            </w:tcMar>
          </w:tcPr>
          <w:p>
            <w:pPr>
              <w:pStyle w:val="Normal"/>
              <w:jc w:val="center"/>
              <w:rPr/>
            </w:pPr>
            <w:r>
              <w:rPr/>
              <w:t>r.2038</w:t>
            </w:r>
          </w:p>
        </w:tc>
      </w:tr>
      <w:tr>
        <w:trPr>
          <w:cantSplit w:val="false"/>
        </w:trPr>
        <w:tc>
          <w:tcPr>
            <w:tcW w:w="1416" w:type="dxa"/>
            <w:tcBorders>
              <w:top w:val="single" w:sz="4" w:space="0" w:color="000001"/>
              <w:left w:val="single" w:sz="4" w:space="0" w:color="000001"/>
              <w:bottom w:val="single" w:sz="4" w:space="0" w:color="000001"/>
              <w:insideH w:val="single" w:sz="4" w:space="0" w:color="000001"/>
              <w:right w:val="nil"/>
              <w:insideV w:val="nil"/>
            </w:tcBorders>
            <w:shd w:fill="FFFFFF" w:val="clear"/>
            <w:tcMar>
              <w:left w:w="93" w:type="dxa"/>
            </w:tcMar>
          </w:tcPr>
          <w:p>
            <w:pPr>
              <w:pStyle w:val="Normal"/>
              <w:jc w:val="right"/>
              <w:rPr/>
            </w:pPr>
            <w:r>
              <w:rPr/>
            </w:r>
          </w:p>
        </w:tc>
        <w:tc>
          <w:tcPr>
            <w:tcW w:w="1842" w:type="dxa"/>
            <w:tcBorders>
              <w:top w:val="single" w:sz="4" w:space="0" w:color="000001"/>
              <w:left w:val="single" w:sz="4" w:space="0" w:color="000001"/>
              <w:bottom w:val="single" w:sz="4" w:space="0" w:color="000001"/>
              <w:insideH w:val="single" w:sz="4" w:space="0" w:color="000001"/>
              <w:right w:val="nil"/>
              <w:insideV w:val="nil"/>
            </w:tcBorders>
            <w:shd w:fill="FFFFFF" w:val="clear"/>
            <w:tcMar>
              <w:left w:w="93" w:type="dxa"/>
            </w:tcMar>
          </w:tcPr>
          <w:p>
            <w:pPr>
              <w:pStyle w:val="Normal"/>
              <w:rPr/>
            </w:pPr>
            <w:r>
              <w:rPr/>
            </w:r>
          </w:p>
        </w:tc>
        <w:tc>
          <w:tcPr>
            <w:tcW w:w="1133" w:type="dxa"/>
            <w:tcBorders>
              <w:top w:val="single" w:sz="4" w:space="0" w:color="000001"/>
              <w:left w:val="single" w:sz="4" w:space="0" w:color="000001"/>
              <w:bottom w:val="single" w:sz="4" w:space="0" w:color="000001"/>
              <w:insideH w:val="single" w:sz="4" w:space="0" w:color="000001"/>
              <w:right w:val="nil"/>
              <w:insideV w:val="nil"/>
            </w:tcBorders>
            <w:shd w:fill="FFFFFF" w:val="clear"/>
            <w:tcMar>
              <w:left w:w="93" w:type="dxa"/>
            </w:tcMar>
          </w:tcPr>
          <w:p>
            <w:pPr>
              <w:pStyle w:val="Normal"/>
              <w:rPr/>
            </w:pPr>
            <w:r>
              <w:rPr/>
            </w:r>
          </w:p>
        </w:tc>
        <w:tc>
          <w:tcPr>
            <w:tcW w:w="849" w:type="dxa"/>
            <w:tcBorders>
              <w:top w:val="single" w:sz="4" w:space="0" w:color="000001"/>
              <w:left w:val="single" w:sz="4" w:space="0" w:color="000001"/>
              <w:bottom w:val="single" w:sz="4" w:space="0" w:color="000001"/>
              <w:insideH w:val="single" w:sz="4" w:space="0" w:color="000001"/>
              <w:right w:val="nil"/>
              <w:insideV w:val="nil"/>
            </w:tcBorders>
            <w:shd w:fill="FFFFFF" w:val="clear"/>
            <w:tcMar>
              <w:left w:w="93" w:type="dxa"/>
            </w:tcMar>
          </w:tcPr>
          <w:p>
            <w:pPr>
              <w:pStyle w:val="Normal"/>
              <w:rPr/>
            </w:pPr>
            <w:r>
              <w:rPr/>
            </w:r>
          </w:p>
        </w:tc>
        <w:tc>
          <w:tcPr>
            <w:tcW w:w="1842" w:type="dxa"/>
            <w:tcBorders>
              <w:top w:val="single" w:sz="4" w:space="0" w:color="000001"/>
              <w:left w:val="single" w:sz="4" w:space="0" w:color="000001"/>
              <w:bottom w:val="single" w:sz="4" w:space="0" w:color="000001"/>
              <w:insideH w:val="single" w:sz="4" w:space="0" w:color="000001"/>
              <w:right w:val="nil"/>
              <w:insideV w:val="nil"/>
            </w:tcBorders>
            <w:shd w:fill="FFFFFF" w:val="clear"/>
            <w:tcMar>
              <w:left w:w="93" w:type="dxa"/>
            </w:tcMar>
          </w:tcPr>
          <w:p>
            <w:pPr>
              <w:pStyle w:val="Normal"/>
              <w:rPr/>
            </w:pPr>
            <w:r>
              <w:rPr/>
            </w:r>
          </w:p>
        </w:tc>
        <w:tc>
          <w:tcPr>
            <w:tcW w:w="1417" w:type="dxa"/>
            <w:tcBorders>
              <w:top w:val="single" w:sz="4" w:space="0" w:color="000001"/>
              <w:left w:val="single" w:sz="4" w:space="0" w:color="000001"/>
              <w:bottom w:val="single" w:sz="4" w:space="0" w:color="000001"/>
              <w:insideH w:val="single" w:sz="4" w:space="0" w:color="000001"/>
              <w:right w:val="nil"/>
              <w:insideV w:val="nil"/>
            </w:tcBorders>
            <w:shd w:fill="FFFFFF" w:val="clear"/>
            <w:tcMar>
              <w:left w:w="93" w:type="dxa"/>
            </w:tcMar>
          </w:tcPr>
          <w:p>
            <w:pPr>
              <w:pStyle w:val="Normal"/>
              <w:jc w:val="right"/>
              <w:rPr/>
            </w:pPr>
            <w:r>
              <w:rPr/>
            </w:r>
          </w:p>
        </w:tc>
        <w:tc>
          <w:tcPr>
            <w:tcW w:w="1228" w:type="dxa"/>
            <w:tcBorders>
              <w:top w:val="single" w:sz="4" w:space="0" w:color="000001"/>
              <w:left w:val="single" w:sz="4" w:space="0" w:color="000001"/>
              <w:bottom w:val="single" w:sz="4" w:space="0" w:color="000001"/>
              <w:insideH w:val="single" w:sz="4" w:space="0" w:color="000001"/>
              <w:right w:val="single" w:sz="4" w:space="0" w:color="000001"/>
              <w:insideV w:val="single" w:sz="4" w:space="0" w:color="000001"/>
            </w:tcBorders>
            <w:shd w:fill="FFFFFF" w:val="clear"/>
            <w:tcMar>
              <w:left w:w="93" w:type="dxa"/>
            </w:tcMar>
          </w:tcPr>
          <w:p>
            <w:pPr>
              <w:pStyle w:val="Normal"/>
              <w:jc w:val="center"/>
              <w:rPr/>
            </w:pPr>
            <w:r>
              <w:rPr/>
            </w:r>
          </w:p>
        </w:tc>
      </w:tr>
      <w:tr>
        <w:trPr>
          <w:cantSplit w:val="false"/>
        </w:trPr>
        <w:tc>
          <w:tcPr>
            <w:tcW w:w="1416" w:type="dxa"/>
            <w:tcBorders>
              <w:top w:val="single" w:sz="4" w:space="0" w:color="000001"/>
              <w:left w:val="single" w:sz="4" w:space="0" w:color="000001"/>
              <w:bottom w:val="single" w:sz="4" w:space="0" w:color="000001"/>
              <w:insideH w:val="single" w:sz="4" w:space="0" w:color="000001"/>
              <w:right w:val="nil"/>
              <w:insideV w:val="nil"/>
            </w:tcBorders>
            <w:shd w:fill="FFFFFF" w:val="clear"/>
            <w:tcMar>
              <w:left w:w="93" w:type="dxa"/>
            </w:tcMar>
          </w:tcPr>
          <w:p>
            <w:pPr>
              <w:pStyle w:val="Normal"/>
              <w:jc w:val="right"/>
              <w:rPr/>
            </w:pPr>
            <w:r>
              <w:rPr/>
            </w:r>
          </w:p>
        </w:tc>
        <w:tc>
          <w:tcPr>
            <w:tcW w:w="1842" w:type="dxa"/>
            <w:tcBorders>
              <w:top w:val="single" w:sz="4" w:space="0" w:color="000001"/>
              <w:left w:val="single" w:sz="4" w:space="0" w:color="000001"/>
              <w:bottom w:val="single" w:sz="4" w:space="0" w:color="000001"/>
              <w:insideH w:val="single" w:sz="4" w:space="0" w:color="000001"/>
              <w:right w:val="nil"/>
              <w:insideV w:val="nil"/>
            </w:tcBorders>
            <w:shd w:fill="FFFFFF" w:val="clear"/>
            <w:tcMar>
              <w:left w:w="93" w:type="dxa"/>
            </w:tcMar>
          </w:tcPr>
          <w:p>
            <w:pPr>
              <w:pStyle w:val="Normal"/>
              <w:rPr/>
            </w:pPr>
            <w:r>
              <w:rPr/>
            </w:r>
          </w:p>
        </w:tc>
        <w:tc>
          <w:tcPr>
            <w:tcW w:w="1133" w:type="dxa"/>
            <w:tcBorders>
              <w:top w:val="single" w:sz="4" w:space="0" w:color="000001"/>
              <w:left w:val="single" w:sz="4" w:space="0" w:color="000001"/>
              <w:bottom w:val="single" w:sz="4" w:space="0" w:color="000001"/>
              <w:insideH w:val="single" w:sz="4" w:space="0" w:color="000001"/>
              <w:right w:val="nil"/>
              <w:insideV w:val="nil"/>
            </w:tcBorders>
            <w:shd w:fill="FFFFFF" w:val="clear"/>
            <w:tcMar>
              <w:left w:w="93" w:type="dxa"/>
            </w:tcMar>
          </w:tcPr>
          <w:p>
            <w:pPr>
              <w:pStyle w:val="Normal"/>
              <w:rPr/>
            </w:pPr>
            <w:r>
              <w:rPr/>
            </w:r>
          </w:p>
        </w:tc>
        <w:tc>
          <w:tcPr>
            <w:tcW w:w="849" w:type="dxa"/>
            <w:tcBorders>
              <w:top w:val="single" w:sz="4" w:space="0" w:color="000001"/>
              <w:left w:val="single" w:sz="4" w:space="0" w:color="000001"/>
              <w:bottom w:val="single" w:sz="4" w:space="0" w:color="000001"/>
              <w:insideH w:val="single" w:sz="4" w:space="0" w:color="000001"/>
              <w:right w:val="nil"/>
              <w:insideV w:val="nil"/>
            </w:tcBorders>
            <w:shd w:fill="FFFFFF" w:val="clear"/>
            <w:tcMar>
              <w:left w:w="93" w:type="dxa"/>
            </w:tcMar>
          </w:tcPr>
          <w:p>
            <w:pPr>
              <w:pStyle w:val="Normal"/>
              <w:rPr/>
            </w:pPr>
            <w:r>
              <w:rPr/>
            </w:r>
          </w:p>
        </w:tc>
        <w:tc>
          <w:tcPr>
            <w:tcW w:w="1842" w:type="dxa"/>
            <w:tcBorders>
              <w:top w:val="single" w:sz="4" w:space="0" w:color="000001"/>
              <w:left w:val="single" w:sz="4" w:space="0" w:color="000001"/>
              <w:bottom w:val="single" w:sz="4" w:space="0" w:color="000001"/>
              <w:insideH w:val="single" w:sz="4" w:space="0" w:color="000001"/>
              <w:right w:val="nil"/>
              <w:insideV w:val="nil"/>
            </w:tcBorders>
            <w:shd w:fill="FFFFFF" w:val="clear"/>
            <w:tcMar>
              <w:left w:w="93" w:type="dxa"/>
            </w:tcMar>
          </w:tcPr>
          <w:p>
            <w:pPr>
              <w:pStyle w:val="Normal"/>
              <w:rPr/>
            </w:pPr>
            <w:r>
              <w:rPr/>
            </w:r>
          </w:p>
        </w:tc>
        <w:tc>
          <w:tcPr>
            <w:tcW w:w="1417" w:type="dxa"/>
            <w:tcBorders>
              <w:top w:val="single" w:sz="4" w:space="0" w:color="000001"/>
              <w:left w:val="single" w:sz="4" w:space="0" w:color="000001"/>
              <w:bottom w:val="single" w:sz="4" w:space="0" w:color="000001"/>
              <w:insideH w:val="single" w:sz="4" w:space="0" w:color="000001"/>
              <w:right w:val="nil"/>
              <w:insideV w:val="nil"/>
            </w:tcBorders>
            <w:shd w:fill="FFFFFF" w:val="clear"/>
            <w:tcMar>
              <w:left w:w="93" w:type="dxa"/>
            </w:tcMar>
          </w:tcPr>
          <w:p>
            <w:pPr>
              <w:pStyle w:val="Normal"/>
              <w:jc w:val="right"/>
              <w:rPr/>
            </w:pPr>
            <w:r>
              <w:rPr/>
            </w:r>
          </w:p>
        </w:tc>
        <w:tc>
          <w:tcPr>
            <w:tcW w:w="1228" w:type="dxa"/>
            <w:tcBorders>
              <w:top w:val="single" w:sz="4" w:space="0" w:color="000001"/>
              <w:left w:val="single" w:sz="4" w:space="0" w:color="000001"/>
              <w:bottom w:val="single" w:sz="4" w:space="0" w:color="000001"/>
              <w:insideH w:val="single" w:sz="4" w:space="0" w:color="000001"/>
              <w:right w:val="single" w:sz="4" w:space="0" w:color="000001"/>
              <w:insideV w:val="single" w:sz="4" w:space="0" w:color="000001"/>
            </w:tcBorders>
            <w:shd w:fill="FFFFFF" w:val="clear"/>
            <w:tcMar>
              <w:left w:w="93" w:type="dxa"/>
            </w:tcMar>
          </w:tcPr>
          <w:p>
            <w:pPr>
              <w:pStyle w:val="Normal"/>
              <w:jc w:val="center"/>
              <w:rPr/>
            </w:pPr>
            <w:r>
              <w:rPr/>
            </w:r>
          </w:p>
        </w:tc>
      </w:tr>
      <w:tr>
        <w:trPr>
          <w:cantSplit w:val="false"/>
        </w:trPr>
        <w:tc>
          <w:tcPr>
            <w:tcW w:w="1416" w:type="dxa"/>
            <w:tcBorders>
              <w:top w:val="single" w:sz="4" w:space="0" w:color="000001"/>
              <w:left w:val="single" w:sz="4" w:space="0" w:color="000001"/>
              <w:bottom w:val="single" w:sz="4" w:space="0" w:color="000001"/>
              <w:insideH w:val="single" w:sz="4" w:space="0" w:color="000001"/>
              <w:right w:val="nil"/>
              <w:insideV w:val="nil"/>
            </w:tcBorders>
            <w:shd w:fill="FFFFFF" w:val="clear"/>
            <w:tcMar>
              <w:left w:w="93" w:type="dxa"/>
            </w:tcMar>
          </w:tcPr>
          <w:p>
            <w:pPr>
              <w:pStyle w:val="Normal"/>
              <w:jc w:val="right"/>
              <w:rPr/>
            </w:pPr>
            <w:r>
              <w:rPr/>
            </w:r>
          </w:p>
        </w:tc>
        <w:tc>
          <w:tcPr>
            <w:tcW w:w="1842" w:type="dxa"/>
            <w:tcBorders>
              <w:top w:val="single" w:sz="4" w:space="0" w:color="000001"/>
              <w:left w:val="single" w:sz="4" w:space="0" w:color="000001"/>
              <w:bottom w:val="single" w:sz="4" w:space="0" w:color="000001"/>
              <w:insideH w:val="single" w:sz="4" w:space="0" w:color="000001"/>
              <w:right w:val="nil"/>
              <w:insideV w:val="nil"/>
            </w:tcBorders>
            <w:shd w:fill="FFFFFF" w:val="clear"/>
            <w:tcMar>
              <w:left w:w="93" w:type="dxa"/>
            </w:tcMar>
          </w:tcPr>
          <w:p>
            <w:pPr>
              <w:pStyle w:val="Normal"/>
              <w:rPr/>
            </w:pPr>
            <w:r>
              <w:rPr/>
            </w:r>
          </w:p>
        </w:tc>
        <w:tc>
          <w:tcPr>
            <w:tcW w:w="1133" w:type="dxa"/>
            <w:tcBorders>
              <w:top w:val="single" w:sz="4" w:space="0" w:color="000001"/>
              <w:left w:val="single" w:sz="4" w:space="0" w:color="000001"/>
              <w:bottom w:val="single" w:sz="4" w:space="0" w:color="000001"/>
              <w:insideH w:val="single" w:sz="4" w:space="0" w:color="000001"/>
              <w:right w:val="nil"/>
              <w:insideV w:val="nil"/>
            </w:tcBorders>
            <w:shd w:fill="FFFFFF" w:val="clear"/>
            <w:tcMar>
              <w:left w:w="93" w:type="dxa"/>
            </w:tcMar>
          </w:tcPr>
          <w:p>
            <w:pPr>
              <w:pStyle w:val="Normal"/>
              <w:rPr/>
            </w:pPr>
            <w:r>
              <w:rPr/>
            </w:r>
          </w:p>
        </w:tc>
        <w:tc>
          <w:tcPr>
            <w:tcW w:w="849" w:type="dxa"/>
            <w:tcBorders>
              <w:top w:val="single" w:sz="4" w:space="0" w:color="000001"/>
              <w:left w:val="single" w:sz="4" w:space="0" w:color="000001"/>
              <w:bottom w:val="single" w:sz="4" w:space="0" w:color="000001"/>
              <w:insideH w:val="single" w:sz="4" w:space="0" w:color="000001"/>
              <w:right w:val="nil"/>
              <w:insideV w:val="nil"/>
            </w:tcBorders>
            <w:shd w:fill="FFFFFF" w:val="clear"/>
            <w:tcMar>
              <w:left w:w="93" w:type="dxa"/>
            </w:tcMar>
          </w:tcPr>
          <w:p>
            <w:pPr>
              <w:pStyle w:val="Normal"/>
              <w:rPr/>
            </w:pPr>
            <w:r>
              <w:rPr/>
            </w:r>
          </w:p>
        </w:tc>
        <w:tc>
          <w:tcPr>
            <w:tcW w:w="1842" w:type="dxa"/>
            <w:tcBorders>
              <w:top w:val="single" w:sz="4" w:space="0" w:color="000001"/>
              <w:left w:val="single" w:sz="4" w:space="0" w:color="000001"/>
              <w:bottom w:val="single" w:sz="4" w:space="0" w:color="000001"/>
              <w:insideH w:val="single" w:sz="4" w:space="0" w:color="000001"/>
              <w:right w:val="nil"/>
              <w:insideV w:val="nil"/>
            </w:tcBorders>
            <w:shd w:fill="FFFFFF" w:val="clear"/>
            <w:tcMar>
              <w:left w:w="93" w:type="dxa"/>
            </w:tcMar>
          </w:tcPr>
          <w:p>
            <w:pPr>
              <w:pStyle w:val="Normal"/>
              <w:rPr/>
            </w:pPr>
            <w:r>
              <w:rPr/>
            </w:r>
          </w:p>
        </w:tc>
        <w:tc>
          <w:tcPr>
            <w:tcW w:w="1417" w:type="dxa"/>
            <w:tcBorders>
              <w:top w:val="single" w:sz="4" w:space="0" w:color="000001"/>
              <w:left w:val="single" w:sz="4" w:space="0" w:color="000001"/>
              <w:bottom w:val="single" w:sz="4" w:space="0" w:color="000001"/>
              <w:insideH w:val="single" w:sz="4" w:space="0" w:color="000001"/>
              <w:right w:val="nil"/>
              <w:insideV w:val="nil"/>
            </w:tcBorders>
            <w:shd w:fill="FFFFFF" w:val="clear"/>
            <w:tcMar>
              <w:left w:w="93" w:type="dxa"/>
            </w:tcMar>
          </w:tcPr>
          <w:p>
            <w:pPr>
              <w:pStyle w:val="Normal"/>
              <w:jc w:val="right"/>
              <w:rPr/>
            </w:pPr>
            <w:r>
              <w:rPr/>
            </w:r>
          </w:p>
        </w:tc>
        <w:tc>
          <w:tcPr>
            <w:tcW w:w="1228" w:type="dxa"/>
            <w:tcBorders>
              <w:top w:val="single" w:sz="4" w:space="0" w:color="000001"/>
              <w:left w:val="single" w:sz="4" w:space="0" w:color="000001"/>
              <w:bottom w:val="single" w:sz="4" w:space="0" w:color="000001"/>
              <w:insideH w:val="single" w:sz="4" w:space="0" w:color="000001"/>
              <w:right w:val="single" w:sz="4" w:space="0" w:color="000001"/>
              <w:insideV w:val="single" w:sz="4" w:space="0" w:color="000001"/>
            </w:tcBorders>
            <w:shd w:fill="FFFFFF" w:val="clear"/>
            <w:tcMar>
              <w:left w:w="93" w:type="dxa"/>
            </w:tcMar>
          </w:tcPr>
          <w:p>
            <w:pPr>
              <w:pStyle w:val="Normal"/>
              <w:jc w:val="center"/>
              <w:rPr/>
            </w:pPr>
            <w:r>
              <w:rPr/>
            </w:r>
          </w:p>
        </w:tc>
      </w:tr>
    </w:tbl>
    <w:p>
      <w:pPr>
        <w:pStyle w:val="Normal"/>
        <w:ind w:left="360" w:right="0" w:hanging="0"/>
        <w:jc w:val="both"/>
        <w:rPr/>
      </w:pPr>
      <w:r>
        <w:rPr/>
      </w:r>
    </w:p>
    <w:p>
      <w:pPr>
        <w:pStyle w:val="Normal"/>
        <w:rPr/>
      </w:pPr>
      <w:r>
        <w:rPr/>
      </w:r>
    </w:p>
    <w:p>
      <w:pPr>
        <w:pStyle w:val="Normal"/>
        <w:ind w:left="360" w:right="0" w:hanging="0"/>
        <w:jc w:val="both"/>
        <w:rPr/>
      </w:pPr>
      <w:r>
        <w:rPr/>
      </w:r>
    </w:p>
    <w:p>
      <w:pPr>
        <w:pStyle w:val="Normal"/>
        <w:ind w:left="360" w:right="0" w:hanging="0"/>
        <w:jc w:val="both"/>
        <w:rPr/>
      </w:pPr>
      <w:r>
        <w:rPr/>
      </w:r>
    </w:p>
    <w:p>
      <w:pPr>
        <w:pStyle w:val="Normal"/>
        <w:ind w:left="360" w:right="0" w:hanging="0"/>
        <w:jc w:val="both"/>
        <w:rPr/>
      </w:pPr>
      <w:r>
        <w:rPr/>
      </w:r>
    </w:p>
    <w:p>
      <w:pPr>
        <w:pStyle w:val="Normal"/>
        <w:ind w:left="360" w:right="0" w:hanging="0"/>
        <w:jc w:val="both"/>
        <w:rPr/>
      </w:pPr>
      <w:r>
        <w:rPr/>
      </w:r>
    </w:p>
    <w:p>
      <w:pPr>
        <w:pStyle w:val="Normal"/>
        <w:jc w:val="both"/>
        <w:rPr>
          <w:b/>
          <w:color w:val="0000FF"/>
          <w:sz w:val="28"/>
          <w:szCs w:val="28"/>
        </w:rPr>
      </w:pPr>
      <w:r>
        <w:rPr>
          <w:b/>
          <w:color w:val="0000FF"/>
          <w:sz w:val="28"/>
          <w:szCs w:val="28"/>
        </w:rPr>
        <w:t>9. Prehľad o poskytnutých dotáciách  právnickým osobám a fyzickým osobám - podnikateľom podľa § 7 ods. 4 zákona č.583/2004 Z.z.</w:t>
      </w:r>
    </w:p>
    <w:p>
      <w:pPr>
        <w:pStyle w:val="Normal"/>
        <w:rPr/>
      </w:pPr>
      <w:r>
        <w:rPr/>
      </w:r>
    </w:p>
    <w:p>
      <w:pPr>
        <w:pStyle w:val="Normal"/>
        <w:jc w:val="both"/>
        <w:rPr/>
      </w:pPr>
      <w:r>
        <w:rPr/>
        <w:t xml:space="preserve">Obec v roku 2014 poskytla dotácie v súlade so VZN č. 5/2013 o dotáciách, právnickým osobám, fyzickým osobám - podnikateľom na podporu všeobecne prospešných služieb,  na všeobecne prospešný alebo verejnoprospešný účel. </w:t>
      </w:r>
    </w:p>
    <w:p>
      <w:pPr>
        <w:pStyle w:val="Normal"/>
        <w:jc w:val="both"/>
        <w:rPr>
          <w:color w:val="FF0000"/>
        </w:rPr>
      </w:pPr>
      <w:r>
        <w:rPr>
          <w:color w:val="FF0000"/>
        </w:rPr>
      </w:r>
    </w:p>
    <w:tbl>
      <w:tblPr>
        <w:jc w:val="left"/>
        <w:tblInd w:w="98" w:type="dxa"/>
        <w:tblBorders>
          <w:top w:val="single" w:sz="4" w:space="0" w:color="000001"/>
          <w:left w:val="single" w:sz="4" w:space="0" w:color="000001"/>
          <w:bottom w:val="single" w:sz="4" w:space="0" w:color="000001"/>
          <w:insideH w:val="single" w:sz="4" w:space="0" w:color="000001"/>
          <w:right w:val="nil"/>
          <w:insideV w:val="nil"/>
        </w:tblBorders>
        <w:tblCellMar>
          <w:top w:w="0" w:type="dxa"/>
          <w:left w:w="93" w:type="dxa"/>
          <w:bottom w:w="0" w:type="dxa"/>
          <w:right w:w="108" w:type="dxa"/>
        </w:tblCellMar>
      </w:tblPr>
      <w:tblGrid>
        <w:gridCol w:w="4676"/>
        <w:gridCol w:w="1984"/>
        <w:gridCol w:w="1701"/>
        <w:gridCol w:w="1366"/>
      </w:tblGrid>
      <w:tr>
        <w:trPr>
          <w:cantSplit w:val="false"/>
        </w:trPr>
        <w:tc>
          <w:tcPr>
            <w:tcW w:w="4676" w:type="dxa"/>
            <w:tcBorders>
              <w:top w:val="single" w:sz="4" w:space="0" w:color="000001"/>
              <w:left w:val="single" w:sz="4" w:space="0" w:color="000001"/>
              <w:bottom w:val="single" w:sz="4" w:space="0" w:color="000001"/>
              <w:insideH w:val="single" w:sz="4" w:space="0" w:color="000001"/>
              <w:right w:val="nil"/>
              <w:insideV w:val="nil"/>
            </w:tcBorders>
            <w:shd w:fill="D9D9D9" w:val="clear"/>
            <w:tcMar>
              <w:left w:w="93" w:type="dxa"/>
            </w:tcMar>
          </w:tcPr>
          <w:p>
            <w:pPr>
              <w:pStyle w:val="Normal"/>
              <w:rPr>
                <w:b/>
                <w:sz w:val="20"/>
                <w:szCs w:val="20"/>
              </w:rPr>
            </w:pPr>
            <w:r>
              <w:rPr>
                <w:b/>
                <w:sz w:val="20"/>
                <w:szCs w:val="20"/>
              </w:rPr>
              <w:t>Žiadateľ dotácie</w:t>
            </w:r>
          </w:p>
          <w:p>
            <w:pPr>
              <w:pStyle w:val="Normal"/>
              <w:rPr>
                <w:b/>
                <w:sz w:val="20"/>
                <w:szCs w:val="20"/>
              </w:rPr>
            </w:pPr>
            <w:r>
              <w:rPr>
                <w:b/>
                <w:sz w:val="20"/>
                <w:szCs w:val="20"/>
              </w:rPr>
              <w:t xml:space="preserve">Účelové určenie dotácie : uviesť </w:t>
            </w:r>
          </w:p>
          <w:p>
            <w:pPr>
              <w:pStyle w:val="Normal"/>
              <w:rPr>
                <w:b/>
                <w:sz w:val="20"/>
                <w:szCs w:val="20"/>
              </w:rPr>
            </w:pPr>
            <w:r>
              <w:rPr>
                <w:b/>
                <w:sz w:val="20"/>
                <w:szCs w:val="20"/>
              </w:rPr>
              <w:t>- bežné výdavky na .....</w:t>
            </w:r>
          </w:p>
          <w:p>
            <w:pPr>
              <w:pStyle w:val="Normal"/>
              <w:rPr>
                <w:b/>
                <w:sz w:val="20"/>
                <w:szCs w:val="20"/>
              </w:rPr>
            </w:pPr>
            <w:r>
              <w:rPr>
                <w:b/>
                <w:sz w:val="20"/>
                <w:szCs w:val="20"/>
              </w:rPr>
              <w:t>- kapitálové výdavky na  ....</w:t>
            </w:r>
          </w:p>
          <w:p>
            <w:pPr>
              <w:pStyle w:val="Normal"/>
              <w:jc w:val="center"/>
              <w:rPr>
                <w:b/>
                <w:sz w:val="20"/>
                <w:szCs w:val="20"/>
              </w:rPr>
            </w:pPr>
            <w:r>
              <w:rPr>
                <w:b/>
                <w:sz w:val="20"/>
                <w:szCs w:val="20"/>
              </w:rPr>
              <w:t>- 1 -</w:t>
            </w:r>
          </w:p>
        </w:tc>
        <w:tc>
          <w:tcPr>
            <w:tcW w:w="1984" w:type="dxa"/>
            <w:tcBorders>
              <w:top w:val="single" w:sz="4" w:space="0" w:color="000001"/>
              <w:left w:val="single" w:sz="4" w:space="0" w:color="000001"/>
              <w:bottom w:val="single" w:sz="4" w:space="0" w:color="000001"/>
              <w:insideH w:val="single" w:sz="4" w:space="0" w:color="000001"/>
              <w:right w:val="nil"/>
              <w:insideV w:val="nil"/>
            </w:tcBorders>
            <w:shd w:fill="D9D9D9" w:val="clear"/>
            <w:tcMar>
              <w:left w:w="93" w:type="dxa"/>
            </w:tcMar>
          </w:tcPr>
          <w:p>
            <w:pPr>
              <w:pStyle w:val="Normal"/>
              <w:jc w:val="center"/>
              <w:rPr>
                <w:b/>
                <w:sz w:val="20"/>
                <w:szCs w:val="20"/>
              </w:rPr>
            </w:pPr>
            <w:r>
              <w:rPr>
                <w:b/>
                <w:sz w:val="20"/>
                <w:szCs w:val="20"/>
              </w:rPr>
              <w:t>Suma poskytnutých finančných prostriedkov</w:t>
            </w:r>
          </w:p>
          <w:p>
            <w:pPr>
              <w:pStyle w:val="Normal"/>
              <w:jc w:val="center"/>
              <w:rPr>
                <w:b/>
                <w:sz w:val="20"/>
                <w:szCs w:val="20"/>
              </w:rPr>
            </w:pPr>
            <w:r>
              <w:rPr>
                <w:b/>
                <w:sz w:val="20"/>
                <w:szCs w:val="20"/>
              </w:rPr>
            </w:r>
          </w:p>
          <w:p>
            <w:pPr>
              <w:pStyle w:val="Normal"/>
              <w:jc w:val="center"/>
              <w:rPr>
                <w:b/>
                <w:sz w:val="20"/>
                <w:szCs w:val="20"/>
              </w:rPr>
            </w:pPr>
            <w:r>
              <w:rPr>
                <w:b/>
                <w:sz w:val="20"/>
                <w:szCs w:val="20"/>
              </w:rPr>
              <w:t>- 2 -</w:t>
            </w:r>
          </w:p>
        </w:tc>
        <w:tc>
          <w:tcPr>
            <w:tcW w:w="1701" w:type="dxa"/>
            <w:tcBorders>
              <w:top w:val="single" w:sz="4" w:space="0" w:color="000001"/>
              <w:left w:val="single" w:sz="4" w:space="0" w:color="000001"/>
              <w:bottom w:val="single" w:sz="4" w:space="0" w:color="000001"/>
              <w:insideH w:val="single" w:sz="4" w:space="0" w:color="000001"/>
              <w:right w:val="nil"/>
              <w:insideV w:val="nil"/>
            </w:tcBorders>
            <w:shd w:fill="D9D9D9" w:val="clear"/>
            <w:tcMar>
              <w:left w:w="93" w:type="dxa"/>
            </w:tcMar>
          </w:tcPr>
          <w:p>
            <w:pPr>
              <w:pStyle w:val="Normal"/>
              <w:jc w:val="center"/>
              <w:rPr>
                <w:b/>
                <w:sz w:val="20"/>
                <w:szCs w:val="20"/>
              </w:rPr>
            </w:pPr>
            <w:r>
              <w:rPr>
                <w:b/>
                <w:sz w:val="20"/>
                <w:szCs w:val="20"/>
              </w:rPr>
              <w:t>Suma skutočne použitých finančných prostriedkov</w:t>
            </w:r>
          </w:p>
          <w:p>
            <w:pPr>
              <w:pStyle w:val="Normal"/>
              <w:jc w:val="center"/>
              <w:rPr>
                <w:b/>
                <w:sz w:val="20"/>
                <w:szCs w:val="20"/>
              </w:rPr>
            </w:pPr>
            <w:r>
              <w:rPr>
                <w:b/>
                <w:sz w:val="20"/>
                <w:szCs w:val="20"/>
              </w:rPr>
              <w:t>- 3 -</w:t>
            </w:r>
          </w:p>
        </w:tc>
        <w:tc>
          <w:tcPr>
            <w:tcW w:w="1366" w:type="dxa"/>
            <w:tcBorders>
              <w:top w:val="single" w:sz="4" w:space="0" w:color="000001"/>
              <w:left w:val="single" w:sz="4" w:space="0" w:color="000001"/>
              <w:bottom w:val="single" w:sz="4" w:space="0" w:color="000001"/>
              <w:insideH w:val="single" w:sz="4" w:space="0" w:color="000001"/>
              <w:right w:val="single" w:sz="4" w:space="0" w:color="000001"/>
              <w:insideV w:val="single" w:sz="4" w:space="0" w:color="000001"/>
            </w:tcBorders>
            <w:shd w:fill="D9D9D9" w:val="clear"/>
            <w:tcMar>
              <w:left w:w="93" w:type="dxa"/>
            </w:tcMar>
          </w:tcPr>
          <w:p>
            <w:pPr>
              <w:pStyle w:val="Normal"/>
              <w:jc w:val="center"/>
              <w:rPr>
                <w:b/>
                <w:sz w:val="20"/>
                <w:szCs w:val="20"/>
              </w:rPr>
            </w:pPr>
            <w:r>
              <w:rPr>
                <w:b/>
                <w:sz w:val="20"/>
                <w:szCs w:val="20"/>
              </w:rPr>
              <w:t>Rozdiel</w:t>
            </w:r>
          </w:p>
          <w:p>
            <w:pPr>
              <w:pStyle w:val="Normal"/>
              <w:jc w:val="center"/>
              <w:rPr>
                <w:b/>
                <w:sz w:val="20"/>
                <w:szCs w:val="20"/>
              </w:rPr>
            </w:pPr>
            <w:r>
              <w:rPr>
                <w:b/>
                <w:sz w:val="20"/>
                <w:szCs w:val="20"/>
              </w:rPr>
              <w:t>(stĺ.2 - stĺ.3 )</w:t>
            </w:r>
          </w:p>
          <w:p>
            <w:pPr>
              <w:pStyle w:val="Normal"/>
              <w:jc w:val="center"/>
              <w:rPr>
                <w:b/>
                <w:sz w:val="20"/>
                <w:szCs w:val="20"/>
              </w:rPr>
            </w:pPr>
            <w:r>
              <w:rPr>
                <w:b/>
                <w:sz w:val="20"/>
                <w:szCs w:val="20"/>
              </w:rPr>
            </w:r>
          </w:p>
          <w:p>
            <w:pPr>
              <w:pStyle w:val="Normal"/>
              <w:jc w:val="center"/>
              <w:rPr>
                <w:b/>
                <w:sz w:val="20"/>
                <w:szCs w:val="20"/>
              </w:rPr>
            </w:pPr>
            <w:r>
              <w:rPr>
                <w:b/>
                <w:sz w:val="20"/>
                <w:szCs w:val="20"/>
              </w:rPr>
            </w:r>
          </w:p>
          <w:p>
            <w:pPr>
              <w:pStyle w:val="Normal"/>
              <w:jc w:val="center"/>
              <w:rPr>
                <w:b/>
                <w:sz w:val="20"/>
                <w:szCs w:val="20"/>
              </w:rPr>
            </w:pPr>
            <w:r>
              <w:rPr>
                <w:b/>
                <w:sz w:val="20"/>
                <w:szCs w:val="20"/>
              </w:rPr>
              <w:t>- 4 -</w:t>
            </w:r>
          </w:p>
        </w:tc>
      </w:tr>
      <w:tr>
        <w:trPr>
          <w:cantSplit w:val="false"/>
        </w:trPr>
        <w:tc>
          <w:tcPr>
            <w:tcW w:w="4676" w:type="dxa"/>
            <w:tcBorders>
              <w:top w:val="single" w:sz="4" w:space="0" w:color="000001"/>
              <w:left w:val="single" w:sz="4" w:space="0" w:color="000001"/>
              <w:bottom w:val="single" w:sz="4" w:space="0" w:color="000001"/>
              <w:insideH w:val="single" w:sz="4" w:space="0" w:color="000001"/>
              <w:right w:val="nil"/>
              <w:insideV w:val="nil"/>
            </w:tcBorders>
            <w:shd w:fill="FFFFFF" w:val="clear"/>
            <w:tcMar>
              <w:left w:w="93" w:type="dxa"/>
            </w:tcMar>
          </w:tcPr>
          <w:p>
            <w:pPr>
              <w:pStyle w:val="Normal"/>
              <w:rPr/>
            </w:pPr>
            <w:r>
              <w:rPr/>
              <w:t>Telovýchovná jednota - bežné výdavky na turnaj .....</w:t>
            </w:r>
          </w:p>
        </w:tc>
        <w:tc>
          <w:tcPr>
            <w:tcW w:w="1984" w:type="dxa"/>
            <w:tcBorders>
              <w:top w:val="single" w:sz="4" w:space="0" w:color="000001"/>
              <w:left w:val="single" w:sz="4" w:space="0" w:color="000001"/>
              <w:bottom w:val="single" w:sz="4" w:space="0" w:color="000001"/>
              <w:insideH w:val="single" w:sz="4" w:space="0" w:color="000001"/>
              <w:right w:val="nil"/>
              <w:insideV w:val="nil"/>
            </w:tcBorders>
            <w:shd w:fill="FFFFFF" w:val="clear"/>
            <w:tcMar>
              <w:left w:w="93" w:type="dxa"/>
            </w:tcMar>
          </w:tcPr>
          <w:p>
            <w:pPr>
              <w:pStyle w:val="Normal"/>
              <w:jc w:val="center"/>
              <w:rPr/>
            </w:pPr>
            <w:r>
              <w:rPr/>
              <w:t>18 500</w:t>
            </w:r>
          </w:p>
        </w:tc>
        <w:tc>
          <w:tcPr>
            <w:tcW w:w="1701" w:type="dxa"/>
            <w:tcBorders>
              <w:top w:val="single" w:sz="4" w:space="0" w:color="000001"/>
              <w:left w:val="single" w:sz="4" w:space="0" w:color="000001"/>
              <w:bottom w:val="single" w:sz="4" w:space="0" w:color="000001"/>
              <w:insideH w:val="single" w:sz="4" w:space="0" w:color="000001"/>
              <w:right w:val="nil"/>
              <w:insideV w:val="nil"/>
            </w:tcBorders>
            <w:shd w:fill="FFFFFF" w:val="clear"/>
            <w:tcMar>
              <w:left w:w="93" w:type="dxa"/>
            </w:tcMar>
          </w:tcPr>
          <w:p>
            <w:pPr>
              <w:pStyle w:val="Normal"/>
              <w:jc w:val="center"/>
              <w:rPr/>
            </w:pPr>
            <w:r>
              <w:rPr/>
              <w:t>18 500</w:t>
            </w:r>
          </w:p>
        </w:tc>
        <w:tc>
          <w:tcPr>
            <w:tcW w:w="1366" w:type="dxa"/>
            <w:tcBorders>
              <w:top w:val="single" w:sz="4" w:space="0" w:color="000001"/>
              <w:left w:val="single" w:sz="4" w:space="0" w:color="000001"/>
              <w:bottom w:val="single" w:sz="4" w:space="0" w:color="000001"/>
              <w:insideH w:val="single" w:sz="4" w:space="0" w:color="000001"/>
              <w:right w:val="single" w:sz="4" w:space="0" w:color="000001"/>
              <w:insideV w:val="single" w:sz="4" w:space="0" w:color="000001"/>
            </w:tcBorders>
            <w:shd w:fill="FFFFFF" w:val="clear"/>
            <w:tcMar>
              <w:left w:w="93" w:type="dxa"/>
            </w:tcMar>
          </w:tcPr>
          <w:p>
            <w:pPr>
              <w:pStyle w:val="Normal"/>
              <w:jc w:val="center"/>
              <w:rPr/>
            </w:pPr>
            <w:r>
              <w:rPr/>
              <w:t>0</w:t>
            </w:r>
          </w:p>
        </w:tc>
      </w:tr>
      <w:tr>
        <w:trPr>
          <w:cantSplit w:val="false"/>
        </w:trPr>
        <w:tc>
          <w:tcPr>
            <w:tcW w:w="4676" w:type="dxa"/>
            <w:tcBorders>
              <w:top w:val="single" w:sz="4" w:space="0" w:color="000001"/>
              <w:left w:val="single" w:sz="4" w:space="0" w:color="000001"/>
              <w:bottom w:val="single" w:sz="4" w:space="0" w:color="000001"/>
              <w:insideH w:val="single" w:sz="4" w:space="0" w:color="000001"/>
              <w:right w:val="nil"/>
              <w:insideV w:val="nil"/>
            </w:tcBorders>
            <w:shd w:fill="FFFFFF" w:val="clear"/>
            <w:tcMar>
              <w:left w:w="93" w:type="dxa"/>
            </w:tcMar>
          </w:tcPr>
          <w:p>
            <w:pPr>
              <w:pStyle w:val="Normal"/>
              <w:rPr>
                <w:b w:val="false"/>
                <w:bCs w:val="false"/>
              </w:rPr>
            </w:pPr>
            <w:r>
              <w:rPr>
                <w:b w:val="false"/>
                <w:bCs w:val="false"/>
              </w:rPr>
              <w:t>Miestna organizácia Matice Slovenskej</w:t>
            </w:r>
          </w:p>
        </w:tc>
        <w:tc>
          <w:tcPr>
            <w:tcW w:w="1984" w:type="dxa"/>
            <w:tcBorders>
              <w:top w:val="single" w:sz="4" w:space="0" w:color="000001"/>
              <w:left w:val="single" w:sz="4" w:space="0" w:color="000001"/>
              <w:bottom w:val="single" w:sz="4" w:space="0" w:color="000001"/>
              <w:insideH w:val="single" w:sz="4" w:space="0" w:color="000001"/>
              <w:right w:val="nil"/>
              <w:insideV w:val="nil"/>
            </w:tcBorders>
            <w:shd w:fill="FFFFFF" w:val="clear"/>
            <w:tcMar>
              <w:left w:w="93" w:type="dxa"/>
            </w:tcMar>
          </w:tcPr>
          <w:p>
            <w:pPr>
              <w:pStyle w:val="Normal"/>
              <w:rPr>
                <w:b w:val="false"/>
                <w:bCs w:val="false"/>
              </w:rPr>
            </w:pPr>
            <w:r>
              <w:rPr>
                <w:b w:val="false"/>
                <w:bCs w:val="false"/>
              </w:rPr>
              <w:t xml:space="preserve">              </w:t>
            </w:r>
            <w:r>
              <w:rPr>
                <w:b w:val="false"/>
                <w:bCs w:val="false"/>
              </w:rPr>
              <w:t>650</w:t>
            </w:r>
          </w:p>
        </w:tc>
        <w:tc>
          <w:tcPr>
            <w:tcW w:w="1701" w:type="dxa"/>
            <w:tcBorders>
              <w:top w:val="single" w:sz="4" w:space="0" w:color="000001"/>
              <w:left w:val="single" w:sz="4" w:space="0" w:color="000001"/>
              <w:bottom w:val="single" w:sz="4" w:space="0" w:color="000001"/>
              <w:insideH w:val="single" w:sz="4" w:space="0" w:color="000001"/>
              <w:right w:val="nil"/>
              <w:insideV w:val="nil"/>
            </w:tcBorders>
            <w:shd w:fill="FFFFFF" w:val="clear"/>
            <w:tcMar>
              <w:left w:w="93" w:type="dxa"/>
            </w:tcMar>
          </w:tcPr>
          <w:p>
            <w:pPr>
              <w:pStyle w:val="Normal"/>
              <w:rPr>
                <w:b w:val="false"/>
                <w:bCs w:val="false"/>
              </w:rPr>
            </w:pPr>
            <w:r>
              <w:rPr>
                <w:b w:val="false"/>
                <w:bCs w:val="false"/>
              </w:rPr>
              <w:t xml:space="preserve">             </w:t>
            </w:r>
            <w:r>
              <w:rPr>
                <w:b w:val="false"/>
                <w:bCs w:val="false"/>
              </w:rPr>
              <w:t>650</w:t>
            </w:r>
          </w:p>
        </w:tc>
        <w:tc>
          <w:tcPr>
            <w:tcW w:w="1366" w:type="dxa"/>
            <w:tcBorders>
              <w:top w:val="single" w:sz="4" w:space="0" w:color="000001"/>
              <w:left w:val="single" w:sz="4" w:space="0" w:color="000001"/>
              <w:bottom w:val="single" w:sz="4" w:space="0" w:color="000001"/>
              <w:insideH w:val="single" w:sz="4" w:space="0" w:color="000001"/>
              <w:right w:val="single" w:sz="4" w:space="0" w:color="000001"/>
              <w:insideV w:val="single" w:sz="4" w:space="0" w:color="000001"/>
            </w:tcBorders>
            <w:shd w:fill="FFFFFF" w:val="clear"/>
            <w:tcMar>
              <w:left w:w="93" w:type="dxa"/>
            </w:tcMar>
          </w:tcPr>
          <w:p>
            <w:pPr>
              <w:pStyle w:val="Normal"/>
              <w:rPr>
                <w:b/>
              </w:rPr>
            </w:pPr>
            <w:r>
              <w:rPr>
                <w:b/>
              </w:rPr>
            </w:r>
          </w:p>
        </w:tc>
      </w:tr>
      <w:tr>
        <w:trPr>
          <w:cantSplit w:val="false"/>
        </w:trPr>
        <w:tc>
          <w:tcPr>
            <w:tcW w:w="4676" w:type="dxa"/>
            <w:tcBorders>
              <w:top w:val="single" w:sz="4" w:space="0" w:color="000001"/>
              <w:left w:val="single" w:sz="4" w:space="0" w:color="000001"/>
              <w:bottom w:val="single" w:sz="4" w:space="0" w:color="000001"/>
              <w:insideH w:val="single" w:sz="4" w:space="0" w:color="000001"/>
              <w:right w:val="nil"/>
              <w:insideV w:val="nil"/>
            </w:tcBorders>
            <w:shd w:fill="FFFFFF" w:val="clear"/>
            <w:tcMar>
              <w:left w:w="93" w:type="dxa"/>
            </w:tcMar>
          </w:tcPr>
          <w:p>
            <w:pPr>
              <w:pStyle w:val="Normal"/>
              <w:rPr>
                <w:b w:val="false"/>
                <w:bCs w:val="false"/>
              </w:rPr>
            </w:pPr>
            <w:r>
              <w:rPr>
                <w:b w:val="false"/>
                <w:bCs w:val="false"/>
              </w:rPr>
              <w:t>Miestna organizácia Csemadoku</w:t>
            </w:r>
          </w:p>
        </w:tc>
        <w:tc>
          <w:tcPr>
            <w:tcW w:w="1984" w:type="dxa"/>
            <w:tcBorders>
              <w:top w:val="single" w:sz="4" w:space="0" w:color="000001"/>
              <w:left w:val="single" w:sz="4" w:space="0" w:color="000001"/>
              <w:bottom w:val="single" w:sz="4" w:space="0" w:color="000001"/>
              <w:insideH w:val="single" w:sz="4" w:space="0" w:color="000001"/>
              <w:right w:val="nil"/>
              <w:insideV w:val="nil"/>
            </w:tcBorders>
            <w:shd w:fill="FFFFFF" w:val="clear"/>
            <w:tcMar>
              <w:left w:w="93" w:type="dxa"/>
            </w:tcMar>
          </w:tcPr>
          <w:p>
            <w:pPr>
              <w:pStyle w:val="Normal"/>
              <w:rPr>
                <w:b w:val="false"/>
                <w:bCs w:val="false"/>
              </w:rPr>
            </w:pPr>
            <w:r>
              <w:rPr>
                <w:b w:val="false"/>
                <w:bCs w:val="false"/>
              </w:rPr>
              <w:t xml:space="preserve">              </w:t>
            </w:r>
            <w:r>
              <w:rPr>
                <w:b w:val="false"/>
                <w:bCs w:val="false"/>
              </w:rPr>
              <w:t xml:space="preserve">440    </w:t>
            </w:r>
          </w:p>
        </w:tc>
        <w:tc>
          <w:tcPr>
            <w:tcW w:w="1701" w:type="dxa"/>
            <w:tcBorders>
              <w:top w:val="single" w:sz="4" w:space="0" w:color="000001"/>
              <w:left w:val="single" w:sz="4" w:space="0" w:color="000001"/>
              <w:bottom w:val="single" w:sz="4" w:space="0" w:color="000001"/>
              <w:insideH w:val="single" w:sz="4" w:space="0" w:color="000001"/>
              <w:right w:val="nil"/>
              <w:insideV w:val="nil"/>
            </w:tcBorders>
            <w:shd w:fill="FFFFFF" w:val="clear"/>
            <w:tcMar>
              <w:left w:w="93" w:type="dxa"/>
            </w:tcMar>
          </w:tcPr>
          <w:p>
            <w:pPr>
              <w:pStyle w:val="Normal"/>
              <w:rPr>
                <w:b w:val="false"/>
                <w:bCs w:val="false"/>
              </w:rPr>
            </w:pPr>
            <w:r>
              <w:rPr>
                <w:b w:val="false"/>
                <w:bCs w:val="false"/>
              </w:rPr>
              <w:t xml:space="preserve">             </w:t>
            </w:r>
            <w:r>
              <w:rPr>
                <w:b w:val="false"/>
                <w:bCs w:val="false"/>
              </w:rPr>
              <w:t>440</w:t>
            </w:r>
          </w:p>
        </w:tc>
        <w:tc>
          <w:tcPr>
            <w:tcW w:w="1366" w:type="dxa"/>
            <w:tcBorders>
              <w:top w:val="single" w:sz="4" w:space="0" w:color="000001"/>
              <w:left w:val="single" w:sz="4" w:space="0" w:color="000001"/>
              <w:bottom w:val="single" w:sz="4" w:space="0" w:color="000001"/>
              <w:insideH w:val="single" w:sz="4" w:space="0" w:color="000001"/>
              <w:right w:val="single" w:sz="4" w:space="0" w:color="000001"/>
              <w:insideV w:val="single" w:sz="4" w:space="0" w:color="000001"/>
            </w:tcBorders>
            <w:shd w:fill="FFFFFF" w:val="clear"/>
            <w:tcMar>
              <w:left w:w="93" w:type="dxa"/>
            </w:tcMar>
          </w:tcPr>
          <w:p>
            <w:pPr>
              <w:pStyle w:val="Normal"/>
              <w:rPr>
                <w:b/>
              </w:rPr>
            </w:pPr>
            <w:r>
              <w:rPr>
                <w:b/>
              </w:rPr>
            </w:r>
          </w:p>
        </w:tc>
      </w:tr>
      <w:tr>
        <w:trPr>
          <w:cantSplit w:val="false"/>
        </w:trPr>
        <w:tc>
          <w:tcPr>
            <w:tcW w:w="4676" w:type="dxa"/>
            <w:tcBorders>
              <w:top w:val="single" w:sz="4" w:space="0" w:color="000001"/>
              <w:left w:val="single" w:sz="4" w:space="0" w:color="000001"/>
              <w:bottom w:val="single" w:sz="4" w:space="0" w:color="000001"/>
              <w:insideH w:val="single" w:sz="4" w:space="0" w:color="000001"/>
              <w:right w:val="nil"/>
              <w:insideV w:val="nil"/>
            </w:tcBorders>
            <w:shd w:fill="FFFFFF" w:val="clear"/>
            <w:tcMar>
              <w:left w:w="93" w:type="dxa"/>
            </w:tcMar>
          </w:tcPr>
          <w:p>
            <w:pPr>
              <w:pStyle w:val="Normal"/>
              <w:rPr>
                <w:b w:val="false"/>
                <w:bCs w:val="false"/>
              </w:rPr>
            </w:pPr>
            <w:r>
              <w:rPr>
                <w:b w:val="false"/>
                <w:bCs w:val="false"/>
              </w:rPr>
              <w:t>Miestna organizácia Skauti</w:t>
            </w:r>
          </w:p>
        </w:tc>
        <w:tc>
          <w:tcPr>
            <w:tcW w:w="1984" w:type="dxa"/>
            <w:tcBorders>
              <w:top w:val="single" w:sz="4" w:space="0" w:color="000001"/>
              <w:left w:val="single" w:sz="4" w:space="0" w:color="000001"/>
              <w:bottom w:val="single" w:sz="4" w:space="0" w:color="000001"/>
              <w:insideH w:val="single" w:sz="4" w:space="0" w:color="000001"/>
              <w:right w:val="nil"/>
              <w:insideV w:val="nil"/>
            </w:tcBorders>
            <w:shd w:fill="FFFFFF" w:val="clear"/>
            <w:tcMar>
              <w:left w:w="93" w:type="dxa"/>
            </w:tcMar>
          </w:tcPr>
          <w:p>
            <w:pPr>
              <w:pStyle w:val="Normal"/>
              <w:rPr>
                <w:b w:val="false"/>
                <w:bCs w:val="false"/>
              </w:rPr>
            </w:pPr>
            <w:r>
              <w:rPr>
                <w:b w:val="false"/>
                <w:bCs w:val="false"/>
              </w:rPr>
              <w:t xml:space="preserve">              </w:t>
            </w:r>
            <w:r>
              <w:rPr>
                <w:b w:val="false"/>
                <w:bCs w:val="false"/>
              </w:rPr>
              <w:t xml:space="preserve">100         </w:t>
            </w:r>
          </w:p>
        </w:tc>
        <w:tc>
          <w:tcPr>
            <w:tcW w:w="1701" w:type="dxa"/>
            <w:tcBorders>
              <w:top w:val="single" w:sz="4" w:space="0" w:color="000001"/>
              <w:left w:val="single" w:sz="4" w:space="0" w:color="000001"/>
              <w:bottom w:val="single" w:sz="4" w:space="0" w:color="000001"/>
              <w:insideH w:val="single" w:sz="4" w:space="0" w:color="000001"/>
              <w:right w:val="nil"/>
              <w:insideV w:val="nil"/>
            </w:tcBorders>
            <w:shd w:fill="FFFFFF" w:val="clear"/>
            <w:tcMar>
              <w:left w:w="93" w:type="dxa"/>
            </w:tcMar>
          </w:tcPr>
          <w:p>
            <w:pPr>
              <w:pStyle w:val="Normal"/>
              <w:rPr>
                <w:b w:val="false"/>
                <w:bCs w:val="false"/>
              </w:rPr>
            </w:pPr>
            <w:r>
              <w:rPr>
                <w:b w:val="false"/>
                <w:bCs w:val="false"/>
              </w:rPr>
              <w:t xml:space="preserve">             </w:t>
            </w:r>
            <w:r>
              <w:rPr>
                <w:b w:val="false"/>
                <w:bCs w:val="false"/>
              </w:rPr>
              <w:t>100</w:t>
            </w:r>
          </w:p>
        </w:tc>
        <w:tc>
          <w:tcPr>
            <w:tcW w:w="1366" w:type="dxa"/>
            <w:tcBorders>
              <w:top w:val="single" w:sz="4" w:space="0" w:color="000001"/>
              <w:left w:val="single" w:sz="4" w:space="0" w:color="000001"/>
              <w:bottom w:val="single" w:sz="4" w:space="0" w:color="000001"/>
              <w:insideH w:val="single" w:sz="4" w:space="0" w:color="000001"/>
              <w:right w:val="single" w:sz="4" w:space="0" w:color="000001"/>
              <w:insideV w:val="single" w:sz="4" w:space="0" w:color="000001"/>
            </w:tcBorders>
            <w:shd w:fill="FFFFFF" w:val="clear"/>
            <w:tcMar>
              <w:left w:w="93" w:type="dxa"/>
            </w:tcMar>
          </w:tcPr>
          <w:p>
            <w:pPr>
              <w:pStyle w:val="Normal"/>
              <w:rPr>
                <w:b/>
              </w:rPr>
            </w:pPr>
            <w:r>
              <w:rPr>
                <w:b/>
              </w:rPr>
            </w:r>
          </w:p>
        </w:tc>
      </w:tr>
      <w:tr>
        <w:trPr>
          <w:cantSplit w:val="false"/>
        </w:trPr>
        <w:tc>
          <w:tcPr>
            <w:tcW w:w="4676" w:type="dxa"/>
            <w:tcBorders>
              <w:top w:val="single" w:sz="4" w:space="0" w:color="000001"/>
              <w:left w:val="single" w:sz="4" w:space="0" w:color="000001"/>
              <w:bottom w:val="single" w:sz="4" w:space="0" w:color="000001"/>
              <w:insideH w:val="single" w:sz="4" w:space="0" w:color="000001"/>
              <w:right w:val="nil"/>
              <w:insideV w:val="nil"/>
            </w:tcBorders>
            <w:shd w:fill="FFFFFF" w:val="clear"/>
            <w:tcMar>
              <w:left w:w="93" w:type="dxa"/>
            </w:tcMar>
          </w:tcPr>
          <w:p>
            <w:pPr>
              <w:pStyle w:val="Normal"/>
              <w:rPr>
                <w:b w:val="false"/>
                <w:bCs w:val="false"/>
              </w:rPr>
            </w:pPr>
            <w:r>
              <w:rPr>
                <w:b w:val="false"/>
                <w:bCs w:val="false"/>
              </w:rPr>
              <w:t>Miestna organizácia ZŤP</w:t>
            </w:r>
          </w:p>
        </w:tc>
        <w:tc>
          <w:tcPr>
            <w:tcW w:w="1984" w:type="dxa"/>
            <w:tcBorders>
              <w:top w:val="single" w:sz="4" w:space="0" w:color="000001"/>
              <w:left w:val="single" w:sz="4" w:space="0" w:color="000001"/>
              <w:bottom w:val="single" w:sz="4" w:space="0" w:color="000001"/>
              <w:insideH w:val="single" w:sz="4" w:space="0" w:color="000001"/>
              <w:right w:val="nil"/>
              <w:insideV w:val="nil"/>
            </w:tcBorders>
            <w:shd w:fill="FFFFFF" w:val="clear"/>
            <w:tcMar>
              <w:left w:w="93" w:type="dxa"/>
            </w:tcMar>
          </w:tcPr>
          <w:p>
            <w:pPr>
              <w:pStyle w:val="Normal"/>
              <w:rPr>
                <w:b w:val="false"/>
                <w:bCs w:val="false"/>
              </w:rPr>
            </w:pPr>
            <w:r>
              <w:rPr>
                <w:b w:val="false"/>
                <w:bCs w:val="false"/>
              </w:rPr>
              <w:t xml:space="preserve">               </w:t>
            </w:r>
            <w:r>
              <w:rPr>
                <w:b w:val="false"/>
                <w:bCs w:val="false"/>
              </w:rPr>
              <w:t>350</w:t>
            </w:r>
          </w:p>
        </w:tc>
        <w:tc>
          <w:tcPr>
            <w:tcW w:w="1701" w:type="dxa"/>
            <w:tcBorders>
              <w:top w:val="single" w:sz="4" w:space="0" w:color="000001"/>
              <w:left w:val="single" w:sz="4" w:space="0" w:color="000001"/>
              <w:bottom w:val="single" w:sz="4" w:space="0" w:color="000001"/>
              <w:insideH w:val="single" w:sz="4" w:space="0" w:color="000001"/>
              <w:right w:val="nil"/>
              <w:insideV w:val="nil"/>
            </w:tcBorders>
            <w:shd w:fill="FFFFFF" w:val="clear"/>
            <w:tcMar>
              <w:left w:w="93" w:type="dxa"/>
            </w:tcMar>
          </w:tcPr>
          <w:p>
            <w:pPr>
              <w:pStyle w:val="Normal"/>
              <w:rPr>
                <w:b w:val="false"/>
                <w:bCs w:val="false"/>
              </w:rPr>
            </w:pPr>
            <w:r>
              <w:rPr>
                <w:b w:val="false"/>
                <w:bCs w:val="false"/>
              </w:rPr>
              <w:t xml:space="preserve">             </w:t>
            </w:r>
            <w:r>
              <w:rPr>
                <w:b w:val="false"/>
                <w:bCs w:val="false"/>
              </w:rPr>
              <w:t>350</w:t>
            </w:r>
          </w:p>
        </w:tc>
        <w:tc>
          <w:tcPr>
            <w:tcW w:w="1366" w:type="dxa"/>
            <w:tcBorders>
              <w:top w:val="single" w:sz="4" w:space="0" w:color="000001"/>
              <w:left w:val="single" w:sz="4" w:space="0" w:color="000001"/>
              <w:bottom w:val="single" w:sz="4" w:space="0" w:color="000001"/>
              <w:insideH w:val="single" w:sz="4" w:space="0" w:color="000001"/>
              <w:right w:val="single" w:sz="4" w:space="0" w:color="000001"/>
              <w:insideV w:val="single" w:sz="4" w:space="0" w:color="000001"/>
            </w:tcBorders>
            <w:shd w:fill="FFFFFF" w:val="clear"/>
            <w:tcMar>
              <w:left w:w="93" w:type="dxa"/>
            </w:tcMar>
          </w:tcPr>
          <w:p>
            <w:pPr>
              <w:pStyle w:val="Normal"/>
              <w:rPr>
                <w:b/>
              </w:rPr>
            </w:pPr>
            <w:r>
              <w:rPr>
                <w:b/>
              </w:rPr>
            </w:r>
          </w:p>
        </w:tc>
      </w:tr>
      <w:tr>
        <w:trPr>
          <w:cantSplit w:val="false"/>
        </w:trPr>
        <w:tc>
          <w:tcPr>
            <w:tcW w:w="4676" w:type="dxa"/>
            <w:tcBorders>
              <w:top w:val="single" w:sz="4" w:space="0" w:color="000001"/>
              <w:left w:val="single" w:sz="4" w:space="0" w:color="000001"/>
              <w:bottom w:val="single" w:sz="4" w:space="0" w:color="000001"/>
              <w:insideH w:val="single" w:sz="4" w:space="0" w:color="000001"/>
              <w:right w:val="nil"/>
              <w:insideV w:val="nil"/>
            </w:tcBorders>
            <w:shd w:fill="FFFFFF" w:val="clear"/>
            <w:tcMar>
              <w:left w:w="93" w:type="dxa"/>
            </w:tcMar>
          </w:tcPr>
          <w:p>
            <w:pPr>
              <w:pStyle w:val="Normal"/>
              <w:rPr>
                <w:b w:val="false"/>
                <w:bCs w:val="false"/>
              </w:rPr>
            </w:pPr>
            <w:r>
              <w:rPr>
                <w:b w:val="false"/>
                <w:bCs w:val="false"/>
              </w:rPr>
              <w:t>Miestna organizácia SČK</w:t>
            </w:r>
          </w:p>
        </w:tc>
        <w:tc>
          <w:tcPr>
            <w:tcW w:w="1984" w:type="dxa"/>
            <w:tcBorders>
              <w:top w:val="single" w:sz="4" w:space="0" w:color="000001"/>
              <w:left w:val="single" w:sz="4" w:space="0" w:color="000001"/>
              <w:bottom w:val="single" w:sz="4" w:space="0" w:color="000001"/>
              <w:insideH w:val="single" w:sz="4" w:space="0" w:color="000001"/>
              <w:right w:val="nil"/>
              <w:insideV w:val="nil"/>
            </w:tcBorders>
            <w:shd w:fill="FFFFFF" w:val="clear"/>
            <w:tcMar>
              <w:left w:w="93" w:type="dxa"/>
            </w:tcMar>
          </w:tcPr>
          <w:p>
            <w:pPr>
              <w:pStyle w:val="Normal"/>
              <w:rPr>
                <w:b w:val="false"/>
                <w:bCs w:val="false"/>
              </w:rPr>
            </w:pPr>
            <w:r>
              <w:rPr>
                <w:b w:val="false"/>
                <w:bCs w:val="false"/>
              </w:rPr>
              <w:t xml:space="preserve">              </w:t>
            </w:r>
            <w:r>
              <w:rPr>
                <w:b w:val="false"/>
                <w:bCs w:val="false"/>
              </w:rPr>
              <w:t>400</w:t>
            </w:r>
          </w:p>
        </w:tc>
        <w:tc>
          <w:tcPr>
            <w:tcW w:w="1701" w:type="dxa"/>
            <w:tcBorders>
              <w:top w:val="single" w:sz="4" w:space="0" w:color="000001"/>
              <w:left w:val="single" w:sz="4" w:space="0" w:color="000001"/>
              <w:bottom w:val="single" w:sz="4" w:space="0" w:color="000001"/>
              <w:insideH w:val="single" w:sz="4" w:space="0" w:color="000001"/>
              <w:right w:val="nil"/>
              <w:insideV w:val="nil"/>
            </w:tcBorders>
            <w:shd w:fill="FFFFFF" w:val="clear"/>
            <w:tcMar>
              <w:left w:w="93" w:type="dxa"/>
            </w:tcMar>
          </w:tcPr>
          <w:p>
            <w:pPr>
              <w:pStyle w:val="Normal"/>
              <w:rPr>
                <w:b w:val="false"/>
                <w:bCs w:val="false"/>
              </w:rPr>
            </w:pPr>
            <w:r>
              <w:rPr>
                <w:b w:val="false"/>
                <w:bCs w:val="false"/>
              </w:rPr>
              <w:t xml:space="preserve">             </w:t>
            </w:r>
            <w:r>
              <w:rPr>
                <w:b w:val="false"/>
                <w:bCs w:val="false"/>
              </w:rPr>
              <w:t>400</w:t>
            </w:r>
          </w:p>
        </w:tc>
        <w:tc>
          <w:tcPr>
            <w:tcW w:w="1366" w:type="dxa"/>
            <w:tcBorders>
              <w:top w:val="single" w:sz="4" w:space="0" w:color="000001"/>
              <w:left w:val="single" w:sz="4" w:space="0" w:color="000001"/>
              <w:bottom w:val="single" w:sz="4" w:space="0" w:color="000001"/>
              <w:insideH w:val="single" w:sz="4" w:space="0" w:color="000001"/>
              <w:right w:val="single" w:sz="4" w:space="0" w:color="000001"/>
              <w:insideV w:val="single" w:sz="4" w:space="0" w:color="000001"/>
            </w:tcBorders>
            <w:shd w:fill="FFFFFF" w:val="clear"/>
            <w:tcMar>
              <w:left w:w="93" w:type="dxa"/>
            </w:tcMar>
          </w:tcPr>
          <w:p>
            <w:pPr>
              <w:pStyle w:val="Normal"/>
              <w:rPr>
                <w:b/>
              </w:rPr>
            </w:pPr>
            <w:r>
              <w:rPr>
                <w:b/>
              </w:rPr>
            </w:r>
          </w:p>
        </w:tc>
      </w:tr>
    </w:tbl>
    <w:p>
      <w:pPr>
        <w:pStyle w:val="Normal"/>
        <w:tabs>
          <w:tab w:val="left" w:pos="3060" w:leader="none"/>
          <w:tab w:val="left" w:pos="5400" w:leader="none"/>
          <w:tab w:val="left" w:pos="7560" w:leader="none"/>
        </w:tabs>
        <w:ind w:left="360" w:right="0" w:hanging="0"/>
        <w:jc w:val="both"/>
        <w:rPr/>
      </w:pPr>
      <w:r>
        <w:rPr/>
      </w:r>
    </w:p>
    <w:p>
      <w:pPr>
        <w:pStyle w:val="Normal"/>
        <w:jc w:val="both"/>
        <w:rPr/>
      </w:pPr>
      <w:r>
        <w:rPr/>
        <w:t>K 31.12.2014 boli vyúčtované všetky dotácie, ktoré boli poskytnuté v súlade so VZN č. 5/2013 o dotáciách.</w:t>
      </w:r>
    </w:p>
    <w:p>
      <w:pPr>
        <w:pStyle w:val="Normal"/>
        <w:jc w:val="both"/>
        <w:rPr/>
      </w:pPr>
      <w:r>
        <w:rPr/>
      </w:r>
    </w:p>
    <w:p>
      <w:pPr>
        <w:pStyle w:val="Normal"/>
        <w:rPr/>
      </w:pPr>
      <w:r>
        <w:rPr/>
      </w:r>
    </w:p>
    <w:p>
      <w:pPr>
        <w:pStyle w:val="Normal"/>
        <w:rPr>
          <w:b/>
          <w:color w:val="0000FF"/>
          <w:sz w:val="28"/>
          <w:szCs w:val="28"/>
        </w:rPr>
      </w:pPr>
      <w:r>
        <w:rPr>
          <w:b/>
          <w:color w:val="0000FF"/>
          <w:sz w:val="28"/>
          <w:szCs w:val="28"/>
        </w:rPr>
        <w:t xml:space="preserve">11. Finančné usporiadanie vzťahov voči </w:t>
      </w:r>
    </w:p>
    <w:p>
      <w:pPr>
        <w:pStyle w:val="Normal"/>
        <w:rPr>
          <w:b/>
          <w:color w:val="0000FF"/>
          <w:sz w:val="28"/>
          <w:szCs w:val="28"/>
          <w:u w:val="single"/>
        </w:rPr>
      </w:pPr>
      <w:r>
        <w:rPr>
          <w:b/>
          <w:color w:val="0000FF"/>
          <w:sz w:val="28"/>
          <w:szCs w:val="28"/>
          <w:u w:val="single"/>
        </w:rPr>
      </w:r>
    </w:p>
    <w:p>
      <w:pPr>
        <w:pStyle w:val="Normal"/>
        <w:numPr>
          <w:ilvl w:val="1"/>
          <w:numId w:val="13"/>
        </w:numPr>
        <w:tabs>
          <w:tab w:val="left" w:pos="426" w:leader="none"/>
        </w:tabs>
        <w:ind w:left="426" w:right="0" w:hanging="360"/>
        <w:rPr/>
      </w:pPr>
      <w:r>
        <w:rPr/>
        <w:t>zriadeným a založeným právnickým osobám</w:t>
      </w:r>
    </w:p>
    <w:p>
      <w:pPr>
        <w:pStyle w:val="Normal"/>
        <w:numPr>
          <w:ilvl w:val="1"/>
          <w:numId w:val="13"/>
        </w:numPr>
        <w:tabs>
          <w:tab w:val="left" w:pos="426" w:leader="none"/>
        </w:tabs>
        <w:ind w:left="426" w:right="0" w:hanging="360"/>
        <w:rPr/>
      </w:pPr>
      <w:r>
        <w:rPr/>
        <w:t>štátnemu rozpočtu</w:t>
      </w:r>
    </w:p>
    <w:p>
      <w:pPr>
        <w:pStyle w:val="Normal"/>
        <w:numPr>
          <w:ilvl w:val="1"/>
          <w:numId w:val="13"/>
        </w:numPr>
        <w:tabs>
          <w:tab w:val="left" w:pos="426" w:leader="none"/>
        </w:tabs>
        <w:ind w:left="426" w:right="0" w:hanging="360"/>
        <w:rPr/>
      </w:pPr>
      <w:r>
        <w:rPr/>
        <w:t>štátnym fondom</w:t>
      </w:r>
    </w:p>
    <w:p>
      <w:pPr>
        <w:pStyle w:val="Normal"/>
        <w:numPr>
          <w:ilvl w:val="1"/>
          <w:numId w:val="13"/>
        </w:numPr>
        <w:tabs>
          <w:tab w:val="left" w:pos="426" w:leader="none"/>
        </w:tabs>
        <w:ind w:left="426" w:right="0" w:hanging="360"/>
        <w:rPr/>
      </w:pPr>
      <w:r>
        <w:rPr/>
        <w:t>rozpočtom iných obcí</w:t>
      </w:r>
    </w:p>
    <w:p>
      <w:pPr>
        <w:pStyle w:val="Normal"/>
        <w:numPr>
          <w:ilvl w:val="1"/>
          <w:numId w:val="13"/>
        </w:numPr>
        <w:tabs>
          <w:tab w:val="left" w:pos="426" w:leader="none"/>
        </w:tabs>
        <w:ind w:left="426" w:right="0" w:hanging="360"/>
        <w:rPr/>
      </w:pPr>
      <w:r>
        <w:rPr/>
        <w:t>rozpočtom VÚC</w:t>
      </w:r>
    </w:p>
    <w:p>
      <w:pPr>
        <w:pStyle w:val="Normal"/>
        <w:ind w:left="720" w:right="0" w:hanging="0"/>
        <w:rPr/>
      </w:pPr>
      <w:r>
        <w:rPr/>
      </w:r>
    </w:p>
    <w:p>
      <w:pPr>
        <w:pStyle w:val="Normal"/>
        <w:jc w:val="both"/>
        <w:rPr/>
      </w:pPr>
      <w:r>
        <w:rPr/>
        <w:t>V súlade s ustanovením § 16 ods.2 zákona č.583/2004 o rozpočtových pravidlách územnej samosprávy a o zmene a doplnení niektorých zákonov v znení neskorších predpisov má obec finančne usporiadať svoje hospodárenie vrátane finančných vzťahov k zriadeným alebo založeným právnickým osobám,  fyzickým osobám - podnikateľom a právnickým osobám, ktorým poskytli finančné prostriedky svojho rozpočtu, ďalej usporiadať finančné vzťahy k štátnemu rozpočtu, štátnym fondom, rozpočtom iných obcí a k rozpočtom VÚC.</w:t>
      </w:r>
    </w:p>
    <w:p>
      <w:pPr>
        <w:pStyle w:val="Normal"/>
        <w:ind w:left="360" w:right="0" w:hanging="0"/>
        <w:jc w:val="both"/>
        <w:rPr/>
      </w:pPr>
      <w:r>
        <w:rPr/>
      </w:r>
    </w:p>
    <w:p>
      <w:pPr>
        <w:pStyle w:val="Normal"/>
        <w:tabs>
          <w:tab w:val="left" w:pos="426" w:leader="none"/>
        </w:tabs>
        <w:ind w:left="426" w:right="0" w:hanging="426"/>
        <w:jc w:val="both"/>
        <w:rPr>
          <w:color w:val="0000FF"/>
          <w:u w:val="single"/>
        </w:rPr>
      </w:pPr>
      <w:r>
        <w:rPr>
          <w:color w:val="0000FF"/>
          <w:u w:val="single"/>
        </w:rPr>
      </w:r>
    </w:p>
    <w:p>
      <w:pPr>
        <w:pStyle w:val="Normal"/>
        <w:ind w:left="426" w:right="0" w:hanging="0"/>
        <w:jc w:val="both"/>
        <w:rPr/>
      </w:pPr>
      <w:r>
        <w:rPr/>
      </w:r>
    </w:p>
    <w:p>
      <w:pPr>
        <w:pStyle w:val="Normal"/>
        <w:jc w:val="both"/>
        <w:rPr>
          <w:color w:val="FF0000"/>
          <w:u w:val="single"/>
        </w:rPr>
      </w:pPr>
      <w:r>
        <w:rPr>
          <w:color w:val="FF0000"/>
          <w:u w:val="single"/>
        </w:rPr>
      </w:r>
    </w:p>
    <w:p>
      <w:pPr>
        <w:pStyle w:val="Normal"/>
        <w:jc w:val="both"/>
        <w:rPr>
          <w:color w:val="FF0000"/>
          <w:u w:val="single"/>
        </w:rPr>
      </w:pPr>
      <w:r>
        <w:rPr>
          <w:color w:val="FF0000"/>
          <w:u w:val="single"/>
        </w:rPr>
      </w:r>
    </w:p>
    <w:p>
      <w:pPr>
        <w:pStyle w:val="Normal"/>
        <w:tabs>
          <w:tab w:val="left" w:pos="284" w:leader="none"/>
        </w:tabs>
        <w:ind w:left="284" w:right="0" w:hanging="284"/>
        <w:jc w:val="both"/>
        <w:rPr>
          <w:b/>
        </w:rPr>
      </w:pPr>
      <w:r>
        <w:rPr>
          <w:b/>
        </w:rPr>
      </w:r>
    </w:p>
    <w:p>
      <w:pPr>
        <w:pStyle w:val="Normal"/>
        <w:ind w:left="360" w:right="0" w:hanging="0"/>
        <w:jc w:val="both"/>
        <w:rPr>
          <w:b/>
        </w:rPr>
      </w:pPr>
      <w:r>
        <w:rPr>
          <w:b/>
        </w:rPr>
      </w:r>
    </w:p>
    <w:p>
      <w:pPr>
        <w:pStyle w:val="Normal"/>
        <w:ind w:left="360" w:right="0" w:hanging="0"/>
        <w:jc w:val="both"/>
        <w:rPr/>
      </w:pPr>
      <w:r>
        <w:rPr/>
      </w:r>
    </w:p>
    <w:p>
      <w:pPr>
        <w:pStyle w:val="Normal"/>
        <w:jc w:val="both"/>
        <w:rPr/>
      </w:pPr>
      <w:r>
        <w:rPr/>
      </w:r>
    </w:p>
    <w:p>
      <w:pPr>
        <w:pStyle w:val="Normal"/>
        <w:widowControl/>
        <w:suppressAutoHyphens w:val="true"/>
        <w:bidi w:val="0"/>
        <w:ind w:left="-113" w:right="0" w:hanging="0"/>
        <w:jc w:val="both"/>
        <w:rPr>
          <w:color w:val="0000FF"/>
          <w:u w:val="single"/>
        </w:rPr>
      </w:pPr>
      <w:r>
        <w:rPr>
          <w:color w:val="0000FF"/>
          <w:u w:val="single"/>
        </w:rPr>
      </w:r>
    </w:p>
    <w:p>
      <w:pPr>
        <w:pStyle w:val="Normal"/>
        <w:widowControl/>
        <w:suppressAutoHyphens w:val="true"/>
        <w:bidi w:val="0"/>
        <w:ind w:left="-113" w:right="0" w:hanging="0"/>
        <w:jc w:val="both"/>
        <w:rPr>
          <w:color w:val="0000FF"/>
          <w:u w:val="single"/>
        </w:rPr>
      </w:pPr>
      <w:r>
        <w:rPr>
          <w:color w:val="0000FF"/>
          <w:u w:val="single"/>
        </w:rPr>
      </w:r>
    </w:p>
    <w:p>
      <w:pPr>
        <w:pStyle w:val="Normal"/>
        <w:widowControl/>
        <w:suppressAutoHyphens w:val="true"/>
        <w:bidi w:val="0"/>
        <w:ind w:left="-113" w:right="0" w:hanging="0"/>
        <w:jc w:val="both"/>
        <w:rPr>
          <w:color w:val="0000FF"/>
          <w:u w:val="single"/>
        </w:rPr>
      </w:pPr>
      <w:r>
        <w:rPr>
          <w:color w:val="0000FF"/>
          <w:u w:val="single"/>
        </w:rPr>
      </w:r>
    </w:p>
    <w:p>
      <w:pPr>
        <w:pStyle w:val="Normal"/>
        <w:numPr>
          <w:ilvl w:val="0"/>
          <w:numId w:val="14"/>
        </w:numPr>
        <w:tabs>
          <w:tab w:val="left" w:pos="426" w:leader="none"/>
        </w:tabs>
        <w:ind w:left="426" w:right="0" w:hanging="360"/>
        <w:jc w:val="both"/>
        <w:rPr>
          <w:color w:val="0000FF"/>
          <w:u w:val="single"/>
        </w:rPr>
      </w:pPr>
      <w:r>
        <w:rPr>
          <w:color w:val="0000FF"/>
          <w:u w:val="single"/>
        </w:rPr>
        <w:t>Finančné usporiadanie voči štátnemu rozpočtu:</w:t>
      </w:r>
    </w:p>
    <w:p>
      <w:pPr>
        <w:pStyle w:val="Normal"/>
        <w:ind w:left="360" w:right="0" w:hanging="0"/>
        <w:jc w:val="both"/>
        <w:rPr/>
      </w:pPr>
      <w:r>
        <w:rPr/>
      </w:r>
    </w:p>
    <w:tbl>
      <w:tblPr>
        <w:jc w:val="left"/>
        <w:tblInd w:w="98" w:type="dxa"/>
        <w:tblBorders>
          <w:top w:val="single" w:sz="4" w:space="0" w:color="000001"/>
          <w:left w:val="single" w:sz="4" w:space="0" w:color="000001"/>
          <w:bottom w:val="single" w:sz="4" w:space="0" w:color="000001"/>
          <w:insideH w:val="single" w:sz="4" w:space="0" w:color="000001"/>
          <w:right w:val="nil"/>
          <w:insideV w:val="nil"/>
        </w:tblBorders>
        <w:tblCellMar>
          <w:top w:w="0" w:type="dxa"/>
          <w:left w:w="93" w:type="dxa"/>
          <w:bottom w:w="0" w:type="dxa"/>
          <w:right w:w="108" w:type="dxa"/>
        </w:tblCellMar>
      </w:tblPr>
      <w:tblGrid>
        <w:gridCol w:w="1437"/>
        <w:gridCol w:w="4089"/>
        <w:gridCol w:w="1559"/>
        <w:gridCol w:w="1559"/>
        <w:gridCol w:w="1369"/>
      </w:tblGrid>
      <w:tr>
        <w:trPr>
          <w:cantSplit w:val="false"/>
        </w:trPr>
        <w:tc>
          <w:tcPr>
            <w:tcW w:w="1437" w:type="dxa"/>
            <w:tcBorders>
              <w:top w:val="single" w:sz="4" w:space="0" w:color="000001"/>
              <w:left w:val="single" w:sz="4" w:space="0" w:color="000001"/>
              <w:bottom w:val="single" w:sz="4" w:space="0" w:color="000001"/>
              <w:insideH w:val="single" w:sz="4" w:space="0" w:color="000001"/>
              <w:right w:val="nil"/>
              <w:insideV w:val="nil"/>
            </w:tcBorders>
            <w:shd w:fill="D9D9D9" w:val="clear"/>
            <w:tcMar>
              <w:left w:w="93" w:type="dxa"/>
            </w:tcMar>
          </w:tcPr>
          <w:p>
            <w:pPr>
              <w:pStyle w:val="Normal"/>
              <w:rPr>
                <w:b/>
                <w:sz w:val="20"/>
                <w:szCs w:val="20"/>
              </w:rPr>
            </w:pPr>
            <w:r>
              <w:rPr>
                <w:b/>
                <w:sz w:val="20"/>
                <w:szCs w:val="20"/>
              </w:rPr>
              <w:t xml:space="preserve">Poskytovateľ </w:t>
            </w:r>
          </w:p>
          <w:p>
            <w:pPr>
              <w:pStyle w:val="Normal"/>
              <w:rPr>
                <w:b/>
                <w:sz w:val="20"/>
                <w:szCs w:val="20"/>
              </w:rPr>
            </w:pPr>
            <w:r>
              <w:rPr>
                <w:b/>
                <w:sz w:val="20"/>
                <w:szCs w:val="20"/>
              </w:rPr>
            </w:r>
          </w:p>
          <w:p>
            <w:pPr>
              <w:pStyle w:val="Normal"/>
              <w:rPr>
                <w:b/>
                <w:sz w:val="20"/>
                <w:szCs w:val="20"/>
              </w:rPr>
            </w:pPr>
            <w:r>
              <w:rPr>
                <w:b/>
                <w:sz w:val="20"/>
                <w:szCs w:val="20"/>
              </w:rPr>
            </w:r>
          </w:p>
          <w:p>
            <w:pPr>
              <w:pStyle w:val="Normal"/>
              <w:rPr>
                <w:b/>
                <w:sz w:val="20"/>
                <w:szCs w:val="20"/>
              </w:rPr>
            </w:pPr>
            <w:r>
              <w:rPr>
                <w:b/>
                <w:sz w:val="20"/>
                <w:szCs w:val="20"/>
              </w:rPr>
              <w:t xml:space="preserve">   </w:t>
            </w:r>
          </w:p>
          <w:p>
            <w:pPr>
              <w:pStyle w:val="Normal"/>
              <w:rPr>
                <w:b/>
                <w:sz w:val="20"/>
                <w:szCs w:val="20"/>
              </w:rPr>
            </w:pPr>
            <w:r>
              <w:rPr>
                <w:b/>
                <w:sz w:val="20"/>
                <w:szCs w:val="20"/>
              </w:rPr>
              <w:t xml:space="preserve">        </w:t>
            </w:r>
            <w:r>
              <w:rPr>
                <w:b/>
                <w:sz w:val="20"/>
                <w:szCs w:val="20"/>
              </w:rPr>
              <w:t>- 1 -</w:t>
            </w:r>
          </w:p>
        </w:tc>
        <w:tc>
          <w:tcPr>
            <w:tcW w:w="4089" w:type="dxa"/>
            <w:tcBorders>
              <w:top w:val="single" w:sz="4" w:space="0" w:color="000001"/>
              <w:left w:val="single" w:sz="4" w:space="0" w:color="000001"/>
              <w:bottom w:val="single" w:sz="4" w:space="0" w:color="000001"/>
              <w:insideH w:val="single" w:sz="4" w:space="0" w:color="000001"/>
              <w:right w:val="nil"/>
              <w:insideV w:val="nil"/>
            </w:tcBorders>
            <w:shd w:fill="D9D9D9" w:val="clear"/>
            <w:tcMar>
              <w:left w:w="93" w:type="dxa"/>
            </w:tcMar>
          </w:tcPr>
          <w:p>
            <w:pPr>
              <w:pStyle w:val="Normal"/>
              <w:rPr>
                <w:b/>
                <w:sz w:val="20"/>
                <w:szCs w:val="20"/>
              </w:rPr>
            </w:pPr>
            <w:r>
              <w:rPr>
                <w:b/>
                <w:sz w:val="20"/>
                <w:szCs w:val="20"/>
              </w:rPr>
              <w:t xml:space="preserve">Účelové určenie grantu, transferu uviesť : školstvo, matrika, .... </w:t>
            </w:r>
          </w:p>
          <w:p>
            <w:pPr>
              <w:pStyle w:val="Normal"/>
              <w:rPr>
                <w:b/>
                <w:sz w:val="20"/>
                <w:szCs w:val="20"/>
              </w:rPr>
            </w:pPr>
            <w:r>
              <w:rPr>
                <w:b/>
                <w:sz w:val="20"/>
                <w:szCs w:val="20"/>
              </w:rPr>
              <w:t>- bežné výdavky</w:t>
            </w:r>
          </w:p>
          <w:p>
            <w:pPr>
              <w:pStyle w:val="Normal"/>
              <w:rPr>
                <w:b/>
                <w:sz w:val="20"/>
                <w:szCs w:val="20"/>
              </w:rPr>
            </w:pPr>
            <w:r>
              <w:rPr>
                <w:b/>
                <w:sz w:val="20"/>
                <w:szCs w:val="20"/>
              </w:rPr>
              <w:t>- kapitálové výdavky</w:t>
            </w:r>
          </w:p>
          <w:p>
            <w:pPr>
              <w:pStyle w:val="Normal"/>
              <w:jc w:val="center"/>
              <w:rPr>
                <w:b/>
                <w:sz w:val="20"/>
                <w:szCs w:val="20"/>
              </w:rPr>
            </w:pPr>
            <w:r>
              <w:rPr>
                <w:b/>
                <w:sz w:val="20"/>
                <w:szCs w:val="20"/>
              </w:rPr>
              <w:t>- 2 -</w:t>
            </w:r>
          </w:p>
        </w:tc>
        <w:tc>
          <w:tcPr>
            <w:tcW w:w="1559" w:type="dxa"/>
            <w:tcBorders>
              <w:top w:val="single" w:sz="4" w:space="0" w:color="000001"/>
              <w:left w:val="single" w:sz="4" w:space="0" w:color="000001"/>
              <w:bottom w:val="single" w:sz="4" w:space="0" w:color="000001"/>
              <w:insideH w:val="single" w:sz="4" w:space="0" w:color="000001"/>
              <w:right w:val="nil"/>
              <w:insideV w:val="nil"/>
            </w:tcBorders>
            <w:shd w:fill="D9D9D9" w:val="clear"/>
            <w:tcMar>
              <w:left w:w="93" w:type="dxa"/>
            </w:tcMar>
          </w:tcPr>
          <w:p>
            <w:pPr>
              <w:pStyle w:val="Normal"/>
              <w:rPr>
                <w:b/>
                <w:sz w:val="20"/>
                <w:szCs w:val="20"/>
              </w:rPr>
            </w:pPr>
            <w:r>
              <w:rPr>
                <w:b/>
                <w:sz w:val="20"/>
                <w:szCs w:val="20"/>
              </w:rPr>
              <w:t>Suma  poskytnutých</w:t>
            </w:r>
          </w:p>
          <w:p>
            <w:pPr>
              <w:pStyle w:val="Normal"/>
              <w:rPr>
                <w:b/>
                <w:sz w:val="20"/>
                <w:szCs w:val="20"/>
              </w:rPr>
            </w:pPr>
            <w:r>
              <w:rPr>
                <w:b/>
                <w:sz w:val="20"/>
                <w:szCs w:val="20"/>
              </w:rPr>
              <w:t xml:space="preserve">finančných prostriedkov </w:t>
            </w:r>
          </w:p>
          <w:p>
            <w:pPr>
              <w:pStyle w:val="Normal"/>
              <w:jc w:val="center"/>
              <w:rPr>
                <w:b/>
                <w:sz w:val="20"/>
                <w:szCs w:val="20"/>
              </w:rPr>
            </w:pPr>
            <w:r>
              <w:rPr>
                <w:b/>
                <w:sz w:val="20"/>
                <w:szCs w:val="20"/>
              </w:rPr>
              <w:t>- 3 -</w:t>
            </w:r>
          </w:p>
        </w:tc>
        <w:tc>
          <w:tcPr>
            <w:tcW w:w="1559" w:type="dxa"/>
            <w:tcBorders>
              <w:top w:val="single" w:sz="4" w:space="0" w:color="000001"/>
              <w:left w:val="single" w:sz="4" w:space="0" w:color="000001"/>
              <w:bottom w:val="single" w:sz="4" w:space="0" w:color="000001"/>
              <w:insideH w:val="single" w:sz="4" w:space="0" w:color="000001"/>
              <w:right w:val="nil"/>
              <w:insideV w:val="nil"/>
            </w:tcBorders>
            <w:shd w:fill="D9D9D9" w:val="clear"/>
            <w:tcMar>
              <w:left w:w="93" w:type="dxa"/>
            </w:tcMar>
          </w:tcPr>
          <w:p>
            <w:pPr>
              <w:pStyle w:val="Normal"/>
              <w:rPr>
                <w:b/>
                <w:sz w:val="20"/>
                <w:szCs w:val="20"/>
              </w:rPr>
            </w:pPr>
            <w:r>
              <w:rPr>
                <w:b/>
                <w:sz w:val="20"/>
                <w:szCs w:val="20"/>
              </w:rPr>
              <w:t xml:space="preserve">Suma skutočne použitých finančných prostriedkov  </w:t>
            </w:r>
          </w:p>
          <w:p>
            <w:pPr>
              <w:pStyle w:val="Normal"/>
              <w:jc w:val="center"/>
              <w:rPr>
                <w:b/>
                <w:sz w:val="20"/>
                <w:szCs w:val="20"/>
              </w:rPr>
            </w:pPr>
            <w:r>
              <w:rPr>
                <w:b/>
                <w:sz w:val="20"/>
                <w:szCs w:val="20"/>
              </w:rPr>
              <w:t>- 4 -</w:t>
            </w:r>
          </w:p>
        </w:tc>
        <w:tc>
          <w:tcPr>
            <w:tcW w:w="1369" w:type="dxa"/>
            <w:tcBorders>
              <w:top w:val="single" w:sz="4" w:space="0" w:color="000001"/>
              <w:left w:val="single" w:sz="4" w:space="0" w:color="000001"/>
              <w:bottom w:val="single" w:sz="4" w:space="0" w:color="000001"/>
              <w:insideH w:val="single" w:sz="4" w:space="0" w:color="000001"/>
              <w:right w:val="single" w:sz="4" w:space="0" w:color="000001"/>
              <w:insideV w:val="single" w:sz="4" w:space="0" w:color="000001"/>
            </w:tcBorders>
            <w:shd w:fill="D9D9D9" w:val="clear"/>
            <w:tcMar>
              <w:left w:w="93" w:type="dxa"/>
            </w:tcMar>
          </w:tcPr>
          <w:p>
            <w:pPr>
              <w:pStyle w:val="Normal"/>
              <w:rPr>
                <w:b/>
                <w:sz w:val="20"/>
                <w:szCs w:val="20"/>
              </w:rPr>
            </w:pPr>
            <w:r>
              <w:rPr>
                <w:b/>
                <w:sz w:val="20"/>
                <w:szCs w:val="20"/>
              </w:rPr>
              <w:t>Rozdiel</w:t>
            </w:r>
          </w:p>
          <w:p>
            <w:pPr>
              <w:pStyle w:val="Normal"/>
              <w:rPr>
                <w:b/>
                <w:sz w:val="20"/>
                <w:szCs w:val="20"/>
              </w:rPr>
            </w:pPr>
            <w:r>
              <w:rPr>
                <w:b/>
                <w:sz w:val="20"/>
                <w:szCs w:val="20"/>
              </w:rPr>
              <w:t>(stĺ.3 - stĺ.4 )</w:t>
            </w:r>
          </w:p>
          <w:p>
            <w:pPr>
              <w:pStyle w:val="Normal"/>
              <w:rPr>
                <w:b/>
                <w:sz w:val="20"/>
                <w:szCs w:val="20"/>
              </w:rPr>
            </w:pPr>
            <w:r>
              <w:rPr>
                <w:b/>
                <w:sz w:val="20"/>
                <w:szCs w:val="20"/>
              </w:rPr>
            </w:r>
          </w:p>
          <w:p>
            <w:pPr>
              <w:pStyle w:val="Normal"/>
              <w:rPr>
                <w:b/>
                <w:sz w:val="20"/>
                <w:szCs w:val="20"/>
              </w:rPr>
            </w:pPr>
            <w:r>
              <w:rPr>
                <w:b/>
                <w:sz w:val="20"/>
                <w:szCs w:val="20"/>
              </w:rPr>
            </w:r>
          </w:p>
          <w:p>
            <w:pPr>
              <w:pStyle w:val="Normal"/>
              <w:jc w:val="center"/>
              <w:rPr>
                <w:b/>
                <w:sz w:val="20"/>
                <w:szCs w:val="20"/>
              </w:rPr>
            </w:pPr>
            <w:r>
              <w:rPr>
                <w:b/>
                <w:sz w:val="20"/>
                <w:szCs w:val="20"/>
              </w:rPr>
              <w:t>- 5 -</w:t>
            </w:r>
          </w:p>
        </w:tc>
      </w:tr>
      <w:tr>
        <w:trPr>
          <w:cantSplit w:val="false"/>
        </w:trPr>
        <w:tc>
          <w:tcPr>
            <w:tcW w:w="1437" w:type="dxa"/>
            <w:tcBorders>
              <w:top w:val="single" w:sz="4" w:space="0" w:color="000001"/>
              <w:left w:val="single" w:sz="4" w:space="0" w:color="000001"/>
              <w:bottom w:val="single" w:sz="4" w:space="0" w:color="000001"/>
              <w:insideH w:val="single" w:sz="4" w:space="0" w:color="000001"/>
              <w:right w:val="nil"/>
              <w:insideV w:val="nil"/>
            </w:tcBorders>
            <w:shd w:fill="FFFFFF" w:val="clear"/>
            <w:tcMar>
              <w:left w:w="93" w:type="dxa"/>
            </w:tcMar>
          </w:tcPr>
          <w:p>
            <w:pPr>
              <w:pStyle w:val="Normal"/>
              <w:spacing w:lineRule="auto" w:line="360"/>
              <w:rPr>
                <w:b/>
              </w:rPr>
            </w:pPr>
            <w:r>
              <w:rPr>
                <w:b/>
              </w:rPr>
              <w:t>MF KSU</w:t>
            </w:r>
          </w:p>
        </w:tc>
        <w:tc>
          <w:tcPr>
            <w:tcW w:w="4089" w:type="dxa"/>
            <w:tcBorders>
              <w:top w:val="single" w:sz="4" w:space="0" w:color="000001"/>
              <w:left w:val="single" w:sz="4" w:space="0" w:color="000001"/>
              <w:bottom w:val="single" w:sz="4" w:space="0" w:color="000001"/>
              <w:insideH w:val="single" w:sz="4" w:space="0" w:color="000001"/>
              <w:right w:val="nil"/>
              <w:insideV w:val="nil"/>
            </w:tcBorders>
            <w:shd w:fill="FFFFFF" w:val="clear"/>
            <w:tcMar>
              <w:left w:w="93" w:type="dxa"/>
            </w:tcMar>
          </w:tcPr>
          <w:p>
            <w:pPr>
              <w:pStyle w:val="Normal"/>
              <w:spacing w:lineRule="auto" w:line="360"/>
              <w:rPr>
                <w:b/>
              </w:rPr>
            </w:pPr>
            <w:r>
              <w:rPr>
                <w:b/>
              </w:rPr>
              <w:t>Bežné výdavky</w:t>
            </w:r>
          </w:p>
        </w:tc>
        <w:tc>
          <w:tcPr>
            <w:tcW w:w="1559" w:type="dxa"/>
            <w:tcBorders>
              <w:top w:val="single" w:sz="4" w:space="0" w:color="000001"/>
              <w:left w:val="single" w:sz="4" w:space="0" w:color="000001"/>
              <w:bottom w:val="single" w:sz="4" w:space="0" w:color="000001"/>
              <w:insideH w:val="single" w:sz="4" w:space="0" w:color="000001"/>
              <w:right w:val="nil"/>
              <w:insideV w:val="nil"/>
            </w:tcBorders>
            <w:shd w:fill="FFFFFF" w:val="clear"/>
            <w:tcMar>
              <w:left w:w="93" w:type="dxa"/>
            </w:tcMar>
          </w:tcPr>
          <w:p>
            <w:pPr>
              <w:pStyle w:val="Normal"/>
              <w:spacing w:lineRule="auto" w:line="360"/>
              <w:rPr>
                <w:b/>
              </w:rPr>
            </w:pPr>
            <w:r>
              <w:rPr>
                <w:b/>
              </w:rPr>
              <w:t xml:space="preserve">      </w:t>
            </w:r>
            <w:r>
              <w:rPr>
                <w:b/>
              </w:rPr>
              <w:t xml:space="preserve">1 761,14 </w:t>
            </w:r>
          </w:p>
        </w:tc>
        <w:tc>
          <w:tcPr>
            <w:tcW w:w="1559" w:type="dxa"/>
            <w:tcBorders>
              <w:top w:val="single" w:sz="4" w:space="0" w:color="000001"/>
              <w:left w:val="single" w:sz="4" w:space="0" w:color="000001"/>
              <w:bottom w:val="single" w:sz="4" w:space="0" w:color="000001"/>
              <w:insideH w:val="single" w:sz="4" w:space="0" w:color="000001"/>
              <w:right w:val="nil"/>
              <w:insideV w:val="nil"/>
            </w:tcBorders>
            <w:shd w:fill="FFFFFF" w:val="clear"/>
            <w:tcMar>
              <w:left w:w="93" w:type="dxa"/>
            </w:tcMar>
          </w:tcPr>
          <w:p>
            <w:pPr>
              <w:pStyle w:val="Normal"/>
              <w:spacing w:lineRule="auto" w:line="360"/>
              <w:rPr>
                <w:b/>
              </w:rPr>
            </w:pPr>
            <w:r>
              <w:rPr>
                <w:b/>
              </w:rPr>
              <w:t>1 761,14</w:t>
            </w:r>
          </w:p>
        </w:tc>
        <w:tc>
          <w:tcPr>
            <w:tcW w:w="1369" w:type="dxa"/>
            <w:tcBorders>
              <w:top w:val="single" w:sz="4" w:space="0" w:color="000001"/>
              <w:left w:val="single" w:sz="4" w:space="0" w:color="000001"/>
              <w:bottom w:val="single" w:sz="4" w:space="0" w:color="000001"/>
              <w:insideH w:val="single" w:sz="4" w:space="0" w:color="000001"/>
              <w:right w:val="single" w:sz="4" w:space="0" w:color="000001"/>
              <w:insideV w:val="single" w:sz="4" w:space="0" w:color="000001"/>
            </w:tcBorders>
            <w:shd w:fill="FFFFFF" w:val="clear"/>
            <w:tcMar>
              <w:left w:w="93" w:type="dxa"/>
            </w:tcMar>
          </w:tcPr>
          <w:p>
            <w:pPr>
              <w:pStyle w:val="Normal"/>
              <w:spacing w:lineRule="auto" w:line="360"/>
              <w:rPr>
                <w:b/>
              </w:rPr>
            </w:pPr>
            <w:r>
              <w:rPr>
                <w:b/>
              </w:rPr>
            </w:r>
          </w:p>
        </w:tc>
      </w:tr>
      <w:tr>
        <w:trPr>
          <w:cantSplit w:val="false"/>
        </w:trPr>
        <w:tc>
          <w:tcPr>
            <w:tcW w:w="1437" w:type="dxa"/>
            <w:tcBorders>
              <w:top w:val="single" w:sz="4" w:space="0" w:color="000001"/>
              <w:left w:val="single" w:sz="4" w:space="0" w:color="000001"/>
              <w:bottom w:val="single" w:sz="4" w:space="0" w:color="000001"/>
              <w:insideH w:val="single" w:sz="4" w:space="0" w:color="000001"/>
              <w:right w:val="nil"/>
              <w:insideV w:val="nil"/>
            </w:tcBorders>
            <w:shd w:fill="FFFFFF" w:val="clear"/>
            <w:tcMar>
              <w:left w:w="93" w:type="dxa"/>
            </w:tcMar>
          </w:tcPr>
          <w:p>
            <w:pPr>
              <w:pStyle w:val="Normal"/>
              <w:spacing w:lineRule="auto" w:line="360"/>
              <w:rPr>
                <w:b/>
              </w:rPr>
            </w:pPr>
            <w:r>
              <w:rPr>
                <w:b/>
              </w:rPr>
              <w:t>MV ObUŽP</w:t>
            </w:r>
          </w:p>
        </w:tc>
        <w:tc>
          <w:tcPr>
            <w:tcW w:w="4089" w:type="dxa"/>
            <w:tcBorders>
              <w:top w:val="single" w:sz="4" w:space="0" w:color="000001"/>
              <w:left w:val="single" w:sz="4" w:space="0" w:color="000001"/>
              <w:bottom w:val="single" w:sz="4" w:space="0" w:color="000001"/>
              <w:insideH w:val="single" w:sz="4" w:space="0" w:color="000001"/>
              <w:right w:val="nil"/>
              <w:insideV w:val="nil"/>
            </w:tcBorders>
            <w:shd w:fill="FFFFFF" w:val="clear"/>
            <w:tcMar>
              <w:left w:w="93" w:type="dxa"/>
            </w:tcMar>
          </w:tcPr>
          <w:p>
            <w:pPr>
              <w:pStyle w:val="Normal"/>
              <w:spacing w:lineRule="auto" w:line="360"/>
              <w:rPr>
                <w:b/>
              </w:rPr>
            </w:pPr>
            <w:r>
              <w:rPr>
                <w:b/>
              </w:rPr>
              <w:t>Bežné výdavky</w:t>
            </w:r>
          </w:p>
        </w:tc>
        <w:tc>
          <w:tcPr>
            <w:tcW w:w="1559" w:type="dxa"/>
            <w:tcBorders>
              <w:top w:val="single" w:sz="4" w:space="0" w:color="000001"/>
              <w:left w:val="single" w:sz="4" w:space="0" w:color="000001"/>
              <w:bottom w:val="single" w:sz="4" w:space="0" w:color="000001"/>
              <w:insideH w:val="single" w:sz="4" w:space="0" w:color="000001"/>
              <w:right w:val="nil"/>
              <w:insideV w:val="nil"/>
            </w:tcBorders>
            <w:shd w:fill="FFFFFF" w:val="clear"/>
            <w:tcMar>
              <w:left w:w="93" w:type="dxa"/>
            </w:tcMar>
          </w:tcPr>
          <w:p>
            <w:pPr>
              <w:pStyle w:val="Normal"/>
              <w:spacing w:lineRule="auto" w:line="360"/>
              <w:rPr>
                <w:b/>
              </w:rPr>
            </w:pPr>
            <w:r>
              <w:rPr>
                <w:b/>
              </w:rPr>
              <w:t xml:space="preserve">          </w:t>
            </w:r>
            <w:r>
              <w:rPr>
                <w:b/>
              </w:rPr>
              <w:t xml:space="preserve">177,87              </w:t>
            </w:r>
          </w:p>
        </w:tc>
        <w:tc>
          <w:tcPr>
            <w:tcW w:w="1559" w:type="dxa"/>
            <w:tcBorders>
              <w:top w:val="single" w:sz="4" w:space="0" w:color="000001"/>
              <w:left w:val="single" w:sz="4" w:space="0" w:color="000001"/>
              <w:bottom w:val="single" w:sz="4" w:space="0" w:color="000001"/>
              <w:insideH w:val="single" w:sz="4" w:space="0" w:color="000001"/>
              <w:right w:val="nil"/>
              <w:insideV w:val="nil"/>
            </w:tcBorders>
            <w:shd w:fill="FFFFFF" w:val="clear"/>
            <w:tcMar>
              <w:left w:w="93" w:type="dxa"/>
            </w:tcMar>
          </w:tcPr>
          <w:p>
            <w:pPr>
              <w:pStyle w:val="Normal"/>
              <w:spacing w:lineRule="auto" w:line="360"/>
              <w:rPr>
                <w:b/>
              </w:rPr>
            </w:pPr>
            <w:r>
              <w:rPr>
                <w:b/>
              </w:rPr>
              <w:t xml:space="preserve">    </w:t>
            </w:r>
            <w:r>
              <w:rPr>
                <w:b/>
              </w:rPr>
              <w:t>177,87</w:t>
            </w:r>
          </w:p>
        </w:tc>
        <w:tc>
          <w:tcPr>
            <w:tcW w:w="1369" w:type="dxa"/>
            <w:tcBorders>
              <w:top w:val="single" w:sz="4" w:space="0" w:color="000001"/>
              <w:left w:val="single" w:sz="4" w:space="0" w:color="000001"/>
              <w:bottom w:val="single" w:sz="4" w:space="0" w:color="000001"/>
              <w:insideH w:val="single" w:sz="4" w:space="0" w:color="000001"/>
              <w:right w:val="single" w:sz="4" w:space="0" w:color="000001"/>
              <w:insideV w:val="single" w:sz="4" w:space="0" w:color="000001"/>
            </w:tcBorders>
            <w:shd w:fill="FFFFFF" w:val="clear"/>
            <w:tcMar>
              <w:left w:w="93" w:type="dxa"/>
            </w:tcMar>
          </w:tcPr>
          <w:p>
            <w:pPr>
              <w:pStyle w:val="Normal"/>
              <w:spacing w:lineRule="auto" w:line="360"/>
              <w:rPr>
                <w:b/>
              </w:rPr>
            </w:pPr>
            <w:r>
              <w:rPr>
                <w:b/>
              </w:rPr>
            </w:r>
          </w:p>
        </w:tc>
      </w:tr>
      <w:tr>
        <w:trPr>
          <w:cantSplit w:val="false"/>
        </w:trPr>
        <w:tc>
          <w:tcPr>
            <w:tcW w:w="1437" w:type="dxa"/>
            <w:tcBorders>
              <w:top w:val="single" w:sz="4" w:space="0" w:color="000001"/>
              <w:left w:val="single" w:sz="4" w:space="0" w:color="000001"/>
              <w:bottom w:val="single" w:sz="4" w:space="0" w:color="000001"/>
              <w:insideH w:val="single" w:sz="4" w:space="0" w:color="000001"/>
              <w:right w:val="nil"/>
              <w:insideV w:val="nil"/>
            </w:tcBorders>
            <w:shd w:fill="FFFFFF" w:val="clear"/>
            <w:tcMar>
              <w:left w:w="93" w:type="dxa"/>
            </w:tcMar>
          </w:tcPr>
          <w:p>
            <w:pPr>
              <w:pStyle w:val="Normal"/>
              <w:spacing w:lineRule="auto" w:line="360"/>
              <w:rPr>
                <w:b/>
              </w:rPr>
            </w:pPr>
            <w:r>
              <w:rPr>
                <w:b/>
              </w:rPr>
              <w:t>ObU pre cest.dopr.</w:t>
            </w:r>
          </w:p>
        </w:tc>
        <w:tc>
          <w:tcPr>
            <w:tcW w:w="4089" w:type="dxa"/>
            <w:tcBorders>
              <w:top w:val="single" w:sz="4" w:space="0" w:color="000001"/>
              <w:left w:val="single" w:sz="4" w:space="0" w:color="000001"/>
              <w:bottom w:val="single" w:sz="4" w:space="0" w:color="000001"/>
              <w:insideH w:val="single" w:sz="4" w:space="0" w:color="000001"/>
              <w:right w:val="nil"/>
              <w:insideV w:val="nil"/>
            </w:tcBorders>
            <w:shd w:fill="FFFFFF" w:val="clear"/>
            <w:tcMar>
              <w:left w:w="93" w:type="dxa"/>
            </w:tcMar>
          </w:tcPr>
          <w:p>
            <w:pPr>
              <w:pStyle w:val="Normal"/>
              <w:spacing w:lineRule="auto" w:line="360"/>
              <w:rPr>
                <w:b/>
              </w:rPr>
            </w:pPr>
            <w:r>
              <w:rPr>
                <w:b/>
              </w:rPr>
              <w:t>Bežné výdavky</w:t>
            </w:r>
          </w:p>
        </w:tc>
        <w:tc>
          <w:tcPr>
            <w:tcW w:w="1559" w:type="dxa"/>
            <w:tcBorders>
              <w:top w:val="single" w:sz="4" w:space="0" w:color="000001"/>
              <w:left w:val="single" w:sz="4" w:space="0" w:color="000001"/>
              <w:bottom w:val="single" w:sz="4" w:space="0" w:color="000001"/>
              <w:insideH w:val="single" w:sz="4" w:space="0" w:color="000001"/>
              <w:right w:val="nil"/>
              <w:insideV w:val="nil"/>
            </w:tcBorders>
            <w:shd w:fill="FFFFFF" w:val="clear"/>
            <w:tcMar>
              <w:left w:w="93" w:type="dxa"/>
            </w:tcMar>
          </w:tcPr>
          <w:p>
            <w:pPr>
              <w:pStyle w:val="Normal"/>
              <w:spacing w:lineRule="auto" w:line="360"/>
              <w:rPr>
                <w:b/>
              </w:rPr>
            </w:pPr>
            <w:r>
              <w:rPr>
                <w:b/>
              </w:rPr>
              <w:t xml:space="preserve">            </w:t>
            </w:r>
            <w:r>
              <w:rPr>
                <w:b/>
              </w:rPr>
              <w:t>81,99</w:t>
            </w:r>
          </w:p>
        </w:tc>
        <w:tc>
          <w:tcPr>
            <w:tcW w:w="1559" w:type="dxa"/>
            <w:tcBorders>
              <w:top w:val="single" w:sz="4" w:space="0" w:color="000001"/>
              <w:left w:val="single" w:sz="4" w:space="0" w:color="000001"/>
              <w:bottom w:val="single" w:sz="4" w:space="0" w:color="000001"/>
              <w:insideH w:val="single" w:sz="4" w:space="0" w:color="000001"/>
              <w:right w:val="nil"/>
              <w:insideV w:val="nil"/>
            </w:tcBorders>
            <w:shd w:fill="FFFFFF" w:val="clear"/>
            <w:tcMar>
              <w:left w:w="93" w:type="dxa"/>
            </w:tcMar>
          </w:tcPr>
          <w:p>
            <w:pPr>
              <w:pStyle w:val="Normal"/>
              <w:spacing w:lineRule="auto" w:line="360"/>
              <w:rPr>
                <w:b/>
              </w:rPr>
            </w:pPr>
            <w:r>
              <w:rPr>
                <w:b/>
              </w:rPr>
              <w:t xml:space="preserve">      </w:t>
            </w:r>
            <w:r>
              <w:rPr>
                <w:b/>
              </w:rPr>
              <w:t>81,99</w:t>
            </w:r>
          </w:p>
        </w:tc>
        <w:tc>
          <w:tcPr>
            <w:tcW w:w="1369" w:type="dxa"/>
            <w:tcBorders>
              <w:top w:val="single" w:sz="4" w:space="0" w:color="000001"/>
              <w:left w:val="single" w:sz="4" w:space="0" w:color="000001"/>
              <w:bottom w:val="single" w:sz="4" w:space="0" w:color="000001"/>
              <w:insideH w:val="single" w:sz="4" w:space="0" w:color="000001"/>
              <w:right w:val="single" w:sz="4" w:space="0" w:color="000001"/>
              <w:insideV w:val="single" w:sz="4" w:space="0" w:color="000001"/>
            </w:tcBorders>
            <w:shd w:fill="FFFFFF" w:val="clear"/>
            <w:tcMar>
              <w:left w:w="93" w:type="dxa"/>
            </w:tcMar>
          </w:tcPr>
          <w:p>
            <w:pPr>
              <w:pStyle w:val="Normal"/>
              <w:spacing w:lineRule="auto" w:line="360"/>
              <w:rPr>
                <w:b/>
              </w:rPr>
            </w:pPr>
            <w:r>
              <w:rPr>
                <w:b/>
              </w:rPr>
            </w:r>
          </w:p>
        </w:tc>
      </w:tr>
      <w:tr>
        <w:trPr>
          <w:cantSplit w:val="false"/>
        </w:trPr>
        <w:tc>
          <w:tcPr>
            <w:tcW w:w="1437" w:type="dxa"/>
            <w:tcBorders>
              <w:top w:val="single" w:sz="4" w:space="0" w:color="000001"/>
              <w:left w:val="single" w:sz="4" w:space="0" w:color="000001"/>
              <w:bottom w:val="single" w:sz="4" w:space="0" w:color="000001"/>
              <w:insideH w:val="single" w:sz="4" w:space="0" w:color="000001"/>
              <w:right w:val="nil"/>
              <w:insideV w:val="nil"/>
            </w:tcBorders>
            <w:shd w:fill="FFFFFF" w:val="clear"/>
            <w:tcMar>
              <w:left w:w="93" w:type="dxa"/>
            </w:tcMar>
          </w:tcPr>
          <w:p>
            <w:pPr>
              <w:pStyle w:val="Normal"/>
              <w:spacing w:lineRule="auto" w:line="360"/>
              <w:rPr>
                <w:b/>
              </w:rPr>
            </w:pPr>
            <w:r>
              <w:rPr>
                <w:b/>
              </w:rPr>
              <w:t>ObU Šaľa</w:t>
            </w:r>
          </w:p>
        </w:tc>
        <w:tc>
          <w:tcPr>
            <w:tcW w:w="4089" w:type="dxa"/>
            <w:tcBorders>
              <w:top w:val="single" w:sz="4" w:space="0" w:color="000001"/>
              <w:left w:val="single" w:sz="4" w:space="0" w:color="000001"/>
              <w:bottom w:val="single" w:sz="4" w:space="0" w:color="000001"/>
              <w:insideH w:val="single" w:sz="4" w:space="0" w:color="000001"/>
              <w:right w:val="nil"/>
              <w:insideV w:val="nil"/>
            </w:tcBorders>
            <w:shd w:fill="FFFFFF" w:val="clear"/>
            <w:tcMar>
              <w:left w:w="93" w:type="dxa"/>
            </w:tcMar>
          </w:tcPr>
          <w:p>
            <w:pPr>
              <w:pStyle w:val="Normal"/>
              <w:spacing w:lineRule="auto" w:line="360"/>
              <w:rPr>
                <w:b/>
              </w:rPr>
            </w:pPr>
            <w:r>
              <w:rPr>
                <w:b/>
              </w:rPr>
              <w:t>Bežné výdavky</w:t>
            </w:r>
          </w:p>
        </w:tc>
        <w:tc>
          <w:tcPr>
            <w:tcW w:w="1559" w:type="dxa"/>
            <w:tcBorders>
              <w:top w:val="single" w:sz="4" w:space="0" w:color="000001"/>
              <w:left w:val="single" w:sz="4" w:space="0" w:color="000001"/>
              <w:bottom w:val="single" w:sz="4" w:space="0" w:color="000001"/>
              <w:insideH w:val="single" w:sz="4" w:space="0" w:color="000001"/>
              <w:right w:val="nil"/>
              <w:insideV w:val="nil"/>
            </w:tcBorders>
            <w:shd w:fill="FFFFFF" w:val="clear"/>
            <w:tcMar>
              <w:left w:w="93" w:type="dxa"/>
            </w:tcMar>
          </w:tcPr>
          <w:p>
            <w:pPr>
              <w:pStyle w:val="Normal"/>
              <w:spacing w:lineRule="auto" w:line="360"/>
              <w:rPr>
                <w:b/>
              </w:rPr>
            </w:pPr>
            <w:r>
              <w:rPr>
                <w:b/>
              </w:rPr>
              <w:t xml:space="preserve">           </w:t>
            </w:r>
            <w:r>
              <w:rPr>
                <w:b/>
              </w:rPr>
              <w:t>626,34</w:t>
            </w:r>
          </w:p>
        </w:tc>
        <w:tc>
          <w:tcPr>
            <w:tcW w:w="1559" w:type="dxa"/>
            <w:tcBorders>
              <w:top w:val="single" w:sz="4" w:space="0" w:color="000001"/>
              <w:left w:val="single" w:sz="4" w:space="0" w:color="000001"/>
              <w:bottom w:val="single" w:sz="4" w:space="0" w:color="000001"/>
              <w:insideH w:val="single" w:sz="4" w:space="0" w:color="000001"/>
              <w:right w:val="nil"/>
              <w:insideV w:val="nil"/>
            </w:tcBorders>
            <w:shd w:fill="FFFFFF" w:val="clear"/>
            <w:tcMar>
              <w:left w:w="93" w:type="dxa"/>
            </w:tcMar>
          </w:tcPr>
          <w:p>
            <w:pPr>
              <w:pStyle w:val="Normal"/>
              <w:spacing w:lineRule="auto" w:line="360"/>
              <w:rPr>
                <w:b/>
              </w:rPr>
            </w:pPr>
            <w:r>
              <w:rPr>
                <w:b/>
              </w:rPr>
              <w:t xml:space="preserve">      </w:t>
            </w:r>
            <w:r>
              <w:rPr>
                <w:b/>
              </w:rPr>
              <w:t>626,34</w:t>
            </w:r>
          </w:p>
        </w:tc>
        <w:tc>
          <w:tcPr>
            <w:tcW w:w="1369" w:type="dxa"/>
            <w:tcBorders>
              <w:top w:val="single" w:sz="4" w:space="0" w:color="000001"/>
              <w:left w:val="single" w:sz="4" w:space="0" w:color="000001"/>
              <w:bottom w:val="single" w:sz="4" w:space="0" w:color="000001"/>
              <w:insideH w:val="single" w:sz="4" w:space="0" w:color="000001"/>
              <w:right w:val="single" w:sz="4" w:space="0" w:color="000001"/>
              <w:insideV w:val="single" w:sz="4" w:space="0" w:color="000001"/>
            </w:tcBorders>
            <w:shd w:fill="FFFFFF" w:val="clear"/>
            <w:tcMar>
              <w:left w:w="93" w:type="dxa"/>
            </w:tcMar>
          </w:tcPr>
          <w:p>
            <w:pPr>
              <w:pStyle w:val="Normal"/>
              <w:spacing w:lineRule="auto" w:line="360"/>
              <w:rPr>
                <w:b/>
              </w:rPr>
            </w:pPr>
            <w:r>
              <w:rPr>
                <w:b/>
              </w:rPr>
            </w:r>
          </w:p>
        </w:tc>
      </w:tr>
    </w:tbl>
    <w:p>
      <w:pPr>
        <w:pStyle w:val="Normal"/>
        <w:ind w:left="426" w:right="0" w:hanging="0"/>
        <w:jc w:val="both"/>
        <w:rPr>
          <w:color w:val="0000FF"/>
          <w:u w:val="single"/>
        </w:rPr>
      </w:pPr>
      <w:r>
        <w:rPr>
          <w:color w:val="0000FF"/>
          <w:u w:val="single"/>
        </w:rPr>
      </w:r>
    </w:p>
    <w:tbl>
      <w:tblPr>
        <w:jc w:val="left"/>
        <w:tblInd w:w="98" w:type="dxa"/>
        <w:tblBorders>
          <w:top w:val="single" w:sz="4" w:space="0" w:color="000001"/>
          <w:left w:val="single" w:sz="4" w:space="0" w:color="000001"/>
          <w:bottom w:val="single" w:sz="4" w:space="0" w:color="000001"/>
          <w:insideH w:val="single" w:sz="4" w:space="0" w:color="000001"/>
          <w:right w:val="nil"/>
          <w:insideV w:val="nil"/>
        </w:tblBorders>
        <w:tblCellMar>
          <w:top w:w="0" w:type="dxa"/>
          <w:left w:w="93" w:type="dxa"/>
          <w:bottom w:w="0" w:type="dxa"/>
          <w:right w:w="108" w:type="dxa"/>
        </w:tblCellMar>
      </w:tblPr>
      <w:tblGrid>
        <w:gridCol w:w="1437"/>
        <w:gridCol w:w="4089"/>
        <w:gridCol w:w="1559"/>
        <w:gridCol w:w="1559"/>
        <w:gridCol w:w="1369"/>
      </w:tblGrid>
      <w:tr>
        <w:trPr>
          <w:cantSplit w:val="false"/>
        </w:trPr>
        <w:tc>
          <w:tcPr>
            <w:tcW w:w="1437" w:type="dxa"/>
            <w:tcBorders>
              <w:top w:val="single" w:sz="4" w:space="0" w:color="000001"/>
              <w:left w:val="single" w:sz="4" w:space="0" w:color="000001"/>
              <w:bottom w:val="single" w:sz="4" w:space="0" w:color="000001"/>
              <w:insideH w:val="single" w:sz="4" w:space="0" w:color="000001"/>
              <w:right w:val="nil"/>
              <w:insideV w:val="nil"/>
            </w:tcBorders>
            <w:shd w:fill="FFFFFF" w:val="clear"/>
            <w:tcMar>
              <w:left w:w="93" w:type="dxa"/>
            </w:tcMar>
          </w:tcPr>
          <w:p>
            <w:pPr>
              <w:pStyle w:val="Normal"/>
              <w:spacing w:lineRule="auto" w:line="360"/>
              <w:rPr>
                <w:b/>
              </w:rPr>
            </w:pPr>
            <w:r>
              <w:rPr>
                <w:b/>
              </w:rPr>
              <w:t>ObU Šaľa</w:t>
            </w:r>
          </w:p>
        </w:tc>
        <w:tc>
          <w:tcPr>
            <w:tcW w:w="4089" w:type="dxa"/>
            <w:tcBorders>
              <w:top w:val="single" w:sz="4" w:space="0" w:color="000001"/>
              <w:left w:val="single" w:sz="4" w:space="0" w:color="000001"/>
              <w:bottom w:val="single" w:sz="4" w:space="0" w:color="000001"/>
              <w:insideH w:val="single" w:sz="4" w:space="0" w:color="000001"/>
              <w:right w:val="nil"/>
              <w:insideV w:val="nil"/>
            </w:tcBorders>
            <w:shd w:fill="FFFFFF" w:val="clear"/>
            <w:tcMar>
              <w:left w:w="93" w:type="dxa"/>
            </w:tcMar>
          </w:tcPr>
          <w:p>
            <w:pPr>
              <w:pStyle w:val="Normal"/>
              <w:spacing w:lineRule="auto" w:line="360"/>
              <w:rPr>
                <w:b/>
              </w:rPr>
            </w:pPr>
            <w:r>
              <w:rPr>
                <w:b/>
              </w:rPr>
              <w:t>Bežné výdavky voľby</w:t>
            </w:r>
          </w:p>
        </w:tc>
        <w:tc>
          <w:tcPr>
            <w:tcW w:w="1559" w:type="dxa"/>
            <w:tcBorders>
              <w:top w:val="single" w:sz="4" w:space="0" w:color="000001"/>
              <w:left w:val="single" w:sz="4" w:space="0" w:color="000001"/>
              <w:bottom w:val="single" w:sz="4" w:space="0" w:color="000001"/>
              <w:insideH w:val="single" w:sz="4" w:space="0" w:color="000001"/>
              <w:right w:val="nil"/>
              <w:insideV w:val="nil"/>
            </w:tcBorders>
            <w:shd w:fill="FFFFFF" w:val="clear"/>
            <w:tcMar>
              <w:left w:w="93" w:type="dxa"/>
            </w:tcMar>
          </w:tcPr>
          <w:p>
            <w:pPr>
              <w:pStyle w:val="Normal"/>
              <w:spacing w:lineRule="auto" w:line="360"/>
              <w:rPr>
                <w:b/>
              </w:rPr>
            </w:pPr>
            <w:r>
              <w:rPr>
                <w:b/>
              </w:rPr>
              <w:t xml:space="preserve">      </w:t>
            </w:r>
            <w:r>
              <w:rPr>
                <w:b/>
              </w:rPr>
              <w:t>5 790,</w:t>
            </w:r>
          </w:p>
        </w:tc>
        <w:tc>
          <w:tcPr>
            <w:tcW w:w="1559" w:type="dxa"/>
            <w:tcBorders>
              <w:top w:val="single" w:sz="4" w:space="0" w:color="000001"/>
              <w:left w:val="single" w:sz="4" w:space="0" w:color="000001"/>
              <w:bottom w:val="single" w:sz="4" w:space="0" w:color="000001"/>
              <w:insideH w:val="single" w:sz="4" w:space="0" w:color="000001"/>
              <w:right w:val="nil"/>
              <w:insideV w:val="nil"/>
            </w:tcBorders>
            <w:shd w:fill="FFFFFF" w:val="clear"/>
            <w:tcMar>
              <w:left w:w="93" w:type="dxa"/>
            </w:tcMar>
          </w:tcPr>
          <w:p>
            <w:pPr>
              <w:pStyle w:val="Normal"/>
              <w:spacing w:lineRule="auto" w:line="360"/>
              <w:rPr>
                <w:b/>
              </w:rPr>
            </w:pPr>
            <w:r>
              <w:rPr>
                <w:b/>
              </w:rPr>
              <w:t xml:space="preserve">    </w:t>
            </w:r>
            <w:r>
              <w:rPr>
                <w:b/>
              </w:rPr>
              <w:t>5 262</w:t>
            </w:r>
          </w:p>
        </w:tc>
        <w:tc>
          <w:tcPr>
            <w:tcW w:w="1369" w:type="dxa"/>
            <w:tcBorders>
              <w:top w:val="single" w:sz="4" w:space="0" w:color="000001"/>
              <w:left w:val="single" w:sz="4" w:space="0" w:color="000001"/>
              <w:bottom w:val="single" w:sz="4" w:space="0" w:color="000001"/>
              <w:insideH w:val="single" w:sz="4" w:space="0" w:color="000001"/>
              <w:right w:val="single" w:sz="4" w:space="0" w:color="000001"/>
              <w:insideV w:val="single" w:sz="4" w:space="0" w:color="000001"/>
            </w:tcBorders>
            <w:shd w:fill="FFFFFF" w:val="clear"/>
            <w:tcMar>
              <w:left w:w="93" w:type="dxa"/>
            </w:tcMar>
          </w:tcPr>
          <w:p>
            <w:pPr>
              <w:pStyle w:val="Normal"/>
              <w:spacing w:lineRule="auto" w:line="360"/>
              <w:rPr>
                <w:b/>
              </w:rPr>
            </w:pPr>
            <w:r>
              <w:rPr>
                <w:b/>
              </w:rPr>
              <w:t xml:space="preserve">    </w:t>
            </w:r>
            <w:r>
              <w:rPr>
                <w:b/>
              </w:rPr>
              <w:t>528</w:t>
            </w:r>
          </w:p>
        </w:tc>
      </w:tr>
    </w:tbl>
    <w:p>
      <w:pPr>
        <w:pStyle w:val="Normal"/>
        <w:numPr>
          <w:ilvl w:val="0"/>
          <w:numId w:val="14"/>
        </w:numPr>
        <w:tabs>
          <w:tab w:val="left" w:pos="426" w:leader="none"/>
        </w:tabs>
        <w:ind w:left="426" w:right="0" w:hanging="360"/>
        <w:jc w:val="both"/>
        <w:rPr/>
      </w:pPr>
      <w:r>
        <w:rPr/>
      </w:r>
    </w:p>
    <w:p>
      <w:pPr>
        <w:pStyle w:val="Normal"/>
        <w:tabs>
          <w:tab w:val="left" w:pos="3060" w:leader="none"/>
          <w:tab w:val="left" w:pos="5400" w:leader="none"/>
          <w:tab w:val="left" w:pos="7560" w:leader="none"/>
        </w:tabs>
        <w:ind w:left="360" w:right="0" w:hanging="0"/>
        <w:jc w:val="both"/>
        <w:rPr/>
      </w:pPr>
      <w:r>
        <w:rPr/>
      </w:r>
    </w:p>
    <w:p>
      <w:pPr>
        <w:pStyle w:val="Normal"/>
        <w:jc w:val="both"/>
        <w:rPr>
          <w:b/>
          <w:color w:val="0000FF"/>
          <w:sz w:val="28"/>
          <w:szCs w:val="28"/>
        </w:rPr>
      </w:pPr>
      <w:r>
        <w:rPr>
          <w:b/>
          <w:color w:val="0000FF"/>
          <w:sz w:val="28"/>
          <w:szCs w:val="28"/>
        </w:rPr>
        <w:t xml:space="preserve">12. Hodnotenie plnenia programov obce - Hodnotiaca správa k plneniu programového rozpočtu        </w:t>
      </w:r>
    </w:p>
    <w:p>
      <w:pPr>
        <w:pStyle w:val="Normal"/>
        <w:rPr/>
      </w:pPr>
      <w:r>
        <w:rPr/>
        <w:t>Príloha č.1 Záverečného účtu.</w:t>
      </w:r>
    </w:p>
    <w:p>
      <w:pPr>
        <w:pStyle w:val="Normal"/>
        <w:tabs>
          <w:tab w:val="right" w:pos="7740" w:leader="none"/>
        </w:tabs>
        <w:ind w:left="540" w:right="0" w:hanging="0"/>
        <w:jc w:val="both"/>
        <w:rPr>
          <w:i/>
        </w:rPr>
      </w:pPr>
      <w:r>
        <w:rPr>
          <w:i/>
        </w:rPr>
      </w:r>
    </w:p>
    <w:p>
      <w:pPr>
        <w:pStyle w:val="Normal"/>
        <w:jc w:val="both"/>
        <w:rPr>
          <w:b/>
        </w:rPr>
      </w:pPr>
      <w:r>
        <w:rPr>
          <w:b/>
        </w:rPr>
      </w:r>
    </w:p>
    <w:p>
      <w:pPr>
        <w:pStyle w:val="Normal"/>
        <w:ind w:left="284" w:right="0" w:hanging="0"/>
        <w:jc w:val="both"/>
        <w:rPr>
          <w:b/>
        </w:rPr>
      </w:pPr>
      <w:r>
        <w:rPr>
          <w:b/>
        </w:rPr>
      </w:r>
    </w:p>
    <w:p>
      <w:pPr>
        <w:pStyle w:val="Normal"/>
        <w:ind w:left="284" w:right="0" w:hanging="0"/>
        <w:jc w:val="both"/>
        <w:rPr>
          <w:b/>
        </w:rPr>
      </w:pPr>
      <w:r>
        <w:rPr>
          <w:b/>
        </w:rPr>
      </w:r>
    </w:p>
    <w:p>
      <w:pPr>
        <w:pStyle w:val="Normal"/>
        <w:ind w:left="284" w:right="0" w:hanging="0"/>
        <w:jc w:val="both"/>
        <w:rPr>
          <w:b/>
        </w:rPr>
      </w:pPr>
      <w:r>
        <w:rPr>
          <w:b/>
        </w:rPr>
      </w:r>
    </w:p>
    <w:p>
      <w:pPr>
        <w:pStyle w:val="Normal"/>
        <w:ind w:left="284" w:right="0" w:hanging="0"/>
        <w:jc w:val="both"/>
        <w:rPr>
          <w:b/>
        </w:rPr>
      </w:pPr>
      <w:r>
        <w:rPr>
          <w:b/>
        </w:rPr>
      </w:r>
    </w:p>
    <w:p>
      <w:pPr>
        <w:pStyle w:val="Normal"/>
        <w:ind w:left="284" w:right="0" w:hanging="0"/>
        <w:jc w:val="both"/>
        <w:rPr>
          <w:b/>
        </w:rPr>
      </w:pPr>
      <w:r>
        <w:rPr>
          <w:b/>
        </w:rPr>
      </w:r>
    </w:p>
    <w:p>
      <w:pPr>
        <w:pStyle w:val="Normal"/>
        <w:jc w:val="both"/>
        <w:rPr>
          <w:b/>
        </w:rPr>
      </w:pPr>
      <w:r>
        <w:rPr>
          <w:b/>
        </w:rPr>
        <w:t>Vypracovala: Eva Hippová</w:t>
        <w:tab/>
        <w:t xml:space="preserve">                                                               Predkladá: </w:t>
      </w:r>
    </w:p>
    <w:p>
      <w:pPr>
        <w:pStyle w:val="Normal"/>
        <w:jc w:val="both"/>
        <w:rPr>
          <w:b/>
        </w:rPr>
      </w:pPr>
      <w:r>
        <w:rPr>
          <w:b/>
        </w:rPr>
      </w:r>
    </w:p>
    <w:p>
      <w:pPr>
        <w:pStyle w:val="Normal"/>
        <w:jc w:val="both"/>
        <w:rPr/>
      </w:pPr>
      <w:r>
        <w:rPr/>
      </w:r>
    </w:p>
    <w:p>
      <w:pPr>
        <w:pStyle w:val="Normal"/>
        <w:jc w:val="both"/>
        <w:rPr/>
      </w:pPr>
      <w:r>
        <w:rPr/>
      </w:r>
    </w:p>
    <w:p>
      <w:pPr>
        <w:pStyle w:val="Normal"/>
        <w:jc w:val="both"/>
        <w:rPr/>
      </w:pPr>
      <w:r>
        <w:rPr/>
      </w:r>
    </w:p>
    <w:p>
      <w:pPr>
        <w:pStyle w:val="Normal"/>
        <w:jc w:val="both"/>
        <w:rPr/>
      </w:pPr>
      <w:r>
        <w:rPr/>
        <w:t>V Hornej Kráľovej  dňa  17.5.2015</w:t>
      </w:r>
    </w:p>
    <w:p>
      <w:pPr>
        <w:pStyle w:val="Normal"/>
        <w:jc w:val="both"/>
        <w:rPr>
          <w:b/>
        </w:rPr>
      </w:pPr>
      <w:r>
        <w:rPr>
          <w:b/>
        </w:rPr>
      </w:r>
    </w:p>
    <w:p>
      <w:pPr>
        <w:pStyle w:val="Normal"/>
        <w:jc w:val="both"/>
        <w:rPr>
          <w:b/>
        </w:rPr>
      </w:pPr>
      <w:r>
        <w:rPr>
          <w:b/>
        </w:rPr>
      </w:r>
    </w:p>
    <w:p>
      <w:pPr>
        <w:pStyle w:val="Normal"/>
        <w:jc w:val="both"/>
        <w:rPr>
          <w:b/>
        </w:rPr>
      </w:pPr>
      <w:r>
        <w:rPr>
          <w:b/>
        </w:rPr>
      </w:r>
    </w:p>
    <w:p>
      <w:pPr>
        <w:pStyle w:val="Normal"/>
        <w:jc w:val="both"/>
        <w:rPr>
          <w:b/>
        </w:rPr>
      </w:pPr>
      <w:r>
        <w:rPr>
          <w:b/>
        </w:rPr>
      </w:r>
    </w:p>
    <w:p>
      <w:pPr>
        <w:pStyle w:val="Normal"/>
        <w:jc w:val="both"/>
        <w:rPr>
          <w:b/>
        </w:rPr>
      </w:pPr>
      <w:r>
        <w:rPr>
          <w:b/>
        </w:rPr>
        <w:t>13. Návrh uznesenia:</w:t>
      </w:r>
    </w:p>
    <w:p>
      <w:pPr>
        <w:pStyle w:val="Normal"/>
        <w:jc w:val="both"/>
        <w:rPr/>
      </w:pPr>
      <w:r>
        <w:rPr/>
      </w:r>
    </w:p>
    <w:p>
      <w:pPr>
        <w:pStyle w:val="Normal"/>
        <w:jc w:val="both"/>
        <w:rPr/>
      </w:pPr>
      <w:r>
        <w:rPr/>
        <w:t>Obecné zastupiteľstvo berie na vedomie správu hlavného kontrolóra za rok 2014</w:t>
      </w:r>
    </w:p>
    <w:p>
      <w:pPr>
        <w:pStyle w:val="Normal"/>
        <w:jc w:val="both"/>
        <w:rPr>
          <w:sz w:val="28"/>
          <w:szCs w:val="28"/>
        </w:rPr>
      </w:pPr>
      <w:r>
        <w:rPr>
          <w:sz w:val="28"/>
          <w:szCs w:val="28"/>
        </w:rPr>
      </w:r>
    </w:p>
    <w:p>
      <w:pPr>
        <w:pStyle w:val="Normal"/>
        <w:jc w:val="both"/>
        <w:rPr>
          <w:b/>
        </w:rPr>
      </w:pPr>
      <w:r>
        <w:rPr/>
        <w:t xml:space="preserve">Obecné zastupiteľstvo schvaľuje Záverečný účet obce a celoročné hospodárenie </w:t>
      </w:r>
      <w:r>
        <w:rPr>
          <w:b/>
        </w:rPr>
        <w:t>bez výhrad.</w:t>
      </w:r>
    </w:p>
    <w:p>
      <w:pPr>
        <w:pStyle w:val="Normal"/>
        <w:jc w:val="both"/>
        <w:rPr>
          <w:b/>
        </w:rPr>
      </w:pPr>
      <w:r>
        <w:rPr>
          <w:b/>
        </w:rPr>
      </w:r>
    </w:p>
    <w:p>
      <w:pPr>
        <w:pStyle w:val="NormalWeb"/>
        <w:tabs>
          <w:tab w:val="left" w:pos="3119" w:leader="none"/>
        </w:tabs>
        <w:spacing w:before="280" w:after="280"/>
        <w:jc w:val="both"/>
        <w:rPr/>
      </w:pPr>
      <w:r>
        <w:rPr/>
        <w:t>Napr.: Obecné zastupiteľstvo schvaľuje použitie prebytku rozpočtového hospodárenia na tvorbu rezervného fondu vo výške 5 061,94 EUR.</w:t>
      </w:r>
    </w:p>
    <w:sectPr>
      <w:headerReference w:type="default" r:id="rId28"/>
      <w:footerReference w:type="default" r:id="rId29"/>
      <w:type w:val="nextPage"/>
      <w:pgSz w:w="11906" w:h="16838"/>
      <w:pgMar w:left="1418" w:right="1418" w:header="709" w:top="1418" w:footer="709" w:bottom="1418" w:gutter="0"/>
      <w:pgNumType w:fmt="decimal"/>
      <w:formProt w:val="false"/>
      <w:textDirection w:val="lrTb"/>
      <w:docGrid w:type="default" w:linePitch="360" w:charSpace="4294961151"/>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ee"/>
    <w:family w:val="roman"/>
    <w:pitch w:val="variable"/>
  </w:font>
  <w:font w:name="Calibri">
    <w:charset w:val="ee"/>
    <w:family w:val="roman"/>
    <w:pitch w:val="variable"/>
  </w:font>
  <w:font w:name="Times New Roman">
    <w:charset w:val="ee"/>
    <w:family w:val="roman"/>
    <w:pitch w:val="variable"/>
  </w:font>
  <w:font w:name="Cambria">
    <w:charset w:val="ee"/>
    <w:family w:val="roman"/>
    <w:pitch w:val="variable"/>
  </w:font>
  <w:font w:name="Tahoma">
    <w:charset w:val="ee"/>
    <w:family w:val="roman"/>
    <w:pitch w:val="variable"/>
  </w:font>
  <w:font w:name="Liberation Sans">
    <w:altName w:val="Arial"/>
    <w:charset w:val="ee"/>
    <w:family w:val="swiss"/>
    <w:pitch w:val="variable"/>
  </w:font>
  <w:font w:name="Arial">
    <w:charset w:val="ee"/>
    <w:family w:val="roman"/>
    <w:pitch w:val="variable"/>
  </w:font>
  <w:font w:name="TimesNewRomanPS-ItalicMT">
    <w:charset w:val="ee"/>
    <w:family w:val="roman"/>
    <w:pitch w:val="variable"/>
  </w:font>
  <w:font w:name="TimesNewRomanPSMT">
    <w:charset w:val="ee"/>
    <w:family w:val="roman"/>
    <w:pitch w:val="variable"/>
  </w:font>
  <w:font w:name="TimesNewRomanPS-BoldMT">
    <w:charset w:val="ee"/>
    <w:family w:val="roman"/>
    <w:pitch w:val="variable"/>
  </w:font>
  <w:font w:name="Arial">
    <w:charset w:val="ee"/>
    <w:family w:val="swiss"/>
    <w:pitch w:val="variable"/>
  </w:font>
  <w:font w:name="Times New Roman">
    <w:charset w:val="01"/>
    <w:family w:val="roman"/>
    <w:pitch w:val="variable"/>
  </w:font>
  <w:font w:name="Courier New">
    <w:charset w:val="01"/>
    <w:family w:val="modern"/>
    <w:pitch w:val="fixed"/>
  </w:font>
  <w:font w:name="Wingdings">
    <w:charset w:val="02"/>
    <w:family w:val="auto"/>
    <w:pitch w:val="variable"/>
  </w:font>
</w:fonts>
</file>

<file path=word/footer1.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w:p>
    <w:pPr>
      <w:pStyle w:val="Pta"/>
      <w:pBdr>
        <w:top w:val="nil"/>
        <w:left w:val="nil"/>
        <w:bottom w:val="nil"/>
        <w:right w:val="nil"/>
      </w:pBdr>
      <w:rPr/>
    </w:pPr>
    <w:r>
      <w:rPr/>
      <w:fldChar w:fldCharType="begin"/>
    </w:r>
    <w:r>
      <w:instrText> PAGE </w:instrText>
    </w:r>
    <w:r>
      <w:fldChar w:fldCharType="separate"/>
    </w:r>
    <w:r>
      <w:t>30</w:t>
    </w:r>
    <w:r>
      <w:fldChar w:fldCharType="end"/>
    </w:r>
  </w:p>
  <w:p>
    <w:pPr>
      <w:pStyle w:val="Pta"/>
      <w:ind w:left="0" w:right="360" w:hanging="0"/>
      <w:rPr/>
    </w:pPr>
    <w:r>
      <w:rPr/>
      <w:t xml:space="preserve">                                                         </w:t>
    </w:r>
  </w:p>
</w:ftr>
</file>

<file path=word/header1.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w:p>
    <w:pPr>
      <w:pStyle w:val="Hlavika"/>
      <w:tabs>
        <w:tab w:val="left" w:pos="900" w:leader="none"/>
        <w:tab w:val="center" w:pos="4536" w:leader="none"/>
        <w:tab w:val="right" w:pos="9072" w:leader="none"/>
      </w:tabs>
      <w:rPr/>
    </w:pPr>
    <w:r>
      <w:rPr/>
      <w:pict>
        <v:rect id="shape_0" stroked="f" style="position:absolute;margin-left:0.05pt;margin-top:0pt;width:33.55pt;height:38.8pt">
          <v:imagedata r:id="rId1" detectmouseclick="t"/>
          <v:wrap v:type="none"/>
          <v:stroke color="#3465a4" joinstyle="round" endcap="flat"/>
        </v:rect>
      </w:pict>
    </w:r>
  </w:p>
  <w:p>
    <w:pPr>
      <w:pStyle w:val="Hlavika"/>
      <w:tabs>
        <w:tab w:val="left" w:pos="900" w:leader="none"/>
        <w:tab w:val="center" w:pos="4536" w:leader="none"/>
        <w:tab w:val="right" w:pos="9072" w:leader="none"/>
      </w:tabs>
      <w:jc w:val="both"/>
      <w:rPr>
        <w:b/>
      </w:rPr>
    </w:pPr>
    <w:r>
      <w:rPr>
        <w:b/>
      </w:rPr>
      <w:t xml:space="preserve">             </w:t>
    </w:r>
    <w:r>
      <w:rPr>
        <w:b/>
      </w:rPr>
      <w:t>Obec Horná Kráľová                                                     Výročná správa za rok 2014</w:t>
    </w:r>
  </w:p>
  <w:p>
    <w:pPr>
      <w:pStyle w:val="Hlavika"/>
      <w:tabs>
        <w:tab w:val="left" w:pos="900" w:leader="none"/>
        <w:tab w:val="center" w:pos="4536" w:leader="none"/>
        <w:tab w:val="right" w:pos="9072" w:leader="none"/>
      </w:tabs>
      <w:rPr/>
    </w:pPr>
    <w:r>
      <w:rPr/>
    </w:r>
  </w:p>
</w:hdr>
</file>

<file path=word/numbering.xml><?xml version="1.0" encoding="utf-8"?>
<w:numbering xmlns:w="http://schemas.openxmlformats.org/wordprocessingml/2006/main" xmlns:o="urn:schemas-microsoft-com:office:office" xmlns:r="http://schemas.openxmlformats.org/officeDocument/2006/relationships" xmlns:v="urn:schemas-microsoft-com:vml">
  <w:abstractNum w:abstractNumId="1">
    <w:lvl w:ilvl="0">
      <w:start w:val="1"/>
      <w:numFmt w:val="decimal"/>
      <w:lvlText w:val="%1."/>
      <w:lvlJc w:val="left"/>
      <w:pPr>
        <w:tabs>
          <w:tab w:val="num" w:pos="502"/>
        </w:tabs>
        <w:ind w:left="502" w:hanging="360"/>
      </w:pPr>
    </w:lvl>
    <w:lvl w:ilvl="1">
      <w:start w:val="1"/>
      <w:numFmt w:val="bullet"/>
      <w:lvlText w:val="-"/>
      <w:lvlJc w:val="left"/>
      <w:pPr>
        <w:ind w:left="1440" w:hanging="360"/>
      </w:pPr>
      <w:rPr>
        <w:rFonts w:ascii="Times New Roman" w:hAnsi="Times New Roman" w:cs="Times New Roman" w:hint="default"/>
      </w:r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
    <w:lvl w:ilvl="0">
      <w:start w:val="1"/>
      <w:numFmt w:val="bullet"/>
      <w:lvlText w:val=""/>
      <w:lvlJc w:val="left"/>
      <w:pPr>
        <w:tabs>
          <w:tab w:val="num" w:pos="720"/>
        </w:tabs>
        <w:ind w:left="720" w:hanging="360"/>
      </w:pPr>
      <w:rPr>
        <w:rFonts w:ascii="Symbol" w:hAnsi="Symbol" w:cs="Symbol" w:hint="default"/>
        <w:sz w:val="20"/>
      </w:rPr>
    </w:lvl>
    <w:lvl w:ilvl="1">
      <w:start w:val="1"/>
      <w:numFmt w:val="bullet"/>
      <w:lvlText w:val="o"/>
      <w:lvlJc w:val="left"/>
      <w:pPr>
        <w:tabs>
          <w:tab w:val="num" w:pos="1440"/>
        </w:tabs>
        <w:ind w:left="1440" w:hanging="360"/>
      </w:pPr>
      <w:rPr>
        <w:rFonts w:ascii="Courier New" w:hAnsi="Courier New" w:cs="Courier New" w:hint="default"/>
        <w:sz w:val="20"/>
      </w:rPr>
    </w:lvl>
    <w:lvl w:ilvl="2">
      <w:start w:val="1"/>
      <w:numFmt w:val="bullet"/>
      <w:lvlText w:val=""/>
      <w:lvlJc w:val="left"/>
      <w:pPr>
        <w:tabs>
          <w:tab w:val="num" w:pos="2160"/>
        </w:tabs>
        <w:ind w:left="2160" w:hanging="360"/>
      </w:pPr>
      <w:rPr>
        <w:rFonts w:ascii="Wingdings" w:hAnsi="Wingdings" w:cs="Wingdings" w:hint="default"/>
        <w:sz w:val="20"/>
      </w:rPr>
    </w:lvl>
    <w:lvl w:ilvl="3">
      <w:start w:val="1"/>
      <w:numFmt w:val="bullet"/>
      <w:lvlText w:val=""/>
      <w:lvlJc w:val="left"/>
      <w:pPr>
        <w:tabs>
          <w:tab w:val="num" w:pos="2880"/>
        </w:tabs>
        <w:ind w:left="2880" w:hanging="360"/>
      </w:pPr>
      <w:rPr>
        <w:rFonts w:ascii="Wingdings" w:hAnsi="Wingdings" w:cs="Wingdings" w:hint="default"/>
        <w:sz w:val="20"/>
      </w:rPr>
    </w:lvl>
    <w:lvl w:ilvl="4">
      <w:start w:val="1"/>
      <w:numFmt w:val="bullet"/>
      <w:lvlText w:val=""/>
      <w:lvlJc w:val="left"/>
      <w:pPr>
        <w:tabs>
          <w:tab w:val="num" w:pos="3600"/>
        </w:tabs>
        <w:ind w:left="3600" w:hanging="360"/>
      </w:pPr>
      <w:rPr>
        <w:rFonts w:ascii="Wingdings" w:hAnsi="Wingdings" w:cs="Wingdings" w:hint="default"/>
        <w:sz w:val="20"/>
      </w:rPr>
    </w:lvl>
    <w:lvl w:ilvl="5">
      <w:start w:val="1"/>
      <w:numFmt w:val="bullet"/>
      <w:lvlText w:val=""/>
      <w:lvlJc w:val="left"/>
      <w:pPr>
        <w:tabs>
          <w:tab w:val="num" w:pos="4320"/>
        </w:tabs>
        <w:ind w:left="4320" w:hanging="360"/>
      </w:pPr>
      <w:rPr>
        <w:rFonts w:ascii="Wingdings" w:hAnsi="Wingdings" w:cs="Wingdings" w:hint="default"/>
        <w:sz w:val="20"/>
      </w:rPr>
    </w:lvl>
    <w:lvl w:ilvl="6">
      <w:start w:val="1"/>
      <w:numFmt w:val="bullet"/>
      <w:lvlText w:val=""/>
      <w:lvlJc w:val="left"/>
      <w:pPr>
        <w:tabs>
          <w:tab w:val="num" w:pos="5040"/>
        </w:tabs>
        <w:ind w:left="5040" w:hanging="360"/>
      </w:pPr>
      <w:rPr>
        <w:rFonts w:ascii="Wingdings" w:hAnsi="Wingdings" w:cs="Wingdings" w:hint="default"/>
        <w:sz w:val="20"/>
      </w:rPr>
    </w:lvl>
    <w:lvl w:ilvl="7">
      <w:start w:val="1"/>
      <w:numFmt w:val="bullet"/>
      <w:lvlText w:val=""/>
      <w:lvlJc w:val="left"/>
      <w:pPr>
        <w:tabs>
          <w:tab w:val="num" w:pos="5760"/>
        </w:tabs>
        <w:ind w:left="5760" w:hanging="360"/>
      </w:pPr>
      <w:rPr>
        <w:rFonts w:ascii="Wingdings" w:hAnsi="Wingdings" w:cs="Wingdings" w:hint="default"/>
        <w:sz w:val="20"/>
      </w:rPr>
    </w:lvl>
    <w:lvl w:ilvl="8">
      <w:start w:val="1"/>
      <w:numFmt w:val="bullet"/>
      <w:lvlText w:val=""/>
      <w:lvlJc w:val="left"/>
      <w:pPr>
        <w:tabs>
          <w:tab w:val="num" w:pos="6480"/>
        </w:tabs>
        <w:ind w:left="6480" w:hanging="360"/>
      </w:pPr>
      <w:rPr>
        <w:rFonts w:ascii="Wingdings" w:hAnsi="Wingdings" w:cs="Wingdings" w:hint="default"/>
        <w:sz w:val="20"/>
      </w:rPr>
    </w:lvl>
  </w:abstractNum>
  <w:abstractNum w:abstractNumId="3">
    <w:lvl w:ilvl="0">
      <w:start w:val="1"/>
      <w:numFmt w:val="bullet"/>
      <w:lvlText w:val=""/>
      <w:lvlJc w:val="left"/>
      <w:pPr>
        <w:tabs>
          <w:tab w:val="num" w:pos="720"/>
        </w:tabs>
        <w:ind w:left="720" w:hanging="360"/>
      </w:pPr>
      <w:rPr>
        <w:rFonts w:ascii="Symbol" w:hAnsi="Symbol" w:cs="Symbol" w:hint="default"/>
        <w:sz w:val="20"/>
      </w:rPr>
    </w:lvl>
    <w:lvl w:ilvl="1">
      <w:start w:val="1"/>
      <w:numFmt w:val="bullet"/>
      <w:lvlText w:val="o"/>
      <w:lvlJc w:val="left"/>
      <w:pPr>
        <w:tabs>
          <w:tab w:val="num" w:pos="1440"/>
        </w:tabs>
        <w:ind w:left="1440" w:hanging="360"/>
      </w:pPr>
      <w:rPr>
        <w:rFonts w:ascii="Courier New" w:hAnsi="Courier New" w:cs="Courier New" w:hint="default"/>
        <w:sz w:val="20"/>
      </w:rPr>
    </w:lvl>
    <w:lvl w:ilvl="2">
      <w:start w:val="1"/>
      <w:numFmt w:val="bullet"/>
      <w:lvlText w:val=""/>
      <w:lvlJc w:val="left"/>
      <w:pPr>
        <w:tabs>
          <w:tab w:val="num" w:pos="2160"/>
        </w:tabs>
        <w:ind w:left="2160" w:hanging="360"/>
      </w:pPr>
      <w:rPr>
        <w:rFonts w:ascii="Wingdings" w:hAnsi="Wingdings" w:cs="Wingdings" w:hint="default"/>
        <w:sz w:val="20"/>
      </w:rPr>
    </w:lvl>
    <w:lvl w:ilvl="3">
      <w:start w:val="1"/>
      <w:numFmt w:val="bullet"/>
      <w:lvlText w:val=""/>
      <w:lvlJc w:val="left"/>
      <w:pPr>
        <w:tabs>
          <w:tab w:val="num" w:pos="2880"/>
        </w:tabs>
        <w:ind w:left="2880" w:hanging="360"/>
      </w:pPr>
      <w:rPr>
        <w:rFonts w:ascii="Wingdings" w:hAnsi="Wingdings" w:cs="Wingdings" w:hint="default"/>
        <w:sz w:val="20"/>
      </w:rPr>
    </w:lvl>
    <w:lvl w:ilvl="4">
      <w:start w:val="1"/>
      <w:numFmt w:val="bullet"/>
      <w:lvlText w:val=""/>
      <w:lvlJc w:val="left"/>
      <w:pPr>
        <w:tabs>
          <w:tab w:val="num" w:pos="3600"/>
        </w:tabs>
        <w:ind w:left="3600" w:hanging="360"/>
      </w:pPr>
      <w:rPr>
        <w:rFonts w:ascii="Wingdings" w:hAnsi="Wingdings" w:cs="Wingdings" w:hint="default"/>
        <w:sz w:val="20"/>
      </w:rPr>
    </w:lvl>
    <w:lvl w:ilvl="5">
      <w:start w:val="1"/>
      <w:numFmt w:val="bullet"/>
      <w:lvlText w:val=""/>
      <w:lvlJc w:val="left"/>
      <w:pPr>
        <w:tabs>
          <w:tab w:val="num" w:pos="4320"/>
        </w:tabs>
        <w:ind w:left="4320" w:hanging="360"/>
      </w:pPr>
      <w:rPr>
        <w:rFonts w:ascii="Wingdings" w:hAnsi="Wingdings" w:cs="Wingdings" w:hint="default"/>
        <w:sz w:val="20"/>
      </w:rPr>
    </w:lvl>
    <w:lvl w:ilvl="6">
      <w:start w:val="1"/>
      <w:numFmt w:val="bullet"/>
      <w:lvlText w:val=""/>
      <w:lvlJc w:val="left"/>
      <w:pPr>
        <w:tabs>
          <w:tab w:val="num" w:pos="5040"/>
        </w:tabs>
        <w:ind w:left="5040" w:hanging="360"/>
      </w:pPr>
      <w:rPr>
        <w:rFonts w:ascii="Wingdings" w:hAnsi="Wingdings" w:cs="Wingdings" w:hint="default"/>
        <w:sz w:val="20"/>
      </w:rPr>
    </w:lvl>
    <w:lvl w:ilvl="7">
      <w:start w:val="1"/>
      <w:numFmt w:val="bullet"/>
      <w:lvlText w:val=""/>
      <w:lvlJc w:val="left"/>
      <w:pPr>
        <w:tabs>
          <w:tab w:val="num" w:pos="5760"/>
        </w:tabs>
        <w:ind w:left="5760" w:hanging="360"/>
      </w:pPr>
      <w:rPr>
        <w:rFonts w:ascii="Wingdings" w:hAnsi="Wingdings" w:cs="Wingdings" w:hint="default"/>
        <w:sz w:val="20"/>
      </w:rPr>
    </w:lvl>
    <w:lvl w:ilvl="8">
      <w:start w:val="1"/>
      <w:numFmt w:val="bullet"/>
      <w:lvlText w:val=""/>
      <w:lvlJc w:val="left"/>
      <w:pPr>
        <w:tabs>
          <w:tab w:val="num" w:pos="6480"/>
        </w:tabs>
        <w:ind w:left="6480" w:hanging="360"/>
      </w:pPr>
      <w:rPr>
        <w:rFonts w:ascii="Wingdings" w:hAnsi="Wingdings" w:cs="Wingdings" w:hint="default"/>
        <w:sz w:val="20"/>
      </w:rPr>
    </w:lvl>
  </w:abstractNum>
  <w:abstractNum w:abstractNumId="4">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5">
    <w:lvl w:ilvl="0">
      <w:start w:val="1"/>
      <w:numFmt w:val="bullet"/>
      <w:lvlText w:val=""/>
      <w:lvlJc w:val="left"/>
      <w:pPr>
        <w:ind w:left="720" w:hanging="360"/>
      </w:pPr>
      <w:rPr>
        <w:rFonts w:ascii="Symbol" w:hAnsi="Symbol" w:cs="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6">
    <w:lvl w:ilvl="0">
      <w:start w:val="1"/>
      <w:numFmt w:val="bullet"/>
      <w:lvlText w:val=""/>
      <w:lvlJc w:val="left"/>
      <w:pPr>
        <w:ind w:left="720" w:hanging="360"/>
      </w:pPr>
      <w:rPr>
        <w:rFonts w:ascii="Symbol" w:hAnsi="Symbol" w:cs="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7">
    <w:lvl w:ilvl="0">
      <w:start w:val="1"/>
      <w:numFmt w:val="bullet"/>
      <w:lvlText w:val="-"/>
      <w:lvlJc w:val="left"/>
      <w:pPr>
        <w:tabs>
          <w:tab w:val="num" w:pos="720"/>
        </w:tabs>
        <w:ind w:left="720" w:hanging="360"/>
      </w:pPr>
      <w:rPr>
        <w:rFonts w:ascii="Times New Roman" w:hAnsi="Times New Roman" w:cs="Times New Roman" w:hint="default"/>
        <w:b/>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8">
    <w:lvl w:ilvl="0">
      <w:start w:val="1"/>
      <w:numFmt w:val="decimal"/>
      <w:lvlText w:val="%1."/>
      <w:lvlJc w:val="left"/>
      <w:pPr>
        <w:ind w:left="72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9">
    <w:lvl w:ilvl="0">
      <w:start w:val="1"/>
      <w:numFmt w:val="lowerLetter"/>
      <w:lvlText w:val="%1)"/>
      <w:lvlJc w:val="left"/>
      <w:pPr>
        <w:ind w:left="644"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0">
    <w:lvl w:ilvl="0">
      <w:start w:val="1"/>
      <w:numFmt w:val="decimal"/>
      <w:lvlText w:val="%1."/>
      <w:lvlJc w:val="left"/>
      <w:pPr>
        <w:ind w:left="72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1">
    <w:lvl w:ilvl="0">
      <w:start w:val="1"/>
      <w:numFmt w:val="lowerLetter"/>
      <w:lvlText w:val="%1)"/>
      <w:lvlJc w:val="left"/>
      <w:pPr>
        <w:ind w:left="1080" w:hanging="360"/>
      </w:pPr>
      <w:rPr>
        <w:iCs/>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2">
    <w:lvl w:ilvl="0">
      <w:start w:val="0"/>
      <w:numFmt w:val="bullet"/>
      <w:lvlText w:val="-"/>
      <w:lvlJc w:val="left"/>
      <w:pPr>
        <w:tabs>
          <w:tab w:val="num" w:pos="720"/>
        </w:tabs>
        <w:ind w:left="720" w:hanging="360"/>
      </w:pPr>
      <w:rPr>
        <w:rFonts w:ascii="Times New Roman" w:hAnsi="Times New Roman" w:cs="Times New Roman" w:hint="default"/>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3">
    <w:lvl w:ilvl="0">
      <w:start w:val="2"/>
      <w:numFmt w:val="decimal"/>
      <w:lvlText w:val="%1."/>
      <w:lvlJc w:val="left"/>
      <w:pPr>
        <w:tabs>
          <w:tab w:val="num" w:pos="1080"/>
        </w:tabs>
        <w:ind w:left="1080" w:hanging="360"/>
      </w:pPr>
      <w:rPr>
        <w:b w:val="false"/>
        <w:iCs/>
      </w:rPr>
    </w:lvl>
    <w:lvl w:ilvl="1">
      <w:start w:val="1"/>
      <w:numFmt w:val="lowerLetter"/>
      <w:lvlText w:val="%2)"/>
      <w:lvlJc w:val="left"/>
      <w:pPr>
        <w:tabs>
          <w:tab w:val="num" w:pos="1620"/>
        </w:tabs>
        <w:ind w:left="1620" w:hanging="360"/>
      </w:pPr>
    </w:lvl>
    <w:lvl w:ilvl="2">
      <w:start w:val="1"/>
      <w:numFmt w:val="lowerRoman"/>
      <w:lvlText w:val="%3."/>
      <w:lvlJc w:val="right"/>
      <w:pPr>
        <w:tabs>
          <w:tab w:val="num" w:pos="2340"/>
        </w:tabs>
        <w:ind w:left="2340" w:hanging="180"/>
      </w:pPr>
    </w:lvl>
    <w:lvl w:ilvl="3">
      <w:start w:val="1"/>
      <w:numFmt w:val="decimal"/>
      <w:lvlText w:val="%4."/>
      <w:lvlJc w:val="left"/>
      <w:pPr>
        <w:tabs>
          <w:tab w:val="num" w:pos="3060"/>
        </w:tabs>
        <w:ind w:left="3060" w:hanging="360"/>
      </w:pPr>
    </w:lvl>
    <w:lvl w:ilvl="4">
      <w:start w:val="1"/>
      <w:numFmt w:val="lowerLetter"/>
      <w:lvlText w:val="%5."/>
      <w:lvlJc w:val="left"/>
      <w:pPr>
        <w:tabs>
          <w:tab w:val="num" w:pos="3780"/>
        </w:tabs>
        <w:ind w:left="3780" w:hanging="360"/>
      </w:pPr>
    </w:lvl>
    <w:lvl w:ilvl="5">
      <w:start w:val="1"/>
      <w:numFmt w:val="lowerRoman"/>
      <w:lvlText w:val="%6."/>
      <w:lvlJc w:val="right"/>
      <w:pPr>
        <w:tabs>
          <w:tab w:val="num" w:pos="4500"/>
        </w:tabs>
        <w:ind w:left="4500" w:hanging="180"/>
      </w:pPr>
    </w:lvl>
    <w:lvl w:ilvl="6">
      <w:start w:val="1"/>
      <w:numFmt w:val="decimal"/>
      <w:lvlText w:val="%7."/>
      <w:lvlJc w:val="left"/>
      <w:pPr>
        <w:tabs>
          <w:tab w:val="num" w:pos="5220"/>
        </w:tabs>
        <w:ind w:left="5220" w:hanging="360"/>
      </w:pPr>
    </w:lvl>
    <w:lvl w:ilvl="7">
      <w:start w:val="1"/>
      <w:numFmt w:val="lowerLetter"/>
      <w:lvlText w:val="%8."/>
      <w:lvlJc w:val="left"/>
      <w:pPr>
        <w:tabs>
          <w:tab w:val="num" w:pos="5940"/>
        </w:tabs>
        <w:ind w:left="5940" w:hanging="360"/>
      </w:pPr>
    </w:lvl>
    <w:lvl w:ilvl="8">
      <w:start w:val="1"/>
      <w:numFmt w:val="lowerRoman"/>
      <w:lvlText w:val="%9."/>
      <w:lvlJc w:val="right"/>
      <w:pPr>
        <w:tabs>
          <w:tab w:val="num" w:pos="6660"/>
        </w:tabs>
        <w:ind w:left="6660" w:hanging="180"/>
      </w:pPr>
    </w:lvl>
  </w:abstractNum>
  <w:abstractNum w:abstractNumId="14">
    <w:lvl w:ilvl="0">
      <w:start w:val="1"/>
      <w:numFmt w:val="lowerLetter"/>
      <w:lvlText w:val="%1)"/>
      <w:lvlJc w:val="left"/>
      <w:pPr>
        <w:tabs>
          <w:tab w:val="num" w:pos="1620"/>
        </w:tabs>
        <w:ind w:left="162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5">
    <w:lvl w:ilvl="0">
      <w:start w:val="1"/>
      <w:numFmt w:val="none"/>
      <w:suff w:val="nothing"/>
      <w:lvlText w:val=""/>
      <w:lvlJc w:val="left"/>
      <w:pPr>
        <w:tabs>
          <w:tab w:val="num" w:pos="432"/>
        </w:tabs>
        <w:ind w:left="432" w:hanging="432"/>
      </w:pPr>
    </w:lvl>
    <w:lvl w:ilvl="1">
      <w:start w:val="1"/>
      <w:numFmt w:val="none"/>
      <w:suff w:val="nothing"/>
      <w:lvlText w:val=""/>
      <w:lvlJc w:val="left"/>
      <w:pPr>
        <w:tabs>
          <w:tab w:val="num" w:pos="576"/>
        </w:tabs>
        <w:ind w:left="576" w:hanging="576"/>
      </w:pPr>
    </w:lvl>
    <w:lvl w:ilvl="2">
      <w:start w:val="1"/>
      <w:numFmt w:val="none"/>
      <w:suff w:val="nothing"/>
      <w:lvlText w:val=""/>
      <w:lvlJc w:val="left"/>
      <w:pPr>
        <w:tabs>
          <w:tab w:val="num" w:pos="720"/>
        </w:tabs>
        <w:ind w:left="720" w:hanging="720"/>
      </w:pPr>
    </w:lvl>
    <w:lvl w:ilvl="3">
      <w:start w:val="1"/>
      <w:numFmt w:val="none"/>
      <w:suff w:val="nothing"/>
      <w:lvlText w:val=""/>
      <w:lvlJc w:val="left"/>
      <w:pPr>
        <w:tabs>
          <w:tab w:val="num" w:pos="864"/>
        </w:tabs>
        <w:ind w:left="864" w:hanging="864"/>
      </w:pPr>
    </w:lvl>
    <w:lvl w:ilvl="4">
      <w:start w:val="1"/>
      <w:numFmt w:val="none"/>
      <w:suff w:val="nothing"/>
      <w:lvlText w:val=""/>
      <w:lvlJc w:val="left"/>
      <w:pPr>
        <w:tabs>
          <w:tab w:val="num" w:pos="1008"/>
        </w:tabs>
        <w:ind w:left="1008" w:hanging="1008"/>
      </w:pPr>
    </w:lvl>
    <w:lvl w:ilvl="5">
      <w:start w:val="1"/>
      <w:numFmt w:val="none"/>
      <w:suff w:val="nothing"/>
      <w:lvlText w:val=""/>
      <w:lvlJc w:val="left"/>
      <w:pPr>
        <w:tabs>
          <w:tab w:val="num" w:pos="1152"/>
        </w:tabs>
        <w:ind w:left="1152" w:hanging="1152"/>
      </w:pPr>
    </w:lvl>
    <w:lvl w:ilvl="6">
      <w:start w:val="1"/>
      <w:numFmt w:val="none"/>
      <w:suff w:val="nothing"/>
      <w:lvlText w:val=""/>
      <w:lvlJc w:val="left"/>
      <w:pPr>
        <w:tabs>
          <w:tab w:val="num" w:pos="1296"/>
        </w:tabs>
        <w:ind w:left="1296" w:hanging="1296"/>
      </w:pPr>
    </w:lvl>
    <w:lvl w:ilvl="7">
      <w:start w:val="1"/>
      <w:numFmt w:val="none"/>
      <w:suff w:val="nothing"/>
      <w:lvlText w:val=""/>
      <w:lvlJc w:val="left"/>
      <w:pPr>
        <w:tabs>
          <w:tab w:val="num" w:pos="1440"/>
        </w:tabs>
        <w:ind w:left="1440" w:hanging="1440"/>
      </w:pPr>
    </w:lvl>
    <w:lvl w:ilvl="8">
      <w:start w:val="1"/>
      <w:numFmt w:val="none"/>
      <w:suff w:val="nothing"/>
      <w:lvlText w:val=""/>
      <w:lvlJc w:val="left"/>
      <w:pPr>
        <w:tabs>
          <w:tab w:val="num" w:pos="1584"/>
        </w:tabs>
        <w:ind w:left="1584" w:hanging="1584"/>
      </w:pPr>
    </w:lvl>
  </w:abstractNum>
  <w:num w:numId="1">
    <w:abstractNumId w:val="1"/>
  </w:num>
  <w:num w:numId="2">
    <w:abstractNumId w:val="2"/>
  </w:num>
  <w:num w:numId="3">
    <w:abstractNumId w:val="3"/>
  </w:num>
  <w:num w:numId="4">
    <w:abstractNumId w:val="4"/>
  </w:num>
  <w:num w:numId="5">
    <w:abstractNumId w:val="5"/>
  </w:num>
  <w:num w:numId="6">
    <w:abstractNumId w:val="6"/>
  </w:num>
  <w:num w:numId="7">
    <w:abstractNumId w:val="7"/>
  </w:num>
  <w:num w:numId="8">
    <w:abstractNumId w:val="8"/>
  </w:num>
  <w:num w:numId="9">
    <w:abstractNumId w:val="9"/>
  </w:num>
  <w:num w:numId="10">
    <w:abstractNumId w:val="10"/>
  </w:num>
  <w:num w:numId="11">
    <w:abstractNumId w:val="11"/>
  </w:num>
  <w:num w:numId="12">
    <w:abstractNumId w:val="12"/>
  </w:num>
  <w:num w:numId="13">
    <w:abstractNumId w:val="13"/>
  </w:num>
  <w:num w:numId="14">
    <w:abstractNumId w:val="14"/>
  </w:num>
  <w:num w:numId="15">
    <w:abstractNumId w:val="15"/>
  </w:num>
</w:numbering>
</file>

<file path=word/settings.xml><?xml version="1.0" encoding="utf-8"?>
<w:settings xmlns:w="http://schemas.openxmlformats.org/wordprocessingml/2006/main">
  <w:zoom w:percent="100"/>
  <w:defaultTabStop w:val="708"/>
</w:settings>
</file>

<file path=word/styles.xml><?xml version="1.0" encoding="utf-8"?>
<w:styles xmlns:w="http://schemas.openxmlformats.org/wordprocessingml/2006/main">
  <w:docDefaults>
    <w:rPrDefault>
      <w:rPr>
        <w:rFonts w:ascii="Calibri" w:hAnsi="Calibri" w:eastAsia="Arial Unicode MS" w:cs="Calibri"/>
        <w:sz w:val="22"/>
        <w:szCs w:val="22"/>
        <w:lang w:val="sk-SK" w:eastAsia="en-US" w:bidi="ar-SA"/>
      </w:rPr>
    </w:rPrDefault>
    <w:pPrDefault>
      <w:pPr>
        <w:spacing w:lineRule="auto" w:line="276"/>
      </w:pPr>
    </w:pPrDefault>
  </w:docDefaults>
  <w:latentStyles w:count="267" w:defQFormat="0" w:defUnhideWhenUsed="1" w:defSemiHidden="1" w:defUIPriority="99" w:defLockedState="0">
    <w:lsdException w:qFormat="1" w:unhideWhenUsed="0" w:semiHidden="0" w:uiPriority="0" w:name="Normal"/>
    <w:lsdException w:qFormat="1" w:unhideWhenUsed="0" w:semiHidden="0" w:uiPriority="0" w:name="heading 1"/>
    <w:lsdException w:qFormat="1" w:uiPriority="0" w:name="heading 2"/>
    <w:lsdException w:qFormat="1" w:uiPriority="0" w:name="heading 3"/>
    <w:lsdException w:qFormat="1" w:uiPriority="0" w:name="heading 4"/>
    <w:lsdException w:qFormat="1" w:uiPriority="9" w:name="heading 5"/>
    <w:lsdException w:qFormat="1" w:uiPriority="9" w:name="heading 6"/>
    <w:lsdException w:qFormat="1" w:uiPriority="0" w:name="heading 7"/>
    <w:lsdException w:qFormat="1" w:uiPriority="9" w:name="heading 8"/>
    <w:lsdException w:qFormat="1" w:uiPriority="9" w:name="heading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0" w:name="footer"/>
    <w:lsdException w:qFormat="1" w:uiPriority="35" w:name="caption"/>
    <w:lsdException w:uiPriority="0" w:name="page number"/>
    <w:lsdException w:qFormat="1" w:unhideWhenUsed="0" w:semiHidden="0" w:uiPriority="10" w:name="Title"/>
    <w:lsdException w:uiPriority="1" w:name="Default Paragraph Font"/>
    <w:lsdException w:uiPriority="0" w:name="Body Text"/>
    <w:lsdException w:qFormat="1" w:unhideWhenUsed="0" w:semiHidden="0" w:uiPriority="11" w:name="Subtitle"/>
    <w:lsdException w:uiPriority="0" w:name="Body Text 3"/>
    <w:lsdException w:uiPriority="0" w:name="Hyperlink"/>
    <w:lsdException w:uiPriority="0" w:name="FollowedHyperlink"/>
    <w:lsdException w:qFormat="1" w:unhideWhenUsed="0" w:semiHidden="0" w:uiPriority="22" w:name="Strong"/>
    <w:lsdException w:qFormat="1" w:unhideWhenUsed="0" w:semiHidden="0" w:uiPriority="20" w:name="Emphasis"/>
    <w:lsdException w:uiPriority="0" w:name="No List"/>
    <w:lsdException w:uiPriority="0" w:name="Balloon Text"/>
    <w:lsdException w:unhideWhenUsed="0" w:semiHidden="0" w:uiPriority="0" w:name="Table Grid"/>
    <w:lsdException w:unhideWhenUsed="0" w:name="Placeholder Text"/>
    <w:lsdException w:qFormat="1" w:unhideWhenUsed="0" w:semiHidden="0" w:uiPriority="1" w:name="No Spacing"/>
    <w:lsdException w:unhideWhenUsed="0" w:semiHidden="0" w:uiPriority="60" w:name="Light Shading"/>
    <w:lsdException w:unhideWhenUsed="0" w:semiHidden="0" w:uiPriority="61" w:name="Light List"/>
    <w:lsdException w:unhideWhenUsed="0" w:semiHidden="0" w:uiPriority="62" w:name="Light Grid"/>
    <w:lsdException w:unhideWhenUsed="0" w:semiHidden="0" w:uiPriority="63" w:name="Medium Shading 1"/>
    <w:lsdException w:unhideWhenUsed="0" w:semiHidden="0" w:uiPriority="64" w:name="Medium Shading 2"/>
    <w:lsdException w:unhideWhenUsed="0" w:semiHidden="0" w:uiPriority="65" w:name="Medium List 1"/>
    <w:lsdException w:unhideWhenUsed="0" w:semiHidden="0" w:uiPriority="66" w:name="Medium List 2"/>
    <w:lsdException w:unhideWhenUsed="0" w:semiHidden="0" w:uiPriority="67" w:name="Medium Grid 1"/>
    <w:lsdException w:unhideWhenUsed="0" w:semiHidden="0" w:uiPriority="68" w:name="Medium Grid 2"/>
    <w:lsdException w:unhideWhenUsed="0" w:semiHidden="0" w:uiPriority="69" w:name="Medium Grid 3"/>
    <w:lsdException w:unhideWhenUsed="0" w:semiHidden="0" w:uiPriority="70" w:name="Dark List"/>
    <w:lsdException w:unhideWhenUsed="0" w:semiHidden="0" w:uiPriority="71" w:name="Colorful Shading"/>
    <w:lsdException w:unhideWhenUsed="0" w:semiHidden="0" w:uiPriority="72" w:name="Colorful List"/>
    <w:lsdException w:unhideWhenUsed="0" w:semiHidden="0" w:uiPriority="73" w:name="Colorful Grid"/>
    <w:lsdException w:unhideWhenUsed="0" w:semiHidden="0" w:uiPriority="60" w:name="Light Shading Accent 1"/>
    <w:lsdException w:unhideWhenUsed="0" w:semiHidden="0" w:uiPriority="61" w:name="Light List Accent 1"/>
    <w:lsdException w:unhideWhenUsed="0" w:semiHidden="0" w:uiPriority="62" w:name="Light Grid Accent 1"/>
    <w:lsdException w:unhideWhenUsed="0" w:semiHidden="0" w:uiPriority="63" w:name="Medium Shading 1 Accent 1"/>
    <w:lsdException w:unhideWhenUsed="0" w:semiHidden="0" w:uiPriority="64" w:name="Medium Shading 2 Accent 1"/>
    <w:lsdException w:unhideWhenUsed="0" w:semiHidden="0" w:uiPriority="65" w:name="Medium List 1 Accent 1"/>
    <w:lsdException w:unhideWhenUsed="0" w:name="Revision"/>
    <w:lsdException w:qFormat="1" w:unhideWhenUsed="0" w:semiHidden="0" w:uiPriority="34" w:name="List Paragraph"/>
    <w:lsdException w:qFormat="1" w:unhideWhenUsed="0" w:semiHidden="0" w:uiPriority="29" w:name="Quote"/>
    <w:lsdException w:qFormat="1" w:unhideWhenUsed="0" w:semiHidden="0" w:uiPriority="30" w:name="Intense Quote"/>
    <w:lsdException w:unhideWhenUsed="0" w:semiHidden="0" w:uiPriority="66" w:name="Medium List 2 Accent 1"/>
    <w:lsdException w:unhideWhenUsed="0" w:semiHidden="0" w:uiPriority="67" w:name="Medium Grid 1 Accent 1"/>
    <w:lsdException w:unhideWhenUsed="0" w:semiHidden="0" w:uiPriority="68" w:name="Medium Grid 2 Accent 1"/>
    <w:lsdException w:unhideWhenUsed="0" w:semiHidden="0" w:uiPriority="69" w:name="Medium Grid 3 Accent 1"/>
    <w:lsdException w:unhideWhenUsed="0" w:semiHidden="0" w:uiPriority="70" w:name="Dark List Accent 1"/>
    <w:lsdException w:unhideWhenUsed="0" w:semiHidden="0" w:uiPriority="71" w:name="Colorful Shading Accent 1"/>
    <w:lsdException w:unhideWhenUsed="0" w:semiHidden="0" w:uiPriority="72" w:name="Colorful List Accent 1"/>
    <w:lsdException w:unhideWhenUsed="0" w:semiHidden="0" w:uiPriority="73" w:name="Colorful Grid Accent 1"/>
    <w:lsdException w:unhideWhenUsed="0" w:semiHidden="0" w:uiPriority="60" w:name="Light Shading Accent 2"/>
    <w:lsdException w:unhideWhenUsed="0" w:semiHidden="0" w:uiPriority="61" w:name="Light List Accent 2"/>
    <w:lsdException w:unhideWhenUsed="0" w:semiHidden="0" w:uiPriority="62" w:name="Light Grid Accent 2"/>
    <w:lsdException w:unhideWhenUsed="0" w:semiHidden="0" w:uiPriority="63" w:name="Medium Shading 1 Accent 2"/>
    <w:lsdException w:unhideWhenUsed="0" w:semiHidden="0" w:uiPriority="64" w:name="Medium Shading 2 Accent 2"/>
    <w:lsdException w:unhideWhenUsed="0" w:semiHidden="0" w:uiPriority="65" w:name="Medium List 1 Accent 2"/>
    <w:lsdException w:unhideWhenUsed="0" w:semiHidden="0" w:uiPriority="66" w:name="Medium List 2 Accent 2"/>
    <w:lsdException w:unhideWhenUsed="0" w:semiHidden="0" w:uiPriority="67" w:name="Medium Grid 1 Accent 2"/>
    <w:lsdException w:unhideWhenUsed="0" w:semiHidden="0" w:uiPriority="68" w:name="Medium Grid 2 Accent 2"/>
    <w:lsdException w:unhideWhenUsed="0" w:semiHidden="0" w:uiPriority="69" w:name="Medium Grid 3 Accent 2"/>
    <w:lsdException w:unhideWhenUsed="0" w:semiHidden="0" w:uiPriority="70" w:name="Dark List Accent 2"/>
    <w:lsdException w:unhideWhenUsed="0" w:semiHidden="0" w:uiPriority="71" w:name="Colorful Shading Accent 2"/>
    <w:lsdException w:unhideWhenUsed="0" w:semiHidden="0" w:uiPriority="72" w:name="Colorful List Accent 2"/>
    <w:lsdException w:unhideWhenUsed="0" w:semiHidden="0" w:uiPriority="73" w:name="Colorful Grid Accent 2"/>
    <w:lsdException w:unhideWhenUsed="0" w:semiHidden="0" w:uiPriority="60" w:name="Light Shading Accent 3"/>
    <w:lsdException w:unhideWhenUsed="0" w:semiHidden="0" w:uiPriority="61" w:name="Light List Accent 3"/>
    <w:lsdException w:unhideWhenUsed="0" w:semiHidden="0" w:uiPriority="62" w:name="Light Grid Accent 3"/>
    <w:lsdException w:unhideWhenUsed="0" w:semiHidden="0" w:uiPriority="63" w:name="Medium Shading 1 Accent 3"/>
    <w:lsdException w:unhideWhenUsed="0" w:semiHidden="0" w:uiPriority="64" w:name="Medium Shading 2 Accent 3"/>
    <w:lsdException w:unhideWhenUsed="0" w:semiHidden="0" w:uiPriority="65" w:name="Medium List 1 Accent 3"/>
    <w:lsdException w:unhideWhenUsed="0" w:semiHidden="0" w:uiPriority="66" w:name="Medium List 2 Accent 3"/>
    <w:lsdException w:unhideWhenUsed="0" w:semiHidden="0" w:uiPriority="67" w:name="Medium Grid 1 Accent 3"/>
    <w:lsdException w:unhideWhenUsed="0" w:semiHidden="0" w:uiPriority="68" w:name="Medium Grid 2 Accent 3"/>
    <w:lsdException w:unhideWhenUsed="0" w:semiHidden="0" w:uiPriority="69" w:name="Medium Grid 3 Accent 3"/>
    <w:lsdException w:unhideWhenUsed="0" w:semiHidden="0" w:uiPriority="70" w:name="Dark List Accent 3"/>
    <w:lsdException w:unhideWhenUsed="0" w:semiHidden="0" w:uiPriority="71" w:name="Colorful Shading Accent 3"/>
    <w:lsdException w:unhideWhenUsed="0" w:semiHidden="0" w:uiPriority="72" w:name="Colorful List Accent 3"/>
    <w:lsdException w:unhideWhenUsed="0" w:semiHidden="0" w:uiPriority="73" w:name="Colorful Grid Accent 3"/>
    <w:lsdException w:unhideWhenUsed="0" w:semiHidden="0" w:uiPriority="60" w:name="Light Shading Accent 4"/>
    <w:lsdException w:unhideWhenUsed="0" w:semiHidden="0" w:uiPriority="61" w:name="Light List Accent 4"/>
    <w:lsdException w:unhideWhenUsed="0" w:semiHidden="0" w:uiPriority="62" w:name="Light Grid Accent 4"/>
    <w:lsdException w:unhideWhenUsed="0" w:semiHidden="0" w:uiPriority="63" w:name="Medium Shading 1 Accent 4"/>
    <w:lsdException w:unhideWhenUsed="0" w:semiHidden="0" w:uiPriority="64" w:name="Medium Shading 2 Accent 4"/>
    <w:lsdException w:unhideWhenUsed="0" w:semiHidden="0" w:uiPriority="65" w:name="Medium List 1 Accent 4"/>
    <w:lsdException w:unhideWhenUsed="0" w:semiHidden="0" w:uiPriority="66" w:name="Medium List 2 Accent 4"/>
    <w:lsdException w:unhideWhenUsed="0" w:semiHidden="0" w:uiPriority="67" w:name="Medium Grid 1 Accent 4"/>
    <w:lsdException w:unhideWhenUsed="0" w:semiHidden="0" w:uiPriority="68" w:name="Medium Grid 2 Accent 4"/>
    <w:lsdException w:unhideWhenUsed="0" w:semiHidden="0" w:uiPriority="69" w:name="Medium Grid 3 Accent 4"/>
    <w:lsdException w:unhideWhenUsed="0" w:semiHidden="0" w:uiPriority="70" w:name="Dark List Accent 4"/>
    <w:lsdException w:unhideWhenUsed="0" w:semiHidden="0" w:uiPriority="71" w:name="Colorful Shading Accent 4"/>
    <w:lsdException w:unhideWhenUsed="0" w:semiHidden="0" w:uiPriority="72" w:name="Colorful List Accent 4"/>
    <w:lsdException w:unhideWhenUsed="0" w:semiHidden="0" w:uiPriority="73" w:name="Colorful Grid Accent 4"/>
    <w:lsdException w:unhideWhenUsed="0" w:semiHidden="0" w:uiPriority="60" w:name="Light Shading Accent 5"/>
    <w:lsdException w:unhideWhenUsed="0" w:semiHidden="0" w:uiPriority="61" w:name="Light List Accent 5"/>
    <w:lsdException w:unhideWhenUsed="0" w:semiHidden="0" w:uiPriority="62" w:name="Light Grid Accent 5"/>
    <w:lsdException w:unhideWhenUsed="0" w:semiHidden="0" w:uiPriority="63" w:name="Medium Shading 1 Accent 5"/>
    <w:lsdException w:unhideWhenUsed="0" w:semiHidden="0" w:uiPriority="64" w:name="Medium Shading 2 Accent 5"/>
    <w:lsdException w:unhideWhenUsed="0" w:semiHidden="0" w:uiPriority="65" w:name="Medium List 1 Accent 5"/>
    <w:lsdException w:unhideWhenUsed="0" w:semiHidden="0" w:uiPriority="66" w:name="Medium List 2 Accent 5"/>
    <w:lsdException w:unhideWhenUsed="0" w:semiHidden="0" w:uiPriority="67" w:name="Medium Grid 1 Accent 5"/>
    <w:lsdException w:unhideWhenUsed="0" w:semiHidden="0" w:uiPriority="68" w:name="Medium Grid 2 Accent 5"/>
    <w:lsdException w:unhideWhenUsed="0" w:semiHidden="0" w:uiPriority="69" w:name="Medium Grid 3 Accent 5"/>
    <w:lsdException w:unhideWhenUsed="0" w:semiHidden="0" w:uiPriority="70" w:name="Dark List Accent 5"/>
    <w:lsdException w:unhideWhenUsed="0" w:semiHidden="0" w:uiPriority="71" w:name="Colorful Shading Accent 5"/>
    <w:lsdException w:unhideWhenUsed="0" w:semiHidden="0" w:uiPriority="72" w:name="Colorful List Accent 5"/>
    <w:lsdException w:unhideWhenUsed="0" w:semiHidden="0" w:uiPriority="73" w:name="Colorful Grid Accent 5"/>
    <w:lsdException w:unhideWhenUsed="0" w:semiHidden="0" w:uiPriority="60" w:name="Light Shading Accent 6"/>
    <w:lsdException w:unhideWhenUsed="0" w:semiHidden="0" w:uiPriority="61" w:name="Light List Accent 6"/>
    <w:lsdException w:unhideWhenUsed="0" w:semiHidden="0" w:uiPriority="62" w:name="Light Grid Accent 6"/>
    <w:lsdException w:unhideWhenUsed="0" w:semiHidden="0" w:uiPriority="63" w:name="Medium Shading 1 Accent 6"/>
    <w:lsdException w:unhideWhenUsed="0" w:semiHidden="0" w:uiPriority="64" w:name="Medium Shading 2 Accent 6"/>
    <w:lsdException w:unhideWhenUsed="0" w:semiHidden="0" w:uiPriority="65" w:name="Medium List 1 Accent 6"/>
    <w:lsdException w:unhideWhenUsed="0" w:semiHidden="0" w:uiPriority="66" w:name="Medium List 2 Accent 6"/>
    <w:lsdException w:unhideWhenUsed="0" w:semiHidden="0" w:uiPriority="67" w:name="Medium Grid 1 Accent 6"/>
    <w:lsdException w:unhideWhenUsed="0" w:semiHidden="0" w:uiPriority="68" w:name="Medium Grid 2 Accent 6"/>
    <w:lsdException w:unhideWhenUsed="0" w:semiHidden="0" w:uiPriority="69" w:name="Medium Grid 3 Accent 6"/>
    <w:lsdException w:unhideWhenUsed="0" w:semiHidden="0" w:uiPriority="70" w:name="Dark List Accent 6"/>
    <w:lsdException w:unhideWhenUsed="0" w:semiHidden="0" w:uiPriority="71" w:name="Colorful Shading Accent 6"/>
    <w:lsdException w:unhideWhenUsed="0" w:semiHidden="0" w:uiPriority="72" w:name="Colorful List Accent 6"/>
    <w:lsdException w:unhideWhenUsed="0" w:semiHidden="0" w:uiPriority="73" w:name="Colorful Grid Accent 6"/>
    <w:lsdException w:qFormat="1" w:unhideWhenUsed="0" w:semiHidden="0" w:uiPriority="19" w:name="Subtle Emphasis"/>
    <w:lsdException w:qFormat="1" w:unhideWhenUsed="0" w:semiHidden="0" w:uiPriority="21" w:name="Intense Emphasis"/>
    <w:lsdException w:qFormat="1" w:unhideWhenUsed="0" w:semiHidden="0" w:uiPriority="31" w:name="Subtle Reference"/>
    <w:lsdException w:qFormat="1" w:unhideWhenUsed="0" w:semiHidden="0" w:uiPriority="32" w:name="Intense Reference"/>
    <w:lsdException w:qFormat="1" w:unhideWhenUsed="0" w:semiHidden="0" w:uiPriority="33" w:name="Book Title"/>
    <w:lsdException w:uiPriority="37" w:name="Bibliography"/>
    <w:lsdException w:qFormat="1" w:uiPriority="39" w:name="TOC Heading"/>
  </w:latentStyles>
  <w:style w:type="paragraph" w:styleId="Normal" w:default="1">
    <w:name w:val="Normal"/>
    <w:qFormat/>
    <w:rsid w:val="00754e6a"/>
    <w:pPr>
      <w:widowControl/>
      <w:suppressAutoHyphens w:val="true"/>
      <w:bidi w:val="0"/>
      <w:spacing w:lineRule="auto" w:line="240" w:before="0" w:after="0"/>
      <w:jc w:val="left"/>
    </w:pPr>
    <w:rPr>
      <w:rFonts w:ascii="Times New Roman" w:hAnsi="Times New Roman" w:eastAsia="Times New Roman" w:cs="Times New Roman"/>
      <w:color w:val="00000A"/>
      <w:sz w:val="24"/>
      <w:szCs w:val="24"/>
      <w:lang w:val="sk-SK" w:eastAsia="sk-SK" w:bidi="ar-SA"/>
    </w:rPr>
  </w:style>
  <w:style w:type="paragraph" w:styleId="Nadpis1">
    <w:name w:val="Nadpis 1"/>
    <w:qFormat/>
    <w:link w:val="Nadpis1Char"/>
    <w:rsid w:val="00754e6a"/>
    <w:basedOn w:val="Normal"/>
    <w:pPr>
      <w:keepNext/>
      <w:outlineLvl w:val="0"/>
    </w:pPr>
    <w:rPr>
      <w:b/>
      <w:sz w:val="32"/>
      <w:szCs w:val="32"/>
      <w:lang w:eastAsia="cs-CZ"/>
    </w:rPr>
  </w:style>
  <w:style w:type="paragraph" w:styleId="Nadpis2">
    <w:name w:val="Nadpis 2"/>
    <w:qFormat/>
    <w:link w:val="Nadpis2Char"/>
    <w:rsid w:val="00754e6a"/>
    <w:basedOn w:val="Normal"/>
    <w:pPr>
      <w:keepNext/>
      <w:spacing w:before="240" w:after="60"/>
      <w:outlineLvl w:val="1"/>
    </w:pPr>
    <w:rPr>
      <w:rFonts w:ascii="Cambria" w:hAnsi="Cambria"/>
      <w:b/>
      <w:bCs/>
      <w:i/>
      <w:iCs/>
      <w:sz w:val="28"/>
      <w:szCs w:val="28"/>
    </w:rPr>
  </w:style>
  <w:style w:type="paragraph" w:styleId="Nadpis3">
    <w:name w:val="Nadpis 3"/>
    <w:qFormat/>
    <w:link w:val="Nadpis3Char"/>
    <w:rsid w:val="00754e6a"/>
    <w:basedOn w:val="Normal"/>
    <w:pPr>
      <w:keepNext/>
      <w:spacing w:before="240" w:after="60"/>
      <w:outlineLvl w:val="2"/>
    </w:pPr>
    <w:rPr>
      <w:rFonts w:ascii="Cambria" w:hAnsi="Cambria"/>
      <w:b/>
      <w:bCs/>
      <w:sz w:val="26"/>
      <w:szCs w:val="26"/>
    </w:rPr>
  </w:style>
  <w:style w:type="paragraph" w:styleId="Nadpis4">
    <w:name w:val="Nadpis 4"/>
    <w:qFormat/>
    <w:link w:val="Nadpis4Char"/>
    <w:rsid w:val="00754e6a"/>
    <w:basedOn w:val="Normal"/>
    <w:pPr>
      <w:keepNext/>
      <w:spacing w:before="240" w:after="60"/>
      <w:outlineLvl w:val="3"/>
    </w:pPr>
    <w:rPr>
      <w:rFonts w:ascii="Calibri" w:hAnsi="Calibri"/>
      <w:b/>
      <w:bCs/>
      <w:sz w:val="28"/>
      <w:szCs w:val="28"/>
    </w:rPr>
  </w:style>
  <w:style w:type="paragraph" w:styleId="Nadpis7">
    <w:name w:val="Nadpis 7"/>
    <w:qFormat/>
    <w:link w:val="Nadpis7Char"/>
    <w:rsid w:val="00754e6a"/>
    <w:basedOn w:val="Normal"/>
    <w:pPr>
      <w:spacing w:before="240" w:after="60"/>
      <w:outlineLvl w:val="6"/>
    </w:pPr>
    <w:rPr>
      <w:rFonts w:ascii="Calibri" w:hAnsi="Calibri"/>
    </w:rPr>
  </w:style>
  <w:style w:type="character" w:styleId="DefaultParagraphFont" w:default="1">
    <w:name w:val="Default Paragraph Font"/>
    <w:uiPriority w:val="1"/>
    <w:semiHidden/>
    <w:unhideWhenUsed/>
    <w:rPr/>
  </w:style>
  <w:style w:type="character" w:styleId="Nadpis1Char" w:customStyle="1">
    <w:name w:val="Nadpis 1 Char"/>
    <w:link w:val="Nadpis1"/>
    <w:rsid w:val="00754e6a"/>
    <w:basedOn w:val="DefaultParagraphFont"/>
    <w:rPr>
      <w:rFonts w:ascii="Times New Roman" w:hAnsi="Times New Roman" w:eastAsia="Times New Roman" w:cs="Times New Roman"/>
      <w:b/>
      <w:sz w:val="32"/>
      <w:szCs w:val="32"/>
      <w:lang w:eastAsia="cs-CZ"/>
    </w:rPr>
  </w:style>
  <w:style w:type="character" w:styleId="Nadpis2Char" w:customStyle="1">
    <w:name w:val="Nadpis 2 Char"/>
    <w:link w:val="Nadpis2"/>
    <w:rsid w:val="00754e6a"/>
    <w:basedOn w:val="DefaultParagraphFont"/>
    <w:rPr>
      <w:rFonts w:ascii="Cambria" w:hAnsi="Cambria" w:eastAsia="Times New Roman" w:cs="Times New Roman"/>
      <w:b/>
      <w:bCs/>
      <w:i/>
      <w:iCs/>
      <w:sz w:val="28"/>
      <w:szCs w:val="28"/>
      <w:lang w:eastAsia="sk-SK"/>
    </w:rPr>
  </w:style>
  <w:style w:type="character" w:styleId="Nadpis3Char" w:customStyle="1">
    <w:name w:val="Nadpis 3 Char"/>
    <w:link w:val="Nadpis3"/>
    <w:rsid w:val="00754e6a"/>
    <w:basedOn w:val="DefaultParagraphFont"/>
    <w:rPr>
      <w:rFonts w:ascii="Cambria" w:hAnsi="Cambria" w:eastAsia="Times New Roman" w:cs="Times New Roman"/>
      <w:b/>
      <w:bCs/>
      <w:sz w:val="26"/>
      <w:szCs w:val="26"/>
      <w:lang w:eastAsia="sk-SK"/>
    </w:rPr>
  </w:style>
  <w:style w:type="character" w:styleId="Nadpis4Char" w:customStyle="1">
    <w:name w:val="Nadpis 4 Char"/>
    <w:link w:val="Nadpis4"/>
    <w:rsid w:val="00754e6a"/>
    <w:basedOn w:val="DefaultParagraphFont"/>
    <w:rPr>
      <w:rFonts w:ascii="Calibri" w:hAnsi="Calibri" w:eastAsia="Times New Roman" w:cs="Times New Roman"/>
      <w:b/>
      <w:bCs/>
      <w:sz w:val="28"/>
      <w:szCs w:val="28"/>
      <w:lang w:eastAsia="sk-SK"/>
    </w:rPr>
  </w:style>
  <w:style w:type="character" w:styleId="Nadpis7Char" w:customStyle="1">
    <w:name w:val="Nadpis 7 Char"/>
    <w:link w:val="Nadpis7"/>
    <w:rsid w:val="00754e6a"/>
    <w:basedOn w:val="DefaultParagraphFont"/>
    <w:rPr>
      <w:rFonts w:ascii="Calibri" w:hAnsi="Calibri" w:eastAsia="Times New Roman" w:cs="Times New Roman"/>
      <w:sz w:val="24"/>
      <w:szCs w:val="24"/>
      <w:lang w:eastAsia="sk-SK"/>
    </w:rPr>
  </w:style>
  <w:style w:type="character" w:styleId="PtaChar" w:customStyle="1">
    <w:name w:val="Päta Char"/>
    <w:link w:val="Pta"/>
    <w:rsid w:val="00754e6a"/>
    <w:basedOn w:val="DefaultParagraphFont"/>
    <w:rPr>
      <w:rFonts w:ascii="Times New Roman" w:hAnsi="Times New Roman" w:eastAsia="Times New Roman" w:cs="Times New Roman"/>
      <w:sz w:val="24"/>
      <w:szCs w:val="24"/>
      <w:lang w:eastAsia="sk-SK"/>
    </w:rPr>
  </w:style>
  <w:style w:type="character" w:styleId="Pagenumber">
    <w:name w:val="page number"/>
    <w:rsid w:val="00754e6a"/>
    <w:basedOn w:val="DefaultParagraphFont"/>
    <w:rPr/>
  </w:style>
  <w:style w:type="character" w:styleId="HlavikaChar" w:customStyle="1">
    <w:name w:val="Hlavička Char"/>
    <w:uiPriority w:val="99"/>
    <w:link w:val="Hlavika"/>
    <w:rsid w:val="00754e6a"/>
    <w:basedOn w:val="DefaultParagraphFont"/>
    <w:rPr>
      <w:rFonts w:ascii="Times New Roman" w:hAnsi="Times New Roman" w:eastAsia="Times New Roman" w:cs="Times New Roman"/>
      <w:sz w:val="24"/>
      <w:szCs w:val="24"/>
      <w:lang w:eastAsia="sk-SK"/>
    </w:rPr>
  </w:style>
  <w:style w:type="character" w:styleId="ZkladntextChar" w:customStyle="1">
    <w:name w:val="Základný text Char"/>
    <w:link w:val="Zkladntext"/>
    <w:rsid w:val="00754e6a"/>
    <w:basedOn w:val="DefaultParagraphFont"/>
    <w:rPr>
      <w:rFonts w:ascii="Times New Roman" w:hAnsi="Times New Roman" w:eastAsia="Times New Roman" w:cs="Times New Roman"/>
      <w:b/>
      <w:bCs/>
      <w:sz w:val="72"/>
      <w:szCs w:val="24"/>
      <w:lang w:eastAsia="sk-SK"/>
    </w:rPr>
  </w:style>
  <w:style w:type="character" w:styleId="Internetovodkaz">
    <w:name w:val="Internetový odkaz"/>
    <w:rsid w:val="00754e6a"/>
    <w:basedOn w:val="DefaultParagraphFont"/>
    <w:rPr>
      <w:color w:val="000000"/>
      <w:u w:val="single"/>
      <w:lang w:val="zxx" w:eastAsia="zxx" w:bidi="zxx"/>
    </w:rPr>
  </w:style>
  <w:style w:type="character" w:styleId="FollowedHyperlink">
    <w:name w:val="FollowedHyperlink"/>
    <w:rsid w:val="00754e6a"/>
    <w:basedOn w:val="DefaultParagraphFont"/>
    <w:rPr>
      <w:color w:val="800080"/>
      <w:u w:val="single"/>
    </w:rPr>
  </w:style>
  <w:style w:type="character" w:styleId="TextbublinyChar" w:customStyle="1">
    <w:name w:val="Text bubliny Char"/>
    <w:semiHidden/>
    <w:link w:val="Textbubliny"/>
    <w:rsid w:val="00754e6a"/>
    <w:basedOn w:val="DefaultParagraphFont"/>
    <w:rPr>
      <w:rFonts w:ascii="Tahoma" w:hAnsi="Tahoma" w:eastAsia="Times New Roman" w:cs="Tahoma"/>
      <w:sz w:val="16"/>
      <w:szCs w:val="16"/>
      <w:lang w:eastAsia="sk-SK"/>
    </w:rPr>
  </w:style>
  <w:style w:type="character" w:styleId="Printhtml" w:customStyle="1">
    <w:name w:val="print_html"/>
    <w:rsid w:val="00754e6a"/>
    <w:basedOn w:val="DefaultParagraphFont"/>
    <w:rPr/>
  </w:style>
  <w:style w:type="character" w:styleId="Strong">
    <w:name w:val="Strong"/>
    <w:uiPriority w:val="22"/>
    <w:qFormat/>
    <w:rsid w:val="00754e6a"/>
    <w:basedOn w:val="DefaultParagraphFont"/>
    <w:rPr>
      <w:b/>
      <w:bCs/>
    </w:rPr>
  </w:style>
  <w:style w:type="character" w:styleId="Zdraznenie">
    <w:name w:val="Zdôraznenie"/>
    <w:uiPriority w:val="20"/>
    <w:qFormat/>
    <w:rsid w:val="00754e6a"/>
    <w:basedOn w:val="DefaultParagraphFont"/>
    <w:rPr>
      <w:i/>
      <w:iCs/>
    </w:rPr>
  </w:style>
  <w:style w:type="character" w:styleId="Applestylespan" w:customStyle="1">
    <w:name w:val="apple-style-span"/>
    <w:rsid w:val="00754e6a"/>
    <w:basedOn w:val="DefaultParagraphFont"/>
    <w:rPr/>
  </w:style>
  <w:style w:type="character" w:styleId="Zkladntext3Char" w:customStyle="1">
    <w:name w:val="Základný text 3 Char"/>
    <w:link w:val="Zkladntext3"/>
    <w:rsid w:val="00754e6a"/>
    <w:basedOn w:val="DefaultParagraphFont"/>
    <w:rPr>
      <w:rFonts w:ascii="Times New Roman" w:hAnsi="Times New Roman" w:eastAsia="Times New Roman" w:cs="Times New Roman"/>
      <w:sz w:val="16"/>
      <w:szCs w:val="16"/>
      <w:lang w:eastAsia="sk-SK"/>
    </w:rPr>
  </w:style>
  <w:style w:type="character" w:styleId="ListLabel1">
    <w:name w:val="ListLabel 1"/>
    <w:rPr>
      <w:b/>
    </w:rPr>
  </w:style>
  <w:style w:type="character" w:styleId="ListLabel2">
    <w:name w:val="ListLabel 2"/>
    <w:rPr>
      <w:rFonts w:eastAsia="Times New Roman" w:cs="Times New Roman"/>
    </w:rPr>
  </w:style>
  <w:style w:type="character" w:styleId="ListLabel3">
    <w:name w:val="ListLabel 3"/>
    <w:rPr>
      <w:rFonts w:cs="Courier New"/>
    </w:rPr>
  </w:style>
  <w:style w:type="character" w:styleId="ListLabel4">
    <w:name w:val="ListLabel 4"/>
    <w:rPr>
      <w:sz w:val="20"/>
    </w:rPr>
  </w:style>
  <w:style w:type="character" w:styleId="ListLabel5">
    <w:name w:val="ListLabel 5"/>
    <w:rPr>
      <w:rFonts w:eastAsia="Times New Roman" w:cs="TimesNewRomanPSMT"/>
    </w:rPr>
  </w:style>
  <w:style w:type="character" w:styleId="ListLabel6">
    <w:name w:val="ListLabel 6"/>
    <w:rPr>
      <w:rFonts w:cs="Times New Roman"/>
    </w:rPr>
  </w:style>
  <w:style w:type="character" w:styleId="ListLabel7">
    <w:name w:val="ListLabel 7"/>
    <w:rPr>
      <w:rFonts w:cs="Symbol"/>
      <w:sz w:val="20"/>
    </w:rPr>
  </w:style>
  <w:style w:type="character" w:styleId="ListLabel8">
    <w:name w:val="ListLabel 8"/>
    <w:rPr>
      <w:rFonts w:cs="Courier New"/>
      <w:sz w:val="20"/>
    </w:rPr>
  </w:style>
  <w:style w:type="character" w:styleId="ListLabel9">
    <w:name w:val="ListLabel 9"/>
    <w:rPr>
      <w:rFonts w:cs="Wingdings"/>
      <w:sz w:val="20"/>
    </w:rPr>
  </w:style>
  <w:style w:type="character" w:styleId="ListLabel10">
    <w:name w:val="ListLabel 10"/>
    <w:rPr>
      <w:rFonts w:cs="Symbol"/>
    </w:rPr>
  </w:style>
  <w:style w:type="character" w:styleId="ListLabel11">
    <w:name w:val="ListLabel 11"/>
    <w:rPr>
      <w:rFonts w:cs="Courier New"/>
    </w:rPr>
  </w:style>
  <w:style w:type="character" w:styleId="ListLabel12">
    <w:name w:val="ListLabel 12"/>
    <w:rPr>
      <w:rFonts w:cs="Wingdings"/>
    </w:rPr>
  </w:style>
  <w:style w:type="character" w:styleId="WW8Num4z0">
    <w:name w:val="WW8Num4z0"/>
    <w:rPr>
      <w:b/>
    </w:rPr>
  </w:style>
  <w:style w:type="character" w:styleId="WW8Num5z0">
    <w:name w:val="WW8Num5z0"/>
    <w:rPr/>
  </w:style>
  <w:style w:type="character" w:styleId="WW8Num1z0">
    <w:name w:val="WW8Num1z0"/>
    <w:rPr/>
  </w:style>
  <w:style w:type="character" w:styleId="WW8Num9z0">
    <w:name w:val="WW8Num9z0"/>
    <w:rPr/>
  </w:style>
  <w:style w:type="character" w:styleId="WW8Num2z0">
    <w:name w:val="WW8Num2z0"/>
    <w:rPr>
      <w:iCs/>
    </w:rPr>
  </w:style>
  <w:style w:type="character" w:styleId="Predvolenpsmoodseku">
    <w:name w:val="Predvolené písmo odseku"/>
    <w:rPr/>
  </w:style>
  <w:style w:type="character" w:styleId="Silnzvraznenie">
    <w:name w:val="Silné zvýraznenie"/>
    <w:basedOn w:val="Predvolenpsmoodseku"/>
    <w:rPr>
      <w:b/>
      <w:bCs/>
    </w:rPr>
  </w:style>
  <w:style w:type="character" w:styleId="WW8Num6z0">
    <w:name w:val="WW8Num6z0"/>
    <w:rPr/>
  </w:style>
  <w:style w:type="character" w:styleId="WW8Num8z0">
    <w:name w:val="WW8Num8z0"/>
    <w:rPr>
      <w:b w:val="false"/>
      <w:iCs/>
    </w:rPr>
  </w:style>
  <w:style w:type="character" w:styleId="WW8Num8z1">
    <w:name w:val="WW8Num8z1"/>
    <w:rPr/>
  </w:style>
  <w:style w:type="character" w:styleId="WW8Num8z2">
    <w:name w:val="WW8Num8z2"/>
    <w:rPr/>
  </w:style>
  <w:style w:type="character" w:styleId="WW8Num8z3">
    <w:name w:val="WW8Num8z3"/>
    <w:rPr/>
  </w:style>
  <w:style w:type="character" w:styleId="WW8Num8z4">
    <w:name w:val="WW8Num8z4"/>
    <w:rPr/>
  </w:style>
  <w:style w:type="character" w:styleId="WW8Num8z5">
    <w:name w:val="WW8Num8z5"/>
    <w:rPr/>
  </w:style>
  <w:style w:type="character" w:styleId="WW8Num8z6">
    <w:name w:val="WW8Num8z6"/>
    <w:rPr/>
  </w:style>
  <w:style w:type="character" w:styleId="WW8Num8z7">
    <w:name w:val="WW8Num8z7"/>
    <w:rPr/>
  </w:style>
  <w:style w:type="character" w:styleId="WW8Num8z8">
    <w:name w:val="WW8Num8z8"/>
    <w:rPr/>
  </w:style>
  <w:style w:type="character" w:styleId="WW8Num7z0">
    <w:name w:val="WW8Num7z0"/>
    <w:rPr/>
  </w:style>
  <w:style w:type="character" w:styleId="ListLabel13">
    <w:name w:val="ListLabel 13"/>
    <w:rPr>
      <w:rFonts w:cs="Times New Roman"/>
    </w:rPr>
  </w:style>
  <w:style w:type="character" w:styleId="ListLabel14">
    <w:name w:val="ListLabel 14"/>
    <w:rPr>
      <w:rFonts w:cs="Symbol"/>
      <w:sz w:val="20"/>
    </w:rPr>
  </w:style>
  <w:style w:type="character" w:styleId="ListLabel15">
    <w:name w:val="ListLabel 15"/>
    <w:rPr>
      <w:rFonts w:cs="Courier New"/>
      <w:sz w:val="20"/>
    </w:rPr>
  </w:style>
  <w:style w:type="character" w:styleId="ListLabel16">
    <w:name w:val="ListLabel 16"/>
    <w:rPr>
      <w:rFonts w:cs="Wingdings"/>
      <w:sz w:val="20"/>
    </w:rPr>
  </w:style>
  <w:style w:type="character" w:styleId="ListLabel17">
    <w:name w:val="ListLabel 17"/>
    <w:rPr>
      <w:rFonts w:cs="Symbol"/>
    </w:rPr>
  </w:style>
  <w:style w:type="character" w:styleId="ListLabel18">
    <w:name w:val="ListLabel 18"/>
    <w:rPr>
      <w:rFonts w:cs="Courier New"/>
    </w:rPr>
  </w:style>
  <w:style w:type="character" w:styleId="ListLabel19">
    <w:name w:val="ListLabel 19"/>
    <w:rPr>
      <w:rFonts w:cs="Wingdings"/>
    </w:rPr>
  </w:style>
  <w:style w:type="character" w:styleId="ListLabel20">
    <w:name w:val="ListLabel 20"/>
    <w:rPr>
      <w:rFonts w:cs="Times New Roman"/>
      <w:b/>
    </w:rPr>
  </w:style>
  <w:style w:type="character" w:styleId="ListLabel21">
    <w:name w:val="ListLabel 21"/>
    <w:rPr>
      <w:iCs/>
    </w:rPr>
  </w:style>
  <w:style w:type="character" w:styleId="ListLabel22">
    <w:name w:val="ListLabel 22"/>
    <w:rPr>
      <w:b w:val="false"/>
      <w:iCs/>
    </w:rPr>
  </w:style>
  <w:style w:type="character" w:styleId="ListLabel23">
    <w:name w:val="ListLabel 23"/>
    <w:rPr>
      <w:rFonts w:cs="Times New Roman"/>
    </w:rPr>
  </w:style>
  <w:style w:type="character" w:styleId="ListLabel24">
    <w:name w:val="ListLabel 24"/>
    <w:rPr>
      <w:rFonts w:cs="Symbol"/>
      <w:sz w:val="20"/>
    </w:rPr>
  </w:style>
  <w:style w:type="character" w:styleId="ListLabel25">
    <w:name w:val="ListLabel 25"/>
    <w:rPr>
      <w:rFonts w:cs="Courier New"/>
      <w:sz w:val="20"/>
    </w:rPr>
  </w:style>
  <w:style w:type="character" w:styleId="ListLabel26">
    <w:name w:val="ListLabel 26"/>
    <w:rPr>
      <w:rFonts w:cs="Wingdings"/>
      <w:sz w:val="20"/>
    </w:rPr>
  </w:style>
  <w:style w:type="character" w:styleId="ListLabel27">
    <w:name w:val="ListLabel 27"/>
    <w:rPr>
      <w:rFonts w:cs="Symbol"/>
    </w:rPr>
  </w:style>
  <w:style w:type="character" w:styleId="ListLabel28">
    <w:name w:val="ListLabel 28"/>
    <w:rPr>
      <w:rFonts w:cs="Courier New"/>
    </w:rPr>
  </w:style>
  <w:style w:type="character" w:styleId="ListLabel29">
    <w:name w:val="ListLabel 29"/>
    <w:rPr>
      <w:rFonts w:cs="Wingdings"/>
    </w:rPr>
  </w:style>
  <w:style w:type="character" w:styleId="ListLabel30">
    <w:name w:val="ListLabel 30"/>
    <w:rPr>
      <w:rFonts w:cs="Times New Roman"/>
      <w:b/>
    </w:rPr>
  </w:style>
  <w:style w:type="character" w:styleId="ListLabel31">
    <w:name w:val="ListLabel 31"/>
    <w:rPr>
      <w:iCs/>
    </w:rPr>
  </w:style>
  <w:style w:type="character" w:styleId="ListLabel32">
    <w:name w:val="ListLabel 32"/>
    <w:rPr>
      <w:b w:val="false"/>
      <w:iCs/>
    </w:rPr>
  </w:style>
  <w:style w:type="paragraph" w:styleId="Nadpis">
    <w:name w:val="Nadpis"/>
    <w:basedOn w:val="Normal"/>
    <w:next w:val="Telotextu"/>
    <w:pPr>
      <w:keepNext/>
      <w:spacing w:before="240" w:after="120"/>
    </w:pPr>
    <w:rPr>
      <w:rFonts w:ascii="Liberation Sans" w:hAnsi="Liberation Sans" w:eastAsia="Arial Unicode MS" w:cs="Mangal"/>
      <w:sz w:val="28"/>
      <w:szCs w:val="28"/>
    </w:rPr>
  </w:style>
  <w:style w:type="paragraph" w:styleId="Telotextu">
    <w:name w:val="Telo textu"/>
    <w:link w:val="ZkladntextChar"/>
    <w:rsid w:val="00754e6a"/>
    <w:basedOn w:val="Normal"/>
    <w:pPr>
      <w:spacing w:lineRule="auto" w:line="288" w:before="0" w:after="140"/>
      <w:jc w:val="center"/>
    </w:pPr>
    <w:rPr>
      <w:b/>
      <w:bCs/>
      <w:sz w:val="72"/>
    </w:rPr>
  </w:style>
  <w:style w:type="paragraph" w:styleId="Zoznam">
    <w:name w:val="Zoznam"/>
    <w:basedOn w:val="Telotextu"/>
    <w:pPr/>
    <w:rPr>
      <w:rFonts w:cs="Mangal"/>
    </w:rPr>
  </w:style>
  <w:style w:type="paragraph" w:styleId="Popis">
    <w:name w:val="Popis"/>
    <w:basedOn w:val="Normal"/>
    <w:pPr>
      <w:suppressLineNumbers/>
      <w:spacing w:before="120" w:after="120"/>
    </w:pPr>
    <w:rPr>
      <w:rFonts w:cs="Mangal"/>
      <w:i/>
      <w:iCs/>
      <w:sz w:val="24"/>
      <w:szCs w:val="24"/>
    </w:rPr>
  </w:style>
  <w:style w:type="paragraph" w:styleId="Index">
    <w:name w:val="Index"/>
    <w:basedOn w:val="Normal"/>
    <w:pPr>
      <w:suppressLineNumbers/>
    </w:pPr>
    <w:rPr>
      <w:rFonts w:cs="Mangal"/>
    </w:rPr>
  </w:style>
  <w:style w:type="paragraph" w:styleId="Pta">
    <w:name w:val="Päta"/>
    <w:link w:val="PtaChar"/>
    <w:rsid w:val="00754e6a"/>
    <w:basedOn w:val="Normal"/>
    <w:pPr>
      <w:tabs>
        <w:tab w:val="center" w:pos="4536" w:leader="none"/>
        <w:tab w:val="right" w:pos="9072" w:leader="none"/>
      </w:tabs>
    </w:pPr>
    <w:rPr/>
  </w:style>
  <w:style w:type="paragraph" w:styleId="Hlavika">
    <w:name w:val="Hlavička"/>
    <w:uiPriority w:val="99"/>
    <w:link w:val="HlavikaChar"/>
    <w:rsid w:val="00754e6a"/>
    <w:basedOn w:val="Normal"/>
    <w:pPr>
      <w:tabs>
        <w:tab w:val="center" w:pos="4536" w:leader="none"/>
        <w:tab w:val="right" w:pos="9072" w:leader="none"/>
      </w:tabs>
    </w:pPr>
    <w:rPr/>
  </w:style>
  <w:style w:type="paragraph" w:styleId="Normlnywebov1" w:customStyle="1">
    <w:name w:val="Normálny (webový)1"/>
    <w:rsid w:val="00754e6a"/>
    <w:basedOn w:val="Normal"/>
    <w:pPr/>
    <w:rPr/>
  </w:style>
  <w:style w:type="paragraph" w:styleId="CM159" w:customStyle="1">
    <w:name w:val="CM159"/>
    <w:rsid w:val="00754e6a"/>
    <w:basedOn w:val="Normal"/>
    <w:pPr>
      <w:widowControl w:val="false"/>
      <w:spacing w:before="0" w:after="338"/>
    </w:pPr>
    <w:rPr>
      <w:rFonts w:ascii="Arial" w:hAnsi="Arial"/>
    </w:rPr>
  </w:style>
  <w:style w:type="paragraph" w:styleId="CM2" w:customStyle="1">
    <w:name w:val="CM2"/>
    <w:rsid w:val="00754e6a"/>
    <w:basedOn w:val="Normal"/>
    <w:pPr>
      <w:widowControl w:val="false"/>
      <w:spacing w:lineRule="atLeast" w:line="403"/>
    </w:pPr>
    <w:rPr>
      <w:rFonts w:ascii="Arial" w:hAnsi="Arial"/>
    </w:rPr>
  </w:style>
  <w:style w:type="paragraph" w:styleId="CM146" w:customStyle="1">
    <w:name w:val="CM146"/>
    <w:rsid w:val="00754e6a"/>
    <w:basedOn w:val="Normal"/>
    <w:pPr>
      <w:widowControl w:val="false"/>
      <w:spacing w:before="0" w:after="423"/>
    </w:pPr>
    <w:rPr>
      <w:rFonts w:ascii="Arial" w:hAnsi="Arial"/>
    </w:rPr>
  </w:style>
  <w:style w:type="paragraph" w:styleId="CM147" w:customStyle="1">
    <w:name w:val="CM147"/>
    <w:rsid w:val="00754e6a"/>
    <w:basedOn w:val="Normal"/>
    <w:pPr>
      <w:widowControl w:val="false"/>
      <w:spacing w:before="0" w:after="653"/>
    </w:pPr>
    <w:rPr>
      <w:rFonts w:ascii="Arial" w:hAnsi="Arial"/>
    </w:rPr>
  </w:style>
  <w:style w:type="paragraph" w:styleId="CM148" w:customStyle="1">
    <w:name w:val="CM148"/>
    <w:rsid w:val="00754e6a"/>
    <w:basedOn w:val="Normal"/>
    <w:pPr>
      <w:widowControl w:val="false"/>
      <w:spacing w:before="0" w:after="133"/>
    </w:pPr>
    <w:rPr>
      <w:rFonts w:ascii="Arial" w:hAnsi="Arial"/>
    </w:rPr>
  </w:style>
  <w:style w:type="paragraph" w:styleId="CM149" w:customStyle="1">
    <w:name w:val="CM149"/>
    <w:rsid w:val="00754e6a"/>
    <w:basedOn w:val="Normal"/>
    <w:pPr>
      <w:widowControl w:val="false"/>
      <w:spacing w:before="0" w:after="510"/>
    </w:pPr>
    <w:rPr>
      <w:rFonts w:ascii="Arial" w:hAnsi="Arial"/>
    </w:rPr>
  </w:style>
  <w:style w:type="paragraph" w:styleId="CM150" w:customStyle="1">
    <w:name w:val="CM150"/>
    <w:rsid w:val="00754e6a"/>
    <w:basedOn w:val="Normal"/>
    <w:pPr>
      <w:widowControl w:val="false"/>
      <w:spacing w:before="0" w:after="855"/>
    </w:pPr>
    <w:rPr>
      <w:rFonts w:ascii="Arial" w:hAnsi="Arial"/>
    </w:rPr>
  </w:style>
  <w:style w:type="paragraph" w:styleId="CM151" w:customStyle="1">
    <w:name w:val="CM151"/>
    <w:rsid w:val="00754e6a"/>
    <w:basedOn w:val="Normal"/>
    <w:pPr>
      <w:widowControl w:val="false"/>
      <w:spacing w:before="0" w:after="1133"/>
    </w:pPr>
    <w:rPr>
      <w:rFonts w:ascii="Arial" w:hAnsi="Arial"/>
    </w:rPr>
  </w:style>
  <w:style w:type="paragraph" w:styleId="Xl24" w:customStyle="1">
    <w:name w:val="xl24"/>
    <w:rsid w:val="00754e6a"/>
    <w:basedOn w:val="Normal"/>
    <w:pPr>
      <w:spacing w:before="0" w:after="280"/>
      <w:jc w:val="right"/>
    </w:pPr>
    <w:rPr/>
  </w:style>
  <w:style w:type="paragraph" w:styleId="Xl23" w:customStyle="1">
    <w:name w:val="xl23"/>
    <w:rsid w:val="00754e6a"/>
    <w:basedOn w:val="Normal"/>
    <w:pPr>
      <w:spacing w:before="0" w:after="280"/>
      <w:jc w:val="right"/>
    </w:pPr>
    <w:rPr/>
  </w:style>
  <w:style w:type="paragraph" w:styleId="Xl25" w:customStyle="1">
    <w:name w:val="xl25"/>
    <w:rsid w:val="00754e6a"/>
    <w:basedOn w:val="Normal"/>
    <w:pPr>
      <w:spacing w:before="0" w:after="280"/>
      <w:jc w:val="right"/>
    </w:pPr>
    <w:rPr/>
  </w:style>
  <w:style w:type="paragraph" w:styleId="Xl26" w:customStyle="1">
    <w:name w:val="xl26"/>
    <w:rsid w:val="00754e6a"/>
    <w:basedOn w:val="Normal"/>
    <w:pPr>
      <w:spacing w:before="0" w:after="280"/>
      <w:jc w:val="right"/>
    </w:pPr>
    <w:rPr/>
  </w:style>
  <w:style w:type="paragraph" w:styleId="BalloonText">
    <w:name w:val="Balloon Text"/>
    <w:semiHidden/>
    <w:link w:val="TextbublinyChar"/>
    <w:rsid w:val="00754e6a"/>
    <w:basedOn w:val="Normal"/>
    <w:pPr/>
    <w:rPr>
      <w:rFonts w:ascii="Tahoma" w:hAnsi="Tahoma" w:cs="Tahoma"/>
      <w:sz w:val="16"/>
      <w:szCs w:val="16"/>
    </w:rPr>
  </w:style>
  <w:style w:type="paragraph" w:styleId="Pismenka" w:customStyle="1">
    <w:name w:val="Pismenka"/>
    <w:rsid w:val="00754e6a"/>
    <w:basedOn w:val="Telotextu"/>
    <w:pPr>
      <w:tabs>
        <w:tab w:val="left" w:pos="426" w:leader="none"/>
      </w:tabs>
      <w:ind w:left="426" w:right="0" w:hanging="426"/>
      <w:jc w:val="both"/>
    </w:pPr>
    <w:rPr>
      <w:bCs w:val="false"/>
      <w:sz w:val="18"/>
      <w:szCs w:val="20"/>
    </w:rPr>
  </w:style>
  <w:style w:type="paragraph" w:styleId="Xl22" w:customStyle="1">
    <w:name w:val="xl22"/>
    <w:rsid w:val="00754e6a"/>
    <w:basedOn w:val="Normal"/>
    <w:pPr>
      <w:pBdr>
        <w:top w:val="nil"/>
        <w:left w:val="single" w:sz="4" w:space="0" w:color="00000A"/>
        <w:bottom w:val="single" w:sz="4" w:space="0" w:color="00000A"/>
        <w:right w:val="nil"/>
      </w:pBdr>
      <w:spacing w:before="0" w:after="280"/>
    </w:pPr>
    <w:rPr/>
  </w:style>
  <w:style w:type="paragraph" w:styleId="NormalWeb">
    <w:name w:val="Normal (Web)"/>
    <w:uiPriority w:val="99"/>
    <w:unhideWhenUsed/>
    <w:rsid w:val="00754e6a"/>
    <w:basedOn w:val="Normal"/>
    <w:pPr>
      <w:spacing w:before="0" w:after="280"/>
    </w:pPr>
    <w:rPr/>
  </w:style>
  <w:style w:type="paragraph" w:styleId="Rtejustify" w:customStyle="1">
    <w:name w:val="rtejustify"/>
    <w:rsid w:val="00754e6a"/>
    <w:basedOn w:val="Normal"/>
    <w:pPr>
      <w:spacing w:before="0" w:after="280"/>
    </w:pPr>
    <w:rPr/>
  </w:style>
  <w:style w:type="paragraph" w:styleId="Rtecenter" w:customStyle="1">
    <w:name w:val="rtecenter"/>
    <w:rsid w:val="00754e6a"/>
    <w:basedOn w:val="Normal"/>
    <w:pPr>
      <w:spacing w:before="0" w:after="280"/>
    </w:pPr>
    <w:rPr/>
  </w:style>
  <w:style w:type="paragraph" w:styleId="BodyText3">
    <w:name w:val="Body Text 3"/>
    <w:link w:val="Zkladntext3Char"/>
    <w:rsid w:val="00754e6a"/>
    <w:basedOn w:val="Normal"/>
    <w:pPr>
      <w:spacing w:before="0" w:after="120"/>
    </w:pPr>
    <w:rPr>
      <w:sz w:val="16"/>
      <w:szCs w:val="16"/>
    </w:rPr>
  </w:style>
  <w:style w:type="paragraph" w:styleId="ListParagraph">
    <w:name w:val="List Paragraph"/>
    <w:uiPriority w:val="34"/>
    <w:qFormat/>
    <w:rsid w:val="00754e6a"/>
    <w:basedOn w:val="Normal"/>
    <w:pPr>
      <w:ind w:left="708" w:right="0" w:hanging="0"/>
    </w:pPr>
    <w:rPr/>
  </w:style>
  <w:style w:type="paragraph" w:styleId="Obsahtabuky">
    <w:name w:val="Obsah tabuľky"/>
    <w:basedOn w:val="Normal"/>
    <w:pPr/>
    <w:rPr/>
  </w:style>
  <w:style w:type="numbering" w:styleId="NoList" w:default="1">
    <w:name w:val="No List"/>
    <w:uiPriority w:val="99"/>
    <w:semiHidden/>
    <w:unhideWhenUsed/>
  </w:style>
  <w:style w:type="numbering" w:styleId="WW8Num4">
    <w:name w:val="WW8Num4"/>
  </w:style>
  <w:style w:type="numbering" w:styleId="WW8Num5">
    <w:name w:val="WW8Num5"/>
  </w:style>
  <w:style w:type="numbering" w:styleId="WW8Num1">
    <w:name w:val="WW8Num1"/>
  </w:style>
  <w:style w:type="numbering" w:styleId="WW8Num9">
    <w:name w:val="WW8Num9"/>
  </w:style>
  <w:style w:type="numbering" w:styleId="WW8Num2">
    <w:name w:val="WW8Num2"/>
  </w:style>
  <w:style w:type="numbering" w:styleId="WW8Num6">
    <w:name w:val="WW8Num6"/>
  </w:style>
  <w:style w:type="numbering" w:styleId="WW8Num8">
    <w:name w:val="WW8Num8"/>
  </w:style>
  <w:style w:type="numbering" w:styleId="WW8Num7">
    <w:name w:val="WW8Num7"/>
  </w:style>
  <w:style w:type="table" w:default="1" w:styleId="Normlnatabuka">
    <w:name w:val="Normal Table"/>
    <w:uiPriority w:val="99"/>
    <w:qFormat/>
    <w:semiHidden/>
    <w:unhideWhenUsed/>
    <w:tblPr>
      <w:tblInd w:type="dxa" w:w="0"/>
      <w:tblCellMar>
        <w:top w:w="0" w:type="dxa"/>
        <w:left w:w="108" w:type="dxa"/>
        <w:bottom w:w="0" w:type="dxa"/>
        <w:right w:w="108" w:type="dxa"/>
      </w:tblCellMar>
    </w:tblPr>
  </w:style>
  <w:style w:type="table" w:styleId="Mriekatabuky">
    <w:name w:val="Table Grid"/>
    <w:basedOn w:val="Normlnatabuka"/>
    <w:rsid w:val="00754e6a"/>
    <w:pPr>
      <w:spacing w:line="240" w:lineRule="auto" w:after="0"/>
    </w:pPr>
    <w:rPr>
      <w:lang w:eastAsia="sk-SK"/>
      <w:sz w:val="20"/>
      <w:szCs w:val="20"/>
    </w:rPr>
    <w:tblPr>
      <w:tblInd w:type="dxa" w:w="0"/>
      <w:tblBorders>
        <w:top w:space="0" w:sz="4" w:color="auto" w:val="single"/>
        <w:left w:space="0" w:sz="4" w:color="auto" w:val="single"/>
        <w:bottom w:space="0" w:sz="4" w:color="auto" w:val="single"/>
        <w:right w:space="0" w:sz="4" w:color="auto" w:val="single"/>
        <w:insideH w:space="0" w:sz="4" w:color="auto" w:val="single"/>
        <w:insideV w:space="0" w:sz="4" w:color="auto" w:val="single"/>
      </w:tblBorders>
      <w:tblCellMar>
        <w:top w:w="0" w:type="dxa"/>
        <w:left w:w="108" w:type="dxa"/>
        <w:bottom w:w="0" w:type="dxa"/>
        <w:right w:w="108" w:type="dxa"/>
      </w:tblCellMar>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hyperlink" Target="http://www.travnica.sk/print/obec-travnica?titles=off" TargetMode="External"/><Relationship Id="rId3" Type="http://schemas.openxmlformats.org/officeDocument/2006/relationships/image" Target="media/image96.jpeg"/><Relationship Id="rId4" Type="http://schemas.openxmlformats.org/officeDocument/2006/relationships/image" Target="media/image97.wmf"/><Relationship Id="rId5" Type="http://schemas.openxmlformats.org/officeDocument/2006/relationships/image" Target="media/image98.jpeg"/><Relationship Id="rId6" Type="http://schemas.openxmlformats.org/officeDocument/2006/relationships/hyperlink" Target="http://www.travnica.sk/print/obec-travnica/symboly-obce?titles=off" TargetMode="External"/><Relationship Id="rId7" Type="http://schemas.openxmlformats.org/officeDocument/2006/relationships/image" Target="media/image99.png"/><Relationship Id="rId8" Type="http://schemas.openxmlformats.org/officeDocument/2006/relationships/image" Target="media/image100.jpeg"/><Relationship Id="rId9" Type="http://schemas.openxmlformats.org/officeDocument/2006/relationships/hyperlink" Target="http://www.travnica.sk/print/obec-travnica/pamiatky?titles=off" TargetMode="External"/><Relationship Id="rId10" Type="http://schemas.openxmlformats.org/officeDocument/2006/relationships/image" Target="media/image101.wmf"/><Relationship Id="rId11" Type="http://schemas.openxmlformats.org/officeDocument/2006/relationships/image" Target="media/image102.wmf"/><Relationship Id="rId12" Type="http://schemas.openxmlformats.org/officeDocument/2006/relationships/image" Target="media/image103.jpeg"/><Relationship Id="rId13" Type="http://schemas.openxmlformats.org/officeDocument/2006/relationships/hyperlink" Target="http://www.travnica.sk/print/obec-travnica/skolstvo?titles=off" TargetMode="External"/><Relationship Id="rId14" Type="http://schemas.openxmlformats.org/officeDocument/2006/relationships/hyperlink" Target="http://zstravnica.edupage.org/" TargetMode="External"/><Relationship Id="rId15" Type="http://schemas.openxmlformats.org/officeDocument/2006/relationships/image" Target="media/image104.wmf"/><Relationship Id="rId16" Type="http://schemas.openxmlformats.org/officeDocument/2006/relationships/image" Target="media/image105.wmf"/><Relationship Id="rId17" Type="http://schemas.openxmlformats.org/officeDocument/2006/relationships/image" Target="media/image106.wmf"/><Relationship Id="rId18" Type="http://schemas.openxmlformats.org/officeDocument/2006/relationships/image" Target="media/image107.wmf"/><Relationship Id="rId19" Type="http://schemas.openxmlformats.org/officeDocument/2006/relationships/image" Target="media/image108.wmf"/><Relationship Id="rId20" Type="http://schemas.openxmlformats.org/officeDocument/2006/relationships/hyperlink" Target="http://www.travnica.sk/print/miestne-organizacie/dobrovolny-hasicsky-zbor?titles=off" TargetMode="External"/><Relationship Id="rId21" Type="http://schemas.openxmlformats.org/officeDocument/2006/relationships/image" Target="media/image109"/><Relationship Id="rId22" Type="http://schemas.openxmlformats.org/officeDocument/2006/relationships/image" Target="media/image110"/><Relationship Id="rId23" Type="http://schemas.openxmlformats.org/officeDocument/2006/relationships/image" Target="media/image111"/><Relationship Id="rId24" Type="http://schemas.openxmlformats.org/officeDocument/2006/relationships/image" Target="media/image112.gif"/><Relationship Id="rId25" Type="http://schemas.openxmlformats.org/officeDocument/2006/relationships/hyperlink" Target="http://www.travnica.sk/print/obecny-urad/starosta-obce?titles=off" TargetMode="External"/><Relationship Id="rId26" Type="http://schemas.openxmlformats.org/officeDocument/2006/relationships/hyperlink" Target="mailto:sekretariat@hornakralova.sk" TargetMode="External"/><Relationship Id="rId27" Type="http://schemas.openxmlformats.org/officeDocument/2006/relationships/image" Target="media/image113.jpeg"/><Relationship Id="rId28" Type="http://schemas.openxmlformats.org/officeDocument/2006/relationships/header" Target="header1.xml"/><Relationship Id="rId29" Type="http://schemas.openxmlformats.org/officeDocument/2006/relationships/footer" Target="footer1.xml"/><Relationship Id="rId30" Type="http://schemas.openxmlformats.org/officeDocument/2006/relationships/numbering" Target="numbering.xml"/><Relationship Id="rId31" Type="http://schemas.openxmlformats.org/officeDocument/2006/relationships/fontTable" Target="fontTable.xml"/><Relationship Id="rId32" Type="http://schemas.openxmlformats.org/officeDocument/2006/relationships/settings" Target="settings.xml"/><Relationship Id="rId33" Type="http://schemas.openxmlformats.org/officeDocument/2006/relationships/theme" Target="theme/theme1.xml"/><Relationship Id="rId34" Type="http://schemas.openxmlformats.org/officeDocument/2006/relationships/customXml" Target="../customXml/item1.xml"/>
</Relationships>
</file>

<file path=word/_rels/header1.xml.rels><?xml version="1.0" encoding="UTF-8"?>
<Relationships xmlns="http://schemas.openxmlformats.org/package/2006/relationships"><Relationship Id="rId1" Type="http://schemas.openxmlformats.org/officeDocument/2006/relationships/image" Target="media/image114.png"/>
</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Relationship Id="rId1" Type="http://schemas.openxmlformats.org/officeDocument/2006/relationships/customXmlProps" Target="itemProps1.xml"/>
</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E5365844-DA18-409E-BC2E-37AE4C7C554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232</TotalTime>
  <Application>LibreOffice/4.2.2.1$Windows_x86 LibreOffice_project/3be8cda0bddd8e430d8cda1ebfd581265cca5a0f</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2015-02-05T10:17:00Z</dcterms:created>
  <dc:creator>asus</dc:creator>
  <dc:language>sk-SK</dc:language>
  <cp:lastModifiedBy>asus</cp:lastModifiedBy>
  <cp:lastPrinted>2015-05-18T14:34:59Z</cp:lastPrinted>
  <dcterms:modified xsi:type="dcterms:W3CDTF">2015-02-17T14:21:00Z</dcterms:modified>
  <cp:revision>13</cp:revision>
</cp:coreProperties>
</file>