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AF3" w:rsidRDefault="002D1AF3" w:rsidP="009B1ED3">
      <w:pPr>
        <w:jc w:val="center"/>
      </w:pPr>
      <w:bookmarkStart w:id="0" w:name="_GoBack"/>
      <w:bookmarkEnd w:id="0"/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Default="002D1AF3" w:rsidP="009B1ED3">
      <w:pPr>
        <w:jc w:val="center"/>
      </w:pPr>
    </w:p>
    <w:p w:rsidR="002D1AF3" w:rsidRPr="009B1ED3" w:rsidRDefault="002D1AF3" w:rsidP="009B1ED3">
      <w:pPr>
        <w:jc w:val="center"/>
        <w:rPr>
          <w:b/>
          <w:sz w:val="36"/>
          <w:szCs w:val="36"/>
        </w:rPr>
      </w:pPr>
    </w:p>
    <w:p w:rsidR="002D1AF3" w:rsidRPr="009B1ED3" w:rsidRDefault="002D1AF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</w:t>
      </w:r>
      <w:r w:rsidRPr="00515C98">
        <w:rPr>
          <w:rFonts w:ascii="Calibri" w:hAnsi="Calibri"/>
          <w:b/>
          <w:sz w:val="36"/>
          <w:szCs w:val="36"/>
        </w:rPr>
        <w:t xml:space="preserve">organizácie </w:t>
      </w:r>
      <w:r w:rsidR="0034516D" w:rsidRPr="006E6CC3">
        <w:rPr>
          <w:rFonts w:ascii="Calibri" w:hAnsi="Calibri"/>
          <w:b/>
          <w:sz w:val="36"/>
          <w:szCs w:val="36"/>
        </w:rPr>
        <w:t>Silver generation</w:t>
      </w:r>
      <w:r w:rsidRPr="00515C98">
        <w:rPr>
          <w:rFonts w:ascii="Calibri" w:hAnsi="Calibri"/>
          <w:b/>
          <w:sz w:val="36"/>
          <w:szCs w:val="36"/>
        </w:rPr>
        <w:t xml:space="preserve"> n.o. za rok </w:t>
      </w:r>
      <w:r w:rsidR="00F07807">
        <w:rPr>
          <w:rFonts w:ascii="Calibri" w:hAnsi="Calibri"/>
          <w:b/>
          <w:sz w:val="36"/>
          <w:szCs w:val="36"/>
        </w:rPr>
        <w:t>2014</w:t>
      </w:r>
    </w:p>
    <w:p w:rsidR="002D1AF3" w:rsidRDefault="006E6CC3" w:rsidP="009B1ED3">
      <w:pPr>
        <w:jc w:val="center"/>
        <w:rPr>
          <w:rFonts w:ascii="Calibri" w:hAnsi="Calibri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74ECDF9" wp14:editId="15408E8B">
            <wp:simplePos x="0" y="0"/>
            <wp:positionH relativeFrom="column">
              <wp:posOffset>2185048</wp:posOffset>
            </wp:positionH>
            <wp:positionV relativeFrom="paragraph">
              <wp:posOffset>49970</wp:posOffset>
            </wp:positionV>
            <wp:extent cx="1389055" cy="753626"/>
            <wp:effectExtent l="0" t="0" r="1905" b="8890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224" cy="7591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center"/>
        <w:rPr>
          <w:rFonts w:ascii="Calibri" w:hAnsi="Calibri"/>
          <w:sz w:val="32"/>
          <w:szCs w:val="32"/>
        </w:rPr>
      </w:pPr>
    </w:p>
    <w:p w:rsidR="002D1AF3" w:rsidRDefault="002D1AF3" w:rsidP="00C7249D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>V</w:t>
      </w:r>
      <w:r w:rsidR="0034516D">
        <w:rPr>
          <w:rFonts w:ascii="Calibri" w:hAnsi="Calibri"/>
          <w:sz w:val="32"/>
          <w:szCs w:val="32"/>
        </w:rPr>
        <w:t> </w:t>
      </w:r>
      <w:r w:rsidR="0034516D" w:rsidRPr="006E6CC3">
        <w:rPr>
          <w:rFonts w:ascii="Calibri" w:hAnsi="Calibri"/>
          <w:sz w:val="32"/>
          <w:szCs w:val="32"/>
        </w:rPr>
        <w:t>Považskej Bystrici</w:t>
      </w:r>
      <w:r>
        <w:rPr>
          <w:rFonts w:ascii="Calibri" w:hAnsi="Calibri"/>
          <w:sz w:val="32"/>
          <w:szCs w:val="32"/>
        </w:rPr>
        <w:t>,</w:t>
      </w:r>
      <w:r w:rsidR="0034516D">
        <w:rPr>
          <w:rFonts w:ascii="Calibri" w:hAnsi="Calibri"/>
          <w:sz w:val="32"/>
          <w:szCs w:val="32"/>
        </w:rPr>
        <w:t xml:space="preserve"> </w:t>
      </w:r>
      <w:r>
        <w:rPr>
          <w:rFonts w:ascii="Calibri" w:hAnsi="Calibri"/>
          <w:sz w:val="32"/>
          <w:szCs w:val="32"/>
        </w:rPr>
        <w:t xml:space="preserve"> </w:t>
      </w:r>
      <w:r w:rsidR="00C7249D">
        <w:rPr>
          <w:rFonts w:ascii="Calibri" w:hAnsi="Calibri"/>
          <w:sz w:val="32"/>
          <w:szCs w:val="32"/>
        </w:rPr>
        <w:t>31.03.201</w:t>
      </w:r>
      <w:r w:rsidR="00F07807">
        <w:rPr>
          <w:rFonts w:ascii="Calibri" w:hAnsi="Calibri"/>
          <w:sz w:val="32"/>
          <w:szCs w:val="32"/>
        </w:rPr>
        <w:t>5</w:t>
      </w: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Pr="00B959BB" w:rsidRDefault="002D1AF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2D1AF3" w:rsidRPr="00B959BB" w:rsidRDefault="002D1AF3" w:rsidP="009B1ED3">
      <w:pPr>
        <w:jc w:val="both"/>
        <w:rPr>
          <w:rFonts w:ascii="Calibri" w:hAnsi="Calibri"/>
          <w:sz w:val="28"/>
          <w:szCs w:val="28"/>
        </w:rPr>
      </w:pPr>
    </w:p>
    <w:p w:rsidR="002D1AF3" w:rsidRPr="00B959BB" w:rsidRDefault="002D1AF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odkaz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2. Prehľad činností </w:t>
        </w:r>
        <w:r w:rsidR="00B104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VYKONÁVANÝCH N.O.</w:t>
        </w:r>
        <w:r w:rsidR="004C1148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za rok 2014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4</w:t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5. Prehľad</w:t>
        </w:r>
        <w:r w:rsidR="00092D78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o peňažných príjmoch a výdavkoch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6. Stav a pohyb majetku a</w:t>
        </w:r>
        <w:r w:rsidR="00B104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 </w:t>
        </w:r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záväzkov</w:t>
        </w:r>
        <w:r w:rsidR="00B104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N.O.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2D1AF3" w:rsidRPr="00B959BB" w:rsidRDefault="00144B83" w:rsidP="006E5AAA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7. Zmeny a nové zloženie </w:t>
        </w:r>
        <w:r w:rsidR="00B104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ORGÁNOV N.</w:t>
        </w:r>
        <w:r w:rsidR="002D1AF3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o</w:t>
        </w:r>
        <w:r w:rsidR="00B104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., KU KTORÝM DOŠLO v priebehu roka </w:t>
        </w:r>
        <w:r w:rsidR="002D1AF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6E5AAA">
          <w:rPr>
            <w:rFonts w:ascii="Calibri" w:hAnsi="Calibri"/>
            <w:noProof/>
            <w:webHidden/>
            <w:sz w:val="28"/>
            <w:szCs w:val="28"/>
          </w:rPr>
          <w:t>6</w:t>
        </w:r>
      </w:hyperlink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Default="002D1AF3" w:rsidP="009B1ED3">
      <w:pPr>
        <w:jc w:val="both"/>
        <w:rPr>
          <w:rFonts w:ascii="Calibri" w:hAnsi="Calibri"/>
          <w:sz w:val="32"/>
          <w:szCs w:val="32"/>
        </w:rPr>
      </w:pPr>
    </w:p>
    <w:p w:rsidR="002D1AF3" w:rsidRPr="006E6CC3" w:rsidRDefault="002D1AF3" w:rsidP="006D683D">
      <w:pPr>
        <w:pStyle w:val="Nadpis1"/>
        <w:numPr>
          <w:ilvl w:val="0"/>
          <w:numId w:val="10"/>
        </w:numPr>
        <w:rPr>
          <w:rFonts w:ascii="Calibri" w:hAnsi="Calibri"/>
          <w:b/>
          <w:caps/>
          <w:sz w:val="32"/>
          <w:szCs w:val="32"/>
        </w:rPr>
      </w:pPr>
      <w:bookmarkStart w:id="1" w:name="_Toc276040532"/>
      <w:bookmarkStart w:id="2" w:name="_Toc276040636"/>
      <w:bookmarkStart w:id="3" w:name="_Toc276040533"/>
      <w:r w:rsidRPr="006E6CC3">
        <w:rPr>
          <w:rFonts w:ascii="Calibri" w:hAnsi="Calibri"/>
          <w:b/>
          <w:caps/>
          <w:sz w:val="32"/>
          <w:szCs w:val="32"/>
        </w:rPr>
        <w:lastRenderedPageBreak/>
        <w:t>ÚVOD</w:t>
      </w:r>
      <w:bookmarkEnd w:id="1"/>
      <w:bookmarkEnd w:id="2"/>
      <w:bookmarkEnd w:id="3"/>
    </w:p>
    <w:p w:rsidR="006D683D" w:rsidRPr="006E6CC3" w:rsidRDefault="006D683D" w:rsidP="006E6CC3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Pr="006E6CC3" w:rsidRDefault="002D1AF3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6E6CC3">
        <w:rPr>
          <w:rFonts w:ascii="Calibri" w:hAnsi="Calibri"/>
          <w:sz w:val="22"/>
          <w:szCs w:val="22"/>
        </w:rPr>
        <w:t xml:space="preserve">Nezisková organizácia </w:t>
      </w:r>
      <w:r w:rsidR="0034516D" w:rsidRPr="006E6CC3">
        <w:rPr>
          <w:rFonts w:ascii="Calibri" w:hAnsi="Calibri"/>
          <w:sz w:val="22"/>
          <w:szCs w:val="22"/>
        </w:rPr>
        <w:t>Silver generation</w:t>
      </w:r>
      <w:r w:rsidRPr="006E6CC3">
        <w:rPr>
          <w:rFonts w:ascii="Calibri" w:hAnsi="Calibri"/>
          <w:sz w:val="22"/>
          <w:szCs w:val="22"/>
        </w:rPr>
        <w:t xml:space="preserve"> n.o. so sídlom: </w:t>
      </w:r>
      <w:r w:rsidR="0034516D" w:rsidRPr="006E6CC3">
        <w:rPr>
          <w:rFonts w:ascii="Calibri" w:hAnsi="Calibri"/>
          <w:sz w:val="22"/>
          <w:szCs w:val="22"/>
        </w:rPr>
        <w:t>Šoltésovej 502/267</w:t>
      </w:r>
      <w:r w:rsidRPr="006E6CC3">
        <w:rPr>
          <w:rFonts w:ascii="Calibri" w:hAnsi="Calibri"/>
          <w:sz w:val="22"/>
          <w:szCs w:val="22"/>
        </w:rPr>
        <w:t>,</w:t>
      </w:r>
      <w:r w:rsidR="0034516D" w:rsidRPr="006E6CC3">
        <w:rPr>
          <w:rFonts w:ascii="Calibri" w:hAnsi="Calibri"/>
          <w:sz w:val="22"/>
          <w:szCs w:val="22"/>
        </w:rPr>
        <w:t>017 01 Považská Bystrica,</w:t>
      </w:r>
      <w:r w:rsidRPr="006E6CC3">
        <w:rPr>
          <w:rFonts w:ascii="Calibri" w:hAnsi="Calibri"/>
          <w:sz w:val="22"/>
          <w:szCs w:val="22"/>
        </w:rPr>
        <w:t xml:space="preserve"> IČO: </w:t>
      </w:r>
      <w:r w:rsidR="0034516D" w:rsidRPr="006E6CC3">
        <w:rPr>
          <w:rFonts w:ascii="Calibri" w:hAnsi="Calibri"/>
          <w:sz w:val="22"/>
          <w:szCs w:val="22"/>
        </w:rPr>
        <w:t>457 420 49 vznikla dňa 22.11. 2013</w:t>
      </w:r>
      <w:r w:rsidRPr="006E6CC3">
        <w:rPr>
          <w:rFonts w:ascii="Calibri" w:hAnsi="Calibri"/>
          <w:sz w:val="22"/>
          <w:szCs w:val="22"/>
        </w:rPr>
        <w:t xml:space="preserve"> na základe rozhodnutia </w:t>
      </w:r>
      <w:r w:rsidR="0034516D" w:rsidRPr="006E6CC3">
        <w:rPr>
          <w:rFonts w:ascii="Calibri" w:hAnsi="Calibri"/>
          <w:sz w:val="22"/>
          <w:szCs w:val="22"/>
        </w:rPr>
        <w:t>Okresného úradu Trenčín</w:t>
      </w:r>
      <w:r w:rsidRPr="006E6CC3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 (ďalej len „</w:t>
      </w:r>
      <w:r w:rsidRPr="006E6CC3">
        <w:rPr>
          <w:rFonts w:ascii="Calibri" w:hAnsi="Calibri"/>
          <w:b/>
          <w:sz w:val="22"/>
          <w:szCs w:val="22"/>
        </w:rPr>
        <w:t>Zákon</w:t>
      </w:r>
      <w:r w:rsidRPr="006E6CC3">
        <w:rPr>
          <w:rFonts w:ascii="Calibri" w:hAnsi="Calibri"/>
          <w:sz w:val="22"/>
          <w:szCs w:val="22"/>
        </w:rPr>
        <w:t>“).</w:t>
      </w:r>
    </w:p>
    <w:p w:rsidR="002D1AF3" w:rsidRPr="006E6CC3" w:rsidRDefault="002D1AF3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Pr="006E6CC3" w:rsidRDefault="0034516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6E6CC3">
        <w:rPr>
          <w:rFonts w:ascii="Calibri" w:hAnsi="Calibri"/>
          <w:sz w:val="22"/>
          <w:szCs w:val="22"/>
        </w:rPr>
        <w:t>Silver generation</w:t>
      </w:r>
      <w:r w:rsidR="002D1AF3" w:rsidRPr="006E6CC3">
        <w:rPr>
          <w:rFonts w:ascii="Calibri" w:hAnsi="Calibri"/>
          <w:sz w:val="22"/>
          <w:szCs w:val="22"/>
        </w:rPr>
        <w:t xml:space="preserve"> n. o poskytuje nasledovné všeobecne prospešné služby:</w:t>
      </w:r>
    </w:p>
    <w:p w:rsidR="006D683D" w:rsidRPr="006E6CC3" w:rsidRDefault="006D683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761339" w:rsidRPr="006E6CC3" w:rsidRDefault="00761339" w:rsidP="00761339">
      <w:pPr>
        <w:pStyle w:val="Odstavecseseznamem"/>
        <w:numPr>
          <w:ilvl w:val="0"/>
          <w:numId w:val="8"/>
        </w:numPr>
        <w:spacing w:line="240" w:lineRule="auto"/>
        <w:jc w:val="both"/>
        <w:rPr>
          <w:rFonts w:asciiTheme="majorBidi" w:hAnsiTheme="majorBidi" w:cstheme="majorBidi"/>
          <w:b/>
          <w:bCs/>
        </w:rPr>
      </w:pPr>
      <w:r w:rsidRPr="006E6CC3">
        <w:rPr>
          <w:rFonts w:asciiTheme="majorBidi" w:hAnsiTheme="majorBidi" w:cstheme="majorBidi"/>
          <w:b/>
          <w:bCs/>
        </w:rPr>
        <w:t>Poskytovanie sociálnej pomoci a humanitárna starostlivosť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V prípade nepriaznivej sociálnej situácie klientov spôsobenej ťažkým zdravotným postihnutím, nepriaznivým zdravotným stavom alebo dovŕšením dôchodkového veku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Style w:val="cell"/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 xml:space="preserve">poskytovanie celodennej starostlivosti starým, chorým  a osamelým ľuďom, ktorí pre svoj </w:t>
      </w:r>
      <w:r w:rsidRPr="006E6CC3">
        <w:rPr>
          <w:rFonts w:asciiTheme="majorBidi" w:hAnsiTheme="majorBidi" w:cstheme="majorBidi"/>
        </w:rPr>
        <w:br/>
      </w:r>
      <w:r w:rsidRPr="006E6CC3">
        <w:rPr>
          <w:rStyle w:val="cell"/>
          <w:rFonts w:asciiTheme="majorBidi" w:hAnsiTheme="majorBidi" w:cstheme="majorBidi"/>
        </w:rPr>
        <w:t>nepriaznivý zdravotný stav potrebujú pomoc inej osoby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 xml:space="preserve">poskytovať klientom rodinné prostredie s dôrazom na súkromie a bezpečnosť v domácom prostredí  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poskytovanie opatrovateľskej  služby v domácom prostredí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poskytovanie prepravnej služby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poskytovanie pomoci pri návštevách lekárov, právnikov, kňazov, na úradoch a pod.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Style w:val="cell"/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organizovanie liečebno-telesnej výchovy s prihliadnutím na individuálne potreby a možnosti klienta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Style w:val="cell"/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požičiavanie pomôcok  fyzickej osobe s ťažkým zdravotným postihnutím a fyzickej osobe s nepriaznivým zdravotným stavom odkázaným na pomôcku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Style w:val="cell"/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poskytovanie služieb  pri  účasti klientov pri rôznych kultúrnych príležitostiach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poskytovanie prania a žehlenia osobnej i posteľnej bielizne klientov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Style w:val="cell"/>
          <w:rFonts w:asciiTheme="majorBidi" w:hAnsiTheme="majorBidi" w:cstheme="majorBidi"/>
        </w:rPr>
        <w:t>Poskytovať  pravidelné upratovanie a čistenie miestností a príslušenstva v  domácom prostredí  klienta</w:t>
      </w:r>
    </w:p>
    <w:p w:rsidR="006D683D" w:rsidRPr="000B3D7C" w:rsidRDefault="00761339" w:rsidP="000B3D7C">
      <w:pPr>
        <w:pStyle w:val="Odstavecseseznamem"/>
        <w:numPr>
          <w:ilvl w:val="0"/>
          <w:numId w:val="11"/>
        </w:numPr>
        <w:spacing w:line="240" w:lineRule="auto"/>
        <w:rPr>
          <w:rFonts w:asciiTheme="majorBidi" w:hAnsiTheme="majorBidi" w:cstheme="majorBidi"/>
        </w:rPr>
      </w:pPr>
      <w:r w:rsidRPr="006E6CC3">
        <w:rPr>
          <w:rFonts w:asciiTheme="majorBidi" w:hAnsiTheme="majorBidi" w:cstheme="majorBidi"/>
        </w:rPr>
        <w:t>poskytovanie sociálneho poradenstva</w:t>
      </w:r>
    </w:p>
    <w:p w:rsidR="006D683D" w:rsidRPr="000B3D7C" w:rsidRDefault="00761339" w:rsidP="000B3D7C">
      <w:pPr>
        <w:pStyle w:val="Odstavecseseznamem"/>
        <w:numPr>
          <w:ilvl w:val="0"/>
          <w:numId w:val="8"/>
        </w:numPr>
        <w:jc w:val="both"/>
        <w:rPr>
          <w:rFonts w:asciiTheme="majorBidi" w:hAnsiTheme="majorBidi" w:cstheme="majorBidi"/>
          <w:b/>
          <w:bCs/>
        </w:rPr>
      </w:pPr>
      <w:r w:rsidRPr="006E6CC3">
        <w:rPr>
          <w:rFonts w:asciiTheme="majorBidi" w:hAnsiTheme="majorBidi" w:cstheme="majorBidi"/>
          <w:b/>
          <w:bCs/>
        </w:rPr>
        <w:t>Vzdelávanie, výchova a rozvoj telesnej kultúry</w:t>
      </w:r>
    </w:p>
    <w:p w:rsidR="00761339" w:rsidRPr="006E6CC3" w:rsidRDefault="00761339" w:rsidP="00761339">
      <w:pPr>
        <w:pStyle w:val="Odstavecseseznamem"/>
        <w:numPr>
          <w:ilvl w:val="0"/>
          <w:numId w:val="8"/>
        </w:numPr>
        <w:jc w:val="both"/>
        <w:rPr>
          <w:rFonts w:asciiTheme="majorBidi" w:hAnsiTheme="majorBidi" w:cstheme="majorBidi"/>
          <w:b/>
          <w:bCs/>
        </w:rPr>
      </w:pPr>
      <w:r w:rsidRPr="006E6CC3">
        <w:rPr>
          <w:rFonts w:asciiTheme="majorBidi" w:hAnsiTheme="majorBidi" w:cstheme="majorBidi"/>
          <w:b/>
          <w:bCs/>
        </w:rPr>
        <w:t>Poskytovanie všeobecne prospešných služieb v oblasti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Profesijnej rekvalifikácie a  vzdelávania  mládeže a dospelých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Poskytovanie služieb v oblasti organizovania a sprostredkovania poradenstva v oblasti ochrany zdravia, správnej životosprávy,  bezpečnosti  a právnej ochrany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Poskytovanie služieb v oblasti publikovania odborných štúdií, článkov a propagačných materiálov z oblasti života seniorov  aj  ostatných vekových skupín v rámci zbližovania generácií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 xml:space="preserve">Poskytovanie služieb v oblasti cezhraničnej spolupráce v oblasti sociálnych služieb 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Poskytovanie služieb v oblasti expertíznej činnosti pre potreby orgánov a inštitúcií Vlády Slovenskej republiky, Ministerstva práce, sociálnych vecí a rodiny, poradenská a konzultačná činnosť pre regionálne združenia miest a obcí Slovenska, mikroregióny, podnikateľské subjekty</w:t>
      </w:r>
    </w:p>
    <w:p w:rsidR="006D683D" w:rsidRPr="006E5AAA" w:rsidRDefault="00761339" w:rsidP="006E5AAA">
      <w:pPr>
        <w:pStyle w:val="Odstavecseseznamem"/>
        <w:numPr>
          <w:ilvl w:val="0"/>
          <w:numId w:val="11"/>
        </w:numPr>
        <w:spacing w:line="240" w:lineRule="auto"/>
        <w:jc w:val="both"/>
      </w:pPr>
      <w:r w:rsidRPr="006E6CC3">
        <w:rPr>
          <w:rStyle w:val="cell"/>
        </w:rPr>
        <w:t>Poskytovanie služieb v oblasti Poradensko-konzultačnej činnosti pri spracovávaní komunitných plánov miest  a</w:t>
      </w:r>
      <w:r w:rsidR="006D683D" w:rsidRPr="006E6CC3">
        <w:rPr>
          <w:rStyle w:val="cell"/>
        </w:rPr>
        <w:t> </w:t>
      </w:r>
      <w:r w:rsidRPr="006E6CC3">
        <w:rPr>
          <w:rStyle w:val="cell"/>
        </w:rPr>
        <w:t>o</w:t>
      </w:r>
      <w:r w:rsidR="006E5AAA">
        <w:rPr>
          <w:rStyle w:val="cell"/>
        </w:rPr>
        <w:t>bcí</w:t>
      </w:r>
    </w:p>
    <w:p w:rsidR="00761339" w:rsidRPr="006E6CC3" w:rsidRDefault="00761339" w:rsidP="00761339">
      <w:pPr>
        <w:pStyle w:val="Odstavecseseznamem"/>
        <w:numPr>
          <w:ilvl w:val="0"/>
          <w:numId w:val="8"/>
        </w:numPr>
        <w:jc w:val="both"/>
        <w:rPr>
          <w:rFonts w:asciiTheme="majorBidi" w:hAnsiTheme="majorBidi" w:cstheme="majorBidi"/>
          <w:b/>
          <w:bCs/>
        </w:rPr>
      </w:pPr>
      <w:r w:rsidRPr="006E6CC3">
        <w:rPr>
          <w:rFonts w:asciiTheme="majorBidi" w:hAnsiTheme="majorBidi" w:cstheme="majorBidi"/>
          <w:b/>
          <w:bCs/>
        </w:rPr>
        <w:t>Poskytovanie všeobecne prospešných služieb v oblasti podpory regionálneho rozvoja a zamestnanosti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 xml:space="preserve">Poskytovanie služieb v oblasti predkladania projektov vyhlásených a schválených Európskou úniou  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Poskytovanie služieb v oblasti analytickej a monitorovacej činnosti</w:t>
      </w:r>
    </w:p>
    <w:p w:rsidR="00761339" w:rsidRPr="006E6CC3" w:rsidRDefault="00761339" w:rsidP="006E6CC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t>Poskytovanie služieb v oblasti poradenských a sprostredkovateľských služieb občanom v núdzi</w:t>
      </w:r>
    </w:p>
    <w:p w:rsidR="006E5AAA" w:rsidRPr="006E6CC3" w:rsidRDefault="00761339" w:rsidP="00346983">
      <w:pPr>
        <w:pStyle w:val="Odstavecseseznamem"/>
        <w:numPr>
          <w:ilvl w:val="0"/>
          <w:numId w:val="11"/>
        </w:numPr>
        <w:spacing w:line="240" w:lineRule="auto"/>
        <w:jc w:val="both"/>
        <w:rPr>
          <w:rStyle w:val="cell"/>
        </w:rPr>
      </w:pPr>
      <w:r w:rsidRPr="006E6CC3">
        <w:rPr>
          <w:rStyle w:val="cell"/>
        </w:rPr>
        <w:lastRenderedPageBreak/>
        <w:t xml:space="preserve">Poskytovanie služieb v oblasti spracovávania návrhov a projektov pre integráciu marginalizovaných skupín obyvateľstva do spoločenského, pracovného a rodinného života </w:t>
      </w:r>
    </w:p>
    <w:p w:rsidR="002D1AF3" w:rsidRPr="006E6CC3" w:rsidRDefault="002D1AF3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6E6CC3">
        <w:rPr>
          <w:rFonts w:ascii="Calibri" w:hAnsi="Calibri"/>
          <w:sz w:val="22"/>
          <w:szCs w:val="22"/>
        </w:rPr>
        <w:t>Orgánmi neziskovej organizácie sú:</w:t>
      </w:r>
    </w:p>
    <w:p w:rsidR="002D1AF3" w:rsidRDefault="00761339" w:rsidP="006E6CC3">
      <w:pPr>
        <w:ind w:left="360"/>
        <w:jc w:val="both"/>
        <w:rPr>
          <w:rFonts w:ascii="Calibri" w:hAnsi="Calibri"/>
          <w:sz w:val="22"/>
          <w:szCs w:val="22"/>
        </w:rPr>
      </w:pPr>
      <w:r w:rsidRPr="006E6CC3">
        <w:rPr>
          <w:rFonts w:ascii="Calibri" w:hAnsi="Calibri"/>
          <w:sz w:val="22"/>
          <w:szCs w:val="22"/>
        </w:rPr>
        <w:t>Riaditeľ- Mgr. Zuzana Biela</w:t>
      </w:r>
    </w:p>
    <w:p w:rsidR="00346983" w:rsidRPr="006E6CC3" w:rsidRDefault="00346983" w:rsidP="006E6CC3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Pr="00B959BB" w:rsidRDefault="002D1AF3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4" w:name="_Toc276040534"/>
      <w:bookmarkStart w:id="5" w:name="_Toc276040637"/>
      <w:r w:rsidRPr="006E6CC3">
        <w:rPr>
          <w:rFonts w:ascii="Calibri" w:hAnsi="Calibri"/>
          <w:b/>
          <w:bCs/>
          <w:caps/>
          <w:sz w:val="32"/>
        </w:rPr>
        <w:t xml:space="preserve">2. Prehľad činností uskutočnených </w:t>
      </w:r>
      <w:r w:rsidR="00B10404" w:rsidRPr="006E6CC3">
        <w:rPr>
          <w:rFonts w:ascii="Calibri" w:hAnsi="Calibri"/>
          <w:b/>
          <w:bCs/>
          <w:caps/>
          <w:sz w:val="32"/>
        </w:rPr>
        <w:t xml:space="preserve">neziskovou </w:t>
      </w:r>
      <w:r w:rsidRPr="006E6CC3">
        <w:rPr>
          <w:rFonts w:ascii="Calibri" w:hAnsi="Calibri"/>
          <w:b/>
          <w:bCs/>
          <w:caps/>
          <w:sz w:val="32"/>
        </w:rPr>
        <w:t>organizáciou za rok 20</w:t>
      </w:r>
      <w:bookmarkEnd w:id="4"/>
      <w:bookmarkEnd w:id="5"/>
      <w:r w:rsidR="00F07807">
        <w:rPr>
          <w:rFonts w:ascii="Calibri" w:hAnsi="Calibri"/>
          <w:b/>
          <w:bCs/>
          <w:caps/>
          <w:sz w:val="32"/>
        </w:rPr>
        <w:t>14</w:t>
      </w:r>
    </w:p>
    <w:p w:rsidR="00F07807" w:rsidRDefault="00F07807" w:rsidP="00F07807">
      <w:pPr>
        <w:rPr>
          <w:b/>
          <w:bCs/>
          <w:u w:val="single"/>
        </w:rPr>
      </w:pPr>
    </w:p>
    <w:p w:rsidR="00F07807" w:rsidRDefault="00F07807" w:rsidP="00F07807">
      <w:r>
        <w:t xml:space="preserve">  Nezisková organizácia Silver generation n. o. bola zapísaná do Registra n. o. 22.11.2013 s cieľom poskytovania sociálnych služieb terénnou formou, čiže v domácom prostredí klienta. Cieľovou skupinou sú seniori a osoby  zdravotne ťažko postihnuté od II. po VI. stupeň postihnutia. </w:t>
      </w:r>
    </w:p>
    <w:p w:rsidR="00F07807" w:rsidRDefault="00F07807" w:rsidP="00F07807">
      <w:r>
        <w:t xml:space="preserve">  Rok 2014 by sa dal formou činnosti rozdeliť na dve etapy.</w:t>
      </w:r>
    </w:p>
    <w:p w:rsidR="00F07807" w:rsidRDefault="00F07807" w:rsidP="00F07807">
      <w:r>
        <w:t xml:space="preserve">  Prvá etapa predstavovala prípravné obdobie a časovo trvala od 1.1.2014 do 31.5.2014. V tomto čase sa legislatívne pripravovala naša organizácia na opatrovateľskú činnosť. Vytvorili sme si v spolupráci s ÚPSVaR širokú databázu  opatrovateliek s akreditovaným kurzom a propagovali sme opatrovateľskú službu  v rámci okresu Považská Bystrica a Púchov. Podpísaním zmluvy s FSR a jej zverejnením v Registri Zmlúv sa vytvorilo finančné krytie danej služby a mohlo sa začať s opatrovateľskou činnosťou.  </w:t>
      </w:r>
    </w:p>
    <w:p w:rsidR="00F07807" w:rsidRDefault="00F07807" w:rsidP="00346983">
      <w:r>
        <w:t xml:space="preserve">  Začali sme 1</w:t>
      </w:r>
      <w:r w:rsidR="00346983">
        <w:t xml:space="preserve">. </w:t>
      </w:r>
      <w:r>
        <w:t>júna 2014 s tromi klientmi. Postupne sa opatrovanie rozrástlo a na konci roku sme posky</w:t>
      </w:r>
      <w:r w:rsidR="004C1148">
        <w:t xml:space="preserve">tovali opatrovateľské služby 13 </w:t>
      </w:r>
      <w:r>
        <w:t xml:space="preserve"> klientom. Nakoľko záujem o opatrovanie narastal, rozšírili sme pôsobnosť opatrovania v rámci okresu Považská Bystrica a Púchov na celý trenčiansky a žilinský kraj. Na konci kalendárneho roku bol záujem o opatrovanie veľmi veľký a my sme už nemohli dopyt po ňom plne uspokojiť, čo nás mrzí, ale finančné zdroje projektu, ktorý nás zastrešuje, boli v tomto období už vyčerpané. </w:t>
      </w:r>
    </w:p>
    <w:p w:rsidR="00F07807" w:rsidRPr="0062266B" w:rsidRDefault="00F07807" w:rsidP="00F07807">
      <w:r>
        <w:t xml:space="preserve">  Prvý rok našej opatrovateľskej  činnosti máme za sebou. Môžeme  povedať, že sme ho úspešne zvládli. Veľkú zásluhu na tom majú predovšetkým opatrovateľky a opatrovatelia, ktorí svojou obetavou a záslužnou prácou šíria dobré meno našej organizácie, čo si myslím,  je to  najdôležitejšie.  Veď našou prvoradou úlohou je spokojnosť klientov, ktorí naše služby tak nutne potrebujú.</w:t>
      </w:r>
    </w:p>
    <w:p w:rsidR="00B765EB" w:rsidRPr="0091170E" w:rsidRDefault="00B765EB" w:rsidP="00B765EB">
      <w:pPr>
        <w:pStyle w:val="Bezmezer"/>
        <w:rPr>
          <w:rFonts w:asciiTheme="majorBidi" w:hAnsiTheme="majorBidi" w:cstheme="majorBidi"/>
          <w:sz w:val="24"/>
          <w:szCs w:val="24"/>
        </w:rPr>
      </w:pPr>
      <w:r w:rsidRPr="0091170E">
        <w:rPr>
          <w:rFonts w:asciiTheme="majorBidi" w:hAnsiTheme="majorBidi" w:cstheme="majorBidi"/>
          <w:sz w:val="24"/>
          <w:szCs w:val="24"/>
        </w:rPr>
        <w:t>.</w:t>
      </w:r>
    </w:p>
    <w:p w:rsidR="00B765EB" w:rsidRPr="0091170E" w:rsidRDefault="00B765EB" w:rsidP="00B765EB">
      <w:pPr>
        <w:pStyle w:val="Bezmezer"/>
        <w:rPr>
          <w:rFonts w:asciiTheme="majorBidi" w:hAnsiTheme="majorBidi" w:cstheme="majorBidi"/>
          <w:sz w:val="24"/>
          <w:szCs w:val="24"/>
        </w:rPr>
      </w:pPr>
    </w:p>
    <w:p w:rsidR="00B765EB" w:rsidRPr="00C027A7" w:rsidRDefault="00B765EB" w:rsidP="00B765EB">
      <w:pPr>
        <w:pStyle w:val="Bezmezer"/>
        <w:rPr>
          <w:rFonts w:asciiTheme="majorBidi" w:hAnsiTheme="majorBidi" w:cstheme="majorBidi"/>
          <w:sz w:val="24"/>
          <w:szCs w:val="24"/>
        </w:rPr>
      </w:pPr>
      <w:r w:rsidRPr="0091170E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</w:t>
      </w:r>
      <w:r w:rsidRPr="00C027A7">
        <w:rPr>
          <w:rFonts w:asciiTheme="majorBidi" w:hAnsiTheme="majorBidi" w:cstheme="majorBidi"/>
          <w:sz w:val="24"/>
          <w:szCs w:val="24"/>
        </w:rPr>
        <w:t xml:space="preserve">         Mgr. Zuzana Biela </w:t>
      </w:r>
    </w:p>
    <w:p w:rsidR="00B765EB" w:rsidRDefault="00B765EB" w:rsidP="00B765EB">
      <w:pPr>
        <w:pStyle w:val="Bezmezer"/>
        <w:rPr>
          <w:rFonts w:asciiTheme="majorBidi" w:hAnsiTheme="majorBidi" w:cstheme="majorBidi"/>
          <w:sz w:val="24"/>
          <w:szCs w:val="24"/>
        </w:rPr>
      </w:pPr>
      <w:r w:rsidRPr="0091170E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  <w:r w:rsidRPr="0091170E">
        <w:rPr>
          <w:rFonts w:asciiTheme="majorBidi" w:hAnsiTheme="majorBidi" w:cstheme="majorBidi"/>
          <w:sz w:val="24"/>
          <w:szCs w:val="24"/>
        </w:rPr>
        <w:t xml:space="preserve"> </w:t>
      </w:r>
      <w:r w:rsidR="006E5AAA">
        <w:rPr>
          <w:rFonts w:asciiTheme="majorBidi" w:hAnsiTheme="majorBidi" w:cstheme="majorBidi"/>
          <w:sz w:val="24"/>
          <w:szCs w:val="24"/>
        </w:rPr>
        <w:t>Riaditeľ</w:t>
      </w:r>
      <w:r w:rsidRPr="0091170E">
        <w:rPr>
          <w:rFonts w:asciiTheme="majorBidi" w:hAnsiTheme="majorBidi" w:cstheme="majorBidi"/>
          <w:sz w:val="24"/>
          <w:szCs w:val="24"/>
        </w:rPr>
        <w:t xml:space="preserve"> n.o.</w:t>
      </w:r>
    </w:p>
    <w:p w:rsidR="002D1AF3" w:rsidRDefault="002D1AF3" w:rsidP="003742D5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Pr="00C875DD" w:rsidRDefault="002D1AF3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Pr="00B959BB" w:rsidRDefault="002D1AF3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6"/>
    </w:p>
    <w:p w:rsidR="002D1AF3" w:rsidRDefault="002D1AF3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2D1AF3" w:rsidRDefault="002D1AF3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 § 4 ods. 2 zákona č. 431/2002 Z. z. o účtovníctve v platnom znení  </w:t>
      </w:r>
      <w:r w:rsidR="00B765EB" w:rsidRPr="006E6CC3">
        <w:rPr>
          <w:rFonts w:ascii="Calibri" w:hAnsi="Calibri"/>
          <w:sz w:val="22"/>
          <w:szCs w:val="22"/>
        </w:rPr>
        <w:t>Silver generation</w:t>
      </w:r>
      <w:r>
        <w:rPr>
          <w:rFonts w:ascii="Calibri" w:hAnsi="Calibri"/>
          <w:sz w:val="22"/>
          <w:szCs w:val="22"/>
        </w:rPr>
        <w:t xml:space="preserve"> n.o. účtuje v sústave </w:t>
      </w:r>
      <w:r w:rsidR="00B765EB" w:rsidRPr="006E6CC3">
        <w:rPr>
          <w:rFonts w:ascii="Calibri" w:hAnsi="Calibri"/>
          <w:sz w:val="22"/>
          <w:szCs w:val="22"/>
        </w:rPr>
        <w:t>podvojného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účtovníctva. </w:t>
      </w:r>
    </w:p>
    <w:p w:rsidR="002D1AF3" w:rsidRDefault="002D1AF3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Default="002D1AF3" w:rsidP="0065352F">
      <w:pPr>
        <w:ind w:left="360"/>
        <w:jc w:val="both"/>
        <w:rPr>
          <w:rFonts w:ascii="Calibri" w:hAnsi="Calibri"/>
          <w:sz w:val="22"/>
          <w:szCs w:val="22"/>
        </w:rPr>
      </w:pPr>
    </w:p>
    <w:p w:rsidR="0065352F" w:rsidRDefault="0065352F" w:rsidP="006535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Na základe účtovnej závierky Silver generation n.o. zostavila Výkaz o majetku a záväzkoch a</w:t>
      </w:r>
      <w:r w:rsidR="006D683D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 Výkaz o príjmoch a výdavkoch.</w:t>
      </w:r>
    </w:p>
    <w:p w:rsidR="0065352F" w:rsidRDefault="0065352F" w:rsidP="006535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Účtovnú závierku preskúmal revízor a predložil ju správnej rade na schválenie.</w:t>
      </w:r>
    </w:p>
    <w:p w:rsidR="002D1AF3" w:rsidRDefault="0065352F" w:rsidP="006D683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 schválila výročnú správu a</w:t>
      </w:r>
      <w:r w:rsidR="00F07807">
        <w:rPr>
          <w:rFonts w:ascii="Calibri" w:hAnsi="Calibri"/>
          <w:sz w:val="22"/>
          <w:szCs w:val="22"/>
        </w:rPr>
        <w:t>j s účtovnou závierkou dňa 31.03. 2015</w:t>
      </w:r>
      <w:r>
        <w:rPr>
          <w:rFonts w:ascii="Calibri" w:hAnsi="Calibri"/>
          <w:sz w:val="22"/>
          <w:szCs w:val="22"/>
        </w:rPr>
        <w:t>.</w:t>
      </w:r>
    </w:p>
    <w:p w:rsidR="006E6CC3" w:rsidRPr="0079636E" w:rsidRDefault="006E6CC3" w:rsidP="006D683D">
      <w:pPr>
        <w:ind w:left="360"/>
        <w:jc w:val="both"/>
        <w:rPr>
          <w:rFonts w:ascii="Calibri" w:hAnsi="Calibri"/>
          <w:sz w:val="22"/>
          <w:szCs w:val="22"/>
        </w:rPr>
      </w:pPr>
    </w:p>
    <w:p w:rsidR="002D1AF3" w:rsidRDefault="002D1AF3" w:rsidP="000B3D7C">
      <w:pPr>
        <w:jc w:val="both"/>
        <w:rPr>
          <w:rFonts w:ascii="Calibri" w:hAnsi="Calibri"/>
          <w:sz w:val="22"/>
          <w:szCs w:val="22"/>
        </w:rPr>
      </w:pPr>
    </w:p>
    <w:p w:rsidR="002D1AF3" w:rsidRPr="00B959BB" w:rsidRDefault="002D1AF3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39"/>
      <w:r>
        <w:rPr>
          <w:rFonts w:ascii="Calibri" w:hAnsi="Calibri"/>
          <w:b/>
          <w:bCs/>
          <w:caps/>
          <w:sz w:val="32"/>
        </w:rPr>
        <w:t xml:space="preserve">4. </w:t>
      </w:r>
      <w:r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7"/>
    </w:p>
    <w:p w:rsidR="002D1AF3" w:rsidRDefault="002D1AF3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D1AF3" w:rsidRDefault="002D1AF3" w:rsidP="00BE285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</w:t>
      </w:r>
      <w:r w:rsidR="004C1148">
        <w:rPr>
          <w:rFonts w:ascii="Calibri" w:hAnsi="Calibri"/>
          <w:sz w:val="22"/>
          <w:szCs w:val="22"/>
        </w:rPr>
        <w:t>tu obce neprekročili v roku 2014</w:t>
      </w:r>
      <w:r>
        <w:rPr>
          <w:rFonts w:ascii="Calibri" w:hAnsi="Calibri"/>
          <w:sz w:val="22"/>
          <w:szCs w:val="22"/>
        </w:rPr>
        <w:t xml:space="preserve"> sumu 33 193 eur a príjmy </w:t>
      </w:r>
      <w:r w:rsidR="00B765EB" w:rsidRPr="006E6CC3">
        <w:rPr>
          <w:rFonts w:ascii="Calibri" w:hAnsi="Calibri"/>
          <w:sz w:val="22"/>
          <w:szCs w:val="22"/>
        </w:rPr>
        <w:t>Silver generation</w:t>
      </w:r>
      <w:r w:rsidR="00B10404">
        <w:rPr>
          <w:rFonts w:ascii="Calibri" w:hAnsi="Calibri"/>
          <w:sz w:val="22"/>
          <w:szCs w:val="22"/>
        </w:rPr>
        <w:t xml:space="preserve"> n</w:t>
      </w:r>
      <w:r w:rsidR="006D683D">
        <w:rPr>
          <w:rFonts w:ascii="Calibri" w:hAnsi="Calibri"/>
          <w:sz w:val="22"/>
          <w:szCs w:val="22"/>
        </w:rPr>
        <w:t>.</w:t>
      </w:r>
      <w:r w:rsidR="004C1148">
        <w:rPr>
          <w:rFonts w:ascii="Calibri" w:hAnsi="Calibri"/>
          <w:sz w:val="22"/>
          <w:szCs w:val="22"/>
        </w:rPr>
        <w:t>o. za rok 2014</w:t>
      </w:r>
      <w:r>
        <w:rPr>
          <w:rFonts w:ascii="Calibri" w:hAnsi="Calibri"/>
          <w:sz w:val="22"/>
          <w:szCs w:val="22"/>
        </w:rPr>
        <w:t xml:space="preserve"> neboli vyššie ako 165 969 eur, audit v súlade s § 33 ods. 3 Zákona </w:t>
      </w:r>
      <w:r w:rsidR="00B10404">
        <w:rPr>
          <w:rFonts w:ascii="Calibri" w:hAnsi="Calibri"/>
          <w:sz w:val="22"/>
          <w:szCs w:val="22"/>
        </w:rPr>
        <w:t>vykonaný nebol.</w:t>
      </w:r>
    </w:p>
    <w:p w:rsidR="002D1AF3" w:rsidRPr="00BE2854" w:rsidRDefault="002D1AF3" w:rsidP="00B765EB">
      <w:pPr>
        <w:jc w:val="both"/>
        <w:rPr>
          <w:rFonts w:ascii="Calibri" w:hAnsi="Calibri"/>
          <w:i/>
          <w:sz w:val="22"/>
          <w:szCs w:val="22"/>
          <w:lang w:val="en-US"/>
        </w:rPr>
      </w:pPr>
    </w:p>
    <w:p w:rsidR="002D1AF3" w:rsidRDefault="002D1AF3" w:rsidP="00B765EB">
      <w:pPr>
        <w:jc w:val="both"/>
        <w:rPr>
          <w:rFonts w:ascii="Calibri" w:hAnsi="Calibri"/>
          <w:sz w:val="22"/>
          <w:szCs w:val="22"/>
        </w:rPr>
      </w:pPr>
    </w:p>
    <w:p w:rsidR="00026C5E" w:rsidRPr="00B959BB" w:rsidRDefault="00026C5E" w:rsidP="00026C5E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Pr="00B959BB">
        <w:rPr>
          <w:rFonts w:ascii="Calibri" w:hAnsi="Calibri"/>
          <w:b/>
          <w:bCs/>
          <w:caps/>
          <w:sz w:val="32"/>
        </w:rPr>
        <w:t>Prehľad o peňažných príjmoch a výdavko</w:t>
      </w:r>
      <w:bookmarkEnd w:id="8"/>
      <w:r w:rsidR="004C1148">
        <w:rPr>
          <w:rFonts w:ascii="Calibri" w:hAnsi="Calibri"/>
          <w:b/>
          <w:bCs/>
          <w:caps/>
          <w:sz w:val="32"/>
        </w:rPr>
        <w:t>ch</w:t>
      </w:r>
    </w:p>
    <w:p w:rsidR="00026C5E" w:rsidRDefault="00026C5E" w:rsidP="00026C5E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026C5E" w:rsidRPr="003B2496" w:rsidTr="00E83A08">
        <w:trPr>
          <w:trHeight w:val="450"/>
        </w:trPr>
        <w:tc>
          <w:tcPr>
            <w:tcW w:w="1835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3B2496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3B2496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3B2496">
              <w:rPr>
                <w:rFonts w:ascii="Calibri" w:hAnsi="Calibri"/>
                <w:sz w:val="22"/>
                <w:szCs w:val="22"/>
              </w:rPr>
              <w:t>Zostatok k 31.12.20</w:t>
            </w:r>
            <w:r>
              <w:rPr>
                <w:rFonts w:ascii="Calibri" w:hAnsi="Calibri"/>
                <w:sz w:val="22"/>
                <w:szCs w:val="22"/>
              </w:rPr>
              <w:t>14</w:t>
            </w:r>
          </w:p>
        </w:tc>
      </w:tr>
      <w:tr w:rsidR="00026C5E" w:rsidRPr="003B2496" w:rsidTr="00E83A08">
        <w:trPr>
          <w:trHeight w:val="350"/>
        </w:trPr>
        <w:tc>
          <w:tcPr>
            <w:tcW w:w="1835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3B2496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33827,46</w:t>
            </w: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32937,26</w:t>
            </w:r>
          </w:p>
        </w:tc>
        <w:tc>
          <w:tcPr>
            <w:tcW w:w="2303" w:type="dxa"/>
          </w:tcPr>
          <w:p w:rsidR="00026C5E" w:rsidRPr="003B2496" w:rsidRDefault="00026C5E" w:rsidP="00E83A0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890,2</w:t>
            </w:r>
            <w:r w:rsidR="004C1148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</w:tbl>
    <w:p w:rsidR="00026C5E" w:rsidRDefault="00026C5E" w:rsidP="00026C5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026C5E" w:rsidRDefault="00026C5E" w:rsidP="00026C5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026C5E" w:rsidRPr="00B959BB" w:rsidRDefault="00026C5E" w:rsidP="00026C5E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1"/>
      <w:r>
        <w:rPr>
          <w:rFonts w:ascii="Calibri" w:hAnsi="Calibri"/>
          <w:b/>
          <w:bCs/>
          <w:caps/>
          <w:sz w:val="32"/>
        </w:rPr>
        <w:t xml:space="preserve">6. </w:t>
      </w:r>
      <w:r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9"/>
    </w:p>
    <w:p w:rsidR="00026C5E" w:rsidRDefault="00026C5E" w:rsidP="00026C5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026C5E" w:rsidRDefault="00026C5E" w:rsidP="00026C5E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 aktív a pasív k 31.12.2014 predstavuje sumu 7819,05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EUR. Z toho obežný majetok vo výške 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7819,05 EUR pozostáva z:</w:t>
      </w:r>
    </w:p>
    <w:p w:rsidR="00026C5E" w:rsidRDefault="00026C5E" w:rsidP="00026C5E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dlhodobého majetku: 0,00 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026C5E" w:rsidRDefault="00026C5E" w:rsidP="00026C5E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krátkodobého m</w:t>
      </w:r>
      <w:r w:rsidR="004C1148">
        <w:rPr>
          <w:rFonts w:ascii="Calibri" w:hAnsi="Calibri"/>
          <w:sz w:val="22"/>
          <w:szCs w:val="22"/>
        </w:rPr>
        <w:t xml:space="preserve">ajetku: 1051,85 EUR </w:t>
      </w:r>
    </w:p>
    <w:p w:rsidR="00026C5E" w:rsidRDefault="00026C5E" w:rsidP="00026C5E">
      <w:pPr>
        <w:ind w:left="360"/>
        <w:jc w:val="both"/>
        <w:rPr>
          <w:rFonts w:ascii="Calibri" w:hAnsi="Calibri"/>
          <w:sz w:val="22"/>
          <w:szCs w:val="22"/>
        </w:rPr>
      </w:pPr>
    </w:p>
    <w:p w:rsidR="00026C5E" w:rsidRDefault="00026C5E" w:rsidP="00026C5E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31.12.2014 predstavoval (i):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finančný majetok čiastku  645,61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obežný majetok čiastku  7819,05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 čiastku  0,00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cudzie zdroje krytia majetku čiastku 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6928,85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 čiastku  0,00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 čiastku  0,00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  0,00</w:t>
      </w:r>
      <w:r w:rsidRPr="006E6CC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026C5E" w:rsidRDefault="00026C5E" w:rsidP="00026C5E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krátkodobé záväzky čiastku 5932,55 EUR.</w:t>
      </w:r>
    </w:p>
    <w:p w:rsidR="002D1AF3" w:rsidRDefault="002D1AF3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D1AF3" w:rsidRPr="00B959BB" w:rsidRDefault="002D1AF3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10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10"/>
    </w:p>
    <w:p w:rsidR="002D1AF3" w:rsidRDefault="002D1AF3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2D1AF3" w:rsidRDefault="002D1AF3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B765EB" w:rsidRPr="006E6CC3">
        <w:rPr>
          <w:rFonts w:ascii="Calibri" w:hAnsi="Calibri"/>
          <w:sz w:val="22"/>
          <w:szCs w:val="22"/>
        </w:rPr>
        <w:t>Silver generation</w:t>
      </w:r>
      <w:r>
        <w:rPr>
          <w:rFonts w:ascii="Calibri" w:hAnsi="Calibri"/>
          <w:sz w:val="22"/>
          <w:szCs w:val="22"/>
        </w:rPr>
        <w:t xml:space="preserve"> n.o. sa neuzniesla na žiadnych zmenách v štatúte ani zložení orgánov neziskovej organizácie.</w:t>
      </w:r>
    </w:p>
    <w:p w:rsidR="002D1AF3" w:rsidRDefault="002D1AF3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4C1148" w:rsidRDefault="004C1148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2D1AF3" w:rsidRPr="00745389">
        <w:tc>
          <w:tcPr>
            <w:tcW w:w="2583" w:type="dxa"/>
            <w:tcBorders>
              <w:bottom w:val="single" w:sz="4" w:space="0" w:color="auto"/>
            </w:tcBorders>
          </w:tcPr>
          <w:p w:rsidR="002D1AF3" w:rsidRPr="00831F5B" w:rsidRDefault="002D1AF3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2D1AF3" w:rsidRPr="00745389">
        <w:tc>
          <w:tcPr>
            <w:tcW w:w="2583" w:type="dxa"/>
            <w:tcBorders>
              <w:top w:val="single" w:sz="4" w:space="0" w:color="auto"/>
            </w:tcBorders>
          </w:tcPr>
          <w:p w:rsidR="002D1AF3" w:rsidRPr="006E6CC3" w:rsidRDefault="00B765EB" w:rsidP="007049D6">
            <w:pPr>
              <w:pStyle w:val="Nadpis2"/>
              <w:spacing w:before="0" w:after="0"/>
              <w:jc w:val="center"/>
              <w:rPr>
                <w:rFonts w:ascii="Calibri" w:hAnsi="Calibri" w:cs="Times New Roman"/>
                <w:b w:val="0"/>
                <w:bCs w:val="0"/>
                <w:sz w:val="22"/>
                <w:szCs w:val="22"/>
              </w:rPr>
            </w:pPr>
            <w:r w:rsidRPr="006E6CC3">
              <w:rPr>
                <w:rFonts w:ascii="Calibri" w:hAnsi="Calibri" w:cs="Times New Roman"/>
                <w:b w:val="0"/>
                <w:bCs w:val="0"/>
                <w:sz w:val="22"/>
                <w:szCs w:val="22"/>
              </w:rPr>
              <w:t>Mgr. Zuzana Biela</w:t>
            </w:r>
          </w:p>
          <w:p w:rsidR="002D1AF3" w:rsidRPr="00745389" w:rsidRDefault="002D1AF3" w:rsidP="007049D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1" w:name="_Toc276040536"/>
            <w:bookmarkStart w:id="12" w:name="_Toc276040644"/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11"/>
            <w:bookmarkEnd w:id="12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2D1AF3" w:rsidRPr="009B1ED3" w:rsidRDefault="002D1AF3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2D1AF3" w:rsidRPr="009B1ED3" w:rsidSect="002D1AF3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B83" w:rsidRDefault="00144B83">
      <w:r>
        <w:separator/>
      </w:r>
    </w:p>
  </w:endnote>
  <w:endnote w:type="continuationSeparator" w:id="0">
    <w:p w:rsidR="00144B83" w:rsidRDefault="00144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AF3" w:rsidRDefault="002D1AF3" w:rsidP="003744F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D1AF3" w:rsidRDefault="002D1AF3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AF3" w:rsidRDefault="002D1AF3" w:rsidP="003744F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36CA8">
      <w:rPr>
        <w:rStyle w:val="slostrnky"/>
        <w:noProof/>
      </w:rPr>
      <w:t>2</w:t>
    </w:r>
    <w:r>
      <w:rPr>
        <w:rStyle w:val="slostrnky"/>
      </w:rPr>
      <w:fldChar w:fldCharType="end"/>
    </w:r>
  </w:p>
  <w:p w:rsidR="002D1AF3" w:rsidRDefault="002D1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B83" w:rsidRDefault="00144B83">
      <w:r>
        <w:separator/>
      </w:r>
    </w:p>
  </w:footnote>
  <w:footnote w:type="continuationSeparator" w:id="0">
    <w:p w:rsidR="00144B83" w:rsidRDefault="00144B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49D" w:rsidRPr="00745389" w:rsidRDefault="00C7249D" w:rsidP="00C7249D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</w:rPr>
      <w:t>Silver generation</w:t>
    </w:r>
    <w:r w:rsidRPr="00745389">
      <w:rPr>
        <w:rFonts w:ascii="Calibri" w:hAnsi="Calibri"/>
        <w:sz w:val="22"/>
        <w:szCs w:val="22"/>
        <w:u w:val="none"/>
      </w:rPr>
      <w:t xml:space="preserve"> n. o., </w:t>
    </w:r>
    <w:r>
      <w:rPr>
        <w:rFonts w:ascii="Calibri" w:hAnsi="Calibri"/>
        <w:sz w:val="22"/>
        <w:szCs w:val="22"/>
        <w:u w:val="none"/>
      </w:rPr>
      <w:t xml:space="preserve">so sídlom: Šoltésovej 502/267, 01701 Považská Bystrica, </w:t>
    </w:r>
    <w:r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rFonts w:ascii="Calibri" w:hAnsi="Calibri"/>
        <w:sz w:val="22"/>
        <w:szCs w:val="22"/>
        <w:u w:val="none"/>
      </w:rPr>
      <w:t>457 420 49</w:t>
    </w:r>
  </w:p>
  <w:p w:rsidR="00C7249D" w:rsidRDefault="00C7249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D4F8C"/>
    <w:multiLevelType w:val="hybridMultilevel"/>
    <w:tmpl w:val="F7DE8F3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89E65F9"/>
    <w:multiLevelType w:val="hybridMultilevel"/>
    <w:tmpl w:val="9E686D64"/>
    <w:lvl w:ilvl="0" w:tplc="4CB89C3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FB501D0"/>
    <w:multiLevelType w:val="hybridMultilevel"/>
    <w:tmpl w:val="515C9ABE"/>
    <w:lvl w:ilvl="0" w:tplc="21A2B39E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4657FAA"/>
    <w:multiLevelType w:val="hybridMultilevel"/>
    <w:tmpl w:val="C6CC0C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8"/>
  </w:num>
  <w:num w:numId="5">
    <w:abstractNumId w:val="6"/>
  </w:num>
  <w:num w:numId="6">
    <w:abstractNumId w:val="5"/>
  </w:num>
  <w:num w:numId="7">
    <w:abstractNumId w:val="9"/>
  </w:num>
  <w:num w:numId="8">
    <w:abstractNumId w:val="7"/>
  </w:num>
  <w:num w:numId="9">
    <w:abstractNumId w:val="3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388F"/>
    <w:rsid w:val="000049B5"/>
    <w:rsid w:val="000062B2"/>
    <w:rsid w:val="00025389"/>
    <w:rsid w:val="00026C5E"/>
    <w:rsid w:val="00052DA3"/>
    <w:rsid w:val="00092D78"/>
    <w:rsid w:val="000A2746"/>
    <w:rsid w:val="000B3D7C"/>
    <w:rsid w:val="000F3F49"/>
    <w:rsid w:val="00144B83"/>
    <w:rsid w:val="00157EF9"/>
    <w:rsid w:val="00190776"/>
    <w:rsid w:val="001D40C4"/>
    <w:rsid w:val="001F020F"/>
    <w:rsid w:val="00234D16"/>
    <w:rsid w:val="00255DC7"/>
    <w:rsid w:val="00296D5D"/>
    <w:rsid w:val="002A54FA"/>
    <w:rsid w:val="002D1AF3"/>
    <w:rsid w:val="002F1B00"/>
    <w:rsid w:val="003037C2"/>
    <w:rsid w:val="00336CA8"/>
    <w:rsid w:val="0034516D"/>
    <w:rsid w:val="00346983"/>
    <w:rsid w:val="003659A2"/>
    <w:rsid w:val="003742D5"/>
    <w:rsid w:val="003744F8"/>
    <w:rsid w:val="00380B09"/>
    <w:rsid w:val="003B2496"/>
    <w:rsid w:val="003B31EB"/>
    <w:rsid w:val="003C66C8"/>
    <w:rsid w:val="003D531D"/>
    <w:rsid w:val="004467DB"/>
    <w:rsid w:val="004575EF"/>
    <w:rsid w:val="00466115"/>
    <w:rsid w:val="00470916"/>
    <w:rsid w:val="004A0C90"/>
    <w:rsid w:val="004A6D34"/>
    <w:rsid w:val="004B7C67"/>
    <w:rsid w:val="004C1148"/>
    <w:rsid w:val="005061A9"/>
    <w:rsid w:val="00510218"/>
    <w:rsid w:val="00515C98"/>
    <w:rsid w:val="0053074F"/>
    <w:rsid w:val="005477AC"/>
    <w:rsid w:val="00564242"/>
    <w:rsid w:val="0058559C"/>
    <w:rsid w:val="006221A4"/>
    <w:rsid w:val="006245EF"/>
    <w:rsid w:val="00642270"/>
    <w:rsid w:val="006519D1"/>
    <w:rsid w:val="0065352F"/>
    <w:rsid w:val="00692712"/>
    <w:rsid w:val="006A0A68"/>
    <w:rsid w:val="006B42D4"/>
    <w:rsid w:val="006C122A"/>
    <w:rsid w:val="006D683D"/>
    <w:rsid w:val="006E5AAA"/>
    <w:rsid w:val="006E6CC3"/>
    <w:rsid w:val="006F109C"/>
    <w:rsid w:val="007049D6"/>
    <w:rsid w:val="00745389"/>
    <w:rsid w:val="00754FAA"/>
    <w:rsid w:val="00761339"/>
    <w:rsid w:val="00783886"/>
    <w:rsid w:val="0079636E"/>
    <w:rsid w:val="007A19DF"/>
    <w:rsid w:val="007E460E"/>
    <w:rsid w:val="00831F5B"/>
    <w:rsid w:val="008560F4"/>
    <w:rsid w:val="00874C81"/>
    <w:rsid w:val="008776FC"/>
    <w:rsid w:val="008C02AE"/>
    <w:rsid w:val="008D7378"/>
    <w:rsid w:val="0092649F"/>
    <w:rsid w:val="00970F11"/>
    <w:rsid w:val="00976E9C"/>
    <w:rsid w:val="009B1ED3"/>
    <w:rsid w:val="00A1564D"/>
    <w:rsid w:val="00A30599"/>
    <w:rsid w:val="00A326D2"/>
    <w:rsid w:val="00A33517"/>
    <w:rsid w:val="00A42A49"/>
    <w:rsid w:val="00A65B45"/>
    <w:rsid w:val="00A7082F"/>
    <w:rsid w:val="00A84915"/>
    <w:rsid w:val="00AB0310"/>
    <w:rsid w:val="00AB471E"/>
    <w:rsid w:val="00AC1DB3"/>
    <w:rsid w:val="00B10404"/>
    <w:rsid w:val="00B765EB"/>
    <w:rsid w:val="00B959BB"/>
    <w:rsid w:val="00BB03BE"/>
    <w:rsid w:val="00BC4F8D"/>
    <w:rsid w:val="00BE2854"/>
    <w:rsid w:val="00C7249D"/>
    <w:rsid w:val="00C875DD"/>
    <w:rsid w:val="00CB6D98"/>
    <w:rsid w:val="00CC096A"/>
    <w:rsid w:val="00CC2E37"/>
    <w:rsid w:val="00CC70E1"/>
    <w:rsid w:val="00D00CEA"/>
    <w:rsid w:val="00D06F9D"/>
    <w:rsid w:val="00D1341B"/>
    <w:rsid w:val="00D3388B"/>
    <w:rsid w:val="00D5393E"/>
    <w:rsid w:val="00DC38BD"/>
    <w:rsid w:val="00DE199C"/>
    <w:rsid w:val="00DF655A"/>
    <w:rsid w:val="00E733B2"/>
    <w:rsid w:val="00F05BE3"/>
    <w:rsid w:val="00F0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link w:val="Nadpis2Char"/>
    <w:uiPriority w:val="9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9B1ED3"/>
    <w:rPr>
      <w:sz w:val="24"/>
      <w:u w:val="single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B4B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Zhlav">
    <w:name w:val="header"/>
    <w:basedOn w:val="Normln"/>
    <w:link w:val="Zhlav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B4BA1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BB4BA1"/>
    <w:rPr>
      <w:sz w:val="24"/>
      <w:szCs w:val="24"/>
    </w:rPr>
  </w:style>
  <w:style w:type="table" w:styleId="Mkatabulky">
    <w:name w:val="Table Grid"/>
    <w:basedOn w:val="Normlntabulka"/>
    <w:uiPriority w:val="59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7049D6"/>
    <w:rPr>
      <w:lang w:val="cs-CZ" w:eastAsia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uiPriority w:val="99"/>
    <w:rsid w:val="00A42A49"/>
    <w:rPr>
      <w:rFonts w:cs="Times New Roman"/>
    </w:rPr>
  </w:style>
  <w:style w:type="paragraph" w:styleId="Obsah2">
    <w:name w:val="toc 2"/>
    <w:basedOn w:val="Normln"/>
    <w:next w:val="Normln"/>
    <w:autoRedefine/>
    <w:uiPriority w:val="39"/>
    <w:semiHidden/>
    <w:rsid w:val="00A42A49"/>
    <w:pPr>
      <w:ind w:left="240"/>
    </w:pPr>
  </w:style>
  <w:style w:type="character" w:styleId="Hypertextovodkaz">
    <w:name w:val="Hyperlink"/>
    <w:basedOn w:val="Standardnpsmoodstavce"/>
    <w:uiPriority w:val="99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uiPriority w:val="39"/>
    <w:semiHidden/>
    <w:rsid w:val="00B959BB"/>
  </w:style>
  <w:style w:type="paragraph" w:styleId="Odstavecseseznamem">
    <w:name w:val="List Paragraph"/>
    <w:basedOn w:val="Normln"/>
    <w:uiPriority w:val="34"/>
    <w:qFormat/>
    <w:rsid w:val="0034516D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cell">
    <w:name w:val="cell"/>
    <w:basedOn w:val="Standardnpsmoodstavce"/>
    <w:rsid w:val="00CC70E1"/>
  </w:style>
  <w:style w:type="paragraph" w:styleId="Bezmezer">
    <w:name w:val="No Spacing"/>
    <w:uiPriority w:val="1"/>
    <w:qFormat/>
    <w:rsid w:val="00B765E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rsid w:val="006E6C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E6C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link w:val="Nadpis2Char"/>
    <w:uiPriority w:val="9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9B1ED3"/>
    <w:rPr>
      <w:sz w:val="24"/>
      <w:u w:val="single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B4B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Zhlav">
    <w:name w:val="header"/>
    <w:basedOn w:val="Normln"/>
    <w:link w:val="Zhlav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B4BA1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BB4BA1"/>
    <w:rPr>
      <w:sz w:val="24"/>
      <w:szCs w:val="24"/>
    </w:rPr>
  </w:style>
  <w:style w:type="table" w:styleId="Mkatabulky">
    <w:name w:val="Table Grid"/>
    <w:basedOn w:val="Normlntabulka"/>
    <w:uiPriority w:val="59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7049D6"/>
    <w:rPr>
      <w:lang w:val="cs-CZ" w:eastAsia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uiPriority w:val="99"/>
    <w:rsid w:val="00A42A49"/>
    <w:rPr>
      <w:rFonts w:cs="Times New Roman"/>
    </w:rPr>
  </w:style>
  <w:style w:type="paragraph" w:styleId="Obsah2">
    <w:name w:val="toc 2"/>
    <w:basedOn w:val="Normln"/>
    <w:next w:val="Normln"/>
    <w:autoRedefine/>
    <w:uiPriority w:val="39"/>
    <w:semiHidden/>
    <w:rsid w:val="00A42A49"/>
    <w:pPr>
      <w:ind w:left="240"/>
    </w:pPr>
  </w:style>
  <w:style w:type="character" w:styleId="Hypertextovodkaz">
    <w:name w:val="Hyperlink"/>
    <w:basedOn w:val="Standardnpsmoodstavce"/>
    <w:uiPriority w:val="99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uiPriority w:val="39"/>
    <w:semiHidden/>
    <w:rsid w:val="00B959BB"/>
  </w:style>
  <w:style w:type="paragraph" w:styleId="Odstavecseseznamem">
    <w:name w:val="List Paragraph"/>
    <w:basedOn w:val="Normln"/>
    <w:uiPriority w:val="34"/>
    <w:qFormat/>
    <w:rsid w:val="0034516D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cell">
    <w:name w:val="cell"/>
    <w:basedOn w:val="Standardnpsmoodstavce"/>
    <w:rsid w:val="00CC70E1"/>
  </w:style>
  <w:style w:type="paragraph" w:styleId="Bezmezer">
    <w:name w:val="No Spacing"/>
    <w:uiPriority w:val="1"/>
    <w:qFormat/>
    <w:rsid w:val="00B765E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rsid w:val="006E6C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E6C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1160</Words>
  <Characters>6615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 </vt:lpstr>
    </vt:vector>
  </TitlesOfParts>
  <Company>Home</Company>
  <LinksUpToDate>false</LinksUpToDate>
  <CharactersWithSpaces>7760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Počítač</cp:lastModifiedBy>
  <cp:revision>2</cp:revision>
  <dcterms:created xsi:type="dcterms:W3CDTF">2015-07-07T15:27:00Z</dcterms:created>
  <dcterms:modified xsi:type="dcterms:W3CDTF">2015-07-07T15:27:00Z</dcterms:modified>
</cp:coreProperties>
</file>