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2FA" w:rsidRPr="00742387" w:rsidRDefault="00742387" w:rsidP="00FA1418">
      <w:pPr>
        <w:pStyle w:val="Bezriadkovania"/>
        <w:rPr>
          <w:sz w:val="20"/>
          <w:szCs w:val="20"/>
        </w:rPr>
      </w:pPr>
      <w:r>
        <w:tab/>
      </w:r>
      <w:r w:rsidRPr="00742387">
        <w:rPr>
          <w:sz w:val="20"/>
          <w:szCs w:val="20"/>
        </w:rPr>
        <w:t xml:space="preserve">Poznámky </w:t>
      </w:r>
      <w:proofErr w:type="spellStart"/>
      <w:r w:rsidRPr="00742387">
        <w:rPr>
          <w:sz w:val="20"/>
          <w:szCs w:val="20"/>
        </w:rPr>
        <w:t>Úč</w:t>
      </w:r>
      <w:proofErr w:type="spellEnd"/>
      <w:r w:rsidRPr="00742387">
        <w:rPr>
          <w:sz w:val="20"/>
          <w:szCs w:val="20"/>
        </w:rPr>
        <w:t xml:space="preserve"> MÚJ 3-01</w:t>
      </w:r>
      <w:r w:rsidRPr="00742387">
        <w:rPr>
          <w:sz w:val="20"/>
          <w:szCs w:val="20"/>
        </w:rPr>
        <w:tab/>
      </w:r>
      <w:r w:rsidRPr="00742387">
        <w:rPr>
          <w:sz w:val="20"/>
          <w:szCs w:val="20"/>
        </w:rPr>
        <w:tab/>
        <w:t>IČO 35684356</w:t>
      </w:r>
      <w:r w:rsidRPr="00742387">
        <w:rPr>
          <w:sz w:val="20"/>
          <w:szCs w:val="20"/>
        </w:rPr>
        <w:tab/>
      </w:r>
      <w:r w:rsidRPr="00742387">
        <w:rPr>
          <w:sz w:val="20"/>
          <w:szCs w:val="20"/>
        </w:rPr>
        <w:tab/>
      </w:r>
      <w:r w:rsidRPr="00742387">
        <w:rPr>
          <w:sz w:val="20"/>
          <w:szCs w:val="20"/>
        </w:rPr>
        <w:tab/>
        <w:t>DIČ 2020347923</w:t>
      </w:r>
    </w:p>
    <w:p w:rsidR="00742387" w:rsidRPr="00742387" w:rsidRDefault="00742387" w:rsidP="00FA1418">
      <w:pPr>
        <w:pStyle w:val="Bezriadkovania"/>
        <w:rPr>
          <w:sz w:val="16"/>
          <w:szCs w:val="16"/>
        </w:rPr>
      </w:pPr>
    </w:p>
    <w:p w:rsidR="00742387" w:rsidRDefault="00742387" w:rsidP="00FA1418">
      <w:pPr>
        <w:pStyle w:val="Bezriadkovania"/>
        <w:rPr>
          <w:b/>
          <w:sz w:val="24"/>
          <w:szCs w:val="24"/>
        </w:rPr>
      </w:pPr>
      <w:r w:rsidRPr="00742387">
        <w:rPr>
          <w:sz w:val="16"/>
          <w:szCs w:val="16"/>
        </w:rPr>
        <w:tab/>
      </w:r>
      <w:r>
        <w:rPr>
          <w:b/>
          <w:sz w:val="24"/>
          <w:szCs w:val="24"/>
        </w:rPr>
        <w:t xml:space="preserve">POZNÁMKY  k účtovnej závierke </w:t>
      </w:r>
      <w:proofErr w:type="spellStart"/>
      <w:r>
        <w:rPr>
          <w:b/>
          <w:sz w:val="24"/>
          <w:szCs w:val="24"/>
        </w:rPr>
        <w:t>mikro</w:t>
      </w:r>
      <w:proofErr w:type="spellEnd"/>
      <w:r>
        <w:rPr>
          <w:b/>
          <w:sz w:val="24"/>
          <w:szCs w:val="24"/>
        </w:rPr>
        <w:t xml:space="preserve"> účtovnej jednotky k 31.12.2014</w:t>
      </w:r>
    </w:p>
    <w:p w:rsidR="00742387" w:rsidRDefault="00742387" w:rsidP="00FA1418">
      <w:pPr>
        <w:pStyle w:val="Bezriadkovania"/>
        <w:rPr>
          <w:b/>
          <w:sz w:val="24"/>
          <w:szCs w:val="24"/>
        </w:rPr>
      </w:pPr>
    </w:p>
    <w:p w:rsidR="00742387" w:rsidRDefault="00742387" w:rsidP="00FA1418">
      <w:pPr>
        <w:pStyle w:val="Bezriadkovania"/>
        <w:rPr>
          <w:b/>
          <w:i/>
          <w:sz w:val="24"/>
          <w:szCs w:val="24"/>
        </w:rPr>
      </w:pPr>
      <w:r>
        <w:rPr>
          <w:b/>
          <w:sz w:val="24"/>
          <w:szCs w:val="24"/>
        </w:rPr>
        <w:tab/>
      </w:r>
      <w:r w:rsidRPr="00742387">
        <w:rPr>
          <w:b/>
          <w:i/>
          <w:sz w:val="24"/>
          <w:szCs w:val="24"/>
        </w:rPr>
        <w:t>Článok I.</w:t>
      </w:r>
    </w:p>
    <w:p w:rsidR="00DB5D04" w:rsidRDefault="00DB5D04" w:rsidP="00FA1418">
      <w:pPr>
        <w:pStyle w:val="Bezriadkovania"/>
        <w:rPr>
          <w:sz w:val="24"/>
          <w:szCs w:val="24"/>
        </w:rPr>
      </w:pPr>
      <w:r w:rsidRPr="00DB5D04">
        <w:rPr>
          <w:b/>
          <w:i/>
          <w:sz w:val="24"/>
          <w:szCs w:val="24"/>
        </w:rPr>
        <w:t>(1)</w:t>
      </w:r>
      <w:r w:rsidRPr="00DB5D04">
        <w:rPr>
          <w:b/>
          <w:i/>
          <w:sz w:val="24"/>
          <w:szCs w:val="24"/>
        </w:rPr>
        <w:tab/>
        <w:t>Názov a</w:t>
      </w:r>
      <w:r>
        <w:rPr>
          <w:b/>
          <w:i/>
          <w:sz w:val="24"/>
          <w:szCs w:val="24"/>
        </w:rPr>
        <w:t> </w:t>
      </w:r>
      <w:r w:rsidRPr="00DB5D04">
        <w:rPr>
          <w:b/>
          <w:i/>
          <w:sz w:val="24"/>
          <w:szCs w:val="24"/>
        </w:rPr>
        <w:t>sídlo</w:t>
      </w:r>
    </w:p>
    <w:p w:rsidR="00DB5D04" w:rsidRDefault="00DB5D04" w:rsidP="00FA141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  <w:t>REEM, spol. s r. o.</w:t>
      </w:r>
    </w:p>
    <w:p w:rsidR="00DB5D04" w:rsidRDefault="00DB5D04" w:rsidP="00FA141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  <w:t>Jána Smreka 20</w:t>
      </w:r>
    </w:p>
    <w:p w:rsidR="00DB5D04" w:rsidRDefault="00DB5D04" w:rsidP="00FA141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  <w:t>841 07 Bratislava</w:t>
      </w:r>
    </w:p>
    <w:p w:rsidR="00DB5D04" w:rsidRDefault="00DB5D04" w:rsidP="00FA1418">
      <w:pPr>
        <w:pStyle w:val="Bezriadkovania"/>
        <w:rPr>
          <w:sz w:val="24"/>
          <w:szCs w:val="24"/>
        </w:rPr>
      </w:pPr>
    </w:p>
    <w:p w:rsidR="00DB5D04" w:rsidRDefault="00DB5D04" w:rsidP="00FA1418">
      <w:pPr>
        <w:pStyle w:val="Bezriadkovania"/>
        <w:rPr>
          <w:sz w:val="24"/>
          <w:szCs w:val="24"/>
        </w:rPr>
      </w:pPr>
      <w:r>
        <w:rPr>
          <w:b/>
          <w:i/>
          <w:sz w:val="24"/>
          <w:szCs w:val="24"/>
        </w:rPr>
        <w:t>(2)</w:t>
      </w:r>
      <w:r>
        <w:rPr>
          <w:b/>
          <w:i/>
          <w:sz w:val="24"/>
          <w:szCs w:val="24"/>
        </w:rPr>
        <w:tab/>
        <w:t>Údaje o konsolidovanom celku</w:t>
      </w:r>
    </w:p>
    <w:p w:rsidR="00DB5D04" w:rsidRDefault="00DB5D04" w:rsidP="00FA141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  <w:t xml:space="preserve">Spoločnosť nie je </w:t>
      </w:r>
      <w:proofErr w:type="spellStart"/>
      <w:r>
        <w:rPr>
          <w:sz w:val="24"/>
          <w:szCs w:val="24"/>
        </w:rPr>
        <w:t>konsolidujúcov</w:t>
      </w:r>
      <w:proofErr w:type="spellEnd"/>
      <w:r>
        <w:rPr>
          <w:sz w:val="24"/>
          <w:szCs w:val="24"/>
        </w:rPr>
        <w:t xml:space="preserve"> účtovnou jednotkou.</w:t>
      </w:r>
    </w:p>
    <w:p w:rsidR="00DB5D04" w:rsidRDefault="00DB5D04" w:rsidP="00FA1418">
      <w:pPr>
        <w:pStyle w:val="Bezriadkovania"/>
        <w:rPr>
          <w:sz w:val="24"/>
          <w:szCs w:val="24"/>
        </w:rPr>
      </w:pPr>
    </w:p>
    <w:p w:rsidR="00DB5D04" w:rsidRDefault="00DB5D04" w:rsidP="00FA1418">
      <w:pPr>
        <w:pStyle w:val="Bezriadkovania"/>
        <w:rPr>
          <w:sz w:val="24"/>
          <w:szCs w:val="24"/>
        </w:rPr>
      </w:pPr>
      <w:r>
        <w:rPr>
          <w:b/>
          <w:i/>
          <w:sz w:val="24"/>
          <w:szCs w:val="24"/>
        </w:rPr>
        <w:t>(3)</w:t>
      </w:r>
      <w:r>
        <w:rPr>
          <w:b/>
          <w:i/>
          <w:sz w:val="24"/>
          <w:szCs w:val="24"/>
        </w:rPr>
        <w:tab/>
        <w:t>Priemerný prepočítaný počet zamestnancov</w:t>
      </w:r>
    </w:p>
    <w:p w:rsidR="00DB5D04" w:rsidRDefault="00DB5D04" w:rsidP="00FA141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  <w:t>Účtovná jednotka nemá zamestnancov</w:t>
      </w:r>
    </w:p>
    <w:p w:rsidR="00DB5D04" w:rsidRDefault="00DB5D04" w:rsidP="00FA1418">
      <w:pPr>
        <w:pStyle w:val="Bezriadkovania"/>
        <w:rPr>
          <w:sz w:val="24"/>
          <w:szCs w:val="24"/>
        </w:rPr>
      </w:pPr>
    </w:p>
    <w:p w:rsidR="00DB5D04" w:rsidRDefault="00DB5D04" w:rsidP="00FA1418">
      <w:pPr>
        <w:pStyle w:val="Bezriadkovania"/>
        <w:rPr>
          <w:b/>
          <w:i/>
          <w:sz w:val="24"/>
          <w:szCs w:val="24"/>
        </w:rPr>
      </w:pPr>
      <w:r>
        <w:rPr>
          <w:sz w:val="24"/>
          <w:szCs w:val="24"/>
        </w:rPr>
        <w:tab/>
      </w:r>
      <w:r>
        <w:rPr>
          <w:b/>
          <w:i/>
          <w:sz w:val="24"/>
          <w:szCs w:val="24"/>
        </w:rPr>
        <w:t>Článok II.</w:t>
      </w:r>
    </w:p>
    <w:p w:rsidR="00DB5D04" w:rsidRDefault="00854C15" w:rsidP="00FA1418">
      <w:pPr>
        <w:pStyle w:val="Bezriadkovania"/>
        <w:rPr>
          <w:sz w:val="24"/>
          <w:szCs w:val="24"/>
        </w:rPr>
      </w:pPr>
      <w:r>
        <w:rPr>
          <w:b/>
          <w:i/>
          <w:sz w:val="24"/>
          <w:szCs w:val="24"/>
        </w:rPr>
        <w:t>(1)</w:t>
      </w:r>
      <w:r w:rsidR="00DB5D04">
        <w:rPr>
          <w:b/>
          <w:i/>
          <w:sz w:val="24"/>
          <w:szCs w:val="24"/>
        </w:rPr>
        <w:tab/>
        <w:t>Informácie o prijatých postupoch</w:t>
      </w:r>
    </w:p>
    <w:p w:rsidR="00854C15" w:rsidRDefault="00854C15" w:rsidP="00FA141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  <w:t>Účtovná závierka bola zostavená za predpokladu nepretržitého trvania spoločnosti.</w:t>
      </w:r>
    </w:p>
    <w:p w:rsidR="00854C15" w:rsidRDefault="00854C15" w:rsidP="00FA1418">
      <w:pPr>
        <w:pStyle w:val="Bezriadkovania"/>
        <w:rPr>
          <w:sz w:val="24"/>
          <w:szCs w:val="24"/>
        </w:rPr>
      </w:pPr>
    </w:p>
    <w:p w:rsidR="00854C15" w:rsidRDefault="00854C15" w:rsidP="00FA1418">
      <w:pPr>
        <w:pStyle w:val="Bezriadkovania"/>
        <w:rPr>
          <w:sz w:val="24"/>
          <w:szCs w:val="24"/>
        </w:rPr>
      </w:pPr>
      <w:r>
        <w:rPr>
          <w:b/>
          <w:i/>
          <w:sz w:val="24"/>
          <w:szCs w:val="24"/>
        </w:rPr>
        <w:t>(2)</w:t>
      </w:r>
      <w:r>
        <w:rPr>
          <w:b/>
          <w:i/>
          <w:sz w:val="24"/>
          <w:szCs w:val="24"/>
        </w:rPr>
        <w:tab/>
        <w:t>Spôsob oceňovania jednotlivých zložiek majetku a záväzkov</w:t>
      </w:r>
    </w:p>
    <w:p w:rsidR="00854C15" w:rsidRDefault="00854C15" w:rsidP="00FA141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  <w:t>a) Dlhodobý majetok bol oceňovaný cenou obstarania</w:t>
      </w:r>
    </w:p>
    <w:p w:rsidR="00854C15" w:rsidRDefault="00854C15" w:rsidP="00FA141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  <w:t>b) Zásoby boli oceňované cenou obstarania</w:t>
      </w:r>
    </w:p>
    <w:p w:rsidR="00854C15" w:rsidRDefault="00854C15" w:rsidP="00FA141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  <w:t>c) Pohľadávky sa pri ich vzniku oceňovali nominálnou hodnotou</w:t>
      </w:r>
    </w:p>
    <w:p w:rsidR="00854C15" w:rsidRDefault="00854C15" w:rsidP="00FA141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  <w:t>d) Krátkodobý finančný majetok sa oceňoval nominálnou hodnotou</w:t>
      </w:r>
    </w:p>
    <w:p w:rsidR="00854C15" w:rsidRDefault="00CD3BBA" w:rsidP="00FA141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  <w:t>e) Záväzky sa pri ich vzniku sa oceňovali nominálnou hodnotou.</w:t>
      </w:r>
    </w:p>
    <w:p w:rsidR="00CD3BBA" w:rsidRDefault="00CD3BBA" w:rsidP="00FA141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  <w:t>f) Účtovná jednotka neúčtovala o derivátových operáciách</w:t>
      </w:r>
      <w:r>
        <w:rPr>
          <w:sz w:val="24"/>
          <w:szCs w:val="24"/>
        </w:rPr>
        <w:tab/>
      </w:r>
    </w:p>
    <w:p w:rsidR="00CD3BBA" w:rsidRDefault="00CD3BBA" w:rsidP="00FA1418">
      <w:pPr>
        <w:pStyle w:val="Bezriadkovania"/>
        <w:rPr>
          <w:sz w:val="24"/>
          <w:szCs w:val="24"/>
        </w:rPr>
      </w:pPr>
    </w:p>
    <w:p w:rsidR="00CD3BBA" w:rsidRPr="00CD3BBA" w:rsidRDefault="00CD3BBA" w:rsidP="00CD3BBA">
      <w:pPr>
        <w:pStyle w:val="Bezriadkovania"/>
        <w:rPr>
          <w:sz w:val="24"/>
          <w:szCs w:val="24"/>
        </w:rPr>
      </w:pPr>
      <w:r>
        <w:rPr>
          <w:b/>
          <w:i/>
          <w:sz w:val="24"/>
          <w:szCs w:val="24"/>
        </w:rPr>
        <w:t>(3)</w:t>
      </w:r>
      <w:r>
        <w:rPr>
          <w:b/>
          <w:i/>
          <w:sz w:val="24"/>
          <w:szCs w:val="24"/>
        </w:rPr>
        <w:tab/>
      </w:r>
      <w:r w:rsidRPr="00CD3BBA">
        <w:rPr>
          <w:b/>
          <w:i/>
          <w:sz w:val="24"/>
          <w:szCs w:val="24"/>
        </w:rPr>
        <w:t xml:space="preserve"> </w:t>
      </w:r>
      <w:r>
        <w:rPr>
          <w:b/>
          <w:i/>
          <w:sz w:val="24"/>
          <w:szCs w:val="24"/>
        </w:rPr>
        <w:t>Spôsob zostavenia odpisového plánu pre dlhodobý majetok</w:t>
      </w:r>
    </w:p>
    <w:p w:rsidR="00CD3BBA" w:rsidRDefault="00CD3BBA" w:rsidP="00FA1418">
      <w:pPr>
        <w:pStyle w:val="Bezriadkovania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ab/>
      </w:r>
    </w:p>
    <w:tbl>
      <w:tblPr>
        <w:tblW w:w="9098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497"/>
        <w:gridCol w:w="497"/>
        <w:gridCol w:w="497"/>
        <w:gridCol w:w="498"/>
        <w:gridCol w:w="497"/>
        <w:gridCol w:w="327"/>
        <w:gridCol w:w="327"/>
        <w:gridCol w:w="327"/>
        <w:gridCol w:w="327"/>
        <w:gridCol w:w="327"/>
        <w:gridCol w:w="327"/>
        <w:gridCol w:w="327"/>
        <w:gridCol w:w="327"/>
        <w:gridCol w:w="327"/>
        <w:gridCol w:w="290"/>
        <w:gridCol w:w="290"/>
        <w:gridCol w:w="290"/>
        <w:gridCol w:w="290"/>
        <w:gridCol w:w="290"/>
        <w:gridCol w:w="290"/>
        <w:gridCol w:w="290"/>
        <w:gridCol w:w="290"/>
        <w:gridCol w:w="290"/>
        <w:gridCol w:w="228"/>
        <w:gridCol w:w="831"/>
      </w:tblGrid>
      <w:tr w:rsidR="00CD3BBA" w:rsidRPr="00CD3BBA" w:rsidTr="00CD3BBA">
        <w:trPr>
          <w:trHeight w:val="288"/>
        </w:trPr>
        <w:tc>
          <w:tcPr>
            <w:tcW w:w="8039" w:type="dxa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CD3BBA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Spôsob zostavenia odpisového plánu pre jednotlivé druhy dlhodobého majetku</w:t>
            </w:r>
          </w:p>
        </w:tc>
        <w:tc>
          <w:tcPr>
            <w:tcW w:w="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D3BBA" w:rsidRPr="00CD3BBA" w:rsidTr="00CD3BBA">
        <w:trPr>
          <w:trHeight w:val="288"/>
        </w:trPr>
        <w:tc>
          <w:tcPr>
            <w:tcW w:w="5429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D3BBA">
              <w:rPr>
                <w:rFonts w:ascii="Calibri" w:eastAsia="Times New Roman" w:hAnsi="Calibri" w:cs="Times New Roman"/>
                <w:color w:val="000000"/>
                <w:lang w:eastAsia="sk-SK"/>
              </w:rPr>
              <w:t>samostatných hnuteľných vecí je rovnomerným spôsobom</w:t>
            </w: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D3BBA" w:rsidRPr="00CD3BBA" w:rsidTr="00CD3BBA">
        <w:trPr>
          <w:trHeight w:val="288"/>
        </w:trPr>
        <w:tc>
          <w:tcPr>
            <w:tcW w:w="248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D3BBA">
              <w:rPr>
                <w:rFonts w:ascii="Calibri" w:eastAsia="Times New Roman" w:hAnsi="Calibri" w:cs="Times New Roman"/>
                <w:color w:val="000000"/>
                <w:lang w:eastAsia="sk-SK"/>
              </w:rPr>
              <w:t>a) odpisová skupina 1            1/4</w:t>
            </w: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D3BBA" w:rsidRPr="00CD3BBA" w:rsidTr="00CD3BBA">
        <w:trPr>
          <w:trHeight w:val="288"/>
        </w:trPr>
        <w:tc>
          <w:tcPr>
            <w:tcW w:w="248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D3BBA">
              <w:rPr>
                <w:rFonts w:ascii="Calibri" w:eastAsia="Times New Roman" w:hAnsi="Calibri" w:cs="Times New Roman"/>
                <w:color w:val="000000"/>
                <w:lang w:eastAsia="sk-SK"/>
              </w:rPr>
              <w:t>b) odpisová skupina 2            1/6</w:t>
            </w: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D3BBA" w:rsidRPr="00CD3BBA" w:rsidTr="00CD3BBA">
        <w:trPr>
          <w:trHeight w:val="288"/>
        </w:trPr>
        <w:tc>
          <w:tcPr>
            <w:tcW w:w="281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D3BBA">
              <w:rPr>
                <w:rFonts w:ascii="Calibri" w:eastAsia="Times New Roman" w:hAnsi="Calibri" w:cs="Times New Roman"/>
                <w:color w:val="000000"/>
                <w:lang w:eastAsia="sk-SK"/>
              </w:rPr>
              <w:t>c) odpisová skupina 3            1/12</w:t>
            </w: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D3BBA" w:rsidRPr="00CD3BBA" w:rsidTr="00CD3BBA">
        <w:trPr>
          <w:trHeight w:val="288"/>
        </w:trPr>
        <w:tc>
          <w:tcPr>
            <w:tcW w:w="281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D3BBA">
              <w:rPr>
                <w:rFonts w:ascii="Calibri" w:eastAsia="Times New Roman" w:hAnsi="Calibri" w:cs="Times New Roman"/>
                <w:color w:val="000000"/>
                <w:lang w:eastAsia="sk-SK"/>
              </w:rPr>
              <w:t>d) odpisová skupina 4            1/20</w:t>
            </w: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D3BBA" w:rsidRPr="00CD3BBA" w:rsidTr="00CD3BBA">
        <w:trPr>
          <w:trHeight w:val="288"/>
        </w:trPr>
        <w:tc>
          <w:tcPr>
            <w:tcW w:w="4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D3BBA" w:rsidRPr="00CD3BBA" w:rsidTr="00CD3BBA">
        <w:trPr>
          <w:trHeight w:val="288"/>
        </w:trPr>
        <w:tc>
          <w:tcPr>
            <w:tcW w:w="7749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D3BBA">
              <w:rPr>
                <w:rFonts w:ascii="Calibri" w:eastAsia="Times New Roman" w:hAnsi="Calibri" w:cs="Times New Roman"/>
                <w:color w:val="000000"/>
                <w:lang w:eastAsia="sk-SK"/>
              </w:rPr>
              <w:t>Plán na jednotlivé druhy zaradeného majetku sa vypočítava podľa doby zaradenia</w:t>
            </w: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D3BBA" w:rsidRPr="00CD3BBA" w:rsidTr="00CD3BBA">
        <w:trPr>
          <w:trHeight w:val="288"/>
        </w:trPr>
        <w:tc>
          <w:tcPr>
            <w:tcW w:w="6879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CD3BBA">
              <w:rPr>
                <w:rFonts w:ascii="Calibri" w:eastAsia="Times New Roman" w:hAnsi="Calibri" w:cs="Times New Roman"/>
                <w:color w:val="000000"/>
                <w:lang w:eastAsia="sk-SK"/>
              </w:rPr>
              <w:t>tz</w:t>
            </w:r>
            <w:proofErr w:type="spellEnd"/>
            <w:r w:rsidRPr="00CD3BBA">
              <w:rPr>
                <w:rFonts w:ascii="Calibri" w:eastAsia="Times New Roman" w:hAnsi="Calibri" w:cs="Times New Roman"/>
                <w:color w:val="000000"/>
                <w:lang w:eastAsia="sk-SK"/>
              </w:rPr>
              <w:t>. majetok kúpený a zaradený v decembri vstupná cena /48 * 1/prvý rok</w:t>
            </w: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D3BBA" w:rsidRPr="00CD3BBA" w:rsidTr="00CD3BBA">
        <w:trPr>
          <w:trHeight w:val="288"/>
        </w:trPr>
        <w:tc>
          <w:tcPr>
            <w:tcW w:w="4448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D3BB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nasledujúce tri roky 3/4 a posledný rok(5) 11/48 </w:t>
            </w: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D3BBA" w:rsidRPr="00CD3BBA" w:rsidTr="00CD3BBA">
        <w:trPr>
          <w:trHeight w:val="288"/>
        </w:trPr>
        <w:tc>
          <w:tcPr>
            <w:tcW w:w="5102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D3BBA">
              <w:rPr>
                <w:rFonts w:ascii="Calibri" w:eastAsia="Times New Roman" w:hAnsi="Calibri" w:cs="Times New Roman"/>
                <w:color w:val="000000"/>
                <w:lang w:eastAsia="sk-SK"/>
              </w:rPr>
              <w:t>Rovnaká metóda sa týka všetkých odpisových skupín.</w:t>
            </w: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</w:tbl>
    <w:p w:rsidR="00CD3BBA" w:rsidRDefault="00CD3BBA" w:rsidP="00CD3BBA">
      <w:pPr>
        <w:pStyle w:val="Bezriadkovania"/>
        <w:rPr>
          <w:sz w:val="24"/>
          <w:szCs w:val="24"/>
        </w:rPr>
      </w:pPr>
    </w:p>
    <w:p w:rsidR="007B76FE" w:rsidRDefault="007B76FE" w:rsidP="00CD3BBA">
      <w:pPr>
        <w:pStyle w:val="Bezriadkovania"/>
        <w:rPr>
          <w:sz w:val="24"/>
          <w:szCs w:val="24"/>
        </w:rPr>
      </w:pPr>
    </w:p>
    <w:p w:rsidR="007B76FE" w:rsidRDefault="007B76FE" w:rsidP="00CD3BBA">
      <w:pPr>
        <w:pStyle w:val="Bezriadkovania"/>
        <w:rPr>
          <w:sz w:val="24"/>
          <w:szCs w:val="24"/>
        </w:rPr>
      </w:pPr>
    </w:p>
    <w:p w:rsidR="007B76FE" w:rsidRDefault="007B76FE" w:rsidP="00CD3BBA">
      <w:pPr>
        <w:pStyle w:val="Bezriadkovania"/>
        <w:rPr>
          <w:sz w:val="24"/>
          <w:szCs w:val="24"/>
        </w:rPr>
      </w:pPr>
    </w:p>
    <w:p w:rsidR="007B76FE" w:rsidRDefault="007B76FE" w:rsidP="00CD3BBA">
      <w:pPr>
        <w:pStyle w:val="Bezriadkovania"/>
        <w:rPr>
          <w:sz w:val="24"/>
          <w:szCs w:val="24"/>
        </w:rPr>
      </w:pPr>
      <w:r>
        <w:rPr>
          <w:b/>
          <w:i/>
          <w:sz w:val="24"/>
          <w:szCs w:val="24"/>
        </w:rPr>
        <w:lastRenderedPageBreak/>
        <w:t>(4)</w:t>
      </w:r>
      <w:r>
        <w:rPr>
          <w:b/>
          <w:i/>
          <w:sz w:val="24"/>
          <w:szCs w:val="24"/>
        </w:rPr>
        <w:tab/>
        <w:t>Zmeny účtovných zásad</w:t>
      </w:r>
    </w:p>
    <w:p w:rsidR="007B76FE" w:rsidRDefault="007B76FE" w:rsidP="00CD3BBA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  <w:t>Zmeny účtovných zásad a metód v priebehu účtovného obdobia nenastali.</w:t>
      </w:r>
    </w:p>
    <w:p w:rsidR="007B76FE" w:rsidRDefault="007B76FE" w:rsidP="00CD3BBA">
      <w:pPr>
        <w:pStyle w:val="Bezriadkovania"/>
        <w:rPr>
          <w:sz w:val="24"/>
          <w:szCs w:val="24"/>
        </w:rPr>
      </w:pPr>
    </w:p>
    <w:p w:rsidR="007B76FE" w:rsidRDefault="007B76FE" w:rsidP="00CD3BBA">
      <w:pPr>
        <w:pStyle w:val="Bezriadkovania"/>
        <w:rPr>
          <w:sz w:val="24"/>
          <w:szCs w:val="24"/>
        </w:rPr>
      </w:pPr>
      <w:r>
        <w:rPr>
          <w:b/>
          <w:i/>
          <w:sz w:val="24"/>
          <w:szCs w:val="24"/>
        </w:rPr>
        <w:t>(5)</w:t>
      </w:r>
      <w:r>
        <w:rPr>
          <w:b/>
          <w:i/>
          <w:sz w:val="24"/>
          <w:szCs w:val="24"/>
        </w:rPr>
        <w:tab/>
        <w:t>Informácie o dotáciách</w:t>
      </w:r>
    </w:p>
    <w:p w:rsidR="007B76FE" w:rsidRDefault="007B76FE" w:rsidP="00CD3BBA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  <w:t>O dotáciách sa neúčtovalo.</w:t>
      </w:r>
    </w:p>
    <w:p w:rsidR="0036692B" w:rsidRDefault="0036692B" w:rsidP="00CD3BBA">
      <w:pPr>
        <w:pStyle w:val="Bezriadkovania"/>
        <w:rPr>
          <w:sz w:val="24"/>
          <w:szCs w:val="24"/>
        </w:rPr>
      </w:pPr>
    </w:p>
    <w:p w:rsidR="0036692B" w:rsidRDefault="0036692B" w:rsidP="00CD3BBA">
      <w:pPr>
        <w:pStyle w:val="Bezriadkovania"/>
        <w:rPr>
          <w:sz w:val="24"/>
          <w:szCs w:val="24"/>
        </w:rPr>
      </w:pPr>
      <w:r>
        <w:rPr>
          <w:b/>
          <w:i/>
          <w:sz w:val="24"/>
          <w:szCs w:val="24"/>
        </w:rPr>
        <w:t>(6)</w:t>
      </w:r>
      <w:r>
        <w:rPr>
          <w:b/>
          <w:i/>
          <w:sz w:val="24"/>
          <w:szCs w:val="24"/>
        </w:rPr>
        <w:tab/>
        <w:t>Opravy významných chýb minulých účtovných období</w:t>
      </w:r>
    </w:p>
    <w:p w:rsidR="0036692B" w:rsidRDefault="0036692B" w:rsidP="00CD3BBA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  <w:t>V bežnom účtovnom období sa neúčtovali opravy chýb minulých období.</w:t>
      </w:r>
    </w:p>
    <w:p w:rsidR="0036692B" w:rsidRDefault="0036692B" w:rsidP="00CD3BBA">
      <w:pPr>
        <w:pStyle w:val="Bezriadkovania"/>
        <w:rPr>
          <w:sz w:val="24"/>
          <w:szCs w:val="24"/>
        </w:rPr>
      </w:pPr>
    </w:p>
    <w:p w:rsidR="0036692B" w:rsidRDefault="0036692B" w:rsidP="00CD3BBA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</w:r>
    </w:p>
    <w:p w:rsidR="0036692B" w:rsidRDefault="0036692B" w:rsidP="00CD3BBA">
      <w:pPr>
        <w:pStyle w:val="Bezriadkovania"/>
        <w:rPr>
          <w:b/>
          <w:i/>
          <w:sz w:val="24"/>
          <w:szCs w:val="24"/>
        </w:rPr>
      </w:pPr>
      <w:r>
        <w:rPr>
          <w:sz w:val="24"/>
          <w:szCs w:val="24"/>
        </w:rPr>
        <w:tab/>
      </w:r>
      <w:r w:rsidRPr="0036692B">
        <w:rPr>
          <w:b/>
          <w:i/>
          <w:sz w:val="24"/>
          <w:szCs w:val="24"/>
        </w:rPr>
        <w:t>Článok III.</w:t>
      </w:r>
    </w:p>
    <w:p w:rsidR="0036692B" w:rsidRDefault="0036692B" w:rsidP="00CD3BBA">
      <w:pPr>
        <w:pStyle w:val="Bezriadkovania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ab/>
        <w:t>Informácie, ktoré vysvetľujú a dopĺňajú súvahu a výkaz ziskov a strát</w:t>
      </w:r>
    </w:p>
    <w:p w:rsidR="0036692B" w:rsidRDefault="00CA7691" w:rsidP="00CD3BBA">
      <w:pPr>
        <w:pStyle w:val="Bezriadkovania"/>
        <w:rPr>
          <w:sz w:val="24"/>
          <w:szCs w:val="24"/>
        </w:rPr>
      </w:pPr>
      <w:r>
        <w:rPr>
          <w:b/>
          <w:i/>
          <w:sz w:val="24"/>
          <w:szCs w:val="24"/>
        </w:rPr>
        <w:t>(1)</w:t>
      </w:r>
      <w:r>
        <w:rPr>
          <w:b/>
          <w:i/>
          <w:sz w:val="24"/>
          <w:szCs w:val="24"/>
        </w:rPr>
        <w:tab/>
      </w:r>
      <w:r>
        <w:rPr>
          <w:sz w:val="24"/>
          <w:szCs w:val="24"/>
        </w:rPr>
        <w:t>tieto účtovné prípady sa v bežnom účtovnom období nevyskytli</w:t>
      </w:r>
    </w:p>
    <w:p w:rsidR="00CA7691" w:rsidRDefault="00CA7691" w:rsidP="00CD3BBA">
      <w:pPr>
        <w:pStyle w:val="Bezriadkovania"/>
        <w:rPr>
          <w:sz w:val="24"/>
          <w:szCs w:val="24"/>
        </w:rPr>
      </w:pPr>
    </w:p>
    <w:p w:rsidR="00CA7691" w:rsidRDefault="00CA7691" w:rsidP="00CD3BBA">
      <w:pPr>
        <w:pStyle w:val="Bezriadkovania"/>
        <w:rPr>
          <w:sz w:val="24"/>
          <w:szCs w:val="24"/>
        </w:rPr>
      </w:pPr>
      <w:r>
        <w:rPr>
          <w:b/>
          <w:i/>
          <w:sz w:val="24"/>
          <w:szCs w:val="24"/>
        </w:rPr>
        <w:t>(2)</w:t>
      </w:r>
      <w:r>
        <w:rPr>
          <w:b/>
          <w:i/>
          <w:sz w:val="24"/>
          <w:szCs w:val="24"/>
        </w:rPr>
        <w:tab/>
        <w:t>Informácie o záväzkoch</w:t>
      </w:r>
    </w:p>
    <w:p w:rsidR="00CA7691" w:rsidRDefault="00CA7691" w:rsidP="00CD3BBA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  <w:t>Účtovná jednotka neeviduje záväzky s dobou splatnosti dlhšou ako päť rokov.</w:t>
      </w:r>
    </w:p>
    <w:p w:rsidR="00CA7691" w:rsidRDefault="00CA7691" w:rsidP="00CD3BBA">
      <w:pPr>
        <w:pStyle w:val="Bezriadkovania"/>
        <w:rPr>
          <w:sz w:val="24"/>
          <w:szCs w:val="24"/>
        </w:rPr>
      </w:pPr>
    </w:p>
    <w:p w:rsidR="00CA7691" w:rsidRDefault="00CA7691" w:rsidP="00CD3BBA">
      <w:pPr>
        <w:pStyle w:val="Bezriadkovania"/>
        <w:rPr>
          <w:sz w:val="24"/>
          <w:szCs w:val="24"/>
        </w:rPr>
      </w:pPr>
      <w:r>
        <w:rPr>
          <w:b/>
          <w:i/>
          <w:sz w:val="24"/>
          <w:szCs w:val="24"/>
        </w:rPr>
        <w:t>(3)</w:t>
      </w:r>
      <w:r>
        <w:rPr>
          <w:b/>
          <w:i/>
          <w:sz w:val="24"/>
          <w:szCs w:val="24"/>
        </w:rPr>
        <w:tab/>
        <w:t>Informácie o vlastných akciách</w:t>
      </w:r>
    </w:p>
    <w:p w:rsidR="00CA7691" w:rsidRDefault="00CA7691" w:rsidP="00CD3BBA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  <w:t>Účtovná jednotka nevlastní žiadne akcie.</w:t>
      </w:r>
    </w:p>
    <w:p w:rsidR="00CA7691" w:rsidRDefault="00CA7691" w:rsidP="00CD3BBA">
      <w:pPr>
        <w:pStyle w:val="Bezriadkovania"/>
        <w:rPr>
          <w:sz w:val="24"/>
          <w:szCs w:val="24"/>
        </w:rPr>
      </w:pPr>
    </w:p>
    <w:p w:rsidR="00CA7691" w:rsidRDefault="0039170E" w:rsidP="00CD3BBA">
      <w:pPr>
        <w:pStyle w:val="Bezriadkovania"/>
        <w:rPr>
          <w:sz w:val="24"/>
          <w:szCs w:val="24"/>
        </w:rPr>
      </w:pPr>
      <w:r>
        <w:rPr>
          <w:b/>
          <w:i/>
          <w:sz w:val="24"/>
          <w:szCs w:val="24"/>
        </w:rPr>
        <w:t>(4)</w:t>
      </w:r>
      <w:r>
        <w:rPr>
          <w:b/>
          <w:i/>
          <w:sz w:val="24"/>
          <w:szCs w:val="24"/>
        </w:rPr>
        <w:tab/>
        <w:t>Informácie o orgánoch účtovnej jednotky</w:t>
      </w:r>
    </w:p>
    <w:p w:rsidR="0039170E" w:rsidRDefault="0039170E" w:rsidP="00CD3BBA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  <w:t>tieto účtovné prípady sa v bežnom účtovnom období nevyskytli</w:t>
      </w:r>
    </w:p>
    <w:p w:rsidR="0039170E" w:rsidRDefault="0039170E" w:rsidP="00CD3BBA">
      <w:pPr>
        <w:pStyle w:val="Bezriadkovania"/>
        <w:rPr>
          <w:sz w:val="24"/>
          <w:szCs w:val="24"/>
        </w:rPr>
      </w:pPr>
    </w:p>
    <w:p w:rsidR="0039170E" w:rsidRDefault="0039170E" w:rsidP="00CD3BBA">
      <w:pPr>
        <w:pStyle w:val="Bezriadkovania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(5)</w:t>
      </w:r>
      <w:r>
        <w:rPr>
          <w:b/>
          <w:i/>
          <w:sz w:val="24"/>
          <w:szCs w:val="24"/>
        </w:rPr>
        <w:tab/>
        <w:t>Informácie o povinnostiach účtovnej jednotky</w:t>
      </w:r>
    </w:p>
    <w:p w:rsidR="0039170E" w:rsidRPr="0039170E" w:rsidRDefault="0039170E" w:rsidP="00CD3BBA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  <w:t>tieto účtovné prípady sa v bežnom účtovnom období nevyskytli</w:t>
      </w:r>
    </w:p>
    <w:sectPr w:rsidR="0039170E" w:rsidRPr="0039170E" w:rsidSect="005602F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95"/>
  <w:proofState w:spelling="clean" w:grammar="clean"/>
  <w:defaultTabStop w:val="708"/>
  <w:hyphenationZone w:val="425"/>
  <w:characterSpacingControl w:val="doNotCompress"/>
  <w:compat/>
  <w:rsids>
    <w:rsidRoot w:val="00FA1418"/>
    <w:rsid w:val="0036692B"/>
    <w:rsid w:val="0039170E"/>
    <w:rsid w:val="005602FA"/>
    <w:rsid w:val="00742387"/>
    <w:rsid w:val="007B76FE"/>
    <w:rsid w:val="00854C15"/>
    <w:rsid w:val="00CA7691"/>
    <w:rsid w:val="00CD3BBA"/>
    <w:rsid w:val="00DB5D04"/>
    <w:rsid w:val="00FA14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602F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FA1418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7064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202</TotalTime>
  <Pages>1</Pages>
  <Words>374</Words>
  <Characters>2134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Valued Acer Customer</dc:creator>
  <cp:keywords/>
  <dc:description/>
  <cp:lastModifiedBy>Valued Acer Customer</cp:lastModifiedBy>
  <cp:revision>2</cp:revision>
  <dcterms:created xsi:type="dcterms:W3CDTF">2015-07-09T13:49:00Z</dcterms:created>
  <dcterms:modified xsi:type="dcterms:W3CDTF">2015-07-09T17:11:00Z</dcterms:modified>
</cp:coreProperties>
</file>