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1E7C" w:rsidRDefault="00AD1E7C" w:rsidP="00AD1E7C">
      <w:pPr>
        <w:pStyle w:val="Default"/>
      </w:pPr>
    </w:p>
    <w:p w:rsidR="00AD1E7C" w:rsidRPr="00486B02" w:rsidRDefault="00AD1E7C" w:rsidP="00AD1E7C">
      <w:pPr>
        <w:pStyle w:val="Default"/>
        <w:rPr>
          <w:rFonts w:ascii="Arial" w:hAnsi="Arial" w:cs="Arial"/>
        </w:rPr>
      </w:pPr>
      <w:r>
        <w:t xml:space="preserve"> </w:t>
      </w:r>
      <w:r w:rsidRPr="00486B02">
        <w:rPr>
          <w:rFonts w:ascii="Arial" w:hAnsi="Arial" w:cs="Arial"/>
        </w:rPr>
        <w:t xml:space="preserve">Poznámky </w:t>
      </w:r>
      <w:proofErr w:type="spellStart"/>
      <w:r w:rsidRPr="00486B02">
        <w:rPr>
          <w:rFonts w:ascii="Arial" w:hAnsi="Arial" w:cs="Arial"/>
        </w:rPr>
        <w:t>Úč</w:t>
      </w:r>
      <w:proofErr w:type="spellEnd"/>
      <w:r w:rsidRPr="00486B02">
        <w:rPr>
          <w:rFonts w:ascii="Arial" w:hAnsi="Arial" w:cs="Arial"/>
        </w:rPr>
        <w:t xml:space="preserve"> MÚJ 3 </w:t>
      </w:r>
      <w:r w:rsidR="00137D6C" w:rsidRPr="00486B02">
        <w:rPr>
          <w:rFonts w:ascii="Arial" w:hAnsi="Arial" w:cs="Arial"/>
        </w:rPr>
        <w:t>–</w:t>
      </w:r>
      <w:r w:rsidRPr="00486B02">
        <w:rPr>
          <w:rFonts w:ascii="Arial" w:hAnsi="Arial" w:cs="Arial"/>
        </w:rPr>
        <w:t xml:space="preserve"> 01</w:t>
      </w:r>
      <w:r w:rsidR="00137D6C" w:rsidRPr="00486B02">
        <w:rPr>
          <w:rFonts w:ascii="Arial" w:hAnsi="Arial" w:cs="Arial"/>
        </w:rPr>
        <w:tab/>
      </w:r>
      <w:r w:rsidRPr="00486B02">
        <w:rPr>
          <w:rFonts w:ascii="Arial" w:hAnsi="Arial" w:cs="Arial"/>
        </w:rPr>
        <w:t xml:space="preserve"> IČO</w:t>
      </w:r>
      <w:r w:rsidR="00486B02">
        <w:rPr>
          <w:rFonts w:ascii="Arial" w:hAnsi="Arial" w:cs="Arial"/>
        </w:rPr>
        <w:t>: 36 477 893</w:t>
      </w:r>
      <w:r w:rsidRPr="00486B02">
        <w:rPr>
          <w:rFonts w:ascii="Arial" w:hAnsi="Arial" w:cs="Arial"/>
        </w:rPr>
        <w:t xml:space="preserve">      DIČ</w:t>
      </w:r>
      <w:r w:rsidR="00486B02">
        <w:rPr>
          <w:rFonts w:ascii="Arial" w:hAnsi="Arial" w:cs="Arial"/>
        </w:rPr>
        <w:t>: 2020025469</w:t>
      </w:r>
      <w:r w:rsidRPr="00486B02">
        <w:rPr>
          <w:rFonts w:ascii="Arial" w:hAnsi="Arial" w:cs="Arial"/>
        </w:rPr>
        <w:t xml:space="preserve"> </w:t>
      </w: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 </w:t>
      </w:r>
      <w:r w:rsidRPr="00486B02">
        <w:rPr>
          <w:rFonts w:ascii="Arial" w:hAnsi="Arial" w:cs="Arial"/>
          <w:b/>
          <w:bCs/>
          <w:color w:val="auto"/>
        </w:rPr>
        <w:t xml:space="preserve">Čl. I </w:t>
      </w: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b/>
          <w:bCs/>
          <w:color w:val="auto"/>
        </w:rPr>
        <w:t xml:space="preserve">Všeobecné údaje </w:t>
      </w:r>
    </w:p>
    <w:p w:rsidR="00AD1E7C" w:rsidRPr="00486B02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Názov právnickej osoby a jej sídlo</w:t>
      </w:r>
      <w:r w:rsidR="00486B02">
        <w:rPr>
          <w:rFonts w:ascii="Arial" w:hAnsi="Arial" w:cs="Arial"/>
          <w:color w:val="auto"/>
        </w:rPr>
        <w:t>:</w:t>
      </w:r>
      <w:r w:rsidRPr="00486B02">
        <w:rPr>
          <w:rFonts w:ascii="Arial" w:hAnsi="Arial" w:cs="Arial"/>
          <w:color w:val="auto"/>
        </w:rPr>
        <w:t xml:space="preserve"> </w:t>
      </w:r>
    </w:p>
    <w:p w:rsidR="00AD1E7C" w:rsidRPr="00486B02" w:rsidRDefault="00486B02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SEDOT</w:t>
      </w:r>
      <w:r w:rsidR="00AD1E7C" w:rsidRPr="00486B02">
        <w:rPr>
          <w:rFonts w:ascii="Arial" w:hAnsi="Arial" w:cs="Arial"/>
          <w:color w:val="auto"/>
        </w:rPr>
        <w:t xml:space="preserve"> s.r.o.</w:t>
      </w:r>
    </w:p>
    <w:p w:rsidR="00AD1E7C" w:rsidRPr="00486B02" w:rsidRDefault="00486B02" w:rsidP="00AD1E7C">
      <w:pPr>
        <w:pStyle w:val="Default"/>
        <w:ind w:left="720"/>
        <w:rPr>
          <w:rFonts w:ascii="Arial" w:hAnsi="Arial" w:cs="Arial"/>
          <w:color w:val="auto"/>
        </w:rPr>
      </w:pPr>
      <w:proofErr w:type="spellStart"/>
      <w:r>
        <w:rPr>
          <w:rFonts w:ascii="Arial" w:hAnsi="Arial" w:cs="Arial"/>
          <w:color w:val="auto"/>
        </w:rPr>
        <w:t>Duchnovičova</w:t>
      </w:r>
      <w:proofErr w:type="spellEnd"/>
      <w:r>
        <w:rPr>
          <w:rFonts w:ascii="Arial" w:hAnsi="Arial" w:cs="Arial"/>
          <w:color w:val="auto"/>
        </w:rPr>
        <w:t xml:space="preserve"> 2259/3</w:t>
      </w:r>
    </w:p>
    <w:p w:rsidR="00AD1E7C" w:rsidRPr="00486B02" w:rsidRDefault="00486B02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069 01 Snina</w:t>
      </w: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486B02" w:rsidRDefault="00AD1E7C" w:rsidP="00AD1E7C">
      <w:pPr>
        <w:pStyle w:val="Default"/>
        <w:numPr>
          <w:ilvl w:val="0"/>
          <w:numId w:val="1"/>
        </w:numPr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Údaje o konsolidovanom celku, a to </w:t>
      </w:r>
    </w:p>
    <w:p w:rsidR="00AD1E7C" w:rsidRPr="00486B02" w:rsidRDefault="00AD1E7C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Spoločnosť nie je súčasťou konsolidovaného celku</w:t>
      </w: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486B02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Priemerný prepočítaný počet zamestnancov. </w:t>
      </w:r>
    </w:p>
    <w:p w:rsidR="00AD1E7C" w:rsidRPr="00486B02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Spoločnosť zamestnáva 1 zamestnanca</w:t>
      </w: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b/>
          <w:bCs/>
          <w:color w:val="auto"/>
        </w:rPr>
        <w:t xml:space="preserve">Čl. II </w:t>
      </w: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b/>
          <w:bCs/>
          <w:color w:val="auto"/>
        </w:rPr>
        <w:t xml:space="preserve">Informácie o prijatých postupoch </w:t>
      </w:r>
    </w:p>
    <w:p w:rsidR="00AD1E7C" w:rsidRPr="00486B02" w:rsidRDefault="00AD1E7C" w:rsidP="00AD1E7C">
      <w:pPr>
        <w:pStyle w:val="Default"/>
        <w:numPr>
          <w:ilvl w:val="0"/>
          <w:numId w:val="2"/>
        </w:numPr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Informácia, či je účtovná závierka zostavená za splnenia predpokladu, že účtovná jednotka bude nepretržite pokračovať vo svojej činnosti. </w:t>
      </w:r>
    </w:p>
    <w:p w:rsidR="00AD1E7C" w:rsidRPr="00486B02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Spoločnosť nepretržite pokračovala vo svojej činnosti od 01.01.2014 do</w:t>
      </w:r>
      <w:r w:rsidR="00486B02">
        <w:rPr>
          <w:rFonts w:ascii="Arial" w:hAnsi="Arial" w:cs="Arial"/>
          <w:color w:val="auto"/>
        </w:rPr>
        <w:t xml:space="preserve"> </w:t>
      </w:r>
      <w:r w:rsidRPr="00486B02">
        <w:rPr>
          <w:rFonts w:ascii="Arial" w:hAnsi="Arial" w:cs="Arial"/>
          <w:color w:val="auto"/>
        </w:rPr>
        <w:t>31.12.2014.</w:t>
      </w: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486B02" w:rsidRDefault="00AD1E7C" w:rsidP="00AD1E7C">
      <w:pPr>
        <w:pStyle w:val="Default"/>
        <w:numPr>
          <w:ilvl w:val="0"/>
          <w:numId w:val="2"/>
        </w:numPr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Spôsob oceňovania jednotlivých položiek majetku a záväzkov, a to </w:t>
      </w:r>
    </w:p>
    <w:p w:rsidR="00AD1E7C" w:rsidRPr="00486B02" w:rsidRDefault="00A82AB0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- ku dňu uskutočnenia účtovného prípadu.</w:t>
      </w:r>
    </w:p>
    <w:p w:rsidR="00A82AB0" w:rsidRPr="00486B02" w:rsidRDefault="00A82AB0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Ku dňu uskutočnenia účtovného prípadu oceňovala účtovná jednotka majetok a záväzky obstarávacou cenou </w:t>
      </w:r>
    </w:p>
    <w:p w:rsidR="00AD1E7C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a) dlhodobého nehmotného majetku, dlhodobého hmotného majetku a dlhodobého finančné</w:t>
      </w:r>
      <w:r w:rsidR="00A82AB0" w:rsidRPr="00486B02">
        <w:rPr>
          <w:rFonts w:ascii="Arial" w:hAnsi="Arial" w:cs="Arial"/>
          <w:color w:val="auto"/>
        </w:rPr>
        <w:t>ho majetku obstaraný  kúpou</w:t>
      </w:r>
    </w:p>
    <w:p w:rsidR="00AD1E7C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b) zásob</w:t>
      </w:r>
      <w:r w:rsidR="00A82AB0" w:rsidRPr="00486B02">
        <w:rPr>
          <w:rFonts w:ascii="Arial" w:hAnsi="Arial" w:cs="Arial"/>
          <w:color w:val="auto"/>
        </w:rPr>
        <w:t>y</w:t>
      </w:r>
      <w:r w:rsidRPr="00486B02">
        <w:rPr>
          <w:rFonts w:ascii="Arial" w:hAnsi="Arial" w:cs="Arial"/>
          <w:color w:val="auto"/>
        </w:rPr>
        <w:t xml:space="preserve"> obstaran</w:t>
      </w:r>
      <w:r w:rsidR="00A82AB0" w:rsidRPr="00486B02">
        <w:rPr>
          <w:rFonts w:ascii="Arial" w:hAnsi="Arial" w:cs="Arial"/>
          <w:color w:val="auto"/>
        </w:rPr>
        <w:t>é</w:t>
      </w:r>
      <w:r w:rsidRPr="00486B02">
        <w:rPr>
          <w:rFonts w:ascii="Arial" w:hAnsi="Arial" w:cs="Arial"/>
          <w:color w:val="auto"/>
        </w:rPr>
        <w:t xml:space="preserve"> kú</w:t>
      </w:r>
      <w:r w:rsidR="00A82AB0" w:rsidRPr="00486B02">
        <w:rPr>
          <w:rFonts w:ascii="Arial" w:hAnsi="Arial" w:cs="Arial"/>
          <w:color w:val="auto"/>
        </w:rPr>
        <w:t>pou</w:t>
      </w:r>
      <w:r w:rsidRPr="00486B02">
        <w:rPr>
          <w:rFonts w:ascii="Arial" w:hAnsi="Arial" w:cs="Arial"/>
          <w:color w:val="auto"/>
        </w:rPr>
        <w:t xml:space="preserve"> </w:t>
      </w:r>
    </w:p>
    <w:p w:rsidR="00AD1E7C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c) pohľadá</w:t>
      </w:r>
      <w:r w:rsidR="00A82AB0" w:rsidRPr="00486B02">
        <w:rPr>
          <w:rFonts w:ascii="Arial" w:hAnsi="Arial" w:cs="Arial"/>
          <w:color w:val="auto"/>
        </w:rPr>
        <w:t>vky pri odplatnom nadobudnutí</w:t>
      </w:r>
      <w:r w:rsidRPr="00486B02">
        <w:rPr>
          <w:rFonts w:ascii="Arial" w:hAnsi="Arial" w:cs="Arial"/>
          <w:color w:val="auto"/>
        </w:rPr>
        <w:t xml:space="preserve"> </w:t>
      </w:r>
    </w:p>
    <w:p w:rsidR="00AD1E7C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d) krátkodobého finančného majetku, </w:t>
      </w:r>
    </w:p>
    <w:p w:rsidR="00AD1E7C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e) záväzk</w:t>
      </w:r>
      <w:r w:rsidR="00A82AB0" w:rsidRPr="00486B02">
        <w:rPr>
          <w:rFonts w:ascii="Arial" w:hAnsi="Arial" w:cs="Arial"/>
          <w:color w:val="auto"/>
        </w:rPr>
        <w:t>y pri ich prevzatí</w:t>
      </w:r>
      <w:r w:rsidRPr="00486B02">
        <w:rPr>
          <w:rFonts w:ascii="Arial" w:hAnsi="Arial" w:cs="Arial"/>
          <w:color w:val="auto"/>
        </w:rPr>
        <w:t xml:space="preserve"> </w:t>
      </w:r>
    </w:p>
    <w:p w:rsidR="00AD1E7C" w:rsidRPr="00486B02" w:rsidRDefault="00A82AB0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f) krátkodobý finančný majetok obstaraný kúpou.</w:t>
      </w:r>
    </w:p>
    <w:p w:rsidR="00A82AB0" w:rsidRPr="00486B02" w:rsidRDefault="00A82AB0" w:rsidP="00AD1E7C">
      <w:pPr>
        <w:pStyle w:val="Default"/>
        <w:rPr>
          <w:rFonts w:ascii="Arial" w:hAnsi="Arial" w:cs="Arial"/>
          <w:color w:val="auto"/>
        </w:rPr>
      </w:pPr>
    </w:p>
    <w:p w:rsidR="00A82AB0" w:rsidRPr="00486B02" w:rsidRDefault="00A82AB0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Obstarávacia cena je cena, za ktorú sa majetok obstaral a náklady súvisiace s jeho obstaraním.</w:t>
      </w:r>
    </w:p>
    <w:p w:rsidR="00A82AB0" w:rsidRPr="00486B02" w:rsidRDefault="00A82AB0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Vyskytujúce sa náklady súvisiace s obstaraním v účtovnej jednotke:</w:t>
      </w:r>
    </w:p>
    <w:p w:rsidR="00A82AB0" w:rsidRPr="00486B02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Provízia</w:t>
      </w:r>
    </w:p>
    <w:p w:rsidR="00A82AB0" w:rsidRPr="00486B02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Dopravné</w:t>
      </w:r>
    </w:p>
    <w:p w:rsidR="00A82AB0" w:rsidRPr="00486B02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Poistné</w:t>
      </w:r>
    </w:p>
    <w:p w:rsidR="00A82AB0" w:rsidRPr="00486B02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iné</w:t>
      </w: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(3) Spôsob zostavenia odpisového plánu pre jednotlivé druhy dlhodobého hmotného majetku a dlhodobého nehmotného majetku, pričom sa uvádza doba odpisovania, použité sadzby odpisov a odpisové metódy pri určení</w:t>
      </w:r>
      <w:r w:rsidR="00A82AB0" w:rsidRPr="00486B02">
        <w:rPr>
          <w:rFonts w:ascii="Arial" w:hAnsi="Arial" w:cs="Arial"/>
          <w:color w:val="auto"/>
        </w:rPr>
        <w:t xml:space="preserve"> odpisov. </w:t>
      </w:r>
    </w:p>
    <w:p w:rsidR="00DA1E31" w:rsidRPr="00486B02" w:rsidRDefault="00DA1E31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Nehmotný majetok, ktoré ocenenie je nižšie ako 2400,00 EUR  sa účtuje na ťarchu účtu 518 – ostatné služby.</w:t>
      </w:r>
    </w:p>
    <w:p w:rsidR="00DA1E31" w:rsidRPr="00486B02" w:rsidRDefault="00DA1E31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Hmotný majetok do sumy 1700,00 účtuje priamo do nákladov na ťarchu účtu 501 – spotreba materiálu.</w:t>
      </w:r>
    </w:p>
    <w:p w:rsidR="00DA1E31" w:rsidRPr="00486B02" w:rsidRDefault="00DA1E31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Hmotný majetok, ktorého ocenenie je vyššie, zaradila účtovná jednotka do dlhodobého hmotného majetku.</w:t>
      </w:r>
    </w:p>
    <w:p w:rsidR="00DA1E31" w:rsidRPr="00486B02" w:rsidRDefault="00DA1E31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Účtovná jednotka zostavila pre bežné účtovné obdobie </w:t>
      </w:r>
      <w:r w:rsidR="00FF1B0E" w:rsidRPr="00486B02">
        <w:rPr>
          <w:rFonts w:ascii="Arial" w:hAnsi="Arial" w:cs="Arial"/>
          <w:color w:val="auto"/>
        </w:rPr>
        <w:t>odpisový plán pre dlhodobý majetok – rovnomerný odpisový plán.</w:t>
      </w:r>
    </w:p>
    <w:p w:rsidR="00FF1B0E" w:rsidRPr="00486B02" w:rsidRDefault="00FF1B0E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Účtovná jednotka určila, že daňové odpisy sa rovnajú účtovným.</w:t>
      </w:r>
    </w:p>
    <w:p w:rsidR="00FF1B0E" w:rsidRPr="00486B02" w:rsidRDefault="00FF1B0E" w:rsidP="00AD1E7C">
      <w:pPr>
        <w:pStyle w:val="Default"/>
        <w:rPr>
          <w:rFonts w:ascii="Arial" w:hAnsi="Arial" w:cs="Arial"/>
          <w:color w:val="auto"/>
        </w:rPr>
      </w:pPr>
    </w:p>
    <w:p w:rsidR="00AD1E7C" w:rsidRPr="00486B02" w:rsidRDefault="00AD1E7C" w:rsidP="00AD1E7C">
      <w:pPr>
        <w:pStyle w:val="Default"/>
        <w:pageBreakBefore/>
        <w:rPr>
          <w:rFonts w:ascii="Arial" w:hAnsi="Arial" w:cs="Arial"/>
          <w:color w:val="auto"/>
        </w:rPr>
      </w:pPr>
    </w:p>
    <w:p w:rsidR="00AD1E7C" w:rsidRPr="00486B02" w:rsidRDefault="00AD1E7C" w:rsidP="00FF1B0E">
      <w:pPr>
        <w:pStyle w:val="Default"/>
        <w:numPr>
          <w:ilvl w:val="0"/>
          <w:numId w:val="2"/>
        </w:numPr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F1B0E" w:rsidRPr="00486B02" w:rsidRDefault="00FF1B0E" w:rsidP="00FF1B0E">
      <w:pPr>
        <w:pStyle w:val="Default"/>
        <w:ind w:left="720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Účtovná jednotka v bežnom účtovnom období nevykonala žiadne zmeny účtovných zásad a účtovných metód.</w:t>
      </w: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(5) Informácie o dotáciách a ich oceňovanie v účtovníctve. </w:t>
      </w:r>
    </w:p>
    <w:p w:rsidR="00FF1B0E" w:rsidRPr="00486B02" w:rsidRDefault="00FF1B0E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 Účtovná jednotka v bežnom účtovnom období neúčtovala  a nedostala žiadne dotácie.</w:t>
      </w:r>
      <w:r w:rsidRPr="00486B02">
        <w:rPr>
          <w:rFonts w:ascii="Arial" w:hAnsi="Arial" w:cs="Arial"/>
          <w:color w:val="auto"/>
        </w:rPr>
        <w:tab/>
      </w: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F1B0E" w:rsidRPr="00486B02" w:rsidRDefault="00FF1B0E" w:rsidP="00FF1B0E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Účtovná jednotka v bežnom účtovnom období neúčtovala  žiadne opravy chýb minulých účtovných období.</w:t>
      </w:r>
      <w:r w:rsidRPr="00486B02">
        <w:rPr>
          <w:rFonts w:ascii="Arial" w:hAnsi="Arial" w:cs="Arial"/>
          <w:color w:val="auto"/>
        </w:rPr>
        <w:tab/>
      </w:r>
    </w:p>
    <w:p w:rsidR="00FF1B0E" w:rsidRPr="00486B02" w:rsidRDefault="00FF1B0E" w:rsidP="00AD1E7C">
      <w:pPr>
        <w:pStyle w:val="Default"/>
        <w:rPr>
          <w:rFonts w:ascii="Arial" w:hAnsi="Arial" w:cs="Arial"/>
          <w:color w:val="auto"/>
        </w:rPr>
      </w:pP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b/>
          <w:bCs/>
          <w:color w:val="auto"/>
        </w:rPr>
        <w:t xml:space="preserve">Čl. III </w:t>
      </w: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b/>
          <w:bCs/>
          <w:color w:val="auto"/>
        </w:rPr>
        <w:t xml:space="preserve">Informácie, ktoré vysvetľujú a dopĺňajú súvahu a výkaz ziskov a strát </w:t>
      </w: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F1B0E" w:rsidRPr="00486B02" w:rsidRDefault="00FF1B0E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Účtovná jednotka v bežnom účtovnom období neúčtovala  jednotlivé položky nákladov alebo výnosov, ktoré majú výnimočný rozsah. </w:t>
      </w:r>
    </w:p>
    <w:p w:rsidR="00AD1E7C" w:rsidRPr="00486B02" w:rsidRDefault="00FF1B0E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.</w:t>
      </w:r>
    </w:p>
    <w:p w:rsidR="00AD1E7C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(2) Informácie o záväzkoch, a to </w:t>
      </w:r>
    </w:p>
    <w:p w:rsidR="00AD1E7C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a) celkovej sume záväzkov so zostatkovou dobou splatnosti dlhšou ako päť rokov, </w:t>
      </w: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b) celkovej sume zabezpečených záväzkov, opis a spôsoby zabezpečenia záväzkov. </w:t>
      </w:r>
    </w:p>
    <w:p w:rsidR="00FF1B0E" w:rsidRPr="00486B02" w:rsidRDefault="00FF1B0E" w:rsidP="00AD1E7C">
      <w:pPr>
        <w:pStyle w:val="Default"/>
        <w:rPr>
          <w:rFonts w:ascii="Arial" w:hAnsi="Arial" w:cs="Arial"/>
          <w:color w:val="auto"/>
        </w:rPr>
      </w:pPr>
    </w:p>
    <w:p w:rsidR="00900BAD" w:rsidRPr="00486B02" w:rsidRDefault="00900BAD" w:rsidP="00900BAD">
      <w:pPr>
        <w:pStyle w:val="Default"/>
        <w:rPr>
          <w:rFonts w:ascii="Arial" w:hAnsi="Arial" w:cs="Arial"/>
          <w:color w:val="auto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74"/>
        <w:gridCol w:w="3375"/>
        <w:gridCol w:w="3739"/>
      </w:tblGrid>
      <w:tr w:rsidR="00900BAD" w:rsidRPr="00486B02" w:rsidTr="00C0440A">
        <w:tc>
          <w:tcPr>
            <w:tcW w:w="3470" w:type="dxa"/>
          </w:tcPr>
          <w:p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486B02">
              <w:rPr>
                <w:rFonts w:ascii="Arial" w:hAnsi="Arial" w:cs="Arial"/>
                <w:color w:val="auto"/>
              </w:rPr>
              <w:t>Názov položky</w:t>
            </w:r>
          </w:p>
        </w:tc>
        <w:tc>
          <w:tcPr>
            <w:tcW w:w="3471" w:type="dxa"/>
          </w:tcPr>
          <w:p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486B02">
              <w:rPr>
                <w:rFonts w:ascii="Arial" w:hAnsi="Arial" w:cs="Arial"/>
                <w:color w:val="auto"/>
              </w:rPr>
              <w:t xml:space="preserve">Bežné </w:t>
            </w:r>
            <w:proofErr w:type="spellStart"/>
            <w:r w:rsidRPr="00486B02">
              <w:rPr>
                <w:rFonts w:ascii="Arial" w:hAnsi="Arial" w:cs="Arial"/>
                <w:color w:val="auto"/>
              </w:rPr>
              <w:t>účt.obdobie</w:t>
            </w:r>
            <w:proofErr w:type="spellEnd"/>
          </w:p>
        </w:tc>
        <w:tc>
          <w:tcPr>
            <w:tcW w:w="3471" w:type="dxa"/>
          </w:tcPr>
          <w:p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proofErr w:type="spellStart"/>
            <w:r w:rsidRPr="00486B02">
              <w:rPr>
                <w:rFonts w:ascii="Arial" w:hAnsi="Arial" w:cs="Arial"/>
                <w:color w:val="auto"/>
              </w:rPr>
              <w:t>Bezprostr.predchádz.účt.obdobie</w:t>
            </w:r>
            <w:proofErr w:type="spellEnd"/>
          </w:p>
        </w:tc>
      </w:tr>
      <w:tr w:rsidR="00900BAD" w:rsidRPr="00486B02" w:rsidTr="00C0440A">
        <w:tc>
          <w:tcPr>
            <w:tcW w:w="3470" w:type="dxa"/>
          </w:tcPr>
          <w:p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486B02">
              <w:rPr>
                <w:rFonts w:ascii="Arial" w:hAnsi="Arial" w:cs="Arial"/>
                <w:color w:val="auto"/>
              </w:rPr>
              <w:t>Záväzok po lehote splatnosti</w:t>
            </w:r>
          </w:p>
        </w:tc>
        <w:tc>
          <w:tcPr>
            <w:tcW w:w="3471" w:type="dxa"/>
          </w:tcPr>
          <w:p w:rsidR="00900BAD" w:rsidRPr="00486B02" w:rsidRDefault="00486B02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11772</w:t>
            </w:r>
          </w:p>
        </w:tc>
        <w:tc>
          <w:tcPr>
            <w:tcW w:w="3471" w:type="dxa"/>
          </w:tcPr>
          <w:p w:rsidR="00900BAD" w:rsidRPr="00486B02" w:rsidRDefault="00486B02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8855</w:t>
            </w:r>
          </w:p>
        </w:tc>
      </w:tr>
      <w:tr w:rsidR="00900BAD" w:rsidRPr="00486B02" w:rsidTr="00C0440A">
        <w:tc>
          <w:tcPr>
            <w:tcW w:w="3470" w:type="dxa"/>
          </w:tcPr>
          <w:p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486B02">
              <w:rPr>
                <w:rFonts w:ascii="Arial" w:hAnsi="Arial" w:cs="Arial"/>
                <w:color w:val="auto"/>
              </w:rPr>
              <w:t>Záväzok –splatnosť do 1 roka</w:t>
            </w:r>
          </w:p>
        </w:tc>
        <w:tc>
          <w:tcPr>
            <w:tcW w:w="3471" w:type="dxa"/>
          </w:tcPr>
          <w:p w:rsidR="00900BAD" w:rsidRPr="00486B02" w:rsidRDefault="00486B02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10886</w:t>
            </w:r>
          </w:p>
        </w:tc>
        <w:tc>
          <w:tcPr>
            <w:tcW w:w="3471" w:type="dxa"/>
          </w:tcPr>
          <w:p w:rsidR="00900BAD" w:rsidRPr="00486B02" w:rsidRDefault="009E1DAA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7146</w:t>
            </w:r>
          </w:p>
        </w:tc>
      </w:tr>
      <w:tr w:rsidR="00900BAD" w:rsidRPr="00486B02" w:rsidTr="00C0440A">
        <w:tc>
          <w:tcPr>
            <w:tcW w:w="3470" w:type="dxa"/>
          </w:tcPr>
          <w:p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486B02">
              <w:rPr>
                <w:rFonts w:ascii="Arial" w:hAnsi="Arial" w:cs="Arial"/>
                <w:color w:val="auto"/>
              </w:rPr>
              <w:t>Krátkodobé záväzky spolu</w:t>
            </w:r>
          </w:p>
        </w:tc>
        <w:tc>
          <w:tcPr>
            <w:tcW w:w="3471" w:type="dxa"/>
          </w:tcPr>
          <w:p w:rsidR="00900BAD" w:rsidRPr="00486B02" w:rsidRDefault="00486B02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10886</w:t>
            </w:r>
          </w:p>
        </w:tc>
        <w:tc>
          <w:tcPr>
            <w:tcW w:w="3471" w:type="dxa"/>
          </w:tcPr>
          <w:p w:rsidR="00900BAD" w:rsidRPr="00486B02" w:rsidRDefault="009E1DAA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7146</w:t>
            </w:r>
          </w:p>
        </w:tc>
      </w:tr>
      <w:tr w:rsidR="00900BAD" w:rsidRPr="00486B02" w:rsidTr="00C0440A">
        <w:tc>
          <w:tcPr>
            <w:tcW w:w="3470" w:type="dxa"/>
          </w:tcPr>
          <w:p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486B02">
              <w:rPr>
                <w:rFonts w:ascii="Arial" w:hAnsi="Arial" w:cs="Arial"/>
                <w:color w:val="auto"/>
              </w:rPr>
              <w:t>Záväzky – splatnosť 1-5 rokov</w:t>
            </w:r>
          </w:p>
        </w:tc>
        <w:tc>
          <w:tcPr>
            <w:tcW w:w="3471" w:type="dxa"/>
          </w:tcPr>
          <w:p w:rsidR="00900BAD" w:rsidRPr="00486B02" w:rsidRDefault="00486B02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885</w:t>
            </w:r>
          </w:p>
        </w:tc>
        <w:tc>
          <w:tcPr>
            <w:tcW w:w="3471" w:type="dxa"/>
          </w:tcPr>
          <w:p w:rsidR="00900BAD" w:rsidRPr="00486B02" w:rsidRDefault="009E1DAA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1709</w:t>
            </w:r>
          </w:p>
        </w:tc>
      </w:tr>
      <w:tr w:rsidR="00900BAD" w:rsidRPr="00486B02" w:rsidTr="00C0440A">
        <w:tc>
          <w:tcPr>
            <w:tcW w:w="3470" w:type="dxa"/>
          </w:tcPr>
          <w:p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486B02">
              <w:rPr>
                <w:rFonts w:ascii="Arial" w:hAnsi="Arial" w:cs="Arial"/>
                <w:color w:val="auto"/>
              </w:rPr>
              <w:t xml:space="preserve">Záväzok – </w:t>
            </w:r>
            <w:proofErr w:type="spellStart"/>
            <w:r w:rsidRPr="00486B02">
              <w:rPr>
                <w:rFonts w:ascii="Arial" w:hAnsi="Arial" w:cs="Arial"/>
                <w:color w:val="auto"/>
              </w:rPr>
              <w:t>splatn</w:t>
            </w:r>
            <w:proofErr w:type="spellEnd"/>
            <w:r w:rsidRPr="00486B02">
              <w:rPr>
                <w:rFonts w:ascii="Arial" w:hAnsi="Arial" w:cs="Arial"/>
                <w:color w:val="auto"/>
              </w:rPr>
              <w:t>. viac ako 5 rokov</w:t>
            </w:r>
          </w:p>
        </w:tc>
        <w:tc>
          <w:tcPr>
            <w:tcW w:w="3471" w:type="dxa"/>
          </w:tcPr>
          <w:p w:rsidR="00900BAD" w:rsidRPr="00486B02" w:rsidRDefault="00486B02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:rsidR="00900BAD" w:rsidRPr="00486B02" w:rsidRDefault="009E1DAA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486B02" w:rsidTr="00C0440A">
        <w:tc>
          <w:tcPr>
            <w:tcW w:w="3470" w:type="dxa"/>
          </w:tcPr>
          <w:p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486B02">
              <w:rPr>
                <w:rFonts w:ascii="Arial" w:hAnsi="Arial" w:cs="Arial"/>
                <w:color w:val="auto"/>
              </w:rPr>
              <w:t>Dlhodobé záväzky spolu</w:t>
            </w:r>
          </w:p>
        </w:tc>
        <w:tc>
          <w:tcPr>
            <w:tcW w:w="3471" w:type="dxa"/>
          </w:tcPr>
          <w:p w:rsidR="00900BAD" w:rsidRPr="00486B02" w:rsidRDefault="00486B02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885</w:t>
            </w:r>
          </w:p>
        </w:tc>
        <w:tc>
          <w:tcPr>
            <w:tcW w:w="3471" w:type="dxa"/>
          </w:tcPr>
          <w:p w:rsidR="00900BAD" w:rsidRPr="00486B02" w:rsidRDefault="009E1DAA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1709</w:t>
            </w:r>
          </w:p>
        </w:tc>
      </w:tr>
    </w:tbl>
    <w:p w:rsidR="00900BAD" w:rsidRPr="00486B02" w:rsidRDefault="00900BAD" w:rsidP="00900BAD">
      <w:pPr>
        <w:pStyle w:val="Default"/>
        <w:rPr>
          <w:rFonts w:ascii="Arial" w:hAnsi="Arial" w:cs="Arial"/>
          <w:color w:val="auto"/>
        </w:rPr>
      </w:pPr>
    </w:p>
    <w:p w:rsidR="00FF1B0E" w:rsidRPr="00486B02" w:rsidRDefault="00FF1B0E" w:rsidP="00AD1E7C">
      <w:pPr>
        <w:pStyle w:val="Default"/>
        <w:rPr>
          <w:rFonts w:ascii="Arial" w:hAnsi="Arial" w:cs="Arial"/>
          <w:color w:val="auto"/>
        </w:rPr>
      </w:pPr>
    </w:p>
    <w:p w:rsidR="00900BAD" w:rsidRPr="00486B02" w:rsidRDefault="00900BAD" w:rsidP="00AD1E7C">
      <w:pPr>
        <w:pStyle w:val="Default"/>
        <w:rPr>
          <w:rFonts w:ascii="Arial" w:hAnsi="Arial" w:cs="Arial"/>
          <w:color w:val="auto"/>
        </w:rPr>
      </w:pPr>
    </w:p>
    <w:p w:rsidR="00900BAD" w:rsidRPr="00486B02" w:rsidRDefault="00900BAD" w:rsidP="00AD1E7C">
      <w:pPr>
        <w:pStyle w:val="Default"/>
        <w:rPr>
          <w:rFonts w:ascii="Arial" w:hAnsi="Arial" w:cs="Arial"/>
          <w:color w:val="auto"/>
        </w:rPr>
      </w:pP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:rsidR="00FF1B0E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(3) Informácie o vlastných akciách</w:t>
      </w:r>
    </w:p>
    <w:p w:rsidR="00AD1E7C" w:rsidRPr="00486B02" w:rsidRDefault="00FF1B0E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Účtovná jednotka v bežnom účtovnom období nevlastnila, neobstarávala a ani nepredávala akcie.</w:t>
      </w:r>
    </w:p>
    <w:p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(4) Informácie o orgánoch účtovnej jednotky, a to </w:t>
      </w:r>
    </w:p>
    <w:p w:rsidR="002643A3" w:rsidRPr="00486B02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Účtovná jednotka v bežnom účtovnom období neposkytovala ani nevyplácala príjmy a výhody členom štatutárnych orgánov , dozorných orgánov a iných orgánov.</w:t>
      </w:r>
    </w:p>
    <w:p w:rsidR="002643A3" w:rsidRPr="00486B02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</w:p>
    <w:p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</w:p>
    <w:p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lastRenderedPageBreak/>
        <w:t>(5) Informácie o povinnostiach účtovnej jednotky, a to:</w:t>
      </w:r>
    </w:p>
    <w:p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ab/>
        <w:t>a) celkovej sume finančných povinnosti, ktoré sa nevykazujú v súvahe, ale sú významné na posúdenie  finančnej situácie účtovnej jednotky, napr. povinnosti nájomcu vyplývajúce z operatívneho prenájmu...</w:t>
      </w:r>
    </w:p>
    <w:p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ab/>
        <w:t>b) celkovej sume významných podmienených záväzkov,</w:t>
      </w:r>
    </w:p>
    <w:p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ab/>
        <w:t>c) opise významných finančných povinnosti a významných podmienených záväzkov</w:t>
      </w:r>
    </w:p>
    <w:p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ab/>
        <w:t>d) celkovej sume významných finančných povinnosti a významných podmienených záväzkov voči dcérskej účtovnej jednotke...</w:t>
      </w:r>
    </w:p>
    <w:p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ab/>
        <w:t>e) opise významných povinnosti účtovnej jednotky vyplývajúcich z dôchodkových programov pre zamestnancov</w:t>
      </w:r>
    </w:p>
    <w:p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</w:p>
    <w:p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Účtovná jednotka v bežnom účtovnom období nemá povinnosti, ktoré sa nevykazujú v súvahe.</w:t>
      </w:r>
    </w:p>
    <w:p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Účtovná jednotka v bežnom účtovnom období nemá podmienené záväzky.</w:t>
      </w:r>
    </w:p>
    <w:p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</w:p>
    <w:p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</w:p>
    <w:p w:rsidR="000A5ADB" w:rsidRPr="00486B02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(6) Informácie o udelení výlučného práva alebo osobitného práva, ktorým sa udelilo právo poskytovať služby vo verejnom záujme, pričom sa uvádza náhrada za túto činnosť v akejkoľvek forme a ak sa zároveň vyk</w:t>
      </w:r>
      <w:r w:rsidR="009E1DAA">
        <w:rPr>
          <w:rFonts w:ascii="Arial" w:hAnsi="Arial" w:cs="Arial"/>
          <w:color w:val="auto"/>
        </w:rPr>
        <w:t>onávajú aj iné činnosti, uvádza</w:t>
      </w:r>
      <w:bookmarkStart w:id="0" w:name="_GoBack"/>
      <w:bookmarkEnd w:id="0"/>
      <w:r w:rsidRPr="00486B02">
        <w:rPr>
          <w:rFonts w:ascii="Arial" w:hAnsi="Arial" w:cs="Arial"/>
          <w:color w:val="auto"/>
        </w:rPr>
        <w:t>jú sa aj informácie o</w:t>
      </w:r>
    </w:p>
    <w:p w:rsidR="000A5ADB" w:rsidRPr="00486B02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ab/>
        <w:t>a) všetkých formách prijatej náhrady,</w:t>
      </w:r>
    </w:p>
    <w:p w:rsidR="000A5ADB" w:rsidRPr="00486B02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ab/>
        <w:t>b) účtovných zásadách použitých pri prideľovaní nákladov a výnosov,</w:t>
      </w:r>
    </w:p>
    <w:p w:rsidR="000A5ADB" w:rsidRPr="00486B02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ab/>
        <w:t>c) všetkých druhoch činnosti účtovnej jednotky.</w:t>
      </w:r>
    </w:p>
    <w:p w:rsidR="000A5ADB" w:rsidRPr="00486B02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</w:p>
    <w:p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Účtovná jednotka v bežnom účtovnom období neposkytovala služby vo verejnom záujme.</w:t>
      </w:r>
    </w:p>
    <w:p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 </w:t>
      </w:r>
    </w:p>
    <w:p w:rsidR="00855E95" w:rsidRPr="00486B02" w:rsidRDefault="00855E95">
      <w:pPr>
        <w:rPr>
          <w:rFonts w:ascii="Arial" w:hAnsi="Arial" w:cs="Arial"/>
          <w:sz w:val="24"/>
          <w:szCs w:val="24"/>
        </w:rPr>
      </w:pPr>
    </w:p>
    <w:sectPr w:rsidR="00855E95" w:rsidRPr="00486B02" w:rsidSect="00C7356F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1E7C"/>
    <w:rsid w:val="000A5ADB"/>
    <w:rsid w:val="00137D6C"/>
    <w:rsid w:val="002643A3"/>
    <w:rsid w:val="00486B02"/>
    <w:rsid w:val="00855E95"/>
    <w:rsid w:val="00900BAD"/>
    <w:rsid w:val="009E1DAA"/>
    <w:rsid w:val="00A82AB0"/>
    <w:rsid w:val="00AD1E7C"/>
    <w:rsid w:val="00DA1E31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824</Words>
  <Characters>4699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</dc:creator>
  <cp:lastModifiedBy>MY</cp:lastModifiedBy>
  <cp:revision>2</cp:revision>
  <dcterms:created xsi:type="dcterms:W3CDTF">2015-09-29T08:04:00Z</dcterms:created>
  <dcterms:modified xsi:type="dcterms:W3CDTF">2015-09-29T08:04:00Z</dcterms:modified>
</cp:coreProperties>
</file>