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00A0" w:rsidRPr="009C00A0" w:rsidRDefault="009C00A0" w:rsidP="009C00A0">
      <w:pPr>
        <w:suppressAutoHyphens/>
        <w:spacing w:after="0" w:line="100" w:lineRule="atLeast"/>
        <w:ind w:left="7080"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7080"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    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OBSAH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ind w:left="7788" w:right="141" w:firstLine="31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Strana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     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I.   Správa o činnosti spoločnosti TREND Holding, s.r.o.             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2                                                 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Celkové výsledky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3                                                                                              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Základné činnosti spoločnosti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                                               3   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Vydavateľské aktivity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        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>4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Hlavné úlohy v roku 201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                                                                                      4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Finančná situácia spoločnosti                         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>5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II.  Výsledok hospodárenia v roku 201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                                              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            </w:t>
      </w:r>
      <w:r w:rsidR="000C6FDD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7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Správa audítora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Zverejnenie údajov z  ročnej účtovnej závierky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2014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Zverejnenie údajov z ročnej účtovnej závierky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2013</w:t>
      </w: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pageBreakBefore/>
        <w:suppressAutoHyphens/>
        <w:spacing w:after="0" w:line="100" w:lineRule="atLeast"/>
        <w:ind w:left="567" w:hanging="567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 w:hanging="567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 w:hanging="567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b/>
          <w:bCs/>
          <w:kern w:val="1"/>
          <w:sz w:val="40"/>
          <w:szCs w:val="4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kern w:val="1"/>
          <w:sz w:val="40"/>
          <w:szCs w:val="4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kern w:val="1"/>
          <w:sz w:val="40"/>
          <w:szCs w:val="4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kern w:val="1"/>
          <w:sz w:val="40"/>
          <w:szCs w:val="4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  <w:t>I.  Správa o činnosti spoločnosti</w:t>
      </w:r>
    </w:p>
    <w:p w:rsidR="009C00A0" w:rsidRPr="009C00A0" w:rsidRDefault="009C00A0" w:rsidP="009C00A0">
      <w:pPr>
        <w:suppressAutoHyphens/>
        <w:spacing w:after="0" w:line="100" w:lineRule="atLeast"/>
        <w:ind w:left="567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  <w:t>TREND Holding, s.r.o.</w:t>
      </w:r>
    </w:p>
    <w:p w:rsidR="009C00A0" w:rsidRPr="009C00A0" w:rsidRDefault="009C00A0" w:rsidP="009C00A0">
      <w:pPr>
        <w:suppressAutoHyphens/>
        <w:spacing w:after="0" w:line="100" w:lineRule="atLeast"/>
        <w:jc w:val="center"/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Celkové výsledky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  <w:t xml:space="preserve">       </w:t>
      </w:r>
    </w:p>
    <w:p w:rsidR="009C00A0" w:rsidRPr="009C00A0" w:rsidRDefault="009C00A0" w:rsidP="009C00A0">
      <w:pPr>
        <w:suppressAutoHyphens/>
        <w:spacing w:after="0" w:line="100" w:lineRule="atLeast"/>
        <w:ind w:firstLine="54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Spoločnosť TREND Holding, s.r.o. dosiahla v roku 201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výnosy vo výške 2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 235 690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€.</w:t>
      </w:r>
    </w:p>
    <w:p w:rsidR="009C00A0" w:rsidRPr="009C00A0" w:rsidRDefault="009C00A0" w:rsidP="009C00A0">
      <w:pPr>
        <w:suppressAutoHyphens/>
        <w:spacing w:after="0" w:line="100" w:lineRule="atLeast"/>
        <w:ind w:right="141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Výsledok hospodárenia pred zdanením predstavoval zisk vo výške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28 59</w:t>
      </w:r>
      <w:r w:rsidR="00362B0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€, korekciou o pripočítateľné a odpočítateľné položky dosiahla spoločnosť základ dane po úprave v hodnote 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20 875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€.  Po vysporiadaní dane z príjmov právnických osôb vrátane odloženej dane vo výške </w:t>
      </w:r>
      <w:r w:rsidR="00362B07" w:rsidRPr="00362B0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18 660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 spoločnosť vykazuje disponibilný zisk po zdanení  </w:t>
      </w:r>
      <w:r w:rsidR="00362B07" w:rsidRPr="00362B0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9 935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€.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ind w:left="567" w:hanging="567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67" w:hanging="567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Obchodné podiely spoločnosti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4944A8" w:rsidRDefault="00150316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Rok 2014 bol poznačený viacerými </w:t>
      </w:r>
      <w:r w:rsidR="004944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významnými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zmenami v</w:t>
      </w:r>
      <w:r w:rsidR="004A4D9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o vlastníctve obchodných podielov. 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V auguste 2014 spoločnosť previedla svoj obchodný podiel na spoločnosti Media TPR, s.r.o. a Media TPH, s.r.o. rovnakým dielom tak, že každá z týchto spoločností disponovala 50 % účasťou na základnom imaní.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Na mimoriadnom valnom zhromaždení dňa 22.12.2014 spoločníci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prijali rozhodnutie,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že </w:t>
      </w:r>
      <w:r w:rsidR="004944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prevedú svoje podiely po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50</w:t>
      </w:r>
      <w:r w:rsidR="004944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% hlasov, ktorými disponovali, na spoločnosť News and Media Holding, a.s., so sídlom Einsteinova 25, Bratislava 851 01, </w:t>
      </w:r>
      <w:r w:rsidR="004944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ktorá týmto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nadobudla obchodný podiel predstavujúci 100 </w:t>
      </w:r>
      <w:r w:rsidR="004944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% nú 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účasť na základnom imaní spoločnosti</w:t>
      </w:r>
      <w:r w:rsidR="009C4AB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</w:t>
      </w:r>
    </w:p>
    <w:p w:rsidR="009C00A0" w:rsidRPr="009C00A0" w:rsidRDefault="009C4AB4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6600"/>
          <w:kern w:val="1"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Spoločnosť TREND Holding, s.r.o.</w:t>
      </w:r>
      <w:r w:rsidR="00CE75EE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naďalej </w:t>
      </w:r>
      <w:r w:rsidR="00CE75EE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zostala vlastníkom 100 % hodnoty základného imania v dcérskej spoločnosti DUEL PRESS, s.r.o..  </w:t>
      </w:r>
    </w:p>
    <w:p w:rsidR="009C00A0" w:rsidRPr="009C00A0" w:rsidRDefault="009C00A0" w:rsidP="009C00A0">
      <w:pPr>
        <w:suppressAutoHyphens/>
        <w:spacing w:after="0" w:line="100" w:lineRule="atLeast"/>
        <w:ind w:right="1415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right="1415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keepNext/>
        <w:suppressAutoHyphens/>
        <w:spacing w:after="0" w:line="100" w:lineRule="atLeast"/>
        <w:jc w:val="both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keepNext/>
        <w:suppressAutoHyphens/>
        <w:spacing w:after="0" w:line="100" w:lineRule="atLeast"/>
        <w:jc w:val="both"/>
        <w:outlineLvl w:val="0"/>
        <w:rPr>
          <w:rFonts w:ascii="Times New Roman" w:eastAsia="Times New Roman" w:hAnsi="Times New Roman" w:cs="Times New Roman"/>
          <w:b/>
          <w:bCs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Základné činnosti spoločnosti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color w:val="FF0000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color w:val="FF0000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TREND Holding, spol. s r.o., je vydavateľom periodických a neperiodických publikácií. Predmet podnikania zahŕňa aj nákup a predaj tovarov a služieb v rozsahu voľnej živnosti, reklamné, propagačné a inzertné činnosti, služby polygrafického charakteru, služby účtovníctva, automatizovaného spracovania dát, poskytovanie softvéru a vypracovanie ekonomických analýz hospodárskych a spoločenských odvetví.</w:t>
      </w:r>
    </w:p>
    <w:p w:rsidR="009C00A0" w:rsidRPr="00C81409" w:rsidRDefault="009C00A0" w:rsidP="009C00A0">
      <w:pPr>
        <w:suppressAutoHyphens/>
        <w:spacing w:after="0" w:line="100" w:lineRule="atLeast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C81409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Hlavným smerom podnikania je vydávanie periodických publikácií TREND a Profit s komerčnými prílohami a sériou ročeniek najmä pre biznis sektor a čitateľov, ktorí pre svoju prácu potrebujú ekonomické informácie, poskytovanie informácií na ekonomických serveroch, prevádzkovanie informačných a analytických služieb, organizovanie TREND konferencií, TREND Business Brunchov, TREND Business Breakfastov ako aj odborne zameraných externých podujatí. </w:t>
      </w:r>
    </w:p>
    <w:p w:rsid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4A4D9A" w:rsidRDefault="004A4D9A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4A4D9A" w:rsidRPr="009C00A0" w:rsidRDefault="004A4D9A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C15AB2" w:rsidRDefault="00C15AB2" w:rsidP="009C00A0">
      <w:pPr>
        <w:keepNext/>
        <w:numPr>
          <w:ilvl w:val="1"/>
          <w:numId w:val="0"/>
        </w:numPr>
        <w:tabs>
          <w:tab w:val="num" w:pos="576"/>
        </w:tabs>
        <w:suppressAutoHyphens/>
        <w:spacing w:after="0" w:line="100" w:lineRule="atLeast"/>
        <w:jc w:val="both"/>
        <w:outlineLvl w:val="1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</w:p>
    <w:p w:rsidR="009C00A0" w:rsidRPr="005F5364" w:rsidRDefault="009C00A0" w:rsidP="009C00A0">
      <w:pPr>
        <w:keepNext/>
        <w:numPr>
          <w:ilvl w:val="1"/>
          <w:numId w:val="0"/>
        </w:numPr>
        <w:tabs>
          <w:tab w:val="num" w:pos="576"/>
        </w:tabs>
        <w:suppressAutoHyphens/>
        <w:spacing w:after="0" w:line="100" w:lineRule="atLeast"/>
        <w:jc w:val="both"/>
        <w:outlineLvl w:val="1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 xml:space="preserve">Vydavateľské aktivity </w:t>
      </w: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</w:r>
    </w:p>
    <w:p w:rsidR="009C00A0" w:rsidRPr="005F5364" w:rsidRDefault="009C00A0" w:rsidP="005F5364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Spoločnosť zastrešuje nasledovné kľúčové vydavateľské aktivity:</w:t>
      </w:r>
      <w:r w:rsid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Týždenník TREND v roku 201</w:t>
      </w:r>
      <w:r w:rsidR="007F3DF5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vy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šiel v roku 2014 49-krát (boli vydané dve dvojčísla) a vy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chádzal opäť aj s ročenkami TREND Top a prílohami TREND Špeciál, TREND Extra a TREND Focus venovanými najdynamickejším sektorom hospodárstva a vybraným regiónom.</w:t>
      </w:r>
      <w:r w:rsidR="007F3DF5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Šéfredaktorom TRENDU bol </w:t>
      </w:r>
      <w:r w:rsidR="007F3DF5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O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liver Brunovský. </w:t>
      </w:r>
    </w:p>
    <w:p w:rsidR="009C00A0" w:rsidRPr="005F5364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Ekonomický server TREND.sk na internetovej adrese </w:t>
      </w:r>
      <w:hyperlink r:id="rId6" w:history="1">
        <w:r w:rsidRPr="005F5364">
          <w:rPr>
            <w:rFonts w:ascii="Times New Roman" w:eastAsia="Times New Roman" w:hAnsi="Times New Roman" w:cs="Times New Roman"/>
            <w:kern w:val="1"/>
            <w:sz w:val="20"/>
            <w:szCs w:val="20"/>
            <w:u w:val="single"/>
          </w:rPr>
          <w:t>www.etrend.sk</w:t>
        </w:r>
      </w:hyperlink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po rebrandingu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z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 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eTREND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.sk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na TREND.sk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bol redizajnovaný, a to aj na subportáloch M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ediálne.sk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, profit.etrend.sk, reality.etrend.sk a podobne. Novo uvedený bol projekt gazduj.sk.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Riaditeľom pre on-line projekty je Jaroslav Matyáš, šéfredaktorom TREND.sk Tomáš Czwitkovics.  </w:t>
      </w:r>
    </w:p>
    <w:p w:rsidR="009C00A0" w:rsidRPr="005F5364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TREND Holding vydáva aj dvojtýždenník Profit, ktorý si po celý rok zachovával svoju stabilnú pozíciu pokiaľ ide o náklad aj predaj inzercie. Šéfredaktorom Profitu 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bol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Pavol Hlubina. </w:t>
      </w:r>
    </w:p>
    <w:p w:rsidR="009C00A0" w:rsidRPr="005F5364" w:rsidRDefault="009C00A0" w:rsidP="005F5364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Spoločnosť TREND Holding, s.r.o. opäť organizovala cyklus TREND konferencií: Finančný manažment, 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TREND Marketing Summit,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Reality a development, 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Manažment nákupu,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Komunálny manažment, 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Personálny manažment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, Zdravotnícky manažment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, </w:t>
      </w:r>
      <w:r w:rsidR="002322B6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Horeca manažment, Infotrendy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a Top manažment</w:t>
      </w:r>
      <w:r w:rsidR="002322B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, ku ktorým pribudol aj Športový manažment.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Spoločnosť  organizovala 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aj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diskusné fóra pod názvami TREND Business Brunch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,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TREND Business Breakfast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a TREND Business Afternoon a TREND online academy.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Spoločnosť organizovala aj edukatívne semináre spojené so značkou Profit. </w:t>
      </w:r>
    </w:p>
    <w:p w:rsidR="009C00A0" w:rsidRPr="005F5364" w:rsidRDefault="009C00A0" w:rsidP="009C00A0">
      <w:pPr>
        <w:suppressAutoHyphens/>
        <w:spacing w:after="0" w:line="100" w:lineRule="atLeast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ab/>
        <w:t xml:space="preserve">Analytická jednotka spoločnosti TREND Analyses spracúva ekonomické dáta do ročeniek, rebríčkov a faktografických prehľadov v produktoch vydavateľstva, a takisto analýzy a prognózy do ročeniek TRENDU. </w:t>
      </w:r>
    </w:p>
    <w:p w:rsidR="009C00A0" w:rsidRPr="005F5364" w:rsidRDefault="009C00A0" w:rsidP="009C00A0">
      <w:pPr>
        <w:suppressAutoHyphens/>
        <w:spacing w:after="0" w:line="100" w:lineRule="atLeast"/>
        <w:ind w:right="141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Cs/>
          <w:kern w:val="1"/>
          <w:sz w:val="24"/>
          <w:szCs w:val="24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0"/>
          <w:szCs w:val="20"/>
          <w:lang w:eastAsia="ar-SA"/>
        </w:rPr>
      </w:pPr>
      <w:r w:rsidRPr="005F5364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Hlavné úlohy v roku 201</w:t>
      </w:r>
      <w:r w:rsidR="004A4D9A" w:rsidRPr="005F5364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ar-SA"/>
        </w:rPr>
        <w:t>5</w:t>
      </w: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0"/>
          <w:szCs w:val="20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20"/>
          <w:szCs w:val="20"/>
          <w:lang w:eastAsia="ar-SA"/>
        </w:rPr>
      </w:pPr>
    </w:p>
    <w:p w:rsidR="009C00A0" w:rsidRPr="005F5364" w:rsidRDefault="009C00A0" w:rsidP="009C00A0">
      <w:pPr>
        <w:suppressAutoHyphens/>
        <w:spacing w:after="0" w:line="100" w:lineRule="atLeast"/>
        <w:ind w:firstLine="708"/>
        <w:jc w:val="both"/>
        <w:rPr>
          <w:rFonts w:ascii="Arial" w:eastAsia="Times New Roman" w:hAnsi="Arial" w:cs="Arial"/>
          <w:b/>
          <w:bCs/>
          <w:kern w:val="1"/>
          <w:sz w:val="32"/>
          <w:szCs w:val="32"/>
          <w:lang w:eastAsia="ar-SA"/>
        </w:rPr>
      </w:pP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V roku 201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5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sa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vydavateľstvo p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retransformuje do novej vydavateľskej skupiny News and Media Holding</w:t>
      </w:r>
      <w:r w:rsidR="00C15AB2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, a.s.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 N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aďalej </w:t>
      </w:r>
      <w:r w:rsidR="005F5364"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bude </w:t>
      </w:r>
      <w:r w:rsidRPr="005F5364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rozvíjať svoje podnikanie, a to v oblasti tvorby obsahu printových aj elektronických publikácií (týždenník TREND, dvojtýždenník Profit, cyklus ročeniek, špeciálne projekty TREND Focus a ďalšie, koncentruje sa na rozvoj  internetových portálov TRENDsk a jeho súčastí) a na zber a spracovanie informácií. Pre  TREND konferencie, semináre a eventy pripravuje rozšírenie  nových projektov a formátov podujatí. Trvalým cieľom je naďalej napĺňať misiu a víziu spoločnosti, poskytovať prvotriedny servis čitateľom aj obchodným partnerom v inzercii, upevniť si postavenie na trhu v súťaži s konkurenciou a pripraviť si pôdu pre ďalší rozvoj v budúcich rokoch. </w:t>
      </w:r>
    </w:p>
    <w:p w:rsid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C15AB2" w:rsidRPr="009C00A0" w:rsidRDefault="00C15AB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kern w:val="1"/>
          <w:sz w:val="32"/>
          <w:szCs w:val="32"/>
          <w:lang w:eastAsia="ar-SA"/>
        </w:rPr>
        <w:t>Finančná situácia spoločnosti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  <w:t xml:space="preserve">       </w:t>
      </w:r>
    </w:p>
    <w:p w:rsidR="0044759A" w:rsidRDefault="009C00A0" w:rsidP="0044759A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Spoločnosť TREND Holding, s.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r.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o. </w:t>
      </w:r>
      <w:r w:rsidR="0044759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zostavila </w:t>
      </w:r>
      <w:r w:rsidR="006B22C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mimoriadnu </w:t>
      </w:r>
      <w:r w:rsidR="0044759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účtovnú závierku za rok 2014 za predpokladu zániku spoločnosti formou zlúčenia so spoločnosťou News and Media Holding, a.</w:t>
      </w:r>
      <w:r w:rsidR="00C15AB2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44759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s.</w:t>
      </w:r>
      <w:r w:rsidR="00C15AB2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</w:t>
      </w:r>
      <w:r w:rsidR="0044759A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Rozhodný deň pre zlúčenie je 1.1.2015.  </w:t>
      </w:r>
    </w:p>
    <w:p w:rsidR="009C00A0" w:rsidRPr="009C00A0" w:rsidRDefault="0044759A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O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bchodný rok 201</w:t>
      </w:r>
      <w:r w:rsidR="00B60C1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uzavrela spoločnosť TREND Holding, s. r. o.  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s  výsledkom hospodárenia pred zdanením vo výške </w:t>
      </w:r>
      <w:r w:rsidR="00B60C16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28 595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€, čo predstavuje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26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%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výsledku hospodárenia pred zdanením z roku 2013.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Zisk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bol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tvorený iba z bežnej činnosti a to 1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10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% z výsledku hospodárenia z hospodárskej činnosti, čo v absolútnom vyjadrení predstavuje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31 440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€. Výsledkom hospodárenia  z finančnej  činnosti  je  naopak  strata vo výške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845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€,  čo predstavuje</w:t>
      </w:r>
      <w:r w:rsidR="006F54D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takmer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7743A8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10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%.</w:t>
      </w: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K 31.12.201</w:t>
      </w:r>
      <w:r w:rsidR="006F54D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spoločnosť TREND Holding, s.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r.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o. 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evidovala v pracovnom pomere                  3</w:t>
      </w:r>
      <w:r w:rsidR="006F54D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3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zamestnancov,  z toho 4 riadiacich. 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Prehľad medziročného porovnania jednotlivých nákladových a výnosových položiek je zobrazený vo výkaze ziskov a strát v časti II. Výsledok hospodárenia v roku 201</w:t>
      </w:r>
      <w:r w:rsidR="006F54D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.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6B22C6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Majetok spoločnosti bol ocenený reálnou cenou na základe znaleckého posudku. 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Aktíva spoločnosti </w:t>
      </w:r>
      <w:r w:rsidR="00C15AB2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k 31.12.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201</w:t>
      </w:r>
      <w:r w:rsidR="006F54D7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dosiahli hodnotu </w:t>
      </w:r>
      <w:r w:rsidR="006F54D7" w:rsidRP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2 751</w:t>
      </w:r>
      <w:r w:rsidR="009C00A0" w:rsidRP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9</w:t>
      </w:r>
      <w:r w:rsidR="006F54D7" w:rsidRP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32</w:t>
      </w:r>
      <w:r w:rsidR="009C00A0" w:rsidRP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</w:t>
      </w:r>
      <w:r w:rsidR="009C00A0"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€, ich štruktúra je  znázornená v nasledujúcom grafe.</w:t>
      </w: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noProof/>
          <w:kern w:val="1"/>
          <w:sz w:val="24"/>
          <w:szCs w:val="24"/>
          <w:lang w:eastAsia="sk-SK"/>
        </w:rPr>
        <w:drawing>
          <wp:inline distT="0" distB="0" distL="0" distR="0">
            <wp:extent cx="5465445" cy="2569845"/>
            <wp:effectExtent l="0" t="0" r="1905" b="1905"/>
            <wp:docPr id="2" name="Graf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Pasíva spoločnosti sú tvorené vlastným imaním v hodnote 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2 444 012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€, záväzkami vo výške  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292 886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 € a  položkami časového rozlíšenia v sume 15 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034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€.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B11902" w:rsidRDefault="00B1190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B11902" w:rsidRDefault="00B11902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3A39B8" w:rsidRDefault="003A39B8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Veková štruktúra záväzkov k 31.12.201</w:t>
      </w:r>
      <w:r w:rsidR="00B35F1F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: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5103" w:hanging="5103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18"/>
          <w:szCs w:val="18"/>
          <w:lang w:eastAsia="ar-SA"/>
        </w:rPr>
      </w:pPr>
      <w:r w:rsidRPr="009C00A0"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  <w:tab/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080"/>
      </w:tblGrid>
      <w:tr w:rsidR="009C00A0" w:rsidRPr="009C00A0" w:rsidTr="007F3DF5"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9C00A0">
            <w:pPr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sz w:val="18"/>
                <w:szCs w:val="18"/>
                <w:lang w:eastAsia="ar-SA"/>
              </w:rPr>
              <w:t xml:space="preserve">                                                    </w:t>
            </w:r>
          </w:p>
          <w:p w:rsidR="009C00A0" w:rsidRPr="009C00A0" w:rsidRDefault="009C00A0" w:rsidP="009C00A0">
            <w:pPr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Záväzky  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sz w:val="18"/>
                <w:szCs w:val="18"/>
                <w:lang w:eastAsia="ar-SA"/>
              </w:rPr>
              <w:t>k 31.12.201</w:t>
            </w:r>
            <w:r w:rsidR="00B34930">
              <w:rPr>
                <w:rFonts w:ascii="Times New Roman" w:eastAsia="Times New Roman" w:hAnsi="Times New Roman" w:cs="Times New Roman"/>
                <w:b/>
                <w:bCs/>
                <w:kern w:val="1"/>
                <w:sz w:val="18"/>
                <w:szCs w:val="18"/>
                <w:lang w:eastAsia="ar-SA"/>
              </w:rPr>
              <w:t>4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sz w:val="18"/>
                <w:szCs w:val="18"/>
                <w:lang w:eastAsia="ar-SA"/>
              </w:rPr>
              <w:t xml:space="preserve">                  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splatné do                  splatné od                            po </w:t>
            </w:r>
          </w:p>
          <w:p w:rsidR="009C00A0" w:rsidRPr="009C00A0" w:rsidRDefault="009C00A0" w:rsidP="009C00A0">
            <w:pPr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(v €)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                                              1 roka               1 do 5-tich rokov                splatnosti                                    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9C00A0">
            <w:pPr>
              <w:tabs>
                <w:tab w:val="left" w:pos="5323"/>
                <w:tab w:val="left" w:pos="7274"/>
              </w:tabs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zo sociálneho fondu                           -                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37 550    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-</w:t>
            </w:r>
          </w:p>
          <w:p w:rsidR="009C00A0" w:rsidRPr="009C00A0" w:rsidRDefault="009C00A0" w:rsidP="009C00A0">
            <w:pPr>
              <w:tabs>
                <w:tab w:val="left" w:pos="5323"/>
              </w:tabs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ostatné dlhodobé záväzky                  -                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14 401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-</w:t>
            </w:r>
          </w:p>
          <w:p w:rsidR="009C00A0" w:rsidRPr="009C00A0" w:rsidRDefault="009C00A0" w:rsidP="00B34930">
            <w:pPr>
              <w:tabs>
                <w:tab w:val="left" w:pos="5323"/>
              </w:tabs>
              <w:suppressAutoHyphens/>
              <w:spacing w:after="0" w:line="100" w:lineRule="atLeast"/>
              <w:jc w:val="both"/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z obchodného styku      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142 178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 -               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-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B34930">
            <w:pPr>
              <w:suppressAutoHyphens/>
              <w:spacing w:after="0" w:line="100" w:lineRule="atLeast"/>
              <w:jc w:val="both"/>
              <w:rPr>
                <w:rFonts w:ascii="Arial" w:eastAsia="Times New Roman" w:hAnsi="Arial" w:cs="Arial"/>
                <w:kern w:val="1"/>
                <w:sz w:val="24"/>
                <w:szCs w:val="24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voči zamestnancom                        19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286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-                                   -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B34930">
            <w:pPr>
              <w:tabs>
                <w:tab w:val="left" w:pos="5284"/>
                <w:tab w:val="left" w:pos="5493"/>
              </w:tabs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zo soc. poistenia                             12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 049 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-                                   -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B34930">
            <w:pPr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daňové záväzky a dotácie               3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2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941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 -                                   - 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B34930">
            <w:pPr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nevyfakturované dodávky               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4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527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          -                                   -   </w:t>
            </w:r>
          </w:p>
        </w:tc>
      </w:tr>
      <w:tr w:rsidR="009C00A0" w:rsidRPr="009C00A0" w:rsidTr="007F3DF5">
        <w:tc>
          <w:tcPr>
            <w:tcW w:w="8080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B34930">
            <w:pPr>
              <w:tabs>
                <w:tab w:val="left" w:pos="6451"/>
              </w:tabs>
              <w:suppressAutoHyphens/>
              <w:spacing w:after="0" w:line="100" w:lineRule="atLeast"/>
              <w:jc w:val="both"/>
              <w:rPr>
                <w:rFonts w:ascii="Times New Roman" w:eastAsia="Times New Roman" w:hAnsi="Times New Roman" w:cs="Times New Roman"/>
                <w:kern w:val="1"/>
                <w:sz w:val="20"/>
                <w:szCs w:val="20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>ostatné záväzky                               1</w:t>
            </w:r>
            <w:r w:rsidR="00B3493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6 045  </w:t>
            </w:r>
            <w:r w:rsidRPr="009C00A0">
              <w:rPr>
                <w:rFonts w:ascii="Times New Roman" w:eastAsia="Times New Roman" w:hAnsi="Times New Roman" w:cs="Times New Roman"/>
                <w:kern w:val="1"/>
                <w:lang w:eastAsia="ar-SA"/>
              </w:rPr>
              <w:t xml:space="preserve">                          -                                   -</w:t>
            </w:r>
          </w:p>
        </w:tc>
      </w:tr>
      <w:tr w:rsidR="009C00A0" w:rsidRPr="009C00A0" w:rsidTr="007F3DF5">
        <w:tc>
          <w:tcPr>
            <w:tcW w:w="80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00A0" w:rsidRPr="009C00A0" w:rsidRDefault="009C00A0" w:rsidP="00D30C63">
            <w:pPr>
              <w:suppressAutoHyphens/>
              <w:spacing w:after="0" w:line="100" w:lineRule="atLeast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eastAsia="ar-SA"/>
              </w:rPr>
            </w:pP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Spolu                                             </w:t>
            </w:r>
            <w:r w:rsidR="00D30C63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>227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</w:t>
            </w:r>
            <w:r w:rsidR="00D30C63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>026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                       </w:t>
            </w:r>
            <w:r w:rsidR="00D30C63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>51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</w:t>
            </w:r>
            <w:r w:rsidR="00D30C63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>951</w:t>
            </w:r>
            <w:r w:rsidRPr="009C00A0">
              <w:rPr>
                <w:rFonts w:ascii="Times New Roman" w:eastAsia="Times New Roman" w:hAnsi="Times New Roman" w:cs="Times New Roman"/>
                <w:b/>
                <w:bCs/>
                <w:kern w:val="1"/>
                <w:lang w:eastAsia="ar-SA"/>
              </w:rPr>
              <w:t xml:space="preserve">                             -</w:t>
            </w:r>
          </w:p>
        </w:tc>
      </w:tr>
    </w:tbl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28"/>
          <w:szCs w:val="28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28"/>
          <w:szCs w:val="28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noProof/>
          <w:color w:val="FF6600"/>
          <w:kern w:val="1"/>
          <w:sz w:val="24"/>
          <w:szCs w:val="24"/>
          <w:lang w:eastAsia="sk-SK"/>
        </w:rPr>
        <w:drawing>
          <wp:inline distT="0" distB="0" distL="0" distR="0">
            <wp:extent cx="5500370" cy="2715260"/>
            <wp:effectExtent l="0" t="0" r="0" b="0"/>
            <wp:docPr id="1" name="Graf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0C6FDD" w:rsidRPr="0046704F" w:rsidRDefault="000C6FDD" w:rsidP="000C6FD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46704F">
        <w:rPr>
          <w:rFonts w:ascii="Times New Roman" w:hAnsi="Times New Roman" w:cs="Times New Roman"/>
          <w:sz w:val="24"/>
          <w:szCs w:val="24"/>
        </w:rPr>
        <w:t xml:space="preserve">Valné zhromaždenie </w:t>
      </w:r>
      <w:r w:rsidR="0046704F" w:rsidRPr="0046704F">
        <w:rPr>
          <w:rFonts w:ascii="Times New Roman" w:hAnsi="Times New Roman" w:cs="Times New Roman"/>
          <w:sz w:val="24"/>
          <w:szCs w:val="24"/>
        </w:rPr>
        <w:t>ešte ne</w:t>
      </w:r>
      <w:r w:rsidRPr="0046704F">
        <w:rPr>
          <w:rFonts w:ascii="Times New Roman" w:hAnsi="Times New Roman" w:cs="Times New Roman"/>
          <w:sz w:val="24"/>
          <w:szCs w:val="24"/>
        </w:rPr>
        <w:t xml:space="preserve">rozhodlo o rozdelení </w:t>
      </w:r>
      <w:r w:rsidR="00171EE9">
        <w:rPr>
          <w:rFonts w:ascii="Times New Roman" w:hAnsi="Times New Roman" w:cs="Times New Roman"/>
          <w:sz w:val="24"/>
          <w:szCs w:val="24"/>
        </w:rPr>
        <w:t>hospodárskeho výsledku - zisku</w:t>
      </w:r>
      <w:r w:rsidRPr="0046704F">
        <w:rPr>
          <w:rFonts w:ascii="Times New Roman" w:hAnsi="Times New Roman" w:cs="Times New Roman"/>
          <w:sz w:val="24"/>
          <w:szCs w:val="24"/>
        </w:rPr>
        <w:t xml:space="preserve"> za obchodný rok 201</w:t>
      </w:r>
      <w:r w:rsidR="0046704F" w:rsidRPr="0046704F">
        <w:rPr>
          <w:rFonts w:ascii="Times New Roman" w:hAnsi="Times New Roman" w:cs="Times New Roman"/>
          <w:sz w:val="24"/>
          <w:szCs w:val="24"/>
        </w:rPr>
        <w:t>4.</w:t>
      </w:r>
      <w:r w:rsidRPr="0046704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9C00A0" w:rsidRPr="009C00A0" w:rsidRDefault="009C00A0" w:rsidP="009C00A0">
      <w:pPr>
        <w:suppressAutoHyphens/>
        <w:spacing w:after="0" w:line="100" w:lineRule="atLeast"/>
        <w:ind w:firstLine="708"/>
        <w:rPr>
          <w:rFonts w:ascii="Times New Roman" w:eastAsia="Times New Roman" w:hAnsi="Times New Roman" w:cs="Times New Roman"/>
          <w:color w:val="FF0000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Spoločnosť tvorila rezervný fond v zmysle obchodného zákonníka a k 31.12.201</w:t>
      </w:r>
      <w:r w:rsidR="00F57CE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4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 xml:space="preserve"> ho eviduje v hodnote</w:t>
      </w:r>
      <w:r w:rsidRPr="009C00A0"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8 696</w:t>
      </w:r>
      <w:r w:rsidRPr="009C00A0">
        <w:rPr>
          <w:rFonts w:ascii="Times New Roman" w:eastAsia="Times New Roman" w:hAnsi="Times New Roman" w:cs="Times New Roman"/>
          <w:color w:val="FF0000"/>
          <w:kern w:val="1"/>
          <w:sz w:val="24"/>
          <w:szCs w:val="24"/>
          <w:lang w:eastAsia="ar-SA"/>
        </w:rPr>
        <w:t xml:space="preserve"> 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€ a sociálny fond v hodnote 3</w:t>
      </w:r>
      <w:r w:rsidR="00F57CE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7 55</w:t>
      </w: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0 €.</w:t>
      </w:r>
    </w:p>
    <w:p w:rsidR="009C00A0" w:rsidRPr="009C00A0" w:rsidRDefault="009C00A0" w:rsidP="009C00A0">
      <w:pPr>
        <w:suppressAutoHyphens/>
        <w:spacing w:after="0" w:line="100" w:lineRule="atLeast"/>
        <w:rPr>
          <w:rFonts w:ascii="Arial" w:eastAsia="Times New Roman" w:hAnsi="Arial" w:cs="Arial"/>
          <w:b/>
          <w:bCs/>
          <w:kern w:val="1"/>
          <w:sz w:val="32"/>
          <w:szCs w:val="32"/>
          <w:lang w:eastAsia="ar-SA"/>
        </w:rPr>
      </w:pPr>
      <w:r w:rsidRPr="009C00A0"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  <w:t>Naša spoločnosť nemá v zahraničí žiadnu organizačnú zložku.</w:t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32"/>
          <w:szCs w:val="32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0000"/>
          <w:kern w:val="1"/>
          <w:sz w:val="32"/>
          <w:szCs w:val="32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FF6600"/>
          <w:kern w:val="1"/>
          <w:sz w:val="28"/>
          <w:szCs w:val="28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0000FF"/>
          <w:kern w:val="1"/>
          <w:sz w:val="32"/>
          <w:szCs w:val="32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</w:pPr>
      <w:r w:rsidRPr="009C00A0"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F57CE0" w:rsidRPr="009C00A0" w:rsidRDefault="00F57CE0" w:rsidP="00F57CE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</w:pPr>
      <w:r w:rsidRPr="009C00A0">
        <w:rPr>
          <w:rFonts w:ascii="Times New Roman" w:eastAsia="Times New Roman" w:hAnsi="Times New Roman" w:cs="Times New Roman"/>
          <w:b/>
          <w:bCs/>
          <w:kern w:val="1"/>
          <w:sz w:val="36"/>
          <w:szCs w:val="36"/>
          <w:lang w:eastAsia="ar-SA"/>
        </w:rPr>
        <w:t xml:space="preserve">             II. Výsledok hospodárenia v roku </w:t>
      </w:r>
      <w:r>
        <w:rPr>
          <w:rFonts w:ascii="Times New Roman" w:eastAsia="Times New Roman" w:hAnsi="Times New Roman" w:cs="Times New Roman"/>
          <w:b/>
          <w:bCs/>
          <w:kern w:val="1"/>
          <w:sz w:val="36"/>
          <w:szCs w:val="36"/>
          <w:lang w:eastAsia="ar-SA"/>
        </w:rPr>
        <w:t>2014</w:t>
      </w:r>
    </w:p>
    <w:p w:rsidR="00F57CE0" w:rsidRPr="009C00A0" w:rsidRDefault="00F57CE0" w:rsidP="00F57CE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36"/>
          <w:szCs w:val="36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firstLine="708"/>
        <w:jc w:val="both"/>
        <w:rPr>
          <w:rFonts w:ascii="Times New Roman" w:eastAsia="Times New Roman" w:hAnsi="Times New Roman" w:cs="Times New Roman"/>
          <w:color w:val="FF6600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b/>
          <w:bCs/>
          <w:color w:val="0000FF"/>
          <w:kern w:val="1"/>
          <w:sz w:val="32"/>
          <w:szCs w:val="32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</w:pPr>
      <w:r w:rsidRPr="009C00A0"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4"/>
          <w:szCs w:val="24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</w:pPr>
      <w:r w:rsidRPr="009C00A0">
        <w:rPr>
          <w:rFonts w:ascii="Arial" w:eastAsia="Times New Roman" w:hAnsi="Arial" w:cs="Arial"/>
          <w:color w:val="0000FF"/>
          <w:kern w:val="1"/>
          <w:sz w:val="24"/>
          <w:szCs w:val="24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851" w:right="1418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  <w:r w:rsidRPr="009C00A0"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jc w:val="both"/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ind w:left="851" w:right="1418"/>
        <w:jc w:val="both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  <w:r w:rsidRPr="009C00A0">
        <w:rPr>
          <w:rFonts w:ascii="Times New Roman" w:eastAsia="Times New Roman" w:hAnsi="Times New Roman" w:cs="Times New Roman"/>
          <w:color w:val="0000FF"/>
          <w:kern w:val="1"/>
          <w:sz w:val="20"/>
          <w:szCs w:val="20"/>
          <w:lang w:eastAsia="ar-SA"/>
        </w:rPr>
        <w:tab/>
      </w: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9C00A0" w:rsidRPr="009C00A0" w:rsidRDefault="009C00A0" w:rsidP="009C00A0">
      <w:pPr>
        <w:suppressAutoHyphens/>
        <w:spacing w:after="0" w:line="100" w:lineRule="atLeast"/>
        <w:rPr>
          <w:rFonts w:ascii="Times New Roman" w:eastAsia="Times New Roman" w:hAnsi="Times New Roman" w:cs="Times New Roman"/>
          <w:kern w:val="1"/>
          <w:sz w:val="20"/>
          <w:szCs w:val="20"/>
          <w:lang w:eastAsia="ar-SA"/>
        </w:rPr>
      </w:pPr>
    </w:p>
    <w:p w:rsidR="00BB020E" w:rsidRDefault="00BB020E"/>
    <w:sectPr w:rsidR="00BB020E" w:rsidSect="00AB13D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3BFB" w:rsidRDefault="00183BFB" w:rsidP="009C00A0">
      <w:pPr>
        <w:spacing w:after="0" w:line="240" w:lineRule="auto"/>
      </w:pPr>
      <w:r>
        <w:separator/>
      </w:r>
    </w:p>
  </w:endnote>
  <w:endnote w:type="continuationSeparator" w:id="0">
    <w:p w:rsidR="00183BFB" w:rsidRDefault="00183BFB" w:rsidP="009C00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DF5" w:rsidRDefault="007F3DF5">
    <w:pPr>
      <w:pStyle w:val="Pta"/>
    </w:pPr>
    <w:r>
      <w:t xml:space="preserve">                                                                                                 </w:t>
    </w:r>
    <w:r w:rsidR="00786B97">
      <w:fldChar w:fldCharType="begin"/>
    </w:r>
    <w:r w:rsidR="00786B97">
      <w:instrText xml:space="preserve"> PAGE </w:instrText>
    </w:r>
    <w:r w:rsidR="00786B97">
      <w:fldChar w:fldCharType="separate"/>
    </w:r>
    <w:r w:rsidR="00171EE9">
      <w:rPr>
        <w:noProof/>
      </w:rPr>
      <w:t>5</w:t>
    </w:r>
    <w:r w:rsidR="00786B97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3BFB" w:rsidRDefault="00183BFB" w:rsidP="009C00A0">
      <w:pPr>
        <w:spacing w:after="0" w:line="240" w:lineRule="auto"/>
      </w:pPr>
      <w:r>
        <w:separator/>
      </w:r>
    </w:p>
  </w:footnote>
  <w:footnote w:type="continuationSeparator" w:id="0">
    <w:p w:rsidR="00183BFB" w:rsidRDefault="00183BFB" w:rsidP="009C00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DF5" w:rsidRDefault="007F3DF5">
    <w:pPr>
      <w:pStyle w:val="Hlavika"/>
    </w:pPr>
    <w:r>
      <w:rPr>
        <w:u w:val="single"/>
      </w:rPr>
      <w:ptab w:relativeTo="margin" w:alignment="left" w:leader="none"/>
    </w:r>
    <w:r>
      <w:rPr>
        <w:u w:val="single"/>
      </w:rPr>
      <w:t>Výročná správa 2014                                                                                                         TREND Holding, s.r.o.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C00A0"/>
    <w:rsid w:val="00034072"/>
    <w:rsid w:val="000C6FDD"/>
    <w:rsid w:val="000F7307"/>
    <w:rsid w:val="00150316"/>
    <w:rsid w:val="00171EE9"/>
    <w:rsid w:val="00183BFB"/>
    <w:rsid w:val="002322B6"/>
    <w:rsid w:val="00311A5A"/>
    <w:rsid w:val="00362B07"/>
    <w:rsid w:val="003A39B8"/>
    <w:rsid w:val="0044759A"/>
    <w:rsid w:val="0046704F"/>
    <w:rsid w:val="004944A8"/>
    <w:rsid w:val="004A4D9A"/>
    <w:rsid w:val="005F5364"/>
    <w:rsid w:val="006B22C6"/>
    <w:rsid w:val="006F54D7"/>
    <w:rsid w:val="007743A8"/>
    <w:rsid w:val="00786B97"/>
    <w:rsid w:val="007F3DF5"/>
    <w:rsid w:val="008C7218"/>
    <w:rsid w:val="00944D47"/>
    <w:rsid w:val="009C00A0"/>
    <w:rsid w:val="009C4AB4"/>
    <w:rsid w:val="00A779F1"/>
    <w:rsid w:val="00AB13DF"/>
    <w:rsid w:val="00B11902"/>
    <w:rsid w:val="00B34930"/>
    <w:rsid w:val="00B35F1F"/>
    <w:rsid w:val="00B60C16"/>
    <w:rsid w:val="00BB020E"/>
    <w:rsid w:val="00BE044B"/>
    <w:rsid w:val="00BE44B8"/>
    <w:rsid w:val="00C15AB2"/>
    <w:rsid w:val="00C81409"/>
    <w:rsid w:val="00CE75EE"/>
    <w:rsid w:val="00D30C63"/>
    <w:rsid w:val="00F57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F28B9C3-F82E-47DE-8038-DC9B5C8D9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13D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C00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00A0"/>
  </w:style>
  <w:style w:type="paragraph" w:styleId="Pta">
    <w:name w:val="footer"/>
    <w:basedOn w:val="Normlny"/>
    <w:link w:val="PtaChar"/>
    <w:uiPriority w:val="99"/>
    <w:unhideWhenUsed/>
    <w:rsid w:val="009C00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00A0"/>
  </w:style>
  <w:style w:type="paragraph" w:styleId="Textbubliny">
    <w:name w:val="Balloon Text"/>
    <w:basedOn w:val="Normlny"/>
    <w:link w:val="TextbublinyChar"/>
    <w:uiPriority w:val="99"/>
    <w:semiHidden/>
    <w:unhideWhenUsed/>
    <w:rsid w:val="005F53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53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webSettings" Target="web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etrend.sk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Štruktúra aktív v percentuálnom vyjadrení r. 2014
</a:t>
            </a:r>
          </a:p>
        </c:rich>
      </c:tx>
      <c:layout>
        <c:manualLayout>
          <c:xMode val="edge"/>
          <c:yMode val="edge"/>
          <c:x val="0.14245014245014251"/>
          <c:y val="0"/>
        </c:manualLayout>
      </c:layout>
      <c:overlay val="0"/>
      <c:spPr>
        <a:noFill/>
        <a:ln w="25419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7094017094017094"/>
          <c:y val="0.4086687306501548"/>
          <c:w val="0.48148148148148162"/>
          <c:h val="0.41486068111455143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%</c:v>
                </c:pt>
              </c:strCache>
            </c:strRef>
          </c:tx>
          <c:spPr>
            <a:solidFill>
              <a:srgbClr val="9999FF"/>
            </a:solidFill>
            <a:ln w="12710">
              <a:solidFill>
                <a:srgbClr val="000000"/>
              </a:solidFill>
              <a:prstDash val="solid"/>
            </a:ln>
          </c:spPr>
          <c:dPt>
            <c:idx val="1"/>
            <c:bubble3D val="0"/>
            <c:spPr>
              <a:solidFill>
                <a:srgbClr val="993366"/>
              </a:solidFill>
              <a:ln w="12710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FFFFCC"/>
              </a:solidFill>
              <a:ln w="1271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1.8951131613503826E-3"/>
                  <c:y val="1.3195554366805985E-2"/>
                </c:manualLayout>
              </c:layout>
              <c:numFmt formatCode="0.00%" sourceLinked="0"/>
              <c:spPr>
                <a:noFill/>
                <a:ln w="25419">
                  <a:noFill/>
                </a:ln>
              </c:spPr>
              <c:txPr>
                <a:bodyPr/>
                <a:lstStyle/>
                <a:p>
                  <a:pPr>
                    <a:defRPr sz="826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8.5214650025017824E-3"/>
                  <c:y val="-3.4056872049847878E-2"/>
                </c:manualLayout>
              </c:layout>
              <c:numFmt formatCode="0.00%" sourceLinked="0"/>
              <c:spPr>
                <a:noFill/>
                <a:ln w="25419">
                  <a:noFill/>
                </a:ln>
              </c:spPr>
              <c:txPr>
                <a:bodyPr/>
                <a:lstStyle/>
                <a:p>
                  <a:pPr>
                    <a:defRPr sz="826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sk-SK"/>
                </a:p>
              </c:txPr>
              <c:dLblPos val="bestFit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0.00%" sourceLinked="0"/>
            <c:spPr>
              <a:noFill/>
              <a:ln w="25419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26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Sheet1!$B$1:$D$1</c:f>
              <c:strCache>
                <c:ptCount val="3"/>
                <c:pt idx="0">
                  <c:v>Obežné aktíva</c:v>
                </c:pt>
                <c:pt idx="1">
                  <c:v>Neobežné aktíva</c:v>
                </c:pt>
                <c:pt idx="2">
                  <c:v>Ostatné aktíva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17.43</c:v>
                </c:pt>
                <c:pt idx="1">
                  <c:v>82.25</c:v>
                </c:pt>
                <c:pt idx="2">
                  <c:v>0.32000000000000012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solidFill>
          <a:srgbClr val="C0C0C0"/>
        </a:solidFill>
        <a:ln w="1271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2763532763532799"/>
          <c:y val="0.51083591331269362"/>
          <c:w val="0.16381766381766394"/>
          <c:h val="0.20743034055727572"/>
        </c:manualLayout>
      </c:layout>
      <c:overlay val="0"/>
      <c:spPr>
        <a:noFill/>
        <a:ln w="3177">
          <a:solidFill>
            <a:srgbClr val="000000"/>
          </a:solidFill>
          <a:prstDash val="solid"/>
        </a:ln>
      </c:spPr>
      <c:txPr>
        <a:bodyPr/>
        <a:lstStyle/>
        <a:p>
          <a:pPr>
            <a:defRPr sz="781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rgbClr val="FFFFFF"/>
    </a:solidFill>
    <a:ln>
      <a:noFill/>
    </a:ln>
  </c:spPr>
  <c:txPr>
    <a:bodyPr/>
    <a:lstStyle/>
    <a:p>
      <a:pPr>
        <a:defRPr sz="112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 algn="just">
              <a:defRPr sz="1051" b="1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r>
              <a:rPr lang="sk-SK"/>
              <a:t>Štruktúra pasív v percentuálnom vyjadrení r. 2014
</a:t>
            </a:r>
          </a:p>
        </c:rich>
      </c:tx>
      <c:layout>
        <c:manualLayout>
          <c:xMode val="edge"/>
          <c:yMode val="edge"/>
          <c:x val="0.15700141442715712"/>
          <c:y val="2.0467836257309947E-2"/>
        </c:manualLayout>
      </c:layout>
      <c:overlay val="0"/>
      <c:spPr>
        <a:noFill/>
        <a:ln w="25423">
          <a:noFill/>
        </a:ln>
      </c:spPr>
    </c:title>
    <c:autoTitleDeleted val="0"/>
    <c:view3D>
      <c:rotX val="15"/>
      <c:rotY val="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5700141442715712"/>
          <c:y val="0.35672514619883033"/>
          <c:w val="0.5205091937765205"/>
          <c:h val="0.42690058479532167"/>
        </c:manualLayout>
      </c:layout>
      <c:pie3DChart>
        <c:varyColors val="1"/>
        <c:ser>
          <c:idx val="0"/>
          <c:order val="0"/>
          <c:tx>
            <c:strRef>
              <c:f>Sheet1!$A$2</c:f>
              <c:strCache>
                <c:ptCount val="1"/>
                <c:pt idx="0">
                  <c:v>%</c:v>
                </c:pt>
              </c:strCache>
            </c:strRef>
          </c:tx>
          <c:spPr>
            <a:solidFill>
              <a:srgbClr val="9999FF"/>
            </a:solidFill>
            <a:ln w="12712">
              <a:solidFill>
                <a:srgbClr val="000000"/>
              </a:solidFill>
              <a:prstDash val="solid"/>
            </a:ln>
          </c:spPr>
          <c:dPt>
            <c:idx val="1"/>
            <c:bubble3D val="0"/>
            <c:spPr>
              <a:solidFill>
                <a:srgbClr val="993366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FFFFCC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10,64%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4.0243711623370575E-3"/>
                  <c:y val="-3.3773578509470839E-2"/>
                </c:manualLayout>
              </c:layout>
              <c:tx>
                <c:rich>
                  <a:bodyPr/>
                  <a:lstStyle/>
                  <a:p>
                    <a:pPr>
                      <a:defRPr sz="851" b="0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88,81%</a:t>
                    </a:r>
                  </a:p>
                </c:rich>
              </c:tx>
              <c:numFmt formatCode="0.00%" sourceLinked="0"/>
              <c:spPr>
                <a:noFill/>
                <a:ln w="25423">
                  <a:noFill/>
                </a:ln>
              </c:sp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7.2370723554693343E-3"/>
                  <c:y val="-3.9324214931998169E-2"/>
                </c:manualLayout>
              </c:layout>
              <c:tx>
                <c:rich>
                  <a:bodyPr/>
                  <a:lstStyle/>
                  <a:p>
                    <a:pPr>
                      <a:defRPr sz="851" b="0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0,55%</a:t>
                    </a:r>
                  </a:p>
                </c:rich>
              </c:tx>
              <c:numFmt formatCode="0.00%" sourceLinked="0"/>
              <c:spPr>
                <a:noFill/>
                <a:ln w="25423">
                  <a:noFill/>
                </a:ln>
              </c:spPr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numFmt formatCode="0.00%" sourceLinked="0"/>
            <c:spPr>
              <a:noFill/>
              <a:ln w="25423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51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Sheet1!$B$1:$D$1</c:f>
              <c:strCache>
                <c:ptCount val="3"/>
                <c:pt idx="0">
                  <c:v>Záväzky</c:v>
                </c:pt>
                <c:pt idx="1">
                  <c:v>Vlastné imanie</c:v>
                </c:pt>
                <c:pt idx="2">
                  <c:v>Ostatné pasíva</c:v>
                </c:pt>
              </c:strCache>
            </c:strRef>
          </c:cat>
          <c:val>
            <c:numRef>
              <c:f>Sheet1!$B$2:$D$2</c:f>
              <c:numCache>
                <c:formatCode>0.00%</c:formatCode>
                <c:ptCount val="3"/>
                <c:pt idx="0">
                  <c:v>0.10639999999999998</c:v>
                </c:pt>
                <c:pt idx="1">
                  <c:v>0.8881</c:v>
                </c:pt>
                <c:pt idx="2">
                  <c:v>5.5000000000000014E-3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</c:strCache>
            </c:strRef>
          </c:tx>
          <c:spPr>
            <a:solidFill>
              <a:srgbClr val="993366"/>
            </a:solidFill>
            <a:ln w="12712">
              <a:solidFill>
                <a:srgbClr val="000000"/>
              </a:solidFill>
              <a:prstDash val="solid"/>
            </a:ln>
          </c:spPr>
          <c:dPt>
            <c:idx val="0"/>
            <c:bubble3D val="0"/>
            <c:spPr>
              <a:solidFill>
                <a:srgbClr val="9999FF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Pt>
            <c:idx val="2"/>
            <c:bubble3D val="0"/>
            <c:spPr>
              <a:solidFill>
                <a:srgbClr val="FFFFCC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Lbls>
            <c:spPr>
              <a:noFill/>
              <a:ln w="25423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551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1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Sheet1!$B$1:$D$1</c:f>
              <c:strCache>
                <c:ptCount val="3"/>
                <c:pt idx="0">
                  <c:v>Záväzky</c:v>
                </c:pt>
                <c:pt idx="1">
                  <c:v>Vlastné imanie</c:v>
                </c:pt>
                <c:pt idx="2">
                  <c:v>Ostatné pasíva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</c:strCache>
            </c:strRef>
          </c:tx>
          <c:spPr>
            <a:solidFill>
              <a:srgbClr val="FFFFCC"/>
            </a:solidFill>
            <a:ln w="12712">
              <a:solidFill>
                <a:srgbClr val="000000"/>
              </a:solidFill>
              <a:prstDash val="solid"/>
            </a:ln>
          </c:spPr>
          <c:dPt>
            <c:idx val="0"/>
            <c:bubble3D val="0"/>
            <c:spPr>
              <a:solidFill>
                <a:srgbClr val="9999FF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Pt>
            <c:idx val="1"/>
            <c:bubble3D val="0"/>
            <c:spPr>
              <a:solidFill>
                <a:srgbClr val="993366"/>
              </a:solidFill>
              <a:ln w="12712">
                <a:solidFill>
                  <a:srgbClr val="000000"/>
                </a:solidFill>
                <a:prstDash val="solid"/>
              </a:ln>
            </c:spPr>
          </c:dPt>
          <c:dLbls>
            <c:spPr>
              <a:noFill/>
              <a:ln w="25423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551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1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Sheet1!$B$1:$D$1</c:f>
              <c:strCache>
                <c:ptCount val="3"/>
                <c:pt idx="0">
                  <c:v>Záväzky</c:v>
                </c:pt>
                <c:pt idx="1">
                  <c:v>Vlastné imanie</c:v>
                </c:pt>
                <c:pt idx="2">
                  <c:v>Ostatné pasíva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</c:numCache>
            </c:numRef>
          </c:val>
        </c:ser>
        <c:dLbls>
          <c:showLegendKey val="0"/>
          <c:showVal val="0"/>
          <c:showCatName val="0"/>
          <c:showSerName val="1"/>
          <c:showPercent val="0"/>
          <c:showBubbleSize val="0"/>
          <c:showLeaderLines val="1"/>
        </c:dLbls>
      </c:pie3DChart>
      <c:spPr>
        <a:solidFill>
          <a:srgbClr val="C0C0C0"/>
        </a:solidFill>
        <a:ln w="12712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81831131360253961"/>
          <c:y val="0.483337507273705"/>
          <c:w val="0.16783507291327668"/>
          <c:h val="0.17911507553604444"/>
        </c:manualLayout>
      </c:layout>
      <c:overlay val="0"/>
      <c:txPr>
        <a:bodyPr/>
        <a:lstStyle/>
        <a:p>
          <a:pPr>
            <a:defRPr sz="700" baseline="0"/>
          </a:pPr>
          <a:endParaRPr lang="sk-SK"/>
        </a:p>
      </c:txPr>
    </c:legend>
    <c:plotVisOnly val="1"/>
    <c:dispBlanksAs val="zero"/>
    <c:showDLblsOverMax val="0"/>
  </c:chart>
  <c:spPr>
    <a:noFill/>
    <a:ln>
      <a:noFill/>
    </a:ln>
  </c:spPr>
  <c:txPr>
    <a:bodyPr/>
    <a:lstStyle/>
    <a:p>
      <a:pPr>
        <a:defRPr sz="551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1321</Words>
  <Characters>7531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4</vt:i4>
      </vt:variant>
    </vt:vector>
  </HeadingPairs>
  <TitlesOfParts>
    <vt:vector size="5" baseType="lpstr">
      <vt:lpstr/>
      <vt:lpstr/>
      <vt:lpstr>Základné činnosti spoločnosti</vt:lpstr>
      <vt:lpstr>    </vt:lpstr>
      <vt:lpstr>    Vydavateľské aktivity </vt:lpstr>
    </vt:vector>
  </TitlesOfParts>
  <Company/>
  <LinksUpToDate>false</LinksUpToDate>
  <CharactersWithSpaces>8835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</dc:creator>
  <cp:keywords/>
  <dc:description/>
  <cp:lastModifiedBy>Kamila Mačešič</cp:lastModifiedBy>
  <cp:revision>5</cp:revision>
  <dcterms:created xsi:type="dcterms:W3CDTF">2015-10-21T15:25:00Z</dcterms:created>
  <dcterms:modified xsi:type="dcterms:W3CDTF">2015-12-08T14:02:00Z</dcterms:modified>
</cp:coreProperties>
</file>