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252F" w:rsidRDefault="00BA252F">
      <w:pPr>
        <w:jc w:val="center"/>
      </w:pPr>
      <w:bookmarkStart w:id="0" w:name="_GoBack"/>
      <w:bookmarkEnd w:id="0"/>
    </w:p>
    <w:p w:rsidR="00BA252F" w:rsidRDefault="00BA252F">
      <w:pPr>
        <w:jc w:val="center"/>
      </w:pPr>
    </w:p>
    <w:p w:rsidR="00BA252F" w:rsidRDefault="00BA252F">
      <w:pPr>
        <w:jc w:val="center"/>
      </w:pPr>
    </w:p>
    <w:p w:rsidR="00BA252F" w:rsidRDefault="00BA252F">
      <w:pPr>
        <w:jc w:val="center"/>
      </w:pPr>
    </w:p>
    <w:p w:rsidR="00BA252F" w:rsidRDefault="00BA252F">
      <w:pPr>
        <w:jc w:val="center"/>
      </w:pPr>
    </w:p>
    <w:p w:rsidR="00BA252F" w:rsidRDefault="00B614CB">
      <w:pPr>
        <w:jc w:val="center"/>
      </w:pPr>
      <w:r>
        <w:rPr>
          <w:rFonts w:ascii="Bookman Old Style" w:eastAsia="Bookman Old Style" w:hAnsi="Bookman Old Style" w:cs="Bookman Old Style"/>
          <w:b/>
          <w:sz w:val="80"/>
        </w:rPr>
        <w:t>Výročná správa obce Hájske za rok 2013</w:t>
      </w:r>
    </w:p>
    <w:p w:rsidR="00BA252F" w:rsidRDefault="00B614CB">
      <w:pPr>
        <w:jc w:val="center"/>
      </w:pPr>
      <w:r>
        <w:object w:dxaOrig="2205" w:dyaOrig="2295" w14:anchorId="19192AA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110.25pt;height:114.75pt;visibility:visible;mso-wrap-style:square" o:ole="">
            <v:imagedata r:id="rId7" o:title=""/>
          </v:shape>
          <o:OLEObject Type="Embed" ProgID="StaticMetafile" ShapeID="Picture 1" DrawAspect="Content" ObjectID="_1513061666" r:id="rId8"/>
        </w:object>
      </w:r>
    </w:p>
    <w:p w:rsidR="00BA252F" w:rsidRDefault="00BA252F">
      <w:pPr>
        <w:jc w:val="center"/>
      </w:pPr>
    </w:p>
    <w:p w:rsidR="00BA252F" w:rsidRDefault="00BA252F">
      <w:pPr>
        <w:jc w:val="center"/>
      </w:pPr>
    </w:p>
    <w:p w:rsidR="00BA252F" w:rsidRDefault="00BA252F">
      <w:pPr>
        <w:jc w:val="center"/>
      </w:pPr>
    </w:p>
    <w:p w:rsidR="00BA252F" w:rsidRDefault="00BA252F">
      <w:pPr>
        <w:jc w:val="center"/>
      </w:pPr>
    </w:p>
    <w:p w:rsidR="00BA252F" w:rsidRDefault="00BA252F">
      <w:pPr>
        <w:jc w:val="center"/>
      </w:pPr>
    </w:p>
    <w:p w:rsidR="00BA252F" w:rsidRDefault="00BA252F">
      <w:pPr>
        <w:jc w:val="center"/>
      </w:pPr>
    </w:p>
    <w:p w:rsidR="00BA252F" w:rsidRDefault="00BA252F">
      <w:pPr>
        <w:jc w:val="center"/>
      </w:pPr>
    </w:p>
    <w:p w:rsidR="00BA252F" w:rsidRDefault="00BA252F">
      <w:pPr>
        <w:jc w:val="center"/>
      </w:pPr>
    </w:p>
    <w:p w:rsidR="00BA252F" w:rsidRDefault="00BA252F">
      <w:pPr>
        <w:jc w:val="center"/>
      </w:pPr>
    </w:p>
    <w:p w:rsidR="00BA252F" w:rsidRDefault="00BA252F">
      <w:pPr>
        <w:jc w:val="center"/>
      </w:pPr>
    </w:p>
    <w:p w:rsidR="00BA252F" w:rsidRDefault="00BA252F">
      <w:pPr>
        <w:jc w:val="center"/>
      </w:pPr>
    </w:p>
    <w:p w:rsidR="00BA252F" w:rsidRDefault="00BA252F">
      <w:pPr>
        <w:jc w:val="center"/>
      </w:pPr>
    </w:p>
    <w:p w:rsidR="00BA252F" w:rsidRDefault="00BA252F">
      <w:pPr>
        <w:jc w:val="center"/>
      </w:pPr>
    </w:p>
    <w:p w:rsidR="00BA252F" w:rsidRDefault="00B614CB">
      <w:r>
        <w:rPr>
          <w:rFonts w:ascii="Bookman Old Style" w:eastAsia="Bookman Old Style" w:hAnsi="Bookman Old Style" w:cs="Bookman Old Style"/>
          <w:sz w:val="26"/>
        </w:rPr>
        <w:t>Vypracovala: Jana Popelková</w:t>
      </w: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t>Jozef Matušica</w:t>
      </w:r>
    </w:p>
    <w:p w:rsidR="00BA252F" w:rsidRDefault="00B614CB">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r>
      <w:r>
        <w:rPr>
          <w:rFonts w:ascii="Bookman Old Style" w:eastAsia="Bookman Old Style" w:hAnsi="Bookman Old Style" w:cs="Bookman Old Style"/>
          <w:sz w:val="26"/>
        </w:rPr>
        <w:tab/>
        <w:t xml:space="preserve"> starosta obce</w:t>
      </w:r>
    </w:p>
    <w:p w:rsidR="00BA252F" w:rsidRDefault="00BA252F"/>
    <w:p w:rsidR="00BA252F" w:rsidRDefault="00BA252F"/>
    <w:p w:rsidR="00BA252F" w:rsidRDefault="00BA252F"/>
    <w:p w:rsidR="00BA252F" w:rsidRDefault="00B614CB">
      <w:pPr>
        <w:spacing w:after="227"/>
      </w:pPr>
      <w:r>
        <w:rPr>
          <w:rFonts w:ascii="Bookman Old Style" w:eastAsia="Bookman Old Style" w:hAnsi="Bookman Old Style" w:cs="Bookman Old Style"/>
          <w:b/>
          <w:sz w:val="26"/>
        </w:rPr>
        <w:t>OBSAH:</w:t>
      </w:r>
    </w:p>
    <w:p w:rsidR="00BA252F" w:rsidRDefault="00BA252F">
      <w:pPr>
        <w:spacing w:after="227"/>
      </w:pPr>
    </w:p>
    <w:p w:rsidR="00BA252F" w:rsidRDefault="00B614CB">
      <w:pPr>
        <w:numPr>
          <w:ilvl w:val="0"/>
          <w:numId w:val="1"/>
        </w:numPr>
        <w:spacing w:after="227"/>
        <w:ind w:left="-360" w:firstLine="360"/>
      </w:pPr>
      <w:r>
        <w:rPr>
          <w:rFonts w:ascii="Bookman Old Style" w:eastAsia="Bookman Old Style" w:hAnsi="Bookman Old Style" w:cs="Bookman Old Style"/>
          <w:sz w:val="26"/>
        </w:rPr>
        <w:t xml:space="preserve">Základná </w:t>
      </w:r>
      <w:r>
        <w:rPr>
          <w:rFonts w:ascii="Bookman Old Style" w:eastAsia="Bookman Old Style" w:hAnsi="Bookman Old Style" w:cs="Bookman Old Style"/>
          <w:sz w:val="26"/>
        </w:rPr>
        <w:t>charakteristika obce</w:t>
      </w:r>
    </w:p>
    <w:p w:rsidR="00BA252F" w:rsidRDefault="00B614CB">
      <w:pPr>
        <w:spacing w:after="227"/>
      </w:pPr>
      <w:r>
        <w:rPr>
          <w:rFonts w:ascii="Bookman Old Style" w:eastAsia="Bookman Old Style" w:hAnsi="Bookman Old Style" w:cs="Bookman Old Style"/>
          <w:sz w:val="26"/>
        </w:rPr>
        <w:t>1.1 Identifikačné údaje</w:t>
      </w:r>
    </w:p>
    <w:p w:rsidR="00BA252F" w:rsidRDefault="00B614CB">
      <w:pPr>
        <w:spacing w:after="227"/>
      </w:pPr>
      <w:r>
        <w:rPr>
          <w:rFonts w:ascii="Bookman Old Style" w:eastAsia="Bookman Old Style" w:hAnsi="Bookman Old Style" w:cs="Bookman Old Style"/>
          <w:sz w:val="26"/>
        </w:rPr>
        <w:t>1.2 Vývoj obyvateľstva</w:t>
      </w:r>
    </w:p>
    <w:p w:rsidR="00BA252F" w:rsidRDefault="00B614CB">
      <w:pPr>
        <w:spacing w:after="227"/>
      </w:pPr>
      <w:r>
        <w:rPr>
          <w:rFonts w:ascii="Bookman Old Style" w:eastAsia="Bookman Old Style" w:hAnsi="Bookman Old Style" w:cs="Bookman Old Style"/>
          <w:sz w:val="26"/>
        </w:rPr>
        <w:t>1.3 Geografické údaje</w:t>
      </w:r>
    </w:p>
    <w:p w:rsidR="00BA252F" w:rsidRDefault="00B614CB">
      <w:pPr>
        <w:spacing w:after="227"/>
      </w:pPr>
      <w:r>
        <w:rPr>
          <w:rFonts w:ascii="Bookman Old Style" w:eastAsia="Bookman Old Style" w:hAnsi="Bookman Old Style" w:cs="Bookman Old Style"/>
          <w:sz w:val="26"/>
        </w:rPr>
        <w:t>1.4 Symboly obce</w:t>
      </w:r>
    </w:p>
    <w:p w:rsidR="00BA252F" w:rsidRDefault="00B614CB">
      <w:pPr>
        <w:spacing w:after="227"/>
      </w:pPr>
      <w:r>
        <w:rPr>
          <w:rFonts w:ascii="Bookman Old Style" w:eastAsia="Bookman Old Style" w:hAnsi="Bookman Old Style" w:cs="Bookman Old Style"/>
          <w:sz w:val="26"/>
        </w:rPr>
        <w:lastRenderedPageBreak/>
        <w:t>1.5 História obce</w:t>
      </w:r>
    </w:p>
    <w:p w:rsidR="00BA252F" w:rsidRDefault="00B614CB">
      <w:pPr>
        <w:spacing w:after="227"/>
      </w:pPr>
      <w:r>
        <w:rPr>
          <w:rFonts w:ascii="Bookman Old Style" w:eastAsia="Bookman Old Style" w:hAnsi="Bookman Old Style" w:cs="Bookman Old Style"/>
          <w:sz w:val="26"/>
        </w:rPr>
        <w:t>1.6 Pamiatky</w:t>
      </w:r>
    </w:p>
    <w:p w:rsidR="00BA252F" w:rsidRDefault="00B614CB">
      <w:pPr>
        <w:spacing w:after="227"/>
      </w:pPr>
      <w:r>
        <w:rPr>
          <w:rFonts w:ascii="Bookman Old Style" w:eastAsia="Bookman Old Style" w:hAnsi="Bookman Old Style" w:cs="Bookman Old Style"/>
          <w:sz w:val="26"/>
        </w:rPr>
        <w:t>1.7 Organizačná štruktúra obce</w:t>
      </w:r>
    </w:p>
    <w:p w:rsidR="00BA252F" w:rsidRDefault="00B614CB">
      <w:pPr>
        <w:numPr>
          <w:ilvl w:val="0"/>
          <w:numId w:val="2"/>
        </w:numPr>
        <w:spacing w:after="227"/>
        <w:ind w:left="-360" w:firstLine="360"/>
      </w:pPr>
      <w:r>
        <w:rPr>
          <w:rFonts w:ascii="Bookman Old Style" w:eastAsia="Bookman Old Style" w:hAnsi="Bookman Old Style" w:cs="Bookman Old Style"/>
          <w:sz w:val="26"/>
        </w:rPr>
        <w:t>Rozpočet obce na rok 2013 a jeho plnenie</w:t>
      </w:r>
    </w:p>
    <w:p w:rsidR="00BA252F" w:rsidRDefault="00B614CB">
      <w:pPr>
        <w:numPr>
          <w:ilvl w:val="0"/>
          <w:numId w:val="2"/>
        </w:numPr>
        <w:spacing w:after="227"/>
        <w:ind w:left="-360" w:firstLine="360"/>
      </w:pPr>
      <w:r>
        <w:rPr>
          <w:rFonts w:ascii="Bookman Old Style" w:eastAsia="Bookman Old Style" w:hAnsi="Bookman Old Style" w:cs="Bookman Old Style"/>
          <w:sz w:val="26"/>
        </w:rPr>
        <w:t>Bilancia aktív a pasív</w:t>
      </w:r>
    </w:p>
    <w:p w:rsidR="00BA252F" w:rsidRDefault="00B614CB">
      <w:pPr>
        <w:numPr>
          <w:ilvl w:val="0"/>
          <w:numId w:val="2"/>
        </w:numPr>
        <w:spacing w:after="227"/>
        <w:ind w:left="-360" w:firstLine="360"/>
      </w:pPr>
      <w:r>
        <w:rPr>
          <w:rFonts w:ascii="Bookman Old Style" w:eastAsia="Bookman Old Style" w:hAnsi="Bookman Old Style" w:cs="Bookman Old Style"/>
          <w:sz w:val="26"/>
        </w:rPr>
        <w:t>Vývoj pohľadávok a závä</w:t>
      </w:r>
      <w:r>
        <w:rPr>
          <w:rFonts w:ascii="Bookman Old Style" w:eastAsia="Bookman Old Style" w:hAnsi="Bookman Old Style" w:cs="Bookman Old Style"/>
          <w:sz w:val="26"/>
        </w:rPr>
        <w:t>zkov</w:t>
      </w:r>
    </w:p>
    <w:p w:rsidR="00BA252F" w:rsidRDefault="00B614CB">
      <w:pPr>
        <w:numPr>
          <w:ilvl w:val="0"/>
          <w:numId w:val="2"/>
        </w:numPr>
        <w:spacing w:after="227"/>
        <w:ind w:left="-360" w:firstLine="360"/>
      </w:pPr>
      <w:r>
        <w:rPr>
          <w:rFonts w:ascii="Bookman Old Style" w:eastAsia="Bookman Old Style" w:hAnsi="Bookman Old Style" w:cs="Bookman Old Style"/>
          <w:sz w:val="26"/>
        </w:rPr>
        <w:t>Ostatné dôležité informácie</w:t>
      </w:r>
    </w:p>
    <w:p w:rsidR="00BA252F" w:rsidRDefault="00B614CB">
      <w:pPr>
        <w:spacing w:after="227"/>
      </w:pPr>
      <w:r>
        <w:rPr>
          <w:rFonts w:ascii="Bookman Old Style" w:eastAsia="Bookman Old Style" w:hAnsi="Bookman Old Style" w:cs="Bookman Old Style"/>
          <w:sz w:val="26"/>
        </w:rPr>
        <w:t>5.1 Prijaté granty a transfery</w:t>
      </w:r>
    </w:p>
    <w:p w:rsidR="00BA252F" w:rsidRDefault="00B614CB">
      <w:pPr>
        <w:spacing w:after="227"/>
      </w:pPr>
      <w:r>
        <w:rPr>
          <w:rFonts w:ascii="Bookman Old Style" w:eastAsia="Bookman Old Style" w:hAnsi="Bookman Old Style" w:cs="Bookman Old Style"/>
          <w:sz w:val="26"/>
        </w:rPr>
        <w:t>5.2 Poskytnuté dotácie</w:t>
      </w:r>
    </w:p>
    <w:p w:rsidR="00BA252F" w:rsidRDefault="00BA252F">
      <w:pPr>
        <w:spacing w:after="113"/>
      </w:pPr>
    </w:p>
    <w:p w:rsidR="00BA252F" w:rsidRDefault="00BA252F">
      <w:pPr>
        <w:spacing w:after="113"/>
      </w:pPr>
    </w:p>
    <w:p w:rsidR="00BA252F" w:rsidRDefault="00BA252F">
      <w:pPr>
        <w:spacing w:after="113"/>
      </w:pPr>
    </w:p>
    <w:p w:rsidR="00BA252F" w:rsidRDefault="00BA252F">
      <w:pPr>
        <w:spacing w:after="113"/>
      </w:pPr>
    </w:p>
    <w:p w:rsidR="00BA252F" w:rsidRDefault="00BA252F">
      <w:pPr>
        <w:spacing w:after="113"/>
      </w:pPr>
    </w:p>
    <w:p w:rsidR="00BA252F" w:rsidRDefault="00BA252F">
      <w:pPr>
        <w:spacing w:after="113"/>
      </w:pPr>
    </w:p>
    <w:p w:rsidR="00BA252F" w:rsidRDefault="00BA252F">
      <w:pPr>
        <w:spacing w:after="113"/>
      </w:pPr>
    </w:p>
    <w:p w:rsidR="00BA252F" w:rsidRDefault="00BA252F">
      <w:pPr>
        <w:spacing w:after="113"/>
      </w:pPr>
    </w:p>
    <w:p w:rsidR="00BA252F" w:rsidRDefault="00BA252F">
      <w:pPr>
        <w:spacing w:after="113"/>
      </w:pPr>
    </w:p>
    <w:p w:rsidR="00BA252F" w:rsidRDefault="00BA252F">
      <w:pPr>
        <w:spacing w:after="113"/>
      </w:pPr>
    </w:p>
    <w:p w:rsidR="00BA252F" w:rsidRDefault="00BA252F">
      <w:pPr>
        <w:spacing w:after="113"/>
      </w:pPr>
    </w:p>
    <w:p w:rsidR="00BA252F" w:rsidRDefault="00BA252F">
      <w:pPr>
        <w:spacing w:after="113"/>
      </w:pPr>
    </w:p>
    <w:p w:rsidR="00BA252F" w:rsidRDefault="00BA252F">
      <w:pPr>
        <w:spacing w:after="113"/>
      </w:pPr>
    </w:p>
    <w:p w:rsidR="00BA252F" w:rsidRDefault="00B614CB">
      <w:pPr>
        <w:numPr>
          <w:ilvl w:val="0"/>
          <w:numId w:val="3"/>
        </w:numPr>
        <w:spacing w:after="113"/>
        <w:ind w:left="-360" w:firstLine="360"/>
      </w:pPr>
      <w:r>
        <w:rPr>
          <w:rFonts w:ascii="Bookman Old Style" w:eastAsia="Bookman Old Style" w:hAnsi="Bookman Old Style" w:cs="Bookman Old Style"/>
          <w:b/>
          <w:sz w:val="26"/>
        </w:rPr>
        <w:t>Základná charakteristika obce Hájske</w:t>
      </w:r>
    </w:p>
    <w:p w:rsidR="00BA252F" w:rsidRDefault="00BA252F">
      <w:pPr>
        <w:spacing w:after="113"/>
      </w:pPr>
    </w:p>
    <w:p w:rsidR="00BA252F" w:rsidRDefault="00B614CB">
      <w:r>
        <w:rPr>
          <w:rFonts w:ascii="Bookman Old Style" w:eastAsia="Bookman Old Style" w:hAnsi="Bookman Old Style" w:cs="Bookman Old Style"/>
          <w:b/>
          <w:i/>
          <w:color w:val="FF0000"/>
          <w:sz w:val="24"/>
        </w:rPr>
        <w:t>1.1 Identifikačné údaje</w:t>
      </w:r>
    </w:p>
    <w:p w:rsidR="00BA252F" w:rsidRDefault="00B614CB">
      <w:r>
        <w:rPr>
          <w:rFonts w:ascii="Bookman Old Style" w:eastAsia="Bookman Old Style" w:hAnsi="Bookman Old Style" w:cs="Bookman Old Style"/>
          <w:sz w:val="24"/>
        </w:rPr>
        <w:t>Názov:</w:t>
      </w:r>
      <w:r>
        <w:rPr>
          <w:rFonts w:ascii="Bookman Old Style" w:eastAsia="Bookman Old Style" w:hAnsi="Bookman Old Style" w:cs="Bookman Old Style"/>
          <w:sz w:val="24"/>
        </w:rPr>
        <w:tab/>
        <w:t>Obec Hájske</w:t>
      </w:r>
    </w:p>
    <w:p w:rsidR="00BA252F" w:rsidRDefault="00B614CB">
      <w:r>
        <w:rPr>
          <w:rFonts w:ascii="Bookman Old Style" w:eastAsia="Bookman Old Style" w:hAnsi="Bookman Old Style" w:cs="Bookman Old Style"/>
          <w:sz w:val="24"/>
        </w:rPr>
        <w:tab/>
      </w:r>
      <w:r>
        <w:rPr>
          <w:rFonts w:ascii="Bookman Old Style" w:eastAsia="Bookman Old Style" w:hAnsi="Bookman Old Style" w:cs="Bookman Old Style"/>
          <w:sz w:val="24"/>
        </w:rPr>
        <w:tab/>
        <w:t>adresa pre poštový styk: Obecný úrad Hájske, 951 33  Hájske č. 410</w:t>
      </w:r>
    </w:p>
    <w:p w:rsidR="00BA252F" w:rsidRDefault="00B614CB">
      <w:r>
        <w:rPr>
          <w:rFonts w:ascii="Bookman Old Style" w:eastAsia="Bookman Old Style" w:hAnsi="Bookman Old Style" w:cs="Bookman Old Style"/>
          <w:sz w:val="24"/>
        </w:rPr>
        <w:t xml:space="preserve">Tel. </w:t>
      </w:r>
      <w:r>
        <w:rPr>
          <w:rFonts w:ascii="Bookman Old Style" w:eastAsia="Bookman Old Style" w:hAnsi="Bookman Old Style" w:cs="Bookman Old Style"/>
          <w:sz w:val="24"/>
        </w:rPr>
        <w:t>č.:</w:t>
      </w:r>
      <w:r>
        <w:rPr>
          <w:rFonts w:ascii="Bookman Old Style" w:eastAsia="Bookman Old Style" w:hAnsi="Bookman Old Style" w:cs="Bookman Old Style"/>
          <w:sz w:val="24"/>
        </w:rPr>
        <w:tab/>
        <w:t>037/7819037, 037/7819084, 037/7819189</w:t>
      </w:r>
    </w:p>
    <w:p w:rsidR="00BA252F" w:rsidRDefault="00B614CB">
      <w:r>
        <w:rPr>
          <w:rFonts w:ascii="Bookman Old Style" w:eastAsia="Bookman Old Style" w:hAnsi="Bookman Old Style" w:cs="Bookman Old Style"/>
          <w:sz w:val="24"/>
        </w:rPr>
        <w:t>Fax:</w:t>
      </w:r>
      <w:r>
        <w:rPr>
          <w:rFonts w:ascii="Bookman Old Style" w:eastAsia="Bookman Old Style" w:hAnsi="Bookman Old Style" w:cs="Bookman Old Style"/>
          <w:sz w:val="24"/>
        </w:rPr>
        <w:tab/>
      </w:r>
      <w:r>
        <w:rPr>
          <w:rFonts w:ascii="Bookman Old Style" w:eastAsia="Bookman Old Style" w:hAnsi="Bookman Old Style" w:cs="Bookman Old Style"/>
          <w:sz w:val="24"/>
        </w:rPr>
        <w:tab/>
        <w:t>037/7819037</w:t>
      </w:r>
    </w:p>
    <w:p w:rsidR="00BA252F" w:rsidRDefault="00B614CB">
      <w:r>
        <w:rPr>
          <w:rFonts w:ascii="Bookman Old Style" w:eastAsia="Bookman Old Style" w:hAnsi="Bookman Old Style" w:cs="Bookman Old Style"/>
          <w:sz w:val="24"/>
        </w:rPr>
        <w:t>e-mail:</w:t>
      </w:r>
      <w:r>
        <w:rPr>
          <w:rFonts w:ascii="Bookman Old Style" w:eastAsia="Bookman Old Style" w:hAnsi="Bookman Old Style" w:cs="Bookman Old Style"/>
          <w:sz w:val="24"/>
        </w:rPr>
        <w:tab/>
      </w:r>
      <w:hyperlink r:id="rId9" w:history="1">
        <w:r>
          <w:rPr>
            <w:rFonts w:ascii="Bookman Old Style" w:eastAsia="Bookman Old Style" w:hAnsi="Bookman Old Style" w:cs="Bookman Old Style"/>
            <w:color w:val="0000FF"/>
            <w:sz w:val="24"/>
            <w:u w:val="single"/>
          </w:rPr>
          <w:t>obec@hajske.sk</w:t>
        </w:r>
      </w:hyperlink>
    </w:p>
    <w:p w:rsidR="00BA252F" w:rsidRDefault="00B614CB">
      <w:r>
        <w:rPr>
          <w:rFonts w:ascii="Bookman Old Style" w:eastAsia="Bookman Old Style" w:hAnsi="Bookman Old Style" w:cs="Bookman Old Style"/>
          <w:sz w:val="24"/>
        </w:rPr>
        <w:t>web:</w:t>
      </w:r>
      <w:r>
        <w:rPr>
          <w:rFonts w:ascii="Bookman Old Style" w:eastAsia="Bookman Old Style" w:hAnsi="Bookman Old Style" w:cs="Bookman Old Style"/>
          <w:sz w:val="24"/>
        </w:rPr>
        <w:tab/>
      </w:r>
      <w:r>
        <w:rPr>
          <w:rFonts w:ascii="Bookman Old Style" w:eastAsia="Bookman Old Style" w:hAnsi="Bookman Old Style" w:cs="Bookman Old Style"/>
          <w:sz w:val="24"/>
        </w:rPr>
        <w:tab/>
      </w:r>
      <w:hyperlink r:id="rId10" w:history="1">
        <w:r>
          <w:rPr>
            <w:rFonts w:ascii="Bookman Old Style" w:eastAsia="Bookman Old Style" w:hAnsi="Bookman Old Style" w:cs="Bookman Old Style"/>
            <w:color w:val="0000FF"/>
            <w:sz w:val="24"/>
            <w:u w:val="single"/>
          </w:rPr>
          <w:t>www.hajske.sk</w:t>
        </w:r>
      </w:hyperlink>
    </w:p>
    <w:p w:rsidR="00BA252F" w:rsidRDefault="00B614CB">
      <w:r>
        <w:rPr>
          <w:rFonts w:ascii="Bookman Old Style" w:eastAsia="Bookman Old Style" w:hAnsi="Bookman Old Style" w:cs="Bookman Old Style"/>
          <w:sz w:val="24"/>
        </w:rPr>
        <w:t>Okres:</w:t>
      </w:r>
      <w:r>
        <w:rPr>
          <w:rFonts w:ascii="Bookman Old Style" w:eastAsia="Bookman Old Style" w:hAnsi="Bookman Old Style" w:cs="Bookman Old Style"/>
          <w:sz w:val="24"/>
        </w:rPr>
        <w:tab/>
        <w:t>Šaľa</w:t>
      </w:r>
    </w:p>
    <w:p w:rsidR="00BA252F" w:rsidRDefault="00B614CB">
      <w:r>
        <w:rPr>
          <w:rFonts w:ascii="Bookman Old Style" w:eastAsia="Bookman Old Style" w:hAnsi="Bookman Old Style" w:cs="Bookman Old Style"/>
          <w:sz w:val="24"/>
        </w:rPr>
        <w:t xml:space="preserve">IČO: </w:t>
      </w:r>
      <w:r>
        <w:rPr>
          <w:rFonts w:ascii="Bookman Old Style" w:eastAsia="Bookman Old Style" w:hAnsi="Bookman Old Style" w:cs="Bookman Old Style"/>
          <w:sz w:val="24"/>
        </w:rPr>
        <w:tab/>
      </w:r>
      <w:r>
        <w:rPr>
          <w:rFonts w:ascii="Bookman Old Style" w:eastAsia="Bookman Old Style" w:hAnsi="Bookman Old Style" w:cs="Bookman Old Style"/>
          <w:sz w:val="24"/>
        </w:rPr>
        <w:tab/>
        <w:t>00307947</w:t>
      </w:r>
    </w:p>
    <w:p w:rsidR="00BA252F" w:rsidRDefault="00B614CB">
      <w:r>
        <w:rPr>
          <w:rFonts w:ascii="Bookman Old Style" w:eastAsia="Bookman Old Style" w:hAnsi="Bookman Old Style" w:cs="Bookman Old Style"/>
          <w:sz w:val="24"/>
        </w:rPr>
        <w:t>DIČ:</w:t>
      </w:r>
      <w:r>
        <w:rPr>
          <w:rFonts w:ascii="Bookman Old Style" w:eastAsia="Bookman Old Style" w:hAnsi="Bookman Old Style" w:cs="Bookman Old Style"/>
          <w:sz w:val="24"/>
        </w:rPr>
        <w:tab/>
      </w:r>
      <w:r>
        <w:rPr>
          <w:rFonts w:ascii="Bookman Old Style" w:eastAsia="Bookman Old Style" w:hAnsi="Bookman Old Style" w:cs="Bookman Old Style"/>
          <w:sz w:val="24"/>
        </w:rPr>
        <w:tab/>
        <w:t>2021252717</w:t>
      </w:r>
    </w:p>
    <w:p w:rsidR="00BA252F" w:rsidRDefault="00B614CB">
      <w:r>
        <w:rPr>
          <w:rFonts w:ascii="Bookman Old Style" w:eastAsia="Bookman Old Style" w:hAnsi="Bookman Old Style" w:cs="Bookman Old Style"/>
          <w:sz w:val="24"/>
        </w:rPr>
        <w:t>Právna forma: právnická osoba</w:t>
      </w:r>
    </w:p>
    <w:p w:rsidR="00BA252F" w:rsidRDefault="00B614CB">
      <w:r>
        <w:rPr>
          <w:rFonts w:ascii="Bookman Old Style" w:eastAsia="Bookman Old Style" w:hAnsi="Bookman Old Style" w:cs="Bookman Old Style"/>
          <w:sz w:val="24"/>
        </w:rPr>
        <w:lastRenderedPageBreak/>
        <w:t>Deň vyniku: Obec ako samostatný územný samosprávny a správny celok sa riadi zákonom č. 369/1990 Zb. O obecnom zriadení v znení neskorších zmien a doplnkov a Ústavou SR</w:t>
      </w:r>
    </w:p>
    <w:p w:rsidR="00BA252F" w:rsidRDefault="00B614CB">
      <w:r>
        <w:rPr>
          <w:rFonts w:ascii="Bookman Old Style" w:eastAsia="Bookman Old Style" w:hAnsi="Bookman Old Style" w:cs="Bookman Old Style"/>
          <w:sz w:val="24"/>
        </w:rPr>
        <w:t>Rozloha obce: 1 400 ha</w:t>
      </w:r>
    </w:p>
    <w:p w:rsidR="00BA252F" w:rsidRDefault="00BA252F"/>
    <w:p w:rsidR="00BA252F" w:rsidRDefault="00B614CB">
      <w:r>
        <w:rPr>
          <w:rFonts w:ascii="Bookman Old Style" w:eastAsia="Bookman Old Style" w:hAnsi="Bookman Old Style" w:cs="Bookman Old Style"/>
          <w:b/>
          <w:i/>
          <w:color w:val="FF0000"/>
          <w:sz w:val="24"/>
        </w:rPr>
        <w:t>1.2 Vývoj obyvateľstva</w:t>
      </w:r>
    </w:p>
    <w:p w:rsidR="00BA252F" w:rsidRDefault="00B614CB">
      <w:r>
        <w:rPr>
          <w:rFonts w:ascii="Bookman Old Style" w:eastAsia="Bookman Old Style" w:hAnsi="Bookman Old Style" w:cs="Bookman Old Style"/>
          <w:sz w:val="24"/>
        </w:rPr>
        <w:t>Počet obyvateľov k 31.12.2013: 1348</w:t>
      </w:r>
    </w:p>
    <w:p w:rsidR="00BA252F" w:rsidRDefault="00BA252F"/>
    <w:p w:rsidR="00BA252F" w:rsidRDefault="00B614CB">
      <w:r>
        <w:rPr>
          <w:rFonts w:ascii="Bookman Old Style" w:eastAsia="Bookman Old Style" w:hAnsi="Bookman Old Style" w:cs="Bookman Old Style"/>
          <w:sz w:val="24"/>
        </w:rPr>
        <w:t>Hustota a počet obyvateľov:</w:t>
      </w:r>
    </w:p>
    <w:p w:rsidR="00BA252F" w:rsidRDefault="00B614CB">
      <w:r>
        <w:rPr>
          <w:rFonts w:ascii="Bookman Old Style" w:eastAsia="Bookman Old Style" w:hAnsi="Bookman Old Style" w:cs="Bookman Old Style"/>
          <w:sz w:val="24"/>
        </w:rPr>
        <w:t>92,89 obyvateľov/km</w:t>
      </w:r>
      <w:r>
        <w:rPr>
          <w:rFonts w:ascii="Bookman Old Style" w:eastAsia="Bookman Old Style" w:hAnsi="Bookman Old Style" w:cs="Bookman Old Style"/>
          <w:sz w:val="24"/>
          <w:vertAlign w:val="superscript"/>
        </w:rPr>
        <w:t>2</w:t>
      </w:r>
    </w:p>
    <w:p w:rsidR="00BA252F" w:rsidRDefault="00BA252F"/>
    <w:p w:rsidR="00BA252F" w:rsidRDefault="00B614CB">
      <w:r>
        <w:rPr>
          <w:rFonts w:ascii="Bookman Old Style" w:eastAsia="Bookman Old Style" w:hAnsi="Bookman Old Style" w:cs="Bookman Old Style"/>
          <w:sz w:val="24"/>
        </w:rPr>
        <w:t>Národnostná štruktúra:</w:t>
      </w:r>
    </w:p>
    <w:p w:rsidR="00BA252F" w:rsidRDefault="00B614CB">
      <w:r>
        <w:rPr>
          <w:rFonts w:ascii="Bookman Old Style" w:eastAsia="Bookman Old Style" w:hAnsi="Bookman Old Style" w:cs="Bookman Old Style"/>
          <w:sz w:val="24"/>
        </w:rPr>
        <w:t>Obyvateľstvo bolo vždy slovenské</w:t>
      </w:r>
    </w:p>
    <w:p w:rsidR="00BA252F" w:rsidRDefault="00BA252F"/>
    <w:p w:rsidR="00BA252F" w:rsidRDefault="00B614CB">
      <w:r>
        <w:rPr>
          <w:rFonts w:ascii="Bookman Old Style" w:eastAsia="Bookman Old Style" w:hAnsi="Bookman Old Style" w:cs="Bookman Old Style"/>
          <w:sz w:val="24"/>
        </w:rPr>
        <w:t>Štruktúra obyvateľstva podľa náboženského významu:</w:t>
      </w:r>
    </w:p>
    <w:p w:rsidR="00BA252F" w:rsidRDefault="00B614CB">
      <w:r>
        <w:rPr>
          <w:rFonts w:ascii="Bookman Old Style" w:eastAsia="Bookman Old Style" w:hAnsi="Bookman Old Style" w:cs="Bookman Old Style"/>
          <w:sz w:val="24"/>
        </w:rPr>
        <w:t>Prevažná časť obyvateľstva sa hlási ku katolíckemu vierovyznaniu.</w:t>
      </w:r>
    </w:p>
    <w:p w:rsidR="00BA252F" w:rsidRDefault="00BA252F"/>
    <w:p w:rsidR="00BA252F" w:rsidRDefault="00B614CB">
      <w:r>
        <w:rPr>
          <w:rFonts w:ascii="Bookman Old Style" w:eastAsia="Bookman Old Style" w:hAnsi="Bookman Old Style" w:cs="Bookman Old Style"/>
          <w:sz w:val="24"/>
        </w:rPr>
        <w:t>Vývoj počtu obyvateľov:</w:t>
      </w:r>
    </w:p>
    <w:p w:rsidR="00BA252F" w:rsidRDefault="00B614CB">
      <w:r>
        <w:rPr>
          <w:rFonts w:ascii="Bookman Old Style" w:eastAsia="Bookman Old Style" w:hAnsi="Bookman Old Style" w:cs="Bookman Old Style"/>
          <w:sz w:val="24"/>
        </w:rPr>
        <w:t>Súpis z</w:t>
      </w:r>
      <w:r>
        <w:rPr>
          <w:rFonts w:ascii="Bookman Old Style" w:eastAsia="Bookman Old Style" w:hAnsi="Bookman Old Style" w:cs="Bookman Old Style"/>
          <w:sz w:val="24"/>
        </w:rPr>
        <w:t xml:space="preserve"> roku 1715 udáva, že v Hájskom sa v tom čase nachádzalo 21 domícností. Ďaľšia štatistika z roku 1751 tu vykazovala trvalý pobyt 109 rodín. Písomné pramene z roku 1787 dokumentujú 143 domov a 709 obyvateľov. V roku 1828 sa spomína 123 domov a 861 obyvateľov</w:t>
      </w:r>
      <w:r>
        <w:rPr>
          <w:rFonts w:ascii="Bookman Old Style" w:eastAsia="Bookman Old Style" w:hAnsi="Bookman Old Style" w:cs="Bookman Old Style"/>
          <w:sz w:val="24"/>
        </w:rPr>
        <w:t>. V uhorskom geografickom lexikóne z roku 1851 sa obec spomína ako prevažne slovenská s 858 obyvateľmi. Štatistika z roku 1910 vykazovala v Hájskom 1289 obyvateľov, z toho bolo 1215 Slovákov, 34 Maďarov, 26 Nemcov a 14 obyvateľov inej resp. Nezistenej náro</w:t>
      </w:r>
      <w:r>
        <w:rPr>
          <w:rFonts w:ascii="Bookman Old Style" w:eastAsia="Bookman Old Style" w:hAnsi="Bookman Old Style" w:cs="Bookman Old Style"/>
          <w:sz w:val="24"/>
        </w:rPr>
        <w:t>dnosti.</w:t>
      </w:r>
    </w:p>
    <w:p w:rsidR="00BA252F" w:rsidRDefault="00B614CB">
      <w:r>
        <w:rPr>
          <w:rFonts w:ascii="Bookman Old Style" w:eastAsia="Bookman Old Style" w:hAnsi="Bookman Old Style" w:cs="Bookman Old Style"/>
          <w:sz w:val="24"/>
        </w:rPr>
        <w:t>V období najväčšieho "rozkvetu" obce malo Hájske údajne 2225 obyvateľov, pričom k 31.12.2012 to bolo už len 1345. Tento úbytk je vo veľkej miere spôsobený odchodom mladých ľudí z obce či už kvôli vybavenosti, práci alebo iným aspektom. To má za nás</w:t>
      </w:r>
      <w:r>
        <w:rPr>
          <w:rFonts w:ascii="Bookman Old Style" w:eastAsia="Bookman Old Style" w:hAnsi="Bookman Old Style" w:cs="Bookman Old Style"/>
          <w:sz w:val="24"/>
        </w:rPr>
        <w:t>ledok aj dosť veľký počet ľudí v dôchodkovom veku, k 31.12.2012 ich bolo až 333. Táto skutočnosť nepredstavuje hrozbu, lebo táto skutočnosť nie je príčinou žiadneho z negatívnych a existenciu obce ohrozujúcich javov.</w:t>
      </w:r>
    </w:p>
    <w:p w:rsidR="00BA252F" w:rsidRDefault="00BA252F"/>
    <w:p w:rsidR="00BA252F" w:rsidRDefault="00B614CB">
      <w:pPr>
        <w:spacing w:after="113"/>
      </w:pPr>
      <w:r>
        <w:rPr>
          <w:rFonts w:ascii="Bookman Old Style" w:eastAsia="Bookman Old Style" w:hAnsi="Bookman Old Style" w:cs="Bookman Old Style"/>
          <w:b/>
          <w:color w:val="FF0000"/>
          <w:sz w:val="24"/>
        </w:rPr>
        <w:t>1.3 Geografická poloha obce</w:t>
      </w:r>
    </w:p>
    <w:p w:rsidR="00BA252F" w:rsidRDefault="00B614CB">
      <w:r>
        <w:rPr>
          <w:rFonts w:ascii="Bookman Old Style" w:eastAsia="Bookman Old Style" w:hAnsi="Bookman Old Style" w:cs="Bookman Old Style"/>
          <w:sz w:val="24"/>
        </w:rPr>
        <w:t xml:space="preserve">48°15´13" </w:t>
      </w:r>
      <w:r>
        <w:rPr>
          <w:rFonts w:ascii="Bookman Old Style" w:eastAsia="Bookman Old Style" w:hAnsi="Bookman Old Style" w:cs="Bookman Old Style"/>
          <w:sz w:val="24"/>
        </w:rPr>
        <w:t>S</w:t>
      </w:r>
    </w:p>
    <w:p w:rsidR="00BA252F" w:rsidRDefault="00B614CB">
      <w:r>
        <w:rPr>
          <w:rFonts w:ascii="Bookman Old Style" w:eastAsia="Bookman Old Style" w:hAnsi="Bookman Old Style" w:cs="Bookman Old Style"/>
          <w:sz w:val="24"/>
        </w:rPr>
        <w:t>17°52´07" V</w:t>
      </w:r>
    </w:p>
    <w:p w:rsidR="00BA252F" w:rsidRDefault="00BA252F"/>
    <w:p w:rsidR="00BA252F" w:rsidRDefault="00B614CB">
      <w:r>
        <w:rPr>
          <w:rFonts w:ascii="Bookman Old Style" w:eastAsia="Bookman Old Style" w:hAnsi="Bookman Old Style" w:cs="Bookman Old Style"/>
          <w:sz w:val="24"/>
        </w:rPr>
        <w:t>Nadmorská ýška:</w:t>
      </w:r>
    </w:p>
    <w:p w:rsidR="00BA252F" w:rsidRDefault="00B614CB">
      <w:r>
        <w:rPr>
          <w:rFonts w:ascii="Bookman Old Style" w:eastAsia="Bookman Old Style" w:hAnsi="Bookman Old Style" w:cs="Bookman Old Style"/>
          <w:sz w:val="24"/>
        </w:rPr>
        <w:t>126 m. n m.</w:t>
      </w:r>
    </w:p>
    <w:p w:rsidR="00BA252F" w:rsidRDefault="00BA252F"/>
    <w:p w:rsidR="00BA252F" w:rsidRDefault="00B614CB">
      <w:r>
        <w:rPr>
          <w:rFonts w:ascii="Bookman Old Style" w:eastAsia="Bookman Old Style" w:hAnsi="Bookman Old Style" w:cs="Bookman Old Style"/>
          <w:b/>
          <w:color w:val="FF0000"/>
          <w:sz w:val="24"/>
        </w:rPr>
        <w:t>1.4 Symboly obce</w:t>
      </w:r>
    </w:p>
    <w:p w:rsidR="00BA252F" w:rsidRDefault="00BA252F"/>
    <w:p w:rsidR="00BA252F" w:rsidRDefault="00B614CB">
      <w:r>
        <w:rPr>
          <w:rFonts w:ascii="Bookman Old Style" w:eastAsia="Bookman Old Style" w:hAnsi="Bookman Old Style" w:cs="Bookman Old Style"/>
          <w:sz w:val="24"/>
        </w:rPr>
        <w:t>V poslednom období sa obce a mestá čím ďalej tým väčšmi vracajú k svojim pôvodným historickým symbolom (erb, vlajka, pečať). Z nich sa erb vyjadroval buď spojitosťou s istými historickými udalos</w:t>
      </w:r>
      <w:r>
        <w:rPr>
          <w:rFonts w:ascii="Bookman Old Style" w:eastAsia="Bookman Old Style" w:hAnsi="Bookman Old Style" w:cs="Bookman Old Style"/>
          <w:sz w:val="24"/>
        </w:rPr>
        <w:t>ťami, úctu k svätcovi, charakter príslušnej oblasti (vinohradnícka – hrozno) a pod. Zisťovaním historických koreňov symbolov sa zaoberá skupina odborníkov – heraldikov.</w:t>
      </w:r>
    </w:p>
    <w:p w:rsidR="00BA252F" w:rsidRDefault="00B614CB">
      <w:r>
        <w:rPr>
          <w:rFonts w:ascii="Bookman Old Style" w:eastAsia="Bookman Old Style" w:hAnsi="Bookman Old Style" w:cs="Bookman Old Style"/>
          <w:sz w:val="24"/>
        </w:rPr>
        <w:t xml:space="preserve">Začiatkom augusta 2003 boli schválené insígnie (symboly) obce. Erb podľa </w:t>
      </w:r>
      <w:r>
        <w:rPr>
          <w:rFonts w:ascii="Bookman Old Style" w:eastAsia="Bookman Old Style" w:hAnsi="Bookman Old Style" w:cs="Bookman Old Style"/>
          <w:sz w:val="24"/>
        </w:rPr>
        <w:lastRenderedPageBreak/>
        <w:t>historických p</w:t>
      </w:r>
      <w:r>
        <w:rPr>
          <w:rFonts w:ascii="Bookman Old Style" w:eastAsia="Bookman Old Style" w:hAnsi="Bookman Old Style" w:cs="Bookman Old Style"/>
          <w:sz w:val="24"/>
        </w:rPr>
        <w:t>redlôh predstavuje lemeš a čerieslo na pozadí ôsmych hviezd. Svedčí o pracovitosti a roľníckom stave miestneho obyvateľstva. Vo farebnom prevedení je pozadie červené, hviezdy zlaté a nástroje strieborné.</w:t>
      </w:r>
    </w:p>
    <w:p w:rsidR="00BA252F" w:rsidRDefault="00BA252F">
      <w:pPr>
        <w:ind w:left="360"/>
      </w:pPr>
    </w:p>
    <w:p w:rsidR="00BA252F" w:rsidRDefault="00BA252F">
      <w:pPr>
        <w:ind w:left="360"/>
      </w:pPr>
    </w:p>
    <w:p w:rsidR="00BA252F" w:rsidRDefault="00BA252F">
      <w:pPr>
        <w:ind w:left="360"/>
      </w:pPr>
    </w:p>
    <w:p w:rsidR="00BA252F" w:rsidRDefault="00B614CB">
      <w:r>
        <w:object w:dxaOrig="2520" w:dyaOrig="2520" w14:anchorId="43E3C643">
          <v:shape id="Picture 2" o:spid="_x0000_i1026" type="#_x0000_t75" style="width:126pt;height:126pt;visibility:visible;mso-wrap-style:square" o:ole="">
            <v:imagedata r:id="rId11" o:title=""/>
          </v:shape>
          <o:OLEObject Type="Embed" ProgID="StaticMetafile" ShapeID="Picture 2" DrawAspect="Content" ObjectID="_1513061667" r:id="rId12"/>
        </w:object>
      </w:r>
    </w:p>
    <w:p w:rsidR="00BA252F" w:rsidRDefault="00BA252F"/>
    <w:p w:rsidR="00BA252F" w:rsidRDefault="00BA252F"/>
    <w:p w:rsidR="00BA252F" w:rsidRDefault="00BA252F"/>
    <w:p w:rsidR="00BA252F" w:rsidRDefault="00BA252F"/>
    <w:p w:rsidR="00BA252F" w:rsidRDefault="00BA252F"/>
    <w:p w:rsidR="00BA252F" w:rsidRDefault="00BA252F"/>
    <w:p w:rsidR="00BA252F" w:rsidRDefault="00BA252F"/>
    <w:p w:rsidR="00BA252F" w:rsidRDefault="00BA252F"/>
    <w:p w:rsidR="00BA252F" w:rsidRDefault="00B614CB">
      <w:r>
        <w:rPr>
          <w:rFonts w:ascii="Bookman Old Style" w:eastAsia="Bookman Old Style" w:hAnsi="Bookman Old Style" w:cs="Bookman Old Style"/>
          <w:i/>
          <w:sz w:val="24"/>
        </w:rPr>
        <w:t>Vlajka obce:</w:t>
      </w:r>
    </w:p>
    <w:p w:rsidR="00BA252F" w:rsidRDefault="00BA252F"/>
    <w:p w:rsidR="00BA252F" w:rsidRDefault="00B614CB">
      <w:r>
        <w:object w:dxaOrig="2700" w:dyaOrig="1800" w14:anchorId="4CCB9FC5">
          <v:shape id="Picture 3" o:spid="_x0000_i1027" type="#_x0000_t75" style="width:135pt;height:90pt;visibility:visible;mso-wrap-style:square" o:ole="">
            <v:imagedata r:id="rId13" o:title=""/>
          </v:shape>
          <o:OLEObject Type="Embed" ProgID="StaticMetafile" ShapeID="Picture 3" DrawAspect="Content" ObjectID="_1513061668" r:id="rId14"/>
        </w:object>
      </w:r>
    </w:p>
    <w:p w:rsidR="00BA252F" w:rsidRDefault="00BA252F"/>
    <w:p w:rsidR="00BA252F" w:rsidRDefault="00BA252F"/>
    <w:p w:rsidR="00BA252F" w:rsidRDefault="00BA252F"/>
    <w:p w:rsidR="00BA252F" w:rsidRDefault="00BA252F"/>
    <w:p w:rsidR="00BA252F" w:rsidRDefault="00BA252F"/>
    <w:p w:rsidR="00BA252F" w:rsidRDefault="00BA252F"/>
    <w:p w:rsidR="00BA252F" w:rsidRDefault="00BA252F"/>
    <w:p w:rsidR="00BA252F" w:rsidRDefault="00BA252F"/>
    <w:p w:rsidR="00BA252F" w:rsidRDefault="00B614CB">
      <w:r>
        <w:rPr>
          <w:rFonts w:ascii="Bookman Old Style" w:eastAsia="Bookman Old Style" w:hAnsi="Bookman Old Style" w:cs="Bookman Old Style"/>
          <w:i/>
          <w:sz w:val="24"/>
        </w:rPr>
        <w:t>Pečať obce:</w:t>
      </w:r>
    </w:p>
    <w:p w:rsidR="00BA252F" w:rsidRDefault="00B614CB">
      <w:r>
        <w:rPr>
          <w:rFonts w:ascii="Bookman Old Style" w:eastAsia="Bookman Old Style" w:hAnsi="Bookman Old Style" w:cs="Bookman Old Style"/>
          <w:sz w:val="24"/>
        </w:rPr>
        <w:t>Pečať obce Hájske je okrúhla, uprostred s obecným symbolom a kruhopisom OBEC HÁJSKE. Pečať má priemer 35 mm, čo je v súlade s domácimi zvyklosťami a predpismi o používaní pečiatok s obecnými symbolmi.</w:t>
      </w:r>
    </w:p>
    <w:p w:rsidR="00BA252F" w:rsidRDefault="00BA252F"/>
    <w:p w:rsidR="00BA252F" w:rsidRDefault="00B614CB">
      <w:r>
        <w:rPr>
          <w:rFonts w:ascii="Bookman Old Style" w:eastAsia="Bookman Old Style" w:hAnsi="Bookman Old Style" w:cs="Bookman Old Style"/>
          <w:i/>
          <w:sz w:val="24"/>
        </w:rPr>
        <w:t>Logo ob</w:t>
      </w:r>
      <w:r>
        <w:rPr>
          <w:rFonts w:ascii="Bookman Old Style" w:eastAsia="Bookman Old Style" w:hAnsi="Bookman Old Style" w:cs="Bookman Old Style"/>
          <w:i/>
          <w:sz w:val="24"/>
        </w:rPr>
        <w:t>ce:</w:t>
      </w:r>
    </w:p>
    <w:p w:rsidR="00BA252F" w:rsidRDefault="00BA252F">
      <w:pPr>
        <w:ind w:left="360"/>
      </w:pPr>
    </w:p>
    <w:p w:rsidR="00BA252F" w:rsidRDefault="00B614CB">
      <w:r>
        <w:rPr>
          <w:rFonts w:ascii="Bookman Old Style" w:eastAsia="Bookman Old Style" w:hAnsi="Bookman Old Style" w:cs="Bookman Old Style"/>
          <w:sz w:val="24"/>
        </w:rPr>
        <w:t>Obec Hájske nemá svoje logo.</w:t>
      </w:r>
    </w:p>
    <w:p w:rsidR="00BA252F" w:rsidRDefault="00BA252F"/>
    <w:p w:rsidR="00BA252F" w:rsidRDefault="00B614CB">
      <w:r>
        <w:rPr>
          <w:rFonts w:ascii="Bookman Old Style" w:eastAsia="Bookman Old Style" w:hAnsi="Bookman Old Style" w:cs="Bookman Old Style"/>
          <w:b/>
          <w:color w:val="FF0000"/>
          <w:sz w:val="24"/>
        </w:rPr>
        <w:t>1.5 História obce</w:t>
      </w:r>
    </w:p>
    <w:p w:rsidR="00BA252F" w:rsidRDefault="00BA252F"/>
    <w:p w:rsidR="00BA252F" w:rsidRDefault="00B614CB">
      <w:r>
        <w:rPr>
          <w:rFonts w:ascii="Bookman Old Style" w:eastAsia="Bookman Old Style" w:hAnsi="Bookman Old Style" w:cs="Bookman Old Style"/>
          <w:sz w:val="24"/>
        </w:rPr>
        <w:lastRenderedPageBreak/>
        <w:t>Prvá písomná zmienka o obci: z roku 1113</w:t>
      </w:r>
    </w:p>
    <w:p w:rsidR="00BA252F" w:rsidRDefault="00BA252F"/>
    <w:p w:rsidR="00BA252F" w:rsidRDefault="00B614CB">
      <w:r>
        <w:rPr>
          <w:rFonts w:ascii="Bookman Old Style" w:eastAsia="Bookman Old Style" w:hAnsi="Bookman Old Style" w:cs="Bookman Old Style"/>
          <w:sz w:val="24"/>
        </w:rPr>
        <w:t xml:space="preserve">Obec Hájske je situovaná 26 km na západ od mesta Nitra v Podunajskej nížine na juhozápadnom okraji Nitrianskej pahorkatiny. Nadmorská výška obce je 126 m. n m. </w:t>
      </w:r>
      <w:r>
        <w:rPr>
          <w:rFonts w:ascii="Bookman Old Style" w:eastAsia="Bookman Old Style" w:hAnsi="Bookman Old Style" w:cs="Bookman Old Style"/>
          <w:sz w:val="24"/>
        </w:rPr>
        <w:t>Katastrálne územie má rozlohu 1 407 ha. Odlesnený rovinný až pahorkatinový chotár tvoria treťohorné uloženiny, v severovýchodnej časti s vrstvou spraše. Z pôd prevažuje úrodná černozem. Samotné pôdne a klimatické podmienky určujú poľnohospodársky charakter</w:t>
      </w:r>
      <w:r>
        <w:rPr>
          <w:rFonts w:ascii="Bookman Old Style" w:eastAsia="Bookman Old Style" w:hAnsi="Bookman Old Style" w:cs="Bookman Old Style"/>
          <w:sz w:val="24"/>
        </w:rPr>
        <w:t xml:space="preserve"> obce.</w:t>
      </w:r>
    </w:p>
    <w:p w:rsidR="00BA252F" w:rsidRDefault="00B614CB">
      <w:r>
        <w:rPr>
          <w:rFonts w:ascii="Bookman Old Style" w:eastAsia="Bookman Old Style" w:hAnsi="Bookman Old Style" w:cs="Bookman Old Style"/>
          <w:sz w:val="24"/>
        </w:rPr>
        <w:t>Prvá písomná zmienka o obci Hájske pochádza z roku 1113, a obec sa v nej spomína pod názvom Copusde ako majetok Nitrianskeho hradu. Obec následne vystriedala viacerých majiteľov – Balogovci, Nagyovci, Turčániovci, Esterháziovci a iný. Pomenovanie ob</w:t>
      </w:r>
      <w:r>
        <w:rPr>
          <w:rFonts w:ascii="Bookman Old Style" w:eastAsia="Bookman Old Style" w:hAnsi="Bookman Old Style" w:cs="Bookman Old Style"/>
          <w:sz w:val="24"/>
        </w:rPr>
        <w:t xml:space="preserve">ce sa v priebehu ďalľích storočí menilo. V roku 1270 sa uvádza názov Kopusd, v roku 1773 Köpösd a v roku 1786 dokonca aj nemecky znejúci variant Köppeschd. Začiatkom 19. storočia sa uvádzali tri názvy Köpösd, Kepessd, Kepežd a od roku 1867 už len maďarská </w:t>
      </w:r>
      <w:r>
        <w:rPr>
          <w:rFonts w:ascii="Bookman Old Style" w:eastAsia="Bookman Old Style" w:hAnsi="Bookman Old Style" w:cs="Bookman Old Style"/>
          <w:sz w:val="24"/>
        </w:rPr>
        <w:t>verzia Köpösd. Po prvej svetovej vojne pripadla obec na základe Trianonskej mierovej zmluvy Česko – Slovenskej republike. V medzivojnovom období sa používal čiastočne poslovenčený názov Kepešd. V novembri 1938 po Viedenskej arbitráži pripadla obec Maďarsku</w:t>
      </w:r>
      <w:r>
        <w:rPr>
          <w:rFonts w:ascii="Bookman Old Style" w:eastAsia="Bookman Old Style" w:hAnsi="Bookman Old Style" w:cs="Bookman Old Style"/>
          <w:sz w:val="24"/>
        </w:rPr>
        <w:t>, no po vyjednávaniach o výmene obcí sa Hájske dostalo späť do teritória Česko-Slovenska. V roku 1948 došlo k zmene názvu obce na Dverníky a o tri roky neksôr bol názov opätovne zmenený do súčasnej podoby.</w:t>
      </w:r>
    </w:p>
    <w:p w:rsidR="00BA252F" w:rsidRDefault="00BA252F"/>
    <w:p w:rsidR="00BA252F" w:rsidRDefault="00B614CB">
      <w:r>
        <w:rPr>
          <w:rFonts w:ascii="Bookman Old Style" w:eastAsia="Bookman Old Style" w:hAnsi="Bookman Old Style" w:cs="Bookman Old Style"/>
          <w:b/>
          <w:color w:val="FF0000"/>
          <w:sz w:val="24"/>
        </w:rPr>
        <w:t>1.6 Pamiatky</w:t>
      </w:r>
    </w:p>
    <w:p w:rsidR="00BA252F" w:rsidRDefault="00BA252F"/>
    <w:p w:rsidR="00BA252F" w:rsidRDefault="00B614CB">
      <w:r>
        <w:rPr>
          <w:rFonts w:ascii="Bookman Old Style" w:eastAsia="Bookman Old Style" w:hAnsi="Bookman Old Style" w:cs="Bookman Old Style"/>
          <w:b/>
          <w:sz w:val="24"/>
        </w:rPr>
        <w:t>Kostol</w:t>
      </w:r>
    </w:p>
    <w:p w:rsidR="00BA252F" w:rsidRDefault="00B614CB">
      <w:r>
        <w:rPr>
          <w:rFonts w:ascii="Bookman Old Style" w:eastAsia="Bookman Old Style" w:hAnsi="Bookman Old Style" w:cs="Bookman Old Style"/>
          <w:sz w:val="24"/>
        </w:rPr>
        <w:t>Dominantou obce je rímsko-ka</w:t>
      </w:r>
      <w:r>
        <w:rPr>
          <w:rFonts w:ascii="Bookman Old Style" w:eastAsia="Bookman Old Style" w:hAnsi="Bookman Old Style" w:cs="Bookman Old Style"/>
          <w:sz w:val="24"/>
        </w:rPr>
        <w:t xml:space="preserve">tolícky </w:t>
      </w:r>
      <w:r>
        <w:rPr>
          <w:rFonts w:ascii="Bookman Old Style" w:eastAsia="Bookman Old Style" w:hAnsi="Bookman Old Style" w:cs="Bookman Old Style"/>
          <w:b/>
          <w:sz w:val="24"/>
        </w:rPr>
        <w:t xml:space="preserve">kostol sv. Barbory. </w:t>
      </w:r>
      <w:r>
        <w:rPr>
          <w:rFonts w:ascii="Bookman Old Style" w:eastAsia="Bookman Old Style" w:hAnsi="Bookman Old Style" w:cs="Bookman Old Style"/>
          <w:sz w:val="24"/>
        </w:rPr>
        <w:t>Kostol postavili na južnom konci obce severozápadne od kaštieľa. Stojí na barokových základoch. Je to stavba veľmi jednoduchá, čo nasvedčuje tomu, že pri jeho výstavbe sa šetrilo. Kostol predstavuje jednoloďový pozdĺžny priestor</w:t>
      </w:r>
      <w:r>
        <w:rPr>
          <w:rFonts w:ascii="Bookman Old Style" w:eastAsia="Bookman Old Style" w:hAnsi="Bookman Old Style" w:cs="Bookman Old Style"/>
          <w:sz w:val="24"/>
        </w:rPr>
        <w:t xml:space="preserve"> s rovným uzáverom presbytéria. Za ním je pravouhlá sakristia. Presbytérium a loď sú zaklenuté českou a pruskou klenbou. Do západnej strany je vstavaná veža s ihlanovou strechou. Vonkajšie steny sú spevnené opornými piliermi. Kazateľnica bola klasicistická</w:t>
      </w:r>
      <w:r>
        <w:rPr>
          <w:rFonts w:ascii="Bookman Old Style" w:eastAsia="Bookman Old Style" w:hAnsi="Bookman Old Style" w:cs="Bookman Old Style"/>
          <w:sz w:val="24"/>
        </w:rPr>
        <w:t xml:space="preserve"> zo začiatku 19. storočia. Za postavenie kostola okolo roku 1840 hovorí aj informácia o osadení organa. Stalo sa tak v roku 1847, a to obstarným organom dovezeným z Nových Zámkov.</w:t>
      </w:r>
    </w:p>
    <w:p w:rsidR="00BA252F" w:rsidRDefault="00B614CB">
      <w:r>
        <w:object w:dxaOrig="5580" w:dyaOrig="4215" w14:anchorId="1E4D773F">
          <v:shape id="Picture 4" o:spid="_x0000_i1028" type="#_x0000_t75" style="width:279pt;height:210.75pt;visibility:visible;mso-wrap-style:square" o:ole="">
            <v:imagedata r:id="rId15" o:title=""/>
          </v:shape>
          <o:OLEObject Type="Embed" ProgID="StaticMetafile" ShapeID="Picture 4" DrawAspect="Content" ObjectID="_1513061669" r:id="rId16"/>
        </w:object>
      </w:r>
    </w:p>
    <w:p w:rsidR="00BA252F" w:rsidRDefault="00BA252F"/>
    <w:p w:rsidR="00BA252F" w:rsidRDefault="00BA252F"/>
    <w:p w:rsidR="00BA252F" w:rsidRDefault="00BA252F"/>
    <w:p w:rsidR="00BA252F" w:rsidRDefault="00BA252F"/>
    <w:p w:rsidR="00BA252F" w:rsidRDefault="00BA252F"/>
    <w:p w:rsidR="00BA252F" w:rsidRDefault="00BA252F"/>
    <w:p w:rsidR="00BA252F" w:rsidRDefault="00BA252F"/>
    <w:p w:rsidR="00BA252F" w:rsidRDefault="00BA252F"/>
    <w:p w:rsidR="00BA252F" w:rsidRDefault="00BA252F"/>
    <w:p w:rsidR="00BA252F" w:rsidRDefault="00BA252F"/>
    <w:p w:rsidR="00BA252F" w:rsidRDefault="00BA252F"/>
    <w:p w:rsidR="00BA252F" w:rsidRDefault="00BA252F"/>
    <w:p w:rsidR="00BA252F" w:rsidRDefault="00BA252F"/>
    <w:p w:rsidR="00BA252F" w:rsidRDefault="00BA252F"/>
    <w:p w:rsidR="00BA252F" w:rsidRDefault="00BA252F"/>
    <w:p w:rsidR="00BA252F" w:rsidRDefault="00B614CB">
      <w:r>
        <w:rPr>
          <w:rFonts w:ascii="Bookman Old Style" w:eastAsia="Bookman Old Style" w:hAnsi="Bookman Old Style" w:cs="Bookman Old Style"/>
          <w:b/>
          <w:sz w:val="24"/>
        </w:rPr>
        <w:t>Fara</w:t>
      </w:r>
    </w:p>
    <w:p w:rsidR="00BA252F" w:rsidRDefault="00B614CB">
      <w:r>
        <w:rPr>
          <w:rFonts w:ascii="Bookman Old Style" w:eastAsia="Bookman Old Style" w:hAnsi="Bookman Old Style" w:cs="Bookman Old Style"/>
          <w:sz w:val="24"/>
        </w:rPr>
        <w:t>Údaje o postavení fary sa rôz</w:t>
      </w:r>
      <w:r>
        <w:rPr>
          <w:rFonts w:ascii="Bookman Old Style" w:eastAsia="Bookman Old Style" w:hAnsi="Bookman Old Style" w:cs="Bookman Old Style"/>
          <w:sz w:val="24"/>
        </w:rPr>
        <w:t>nia. Jedna informácia hovorí o roku 1809, kým iná, že fara bola postavená dvadsať rokov po postavení kostola.</w:t>
      </w:r>
    </w:p>
    <w:p w:rsidR="00BA252F" w:rsidRDefault="00B614CB">
      <w:r>
        <w:rPr>
          <w:rFonts w:ascii="Bookman Old Style" w:eastAsia="Bookman Old Style" w:hAnsi="Bookman Old Style" w:cs="Bookman Old Style"/>
          <w:sz w:val="24"/>
        </w:rPr>
        <w:t>Kostol i fara boli viackrát opravované. Následky 2. svetovej vojny odstránili a vymenili poškodený zvon. V roku 1967 opravili strechu, vežu a fasá</w:t>
      </w:r>
      <w:r>
        <w:rPr>
          <w:rFonts w:ascii="Bookman Old Style" w:eastAsia="Bookman Old Style" w:hAnsi="Bookman Old Style" w:cs="Bookman Old Style"/>
          <w:sz w:val="24"/>
        </w:rPr>
        <w:t>du. Práce organizoval farár Šimončík. Ďalšie väčšie úpravy vnútra kostola i terénnych úprav boli vykonané pred primíciami v roku 1999.</w:t>
      </w:r>
    </w:p>
    <w:p w:rsidR="00BA252F" w:rsidRDefault="00BA252F"/>
    <w:p w:rsidR="00BA252F" w:rsidRDefault="00B614CB">
      <w:r>
        <w:rPr>
          <w:rFonts w:ascii="Bookman Old Style" w:eastAsia="Bookman Old Style" w:hAnsi="Bookman Old Style" w:cs="Bookman Old Style"/>
          <w:b/>
          <w:sz w:val="24"/>
        </w:rPr>
        <w:t>Kaplnky, Božie muky, Kríže, Sochy</w:t>
      </w:r>
    </w:p>
    <w:p w:rsidR="00BA252F" w:rsidRDefault="00BA252F"/>
    <w:p w:rsidR="00BA252F" w:rsidRDefault="00B614CB">
      <w:r>
        <w:rPr>
          <w:rFonts w:ascii="Bookman Old Style" w:eastAsia="Bookman Old Style" w:hAnsi="Bookman Old Style" w:cs="Bookman Old Style"/>
          <w:i/>
          <w:sz w:val="24"/>
        </w:rPr>
        <w:t>Kaplnka Ružencovej Panny Márie</w:t>
      </w:r>
    </w:p>
    <w:p w:rsidR="00BA252F" w:rsidRDefault="00B614CB">
      <w:r>
        <w:object w:dxaOrig="3600" w:dyaOrig="2700" w14:anchorId="1B7470C9">
          <v:shape id="Picture 5" o:spid="_x0000_i1029" type="#_x0000_t75" style="width:180pt;height:135pt;visibility:visible;mso-wrap-style:square" o:ole="">
            <v:imagedata r:id="rId17" o:title=""/>
          </v:shape>
          <o:OLEObject Type="Embed" ProgID="StaticMetafile" ShapeID="Picture 5" DrawAspect="Content" ObjectID="_1513061670" r:id="rId18"/>
        </w:object>
      </w:r>
      <w:r>
        <w:rPr>
          <w:rFonts w:ascii="Bookman Old Style" w:eastAsia="Bookman Old Style" w:hAnsi="Bookman Old Style" w:cs="Bookman Old Style"/>
          <w:sz w:val="24"/>
        </w:rPr>
        <w:t xml:space="preserve">Je najstaršou pamiatkou </w:t>
      </w:r>
      <w:r>
        <w:rPr>
          <w:rFonts w:ascii="Bookman Old Style" w:eastAsia="Bookman Old Style" w:hAnsi="Bookman Old Style" w:cs="Bookman Old Style"/>
          <w:sz w:val="24"/>
        </w:rPr>
        <w:t>v Hájskom. Musela existovať už začiatkom 18. storočia, pretože sa spomína vo vizitácii šopornianskeho kostola z roku 1755. Nachádza sa po ľavej strane cesty vedúcej do Močenku v priestore, kde z hlavnej cesty doľava odbočuje Kaplnková ulica. Známou sa stal</w:t>
      </w:r>
      <w:r>
        <w:rPr>
          <w:rFonts w:ascii="Bookman Old Style" w:eastAsia="Bookman Old Style" w:hAnsi="Bookman Old Style" w:cs="Bookman Old Style"/>
          <w:sz w:val="24"/>
        </w:rPr>
        <w:t xml:space="preserve">a zázračným uzdravením niekoľkých pútnikov, ktorí ju navštevovali. Prvým bol obyvateľ Veľkej Mače (prv Máčaď), ktorý sem prišiel o barlách a domov odišiel bez nich. Barle ako pamiatka na túto udalosť, sa veľa rokov nachádzali uložené za oltárom. Zázračným </w:t>
      </w:r>
      <w:r>
        <w:rPr>
          <w:rFonts w:ascii="Bookman Old Style" w:eastAsia="Bookman Old Style" w:hAnsi="Bookman Old Style" w:cs="Bookman Old Style"/>
          <w:sz w:val="24"/>
        </w:rPr>
        <w:t>uzdravením viacerých návštevníkov si kaplnka vyslúžila úctu veriacich z okolitých dedín a stala sa pútnickým miestom. Púte pri tejto kaplnke sa konávajú prvú októbrovú nedeľu pri príležitosti jej posvätenia k úcte Ružencovej Panny Márie.</w:t>
      </w:r>
    </w:p>
    <w:p w:rsidR="00BA252F" w:rsidRDefault="00B614CB">
      <w:r>
        <w:rPr>
          <w:rFonts w:ascii="Bookman Old Style" w:eastAsia="Bookman Old Style" w:hAnsi="Bookman Old Style" w:cs="Bookman Old Style"/>
          <w:i/>
          <w:sz w:val="24"/>
        </w:rPr>
        <w:t>Kaplnka sv. Anny</w:t>
      </w:r>
    </w:p>
    <w:p w:rsidR="00BA252F" w:rsidRDefault="00B614CB">
      <w:r>
        <w:rPr>
          <w:rFonts w:ascii="Bookman Old Style" w:eastAsia="Bookman Old Style" w:hAnsi="Bookman Old Style" w:cs="Bookman Old Style"/>
          <w:sz w:val="24"/>
        </w:rPr>
        <w:t>P</w:t>
      </w:r>
      <w:r>
        <w:rPr>
          <w:rFonts w:ascii="Bookman Old Style" w:eastAsia="Bookman Old Style" w:hAnsi="Bookman Old Style" w:cs="Bookman Old Style"/>
          <w:sz w:val="24"/>
        </w:rPr>
        <w:t>ozostávala zo sochy sv. Anny prekrytej prístreškom. Bolo tu možno odslúžiť i sv. omšu. Kaplnka sa nachádzala pri potoku tečúcom povedľa súčasnej ulice Konopnice. Po 2. svetovej vojne bola socha prenesená do kostolnej záhrady a obmurovaná malou kaplnkou pri</w:t>
      </w:r>
      <w:r>
        <w:rPr>
          <w:rFonts w:ascii="Bookman Old Style" w:eastAsia="Bookman Old Style" w:hAnsi="Bookman Old Style" w:cs="Bookman Old Style"/>
          <w:sz w:val="24"/>
        </w:rPr>
        <w:t xml:space="preserve"> hornej zadnej stene kostola.</w:t>
      </w:r>
    </w:p>
    <w:p w:rsidR="00BA252F" w:rsidRDefault="00BA252F"/>
    <w:p w:rsidR="00BA252F" w:rsidRDefault="00B614CB">
      <w:r>
        <w:rPr>
          <w:rFonts w:ascii="Bookman Old Style" w:eastAsia="Bookman Old Style" w:hAnsi="Bookman Old Style" w:cs="Bookman Old Style"/>
          <w:i/>
          <w:sz w:val="24"/>
        </w:rPr>
        <w:t>Božia muka sv. Urbana</w:t>
      </w:r>
    </w:p>
    <w:p w:rsidR="00BA252F" w:rsidRDefault="00B614CB">
      <w:r>
        <w:rPr>
          <w:rFonts w:ascii="Bookman Old Style" w:eastAsia="Bookman Old Style" w:hAnsi="Bookman Old Style" w:cs="Bookman Old Style"/>
          <w:sz w:val="24"/>
        </w:rPr>
        <w:t>Zasvätená patrónovi vinohradníkov. Je postavená na začiatku ul. Konopnice v priestore, kde sa niekedy nachádzali vinohrady.</w:t>
      </w:r>
    </w:p>
    <w:p w:rsidR="00BA252F" w:rsidRDefault="00BA252F"/>
    <w:p w:rsidR="00BA252F" w:rsidRDefault="00B614CB">
      <w:r>
        <w:rPr>
          <w:rFonts w:ascii="Bookman Old Style" w:eastAsia="Bookman Old Style" w:hAnsi="Bookman Old Style" w:cs="Bookman Old Style"/>
          <w:i/>
          <w:sz w:val="24"/>
        </w:rPr>
        <w:t>Socha sv. Jána Nepomuckého</w:t>
      </w:r>
    </w:p>
    <w:p w:rsidR="00BA252F" w:rsidRDefault="00B614CB">
      <w:r>
        <w:rPr>
          <w:rFonts w:ascii="Bookman Old Style" w:eastAsia="Bookman Old Style" w:hAnsi="Bookman Old Style" w:cs="Bookman Old Style"/>
          <w:sz w:val="24"/>
        </w:rPr>
        <w:t>Svätec – mučeník spovedného tajomstva. Jeho socha s</w:t>
      </w:r>
      <w:r>
        <w:rPr>
          <w:rFonts w:ascii="Bookman Old Style" w:eastAsia="Bookman Old Style" w:hAnsi="Bookman Old Style" w:cs="Bookman Old Style"/>
          <w:sz w:val="24"/>
        </w:rPr>
        <w:t> predzáhradkou sa nachádza pri fare.</w:t>
      </w:r>
    </w:p>
    <w:p w:rsidR="00BA252F" w:rsidRDefault="00BA252F"/>
    <w:p w:rsidR="00BA252F" w:rsidRDefault="00B614CB">
      <w:r>
        <w:rPr>
          <w:rFonts w:ascii="Bookman Old Style" w:eastAsia="Bookman Old Style" w:hAnsi="Bookman Old Style" w:cs="Bookman Old Style"/>
          <w:i/>
          <w:sz w:val="24"/>
        </w:rPr>
        <w:t>Socha sv. Rocha</w:t>
      </w:r>
    </w:p>
    <w:p w:rsidR="00BA252F" w:rsidRDefault="00B614CB">
      <w:r>
        <w:rPr>
          <w:rFonts w:ascii="Bookman Old Style" w:eastAsia="Bookman Old Style" w:hAnsi="Bookman Old Style" w:cs="Bookman Old Style"/>
          <w:sz w:val="24"/>
        </w:rPr>
        <w:t>Postavená z vďaky svätcovi po ukončení moru. Nachádzala sa pri južnej bočnej stene školy. Na zásah totalitnej moci bola premiestnená do záhradného areálu kostola.</w:t>
      </w:r>
    </w:p>
    <w:p w:rsidR="00BA252F" w:rsidRDefault="00BA252F"/>
    <w:p w:rsidR="00BA252F" w:rsidRDefault="00B614CB">
      <w:r>
        <w:rPr>
          <w:rFonts w:ascii="Bookman Old Style" w:eastAsia="Bookman Old Style" w:hAnsi="Bookman Old Style" w:cs="Bookman Old Style"/>
          <w:i/>
          <w:sz w:val="24"/>
        </w:rPr>
        <w:t>Socha sv. Šebestiána</w:t>
      </w:r>
    </w:p>
    <w:p w:rsidR="00BA252F" w:rsidRDefault="00B614CB">
      <w:r>
        <w:rPr>
          <w:rFonts w:ascii="Bookman Old Style" w:eastAsia="Bookman Old Style" w:hAnsi="Bookman Old Style" w:cs="Bookman Old Style"/>
          <w:sz w:val="24"/>
        </w:rPr>
        <w:t xml:space="preserve">Svätý Šebastián </w:t>
      </w:r>
      <w:r>
        <w:rPr>
          <w:rFonts w:ascii="Bookman Old Style" w:eastAsia="Bookman Old Style" w:hAnsi="Bookman Old Style" w:cs="Bookman Old Style"/>
          <w:sz w:val="24"/>
        </w:rPr>
        <w:t>je patrón lukostrelcov. Sochu má postavenú v areáli kaplnky Ružencovej Panny Márie. Pôvodne stála pri ceste do Močenku.</w:t>
      </w:r>
    </w:p>
    <w:p w:rsidR="00BA252F" w:rsidRDefault="00BA252F"/>
    <w:p w:rsidR="00BA252F" w:rsidRDefault="00B614CB">
      <w:r>
        <w:rPr>
          <w:rFonts w:ascii="Bookman Old Style" w:eastAsia="Bookman Old Style" w:hAnsi="Bookman Old Style" w:cs="Bookman Old Style"/>
          <w:i/>
          <w:sz w:val="24"/>
        </w:rPr>
        <w:t>Bajlákov Kríž (najskôr drevený, potom vymenený železným)</w:t>
      </w:r>
    </w:p>
    <w:p w:rsidR="00BA252F" w:rsidRDefault="00B614CB">
      <w:r>
        <w:rPr>
          <w:rFonts w:ascii="Bookman Old Style" w:eastAsia="Bookman Old Style" w:hAnsi="Bookman Old Style" w:cs="Bookman Old Style"/>
          <w:sz w:val="24"/>
        </w:rPr>
        <w:t>Za dedinou po ľavej strane cesty vedúcej do Paty. Dala ho postaviť rodina Joze</w:t>
      </w:r>
      <w:r>
        <w:rPr>
          <w:rFonts w:ascii="Bookman Old Style" w:eastAsia="Bookman Old Style" w:hAnsi="Bookman Old Style" w:cs="Bookman Old Style"/>
          <w:sz w:val="24"/>
        </w:rPr>
        <w:t>fa Švihoríka po 1. svetovej vojne.</w:t>
      </w:r>
    </w:p>
    <w:p w:rsidR="00BA252F" w:rsidRDefault="00BA252F"/>
    <w:p w:rsidR="00BA252F" w:rsidRDefault="00B614CB">
      <w:r>
        <w:rPr>
          <w:rFonts w:ascii="Bookman Old Style" w:eastAsia="Bookman Old Style" w:hAnsi="Bookman Old Style" w:cs="Bookman Old Style"/>
          <w:i/>
          <w:sz w:val="24"/>
        </w:rPr>
        <w:t>Číkov kríž (drevený, časom schátral)</w:t>
      </w:r>
    </w:p>
    <w:p w:rsidR="00BA252F" w:rsidRDefault="00B614CB">
      <w:r>
        <w:rPr>
          <w:rFonts w:ascii="Bookman Old Style" w:eastAsia="Bookman Old Style" w:hAnsi="Bookman Old Style" w:cs="Bookman Old Style"/>
          <w:sz w:val="24"/>
        </w:rPr>
        <w:t xml:space="preserve">Za dedinou po pravej strane cesty vedúcej do Močenku. Dala ho postaviť </w:t>
      </w:r>
      <w:r>
        <w:rPr>
          <w:rFonts w:ascii="Bookman Old Style" w:eastAsia="Bookman Old Style" w:hAnsi="Bookman Old Style" w:cs="Bookman Old Style"/>
          <w:sz w:val="24"/>
        </w:rPr>
        <w:lastRenderedPageBreak/>
        <w:t>rodina Jozefa Búrana.</w:t>
      </w:r>
    </w:p>
    <w:p w:rsidR="00BA252F" w:rsidRDefault="00BA252F"/>
    <w:p w:rsidR="00BA252F" w:rsidRDefault="00B614CB">
      <w:r>
        <w:rPr>
          <w:rFonts w:ascii="Bookman Old Style" w:eastAsia="Bookman Old Style" w:hAnsi="Bookman Old Style" w:cs="Bookman Old Style"/>
          <w:i/>
          <w:sz w:val="24"/>
        </w:rPr>
        <w:t>Kríž pred kostolom (kamenný)</w:t>
      </w:r>
    </w:p>
    <w:p w:rsidR="00BA252F" w:rsidRDefault="00B614CB">
      <w:r>
        <w:rPr>
          <w:rFonts w:ascii="Bookman Old Style" w:eastAsia="Bookman Old Style" w:hAnsi="Bookman Old Style" w:cs="Bookman Old Style"/>
          <w:sz w:val="24"/>
        </w:rPr>
        <w:t>Za pôsobenia farára Dionýza Probszta v roku 1885 dal kríž po</w:t>
      </w:r>
      <w:r>
        <w:rPr>
          <w:rFonts w:ascii="Bookman Old Style" w:eastAsia="Bookman Old Style" w:hAnsi="Bookman Old Style" w:cs="Bookman Old Style"/>
          <w:sz w:val="24"/>
        </w:rPr>
        <w:t>staviť Michal Kubica s manželkou Juditou rodenou Búranovou. Ľudia ho volali Kubicov kríž.</w:t>
      </w:r>
    </w:p>
    <w:p w:rsidR="00BA252F" w:rsidRDefault="00BA252F"/>
    <w:p w:rsidR="00BA252F" w:rsidRDefault="00B614CB">
      <w:r>
        <w:rPr>
          <w:rFonts w:ascii="Bookman Old Style" w:eastAsia="Bookman Old Style" w:hAnsi="Bookman Old Style" w:cs="Bookman Old Style"/>
          <w:b/>
          <w:color w:val="FF0000"/>
          <w:sz w:val="24"/>
        </w:rPr>
        <w:t xml:space="preserve">1.7 </w:t>
      </w:r>
      <w:r>
        <w:rPr>
          <w:rFonts w:ascii="Bookman Old Style" w:eastAsia="Bookman Old Style" w:hAnsi="Bookman Old Style" w:cs="Bookman Old Style"/>
          <w:b/>
          <w:color w:val="FF0000"/>
          <w:sz w:val="26"/>
        </w:rPr>
        <w:t>Organizačná štruktúra obce</w:t>
      </w:r>
    </w:p>
    <w:p w:rsidR="00BA252F" w:rsidRDefault="00BA252F"/>
    <w:p w:rsidR="00BA252F" w:rsidRDefault="00B614CB">
      <w:r>
        <w:rPr>
          <w:rFonts w:ascii="Bookman Old Style" w:eastAsia="Bookman Old Style" w:hAnsi="Bookman Old Style" w:cs="Bookman Old Style"/>
          <w:b/>
          <w:sz w:val="24"/>
        </w:rPr>
        <w:t>Základné orgány obce:</w:t>
      </w:r>
    </w:p>
    <w:p w:rsidR="00BA252F" w:rsidRDefault="00B614CB">
      <w:pPr>
        <w:numPr>
          <w:ilvl w:val="0"/>
          <w:numId w:val="4"/>
        </w:numPr>
        <w:ind w:left="-360" w:firstLine="360"/>
      </w:pPr>
      <w:r>
        <w:rPr>
          <w:rFonts w:ascii="Bookman Old Style" w:eastAsia="Bookman Old Style" w:hAnsi="Bookman Old Style" w:cs="Bookman Old Style"/>
          <w:i/>
          <w:sz w:val="24"/>
          <w:u w:val="single"/>
        </w:rPr>
        <w:t>Obecné zastupiteľstvo</w:t>
      </w:r>
    </w:p>
    <w:p w:rsidR="00BA252F" w:rsidRDefault="00BA252F"/>
    <w:p w:rsidR="00BA252F" w:rsidRDefault="00B614CB">
      <w:r>
        <w:rPr>
          <w:rFonts w:ascii="Bookman Old Style" w:eastAsia="Bookman Old Style" w:hAnsi="Bookman Old Style" w:cs="Bookman Old Style"/>
          <w:i/>
          <w:sz w:val="24"/>
        </w:rPr>
        <w:t xml:space="preserve">Obecné zastupiteľstvo </w:t>
      </w:r>
      <w:r>
        <w:rPr>
          <w:rFonts w:ascii="Bookman Old Style" w:eastAsia="Bookman Old Style" w:hAnsi="Bookman Old Style" w:cs="Bookman Old Style"/>
          <w:sz w:val="24"/>
        </w:rPr>
        <w:t xml:space="preserve">je zastupiteľský zbor zložený z poslancov zvolených v priamych </w:t>
      </w:r>
      <w:r>
        <w:rPr>
          <w:rFonts w:ascii="Bookman Old Style" w:eastAsia="Bookman Old Style" w:hAnsi="Bookman Old Style" w:cs="Bookman Old Style"/>
          <w:sz w:val="24"/>
        </w:rPr>
        <w:t>voľbáh, ktoré sa konali v roku 2010 na obdobie 4 rokov v počte 9.</w:t>
      </w:r>
    </w:p>
    <w:p w:rsidR="00BA252F" w:rsidRDefault="00B614CB">
      <w:r>
        <w:rPr>
          <w:rFonts w:ascii="Bookman Old Style" w:eastAsia="Bookman Old Style" w:hAnsi="Bookman Old Style" w:cs="Bookman Old Style"/>
          <w:sz w:val="24"/>
        </w:rPr>
        <w:t>Poslanci obecného zastupiteľstva:</w:t>
      </w:r>
    </w:p>
    <w:p w:rsidR="00BA252F" w:rsidRDefault="00B614CB">
      <w:pPr>
        <w:numPr>
          <w:ilvl w:val="0"/>
          <w:numId w:val="5"/>
        </w:numPr>
        <w:ind w:left="-360" w:firstLine="360"/>
      </w:pPr>
      <w:r>
        <w:rPr>
          <w:rFonts w:ascii="Bookman Old Style" w:eastAsia="Bookman Old Style" w:hAnsi="Bookman Old Style" w:cs="Bookman Old Style"/>
          <w:sz w:val="24"/>
        </w:rPr>
        <w:t>Ing. Ivan Hambalek, Hájske č. 166</w:t>
      </w:r>
    </w:p>
    <w:p w:rsidR="00BA252F" w:rsidRDefault="00B614CB">
      <w:pPr>
        <w:numPr>
          <w:ilvl w:val="0"/>
          <w:numId w:val="5"/>
        </w:numPr>
        <w:ind w:left="-360" w:firstLine="360"/>
      </w:pPr>
      <w:r>
        <w:rPr>
          <w:rFonts w:ascii="Bookman Old Style" w:eastAsia="Bookman Old Style" w:hAnsi="Bookman Old Style" w:cs="Bookman Old Style"/>
          <w:sz w:val="24"/>
        </w:rPr>
        <w:t>Jaroslav Bennár, Hájske č. 486</w:t>
      </w:r>
    </w:p>
    <w:p w:rsidR="00BA252F" w:rsidRDefault="00B614CB">
      <w:pPr>
        <w:numPr>
          <w:ilvl w:val="0"/>
          <w:numId w:val="5"/>
        </w:numPr>
        <w:ind w:left="-360" w:firstLine="360"/>
      </w:pPr>
      <w:r>
        <w:rPr>
          <w:rFonts w:ascii="Bookman Old Style" w:eastAsia="Bookman Old Style" w:hAnsi="Bookman Old Style" w:cs="Bookman Old Style"/>
          <w:sz w:val="24"/>
        </w:rPr>
        <w:t>Peter Vlček, Hájske č. 223</w:t>
      </w:r>
    </w:p>
    <w:p w:rsidR="00BA252F" w:rsidRDefault="00B614CB">
      <w:pPr>
        <w:numPr>
          <w:ilvl w:val="0"/>
          <w:numId w:val="5"/>
        </w:numPr>
        <w:ind w:left="-360" w:firstLine="360"/>
      </w:pPr>
      <w:r>
        <w:rPr>
          <w:rFonts w:ascii="Bookman Old Style" w:eastAsia="Bookman Old Style" w:hAnsi="Bookman Old Style" w:cs="Bookman Old Style"/>
          <w:sz w:val="24"/>
        </w:rPr>
        <w:t>Ing. Vladimír Chudáčik, Hájske č. 253</w:t>
      </w:r>
    </w:p>
    <w:p w:rsidR="00BA252F" w:rsidRDefault="00B614CB">
      <w:pPr>
        <w:numPr>
          <w:ilvl w:val="0"/>
          <w:numId w:val="5"/>
        </w:numPr>
        <w:ind w:left="-360" w:firstLine="360"/>
      </w:pPr>
      <w:r>
        <w:rPr>
          <w:rFonts w:ascii="Bookman Old Style" w:eastAsia="Bookman Old Style" w:hAnsi="Bookman Old Style" w:cs="Bookman Old Style"/>
          <w:sz w:val="24"/>
        </w:rPr>
        <w:t>Ing. Michal Horňák, Hájske</w:t>
      </w:r>
      <w:r>
        <w:rPr>
          <w:rFonts w:ascii="Bookman Old Style" w:eastAsia="Bookman Old Style" w:hAnsi="Bookman Old Style" w:cs="Bookman Old Style"/>
          <w:sz w:val="24"/>
        </w:rPr>
        <w:t xml:space="preserve"> č. 19</w:t>
      </w:r>
    </w:p>
    <w:p w:rsidR="00BA252F" w:rsidRDefault="00B614CB">
      <w:pPr>
        <w:numPr>
          <w:ilvl w:val="0"/>
          <w:numId w:val="5"/>
        </w:numPr>
        <w:ind w:left="-360" w:firstLine="360"/>
      </w:pPr>
      <w:r>
        <w:rPr>
          <w:rFonts w:ascii="Bookman Old Style" w:eastAsia="Bookman Old Style" w:hAnsi="Bookman Old Style" w:cs="Bookman Old Style"/>
          <w:sz w:val="24"/>
        </w:rPr>
        <w:t>Ing. Marián Palkovič, Hájske č. 242</w:t>
      </w:r>
    </w:p>
    <w:p w:rsidR="00BA252F" w:rsidRDefault="00B614CB">
      <w:pPr>
        <w:numPr>
          <w:ilvl w:val="0"/>
          <w:numId w:val="5"/>
        </w:numPr>
        <w:ind w:left="-360" w:firstLine="360"/>
      </w:pPr>
      <w:r>
        <w:rPr>
          <w:rFonts w:ascii="Bookman Old Style" w:eastAsia="Bookman Old Style" w:hAnsi="Bookman Old Style" w:cs="Bookman Old Style"/>
          <w:sz w:val="24"/>
        </w:rPr>
        <w:t>Ján Popelka, Hájske č. 170</w:t>
      </w:r>
    </w:p>
    <w:p w:rsidR="00BA252F" w:rsidRDefault="00B614CB">
      <w:pPr>
        <w:numPr>
          <w:ilvl w:val="0"/>
          <w:numId w:val="5"/>
        </w:numPr>
        <w:ind w:left="-360" w:firstLine="360"/>
      </w:pPr>
      <w:r>
        <w:rPr>
          <w:rFonts w:ascii="Bookman Old Style" w:eastAsia="Bookman Old Style" w:hAnsi="Bookman Old Style" w:cs="Bookman Old Style"/>
          <w:sz w:val="24"/>
        </w:rPr>
        <w:t>Pavol Búran, Hájske č. 469</w:t>
      </w:r>
    </w:p>
    <w:p w:rsidR="00BA252F" w:rsidRDefault="00B614CB">
      <w:pPr>
        <w:numPr>
          <w:ilvl w:val="0"/>
          <w:numId w:val="5"/>
        </w:numPr>
        <w:ind w:left="-360" w:firstLine="360"/>
      </w:pPr>
      <w:r>
        <w:rPr>
          <w:rFonts w:ascii="Bookman Old Style" w:eastAsia="Bookman Old Style" w:hAnsi="Bookman Old Style" w:cs="Bookman Old Style"/>
          <w:sz w:val="24"/>
        </w:rPr>
        <w:t>Darina Durecová, Hájske č. 344</w:t>
      </w:r>
    </w:p>
    <w:p w:rsidR="00BA252F" w:rsidRDefault="00BA252F"/>
    <w:p w:rsidR="00BA252F" w:rsidRDefault="00B614CB">
      <w:r>
        <w:rPr>
          <w:rFonts w:ascii="Bookman Old Style" w:eastAsia="Bookman Old Style" w:hAnsi="Bookman Old Style" w:cs="Bookman Old Style"/>
          <w:sz w:val="24"/>
        </w:rPr>
        <w:t>Obecné zastupiteľstvo rozhodovalo na svojich zasadnutiach o základných otázkach života v obci. Zasadnutia sa konali v dňoch 22.</w:t>
      </w:r>
      <w:r>
        <w:rPr>
          <w:rFonts w:ascii="Bookman Old Style" w:eastAsia="Bookman Old Style" w:hAnsi="Bookman Old Style" w:cs="Bookman Old Style"/>
          <w:sz w:val="24"/>
        </w:rPr>
        <w:t>02.2013, 15.04.2013, 17.05. 2013, 04.07.2013, 27.09.2013, 14.10.2013, 13.12.2013. Každé zasadnutie OZ sa konalo v KD v Hájskom. Pozvánka na zasadnutie bola zverejnená na úradnej tabuli najneskôr 3 dni pred konaním zasadnutia. Každé zasadnutie bolo verejné.</w:t>
      </w:r>
    </w:p>
    <w:p w:rsidR="00BA252F" w:rsidRDefault="00BA252F"/>
    <w:p w:rsidR="00BA252F" w:rsidRDefault="00B614CB">
      <w:pPr>
        <w:numPr>
          <w:ilvl w:val="0"/>
          <w:numId w:val="6"/>
        </w:numPr>
        <w:ind w:left="-360" w:firstLine="360"/>
      </w:pPr>
      <w:r>
        <w:rPr>
          <w:rFonts w:ascii="Bookman Old Style" w:eastAsia="Bookman Old Style" w:hAnsi="Bookman Old Style" w:cs="Bookman Old Style"/>
          <w:i/>
          <w:sz w:val="24"/>
          <w:u w:val="single"/>
        </w:rPr>
        <w:t>starosta obce – Jozef Matušica</w:t>
      </w:r>
    </w:p>
    <w:p w:rsidR="00BA252F" w:rsidRDefault="00B614CB">
      <w:pPr>
        <w:numPr>
          <w:ilvl w:val="0"/>
          <w:numId w:val="6"/>
        </w:numPr>
        <w:ind w:left="-360" w:firstLine="360"/>
      </w:pPr>
      <w:r>
        <w:rPr>
          <w:rFonts w:ascii="Bookman Old Style" w:eastAsia="Bookman Old Style" w:hAnsi="Bookman Old Style" w:cs="Bookman Old Style"/>
          <w:i/>
          <w:sz w:val="24"/>
          <w:u w:val="single"/>
        </w:rPr>
        <w:t>zástupca starostu obce – Jaroslav Bennár</w:t>
      </w:r>
    </w:p>
    <w:p w:rsidR="00BA252F" w:rsidRDefault="00B614CB">
      <w:pPr>
        <w:numPr>
          <w:ilvl w:val="0"/>
          <w:numId w:val="6"/>
        </w:numPr>
        <w:ind w:left="-360" w:firstLine="360"/>
      </w:pPr>
      <w:r>
        <w:rPr>
          <w:rFonts w:ascii="Bookman Old Style" w:eastAsia="Bookman Old Style" w:hAnsi="Bookman Old Style" w:cs="Bookman Old Style"/>
          <w:i/>
          <w:sz w:val="24"/>
          <w:u w:val="single"/>
        </w:rPr>
        <w:t>Hlavný kontrolór obce – Ing. Ladislav Čanaky</w:t>
      </w:r>
    </w:p>
    <w:p w:rsidR="00BA252F" w:rsidRDefault="00BA252F"/>
    <w:p w:rsidR="00BA252F" w:rsidRDefault="00B614CB">
      <w:r>
        <w:rPr>
          <w:rFonts w:ascii="Bookman Old Style" w:eastAsia="Bookman Old Style" w:hAnsi="Bookman Old Style" w:cs="Bookman Old Style"/>
          <w:sz w:val="24"/>
        </w:rPr>
        <w:t>Ing. Ladislav Čanaky bytom Hájske č. 243 zvolený do funkcie OZ v Hájskom uznesením č. 13/2/2011 od 01.04.2011 na obdobie 6 rokov. V roku</w:t>
      </w:r>
      <w:r>
        <w:rPr>
          <w:rFonts w:ascii="Bookman Old Style" w:eastAsia="Bookman Old Style" w:hAnsi="Bookman Old Style" w:cs="Bookman Old Style"/>
          <w:sz w:val="24"/>
        </w:rPr>
        <w:t xml:space="preserve"> 2012 hlavný kontrolór pracoval v zmysle plánu práce schváleného obecným zastupiteľstvom.</w:t>
      </w:r>
    </w:p>
    <w:p w:rsidR="00BA252F" w:rsidRDefault="00BA252F"/>
    <w:p w:rsidR="00BA252F" w:rsidRDefault="00B614CB">
      <w:r>
        <w:rPr>
          <w:rFonts w:ascii="Bookman Old Style" w:eastAsia="Bookman Old Style" w:hAnsi="Bookman Old Style" w:cs="Bookman Old Style"/>
          <w:b/>
          <w:sz w:val="24"/>
        </w:rPr>
        <w:t>Obecný úrad</w:t>
      </w:r>
      <w:r>
        <w:rPr>
          <w:rFonts w:ascii="Bookman Old Style" w:eastAsia="Bookman Old Style" w:hAnsi="Bookman Old Style" w:cs="Bookman Old Style"/>
          <w:sz w:val="24"/>
        </w:rPr>
        <w:t xml:space="preserve"> je výkonným orgánom obecného zastupiteľstva a starostu obce, zabezpečuje organizačné a administratívne veci. Prácu obecného úradu organizuje starosta </w:t>
      </w:r>
      <w:r>
        <w:rPr>
          <w:rFonts w:ascii="Bookman Old Style" w:eastAsia="Bookman Old Style" w:hAnsi="Bookman Old Style" w:cs="Bookman Old Style"/>
          <w:sz w:val="24"/>
        </w:rPr>
        <w:t>obce.</w:t>
      </w:r>
    </w:p>
    <w:p w:rsidR="00BA252F" w:rsidRDefault="00BA252F"/>
    <w:p w:rsidR="00BA252F" w:rsidRDefault="00B614CB">
      <w:r>
        <w:rPr>
          <w:rFonts w:ascii="Bookman Old Style" w:eastAsia="Bookman Old Style" w:hAnsi="Bookman Old Style" w:cs="Bookman Old Style"/>
          <w:sz w:val="24"/>
        </w:rPr>
        <w:t>Obec Hájske je samostatný územný samosprávny a správny celok Slovenskej republiky, združuje osoby, ktoré majú na jej území trvalý pobyt. Obec je právnickou osobou, ktorá za podmienok ustanovených zákonom samostatne hospodári s vlastným majetkom a s </w:t>
      </w:r>
      <w:r>
        <w:rPr>
          <w:rFonts w:ascii="Bookman Old Style" w:eastAsia="Bookman Old Style" w:hAnsi="Bookman Old Style" w:cs="Bookman Old Style"/>
          <w:sz w:val="24"/>
        </w:rPr>
        <w:t xml:space="preserve">vlastnými príjmami. Základnou úlohou obce pri výkone samosprávy je starostlivosť o všestranný rozvoj jej územia </w:t>
      </w:r>
      <w:r>
        <w:rPr>
          <w:rFonts w:ascii="Bookman Old Style" w:eastAsia="Bookman Old Style" w:hAnsi="Bookman Old Style" w:cs="Bookman Old Style"/>
          <w:sz w:val="24"/>
        </w:rPr>
        <w:lastRenderedPageBreak/>
        <w:t>a o potreby jej obyvateľov.</w:t>
      </w:r>
    </w:p>
    <w:p w:rsidR="00BA252F" w:rsidRDefault="00B614CB">
      <w:r>
        <w:rPr>
          <w:rFonts w:ascii="Bookman Old Style" w:eastAsia="Bookman Old Style" w:hAnsi="Bookman Old Style" w:cs="Bookman Old Style"/>
          <w:sz w:val="24"/>
        </w:rPr>
        <w:t xml:space="preserve">    Obec financuje svoje potreby predovšetkým z vlastných príjmov, dotácií zo štátneho rozpočtu a z ďalších zdrojov.</w:t>
      </w:r>
      <w:r>
        <w:rPr>
          <w:rFonts w:ascii="Bookman Old Style" w:eastAsia="Bookman Old Style" w:hAnsi="Bookman Old Style" w:cs="Bookman Old Style"/>
          <w:sz w:val="24"/>
        </w:rPr>
        <w:t xml:space="preserve"> Na plnenie svojich úloh môže použiť návratné zdroje financovania a prostriedky mimorozpočtových peňažných fondov. Na plnenie rozvojového programu obce alebo na plnenie inej úlohy, na ktorej má štát záujem, možno obci poskytnúť štátnu dotáciu. Svoje úlohy </w:t>
      </w:r>
      <w:r>
        <w:rPr>
          <w:rFonts w:ascii="Bookman Old Style" w:eastAsia="Bookman Old Style" w:hAnsi="Bookman Old Style" w:cs="Bookman Old Style"/>
          <w:sz w:val="24"/>
        </w:rPr>
        <w:t>môže obec financovať aj z prostriedkov združených s inými obcami, so samosprávnymi krajmi a s inými právnickými a fyzickými osobami.</w:t>
      </w:r>
    </w:p>
    <w:p w:rsidR="00BA252F" w:rsidRDefault="00B614CB">
      <w:r>
        <w:rPr>
          <w:rFonts w:ascii="Bookman Old Style" w:eastAsia="Bookman Old Style" w:hAnsi="Bookman Old Style" w:cs="Bookman Old Style"/>
          <w:sz w:val="24"/>
        </w:rPr>
        <w:t xml:space="preserve">     Majetkom obce sú veci vo vlastníctve obce a majetkové práva obce. Majetok obce slúži na plnenie úloh obce, má sa zveľa</w:t>
      </w:r>
      <w:r>
        <w:rPr>
          <w:rFonts w:ascii="Bookman Old Style" w:eastAsia="Bookman Old Style" w:hAnsi="Bookman Old Style" w:cs="Bookman Old Style"/>
          <w:sz w:val="24"/>
        </w:rPr>
        <w:t>ďovať a zhodnocovať a vo svojej celkovej hodnote zásadne nezmenšený zachovať. Darovanie nehnuteľného majetku obce je neprípustné. Majetok obce možno použiť na verejné účely, na podnikateľskú činnosť a na výkon samosprávy obce. Zásady hospodárenia s majetko</w:t>
      </w:r>
      <w:r>
        <w:rPr>
          <w:rFonts w:ascii="Bookman Old Style" w:eastAsia="Bookman Old Style" w:hAnsi="Bookman Old Style" w:cs="Bookman Old Style"/>
          <w:sz w:val="24"/>
        </w:rPr>
        <w:t>m obce určuje obecné zastupiteľstvo. Obec môže zveriť svoj majetok do správy rozpočtovej organizácii, ktorú zriadila podľa zákona o rozpočtových pravidlách verejnej správy. Obec môže vložiť svoj majetok ako vklad do obchodnej spoločnosti alebo môže zo svoj</w:t>
      </w:r>
      <w:r>
        <w:rPr>
          <w:rFonts w:ascii="Bookman Old Style" w:eastAsia="Bookman Old Style" w:hAnsi="Bookman Old Style" w:cs="Bookman Old Style"/>
          <w:sz w:val="24"/>
        </w:rPr>
        <w:t>ho majetku založiť právnickú osobu. Obec môže upustiť od vymáhania majetkových práv, ak dôvody pre trvalé alebo dočasné upustenie určí v zásadách hospodárenia s majetkom obce.</w:t>
      </w:r>
    </w:p>
    <w:p w:rsidR="00BA252F" w:rsidRDefault="00B614CB">
      <w:r>
        <w:rPr>
          <w:rFonts w:ascii="Bookman Old Style" w:eastAsia="Bookman Old Style" w:hAnsi="Bookman Old Style" w:cs="Bookman Old Style"/>
          <w:sz w:val="24"/>
        </w:rPr>
        <w:t xml:space="preserve">     Podiely na daniach v správe štátu upravuje zákon č. 564/2004 Z.z. o rozpočt</w:t>
      </w:r>
      <w:r>
        <w:rPr>
          <w:rFonts w:ascii="Bookman Old Style" w:eastAsia="Bookman Old Style" w:hAnsi="Bookman Old Style" w:cs="Bookman Old Style"/>
          <w:sz w:val="24"/>
        </w:rPr>
        <w:t>ovom určení výnosu dane z príjmov územnej samospráve a o zmene a doplnení niektorých zákonov.</w:t>
      </w:r>
    </w:p>
    <w:p w:rsidR="00BA252F" w:rsidRDefault="00B614CB">
      <w:r>
        <w:rPr>
          <w:rFonts w:ascii="Bookman Old Style" w:eastAsia="Bookman Old Style" w:hAnsi="Bookman Old Style" w:cs="Bookman Old Style"/>
          <w:sz w:val="24"/>
        </w:rPr>
        <w:t xml:space="preserve">   Dotácie na úhradu nákladov preneseného výkonu štátnej správy sa zabezpečujú prostredníctvom správcu kapitoly štátneho rozpočtu, do ktorého vecnej pôsobnosti pa</w:t>
      </w:r>
      <w:r>
        <w:rPr>
          <w:rFonts w:ascii="Bookman Old Style" w:eastAsia="Bookman Old Style" w:hAnsi="Bookman Old Style" w:cs="Bookman Old Style"/>
          <w:sz w:val="24"/>
        </w:rPr>
        <w:t>trí výkon štátnej správy, ktorý sa preniesol na obec. Poskytujú sa na základe zákona č. 597/2003 Z.z. o financovaní základných škôl a školských zariadení. Do prijatia prostriedkov štátneho rozpočtu obcou na úhradu nákladov preneseného výkonu štátnej správy</w:t>
      </w:r>
      <w:r>
        <w:rPr>
          <w:rFonts w:ascii="Bookman Old Style" w:eastAsia="Bookman Old Style" w:hAnsi="Bookman Old Style" w:cs="Bookman Old Style"/>
          <w:sz w:val="24"/>
        </w:rPr>
        <w:t xml:space="preserve"> môže obec použiť na ich úhradu vlastné príjmy. Po prijatí prostriedkov ŠR obec zúčtuje prostriedky v prospech svojho rozpočtu.</w:t>
      </w:r>
    </w:p>
    <w:p w:rsidR="00BA252F" w:rsidRDefault="00B614CB">
      <w:r>
        <w:rPr>
          <w:rFonts w:ascii="Bookman Old Style" w:eastAsia="Bookman Old Style" w:hAnsi="Bookman Old Style" w:cs="Bookman Old Style"/>
          <w:sz w:val="24"/>
        </w:rPr>
        <w:t xml:space="preserve">     Ďalšie dotácie v súlade so zákonom o štátnom rozpočte na príslušný rozpočtový rok sa zabezpečujú prostredníctvom Ministerst</w:t>
      </w:r>
      <w:r>
        <w:rPr>
          <w:rFonts w:ascii="Bookman Old Style" w:eastAsia="Bookman Old Style" w:hAnsi="Bookman Old Style" w:cs="Bookman Old Style"/>
          <w:sz w:val="24"/>
        </w:rPr>
        <w:t>va financií SR alebo správcu rozpočtovej kapitoly ŠR, do ktorého vecnej pôsobnosti patrí činnosť, ktorá sa má financovať.</w:t>
      </w:r>
    </w:p>
    <w:p w:rsidR="00BA252F" w:rsidRDefault="00B614CB">
      <w:r>
        <w:rPr>
          <w:rFonts w:ascii="Bookman Old Style" w:eastAsia="Bookman Old Style" w:hAnsi="Bookman Old Style" w:cs="Bookman Old Style"/>
          <w:sz w:val="24"/>
        </w:rPr>
        <w:t xml:space="preserve">   Obec, ako subjekt verejnej správy zadefinovaný v § 3 zákona č. 523/2004 Z.z. o rozpočtových pravidlách verejnej správy v znení nesk</w:t>
      </w:r>
      <w:r>
        <w:rPr>
          <w:rFonts w:ascii="Bookman Old Style" w:eastAsia="Bookman Old Style" w:hAnsi="Bookman Old Style" w:cs="Bookman Old Style"/>
          <w:sz w:val="24"/>
        </w:rPr>
        <w:t>orších predpisov, je právnickou osobou zapísanou v registri organizácií vedenom Štatistickým úradom SR podľa zákona č. 540/2001 Z.z. o štátnej štatistike.</w:t>
      </w:r>
      <w:r>
        <w:rPr>
          <w:rFonts w:ascii="Bookman Old Style" w:eastAsia="Bookman Old Style" w:hAnsi="Bookman Old Style" w:cs="Bookman Old Style"/>
          <w:sz w:val="24"/>
        </w:rPr>
        <w:tab/>
      </w:r>
    </w:p>
    <w:p w:rsidR="00BA252F" w:rsidRDefault="00B614CB">
      <w:r>
        <w:rPr>
          <w:rFonts w:ascii="Bookman Old Style" w:eastAsia="Bookman Old Style" w:hAnsi="Bookman Old Style" w:cs="Bookman Old Style"/>
          <w:sz w:val="24"/>
        </w:rPr>
        <w:t xml:space="preserve">   Všeobecnou legislatívnou normou upravujúcou účtovníctvo vrátane účtovnej závierky rozpočtových or</w:t>
      </w:r>
      <w:r>
        <w:rPr>
          <w:rFonts w:ascii="Bookman Old Style" w:eastAsia="Bookman Old Style" w:hAnsi="Bookman Old Style" w:cs="Bookman Old Style"/>
          <w:sz w:val="24"/>
        </w:rPr>
        <w:t>ganizácií a obcí je zákon o účtovníctve v znení neskorších predpisov. V zmysle tohto zákona účtujú rozpočtové organizácie a obce v sústave podvojného účtovníctva.</w:t>
      </w:r>
    </w:p>
    <w:p w:rsidR="00BA252F" w:rsidRDefault="00B614CB">
      <w:r>
        <w:rPr>
          <w:rFonts w:ascii="Bookman Old Style" w:eastAsia="Bookman Old Style" w:hAnsi="Bookman Old Style" w:cs="Bookman Old Style"/>
          <w:sz w:val="24"/>
        </w:rPr>
        <w:t xml:space="preserve">     Účtovnú závierku vo všeobecnosti upravuje zákon o účtovníctve v znení neskorších predpis</w:t>
      </w:r>
      <w:r>
        <w:rPr>
          <w:rFonts w:ascii="Bookman Old Style" w:eastAsia="Bookman Old Style" w:hAnsi="Bookman Old Style" w:cs="Bookman Old Style"/>
          <w:sz w:val="24"/>
        </w:rPr>
        <w:t>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w:t>
      </w:r>
      <w:r>
        <w:rPr>
          <w:rFonts w:ascii="Bookman Old Style" w:eastAsia="Bookman Old Style" w:hAnsi="Bookman Old Style" w:cs="Bookman Old Style"/>
          <w:sz w:val="24"/>
        </w:rPr>
        <w:t>úvahy, výkazu ziskov a strát, poznámok.</w:t>
      </w:r>
    </w:p>
    <w:p w:rsidR="00BA252F" w:rsidRDefault="00B614CB">
      <w:r>
        <w:rPr>
          <w:rFonts w:ascii="Bookman Old Style" w:eastAsia="Bookman Old Style" w:hAnsi="Bookman Old Style" w:cs="Bookman Old Style"/>
          <w:sz w:val="24"/>
        </w:rPr>
        <w:lastRenderedPageBreak/>
        <w:t xml:space="preserve">     Cieľom účtovnej závierky je poskytnúť verný a pravdivý obraz o účtovnej závierke. Informácie v účtovnej závierke sú užitočné, ak sú posudzované z hľadiska významnosti, zrozumiteľné, porovnateľné a spoľahlivé.</w:t>
      </w:r>
    </w:p>
    <w:p w:rsidR="00BA252F" w:rsidRDefault="00B614CB">
      <w:r>
        <w:rPr>
          <w:rFonts w:ascii="Bookman Old Style" w:eastAsia="Bookman Old Style" w:hAnsi="Bookman Old Style" w:cs="Bookman Old Style"/>
          <w:sz w:val="24"/>
        </w:rPr>
        <w:t xml:space="preserve">  </w:t>
      </w:r>
      <w:r>
        <w:rPr>
          <w:rFonts w:ascii="Bookman Old Style" w:eastAsia="Bookman Old Style" w:hAnsi="Bookman Old Style" w:cs="Bookman Old Style"/>
          <w:sz w:val="24"/>
        </w:rP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w:t>
      </w:r>
      <w:r>
        <w:rPr>
          <w:rFonts w:ascii="Bookman Old Style" w:eastAsia="Bookman Old Style" w:hAnsi="Bookman Old Style" w:cs="Bookman Old Style"/>
          <w:sz w:val="24"/>
        </w:rPr>
        <w:t>990 Zb. o obecnom zriadení v znení neskorších doplnkov.</w:t>
      </w:r>
    </w:p>
    <w:p w:rsidR="00BA252F" w:rsidRDefault="00B614CB">
      <w:r>
        <w:rPr>
          <w:rFonts w:ascii="Bookman Old Style" w:eastAsia="Bookman Old Style" w:hAnsi="Bookman Old Style" w:cs="Bookman Old Style"/>
          <w:sz w:val="24"/>
        </w:rPr>
        <w:t xml:space="preserve">     Účtovná závierka predstavuje kontinuálny proces činností, ktorých výsledkom je zostavenie účtovných výkazov, vypracovanie poznámok a následné predloženie účtovnej závierky ako celku vrátane všeob</w:t>
      </w:r>
      <w:r>
        <w:rPr>
          <w:rFonts w:ascii="Bookman Old Style" w:eastAsia="Bookman Old Style" w:hAnsi="Bookman Old Style" w:cs="Bookman Old Style"/>
          <w:sz w:val="24"/>
        </w:rPr>
        <w:t>ecných náležitostí na určené miesta predkladania. Z hľadiska charakteru ich môžeme rozčleniť na účtovnú závierku pozostávajúcu z prípravných prác,  uzatvorenia účtovných kníh a zostavenie účtovnej závierky.</w:t>
      </w:r>
    </w:p>
    <w:p w:rsidR="00BA252F" w:rsidRDefault="00B614CB">
      <w:r>
        <w:rPr>
          <w:rFonts w:ascii="Bookman Old Style" w:eastAsia="Bookman Old Style" w:hAnsi="Bookman Old Style" w:cs="Bookman Old Style"/>
          <w:sz w:val="24"/>
        </w:rPr>
        <w:t>Obec Hájske od 01.01.2009 ústovala v mene euro.</w:t>
      </w:r>
    </w:p>
    <w:p w:rsidR="00BA252F" w:rsidRDefault="00BA252F"/>
    <w:p w:rsidR="00BA252F" w:rsidRDefault="00B614CB">
      <w:r>
        <w:rPr>
          <w:rFonts w:ascii="Bookman Old Style" w:eastAsia="Bookman Old Style" w:hAnsi="Bookman Old Style" w:cs="Bookman Old Style"/>
          <w:i/>
          <w:sz w:val="24"/>
        </w:rPr>
        <w:t>Zamestnanci obecného úradu:</w:t>
      </w:r>
    </w:p>
    <w:p w:rsidR="00BA252F" w:rsidRDefault="00B614CB">
      <w:pPr>
        <w:numPr>
          <w:ilvl w:val="0"/>
          <w:numId w:val="7"/>
        </w:numPr>
        <w:ind w:left="-360" w:firstLine="360"/>
      </w:pPr>
      <w:r>
        <w:rPr>
          <w:rFonts w:ascii="Bookman Old Style" w:eastAsia="Bookman Old Style" w:hAnsi="Bookman Old Style" w:cs="Bookman Old Style"/>
          <w:sz w:val="24"/>
        </w:rPr>
        <w:t>Mgr. Lucia Kokeš, bytom Hájske č. 265 – samostratný odborný referent, matrika, evidencia obyvateľstva</w:t>
      </w:r>
    </w:p>
    <w:p w:rsidR="00BA252F" w:rsidRDefault="00B614CB">
      <w:pPr>
        <w:numPr>
          <w:ilvl w:val="0"/>
          <w:numId w:val="7"/>
        </w:numPr>
        <w:ind w:left="-360" w:firstLine="360"/>
      </w:pPr>
      <w:r>
        <w:rPr>
          <w:rFonts w:ascii="Bookman Old Style" w:eastAsia="Bookman Old Style" w:hAnsi="Bookman Old Style" w:cs="Bookman Old Style"/>
          <w:sz w:val="24"/>
        </w:rPr>
        <w:t>Mária Vlčková, bytom Hájske č. 488 – samostatný odborný referent, sociálna činnosť, opatrovateľská služby, dane a poplatky</w:t>
      </w:r>
    </w:p>
    <w:p w:rsidR="00BA252F" w:rsidRDefault="00B614CB">
      <w:pPr>
        <w:numPr>
          <w:ilvl w:val="0"/>
          <w:numId w:val="7"/>
        </w:numPr>
        <w:ind w:left="-360" w:firstLine="360"/>
      </w:pPr>
      <w:r>
        <w:rPr>
          <w:rFonts w:ascii="Bookman Old Style" w:eastAsia="Bookman Old Style" w:hAnsi="Bookman Old Style" w:cs="Bookman Old Style"/>
          <w:sz w:val="24"/>
        </w:rPr>
        <w:t>Jan</w:t>
      </w:r>
      <w:r>
        <w:rPr>
          <w:rFonts w:ascii="Bookman Old Style" w:eastAsia="Bookman Old Style" w:hAnsi="Bookman Old Style" w:cs="Bookman Old Style"/>
          <w:sz w:val="24"/>
        </w:rPr>
        <w:t>a Popelková. bytom Hájske č. 436 – samostatný odborný referent, správa miestnych daní, finančná účtareň, mzdy a personalistika</w:t>
      </w:r>
    </w:p>
    <w:p w:rsidR="00BA252F" w:rsidRDefault="00B614CB">
      <w:pPr>
        <w:numPr>
          <w:ilvl w:val="0"/>
          <w:numId w:val="7"/>
        </w:numPr>
        <w:ind w:left="-360" w:firstLine="360"/>
      </w:pPr>
      <w:r>
        <w:rPr>
          <w:rFonts w:ascii="Bookman Old Style" w:eastAsia="Bookman Old Style" w:hAnsi="Bookman Old Style" w:cs="Bookman Old Style"/>
          <w:sz w:val="24"/>
        </w:rPr>
        <w:t>Juraj Bennár, bytom Hájske č. 231 – pracovník údržby</w:t>
      </w:r>
    </w:p>
    <w:p w:rsidR="00BA252F" w:rsidRDefault="00B614CB">
      <w:pPr>
        <w:numPr>
          <w:ilvl w:val="0"/>
          <w:numId w:val="7"/>
        </w:numPr>
        <w:ind w:left="-360" w:firstLine="360"/>
      </w:pPr>
      <w:r>
        <w:rPr>
          <w:rFonts w:ascii="Bookman Old Style" w:eastAsia="Bookman Old Style" w:hAnsi="Bookman Old Style" w:cs="Bookman Old Style"/>
          <w:sz w:val="24"/>
        </w:rPr>
        <w:t>Tibor Vörös, bytom Hájske č. 408 – pracovník údržby</w:t>
      </w:r>
    </w:p>
    <w:p w:rsidR="00BA252F" w:rsidRDefault="00BA252F"/>
    <w:p w:rsidR="00BA252F" w:rsidRDefault="00BA252F"/>
    <w:p w:rsidR="00BA252F" w:rsidRDefault="00B614CB">
      <w:pPr>
        <w:numPr>
          <w:ilvl w:val="0"/>
          <w:numId w:val="8"/>
        </w:numPr>
        <w:ind w:left="-360" w:firstLine="360"/>
      </w:pPr>
      <w:r>
        <w:rPr>
          <w:rFonts w:ascii="Bookman Old Style" w:eastAsia="Bookman Old Style" w:hAnsi="Bookman Old Style" w:cs="Bookman Old Style"/>
          <w:b/>
          <w:sz w:val="26"/>
        </w:rPr>
        <w:t>Rozpočet obce a jeho p</w:t>
      </w:r>
      <w:r>
        <w:rPr>
          <w:rFonts w:ascii="Bookman Old Style" w:eastAsia="Bookman Old Style" w:hAnsi="Bookman Old Style" w:cs="Bookman Old Style"/>
          <w:b/>
          <w:sz w:val="26"/>
        </w:rPr>
        <w:t>lnenie za rok 2013</w:t>
      </w:r>
    </w:p>
    <w:p w:rsidR="00BA252F" w:rsidRDefault="00BA252F"/>
    <w:p w:rsidR="00BA252F" w:rsidRDefault="00B614CB">
      <w:r>
        <w:rPr>
          <w:rFonts w:ascii="Bookman Old Style" w:eastAsia="Bookman Old Style" w:hAnsi="Bookman Old Style" w:cs="Bookman Old Style"/>
          <w:sz w:val="24"/>
        </w:rPr>
        <w:t>Základným nástrojom finančného hospodárenia obce bol rozpočet obce na rok 2013.</w:t>
      </w:r>
    </w:p>
    <w:p w:rsidR="00BA252F" w:rsidRDefault="00B614CB">
      <w:r>
        <w:rPr>
          <w:rFonts w:ascii="Bookman Old Style" w:eastAsia="Bookman Old Style" w:hAnsi="Bookman Old Style" w:cs="Bookman Old Style"/>
          <w:sz w:val="24"/>
        </w:rPr>
        <w:t xml:space="preserve">Obec Hájske v roku 2013 zostavila rozpočet podľa ustanovenia §10 odsek 7) zákona č. </w:t>
      </w:r>
      <w:r>
        <w:rPr>
          <w:rFonts w:ascii="Bookman Old Style" w:eastAsia="Bookman Old Style" w:hAnsi="Bookman Old Style" w:cs="Bookman Old Style"/>
          <w:sz w:val="24"/>
        </w:rPr>
        <w:tab/>
        <w:t xml:space="preserve">583/2004 Z.z. o rozpočtových pravidlách územnej samosprávy a o zmene a </w:t>
      </w:r>
      <w:r>
        <w:rPr>
          <w:rFonts w:ascii="Bookman Old Style" w:eastAsia="Bookman Old Style" w:hAnsi="Bookman Old Style" w:cs="Bookman Old Style"/>
          <w:sz w:val="24"/>
        </w:rPr>
        <w:t xml:space="preserve">doplnení </w:t>
      </w:r>
      <w:r>
        <w:rPr>
          <w:rFonts w:ascii="Bookman Old Style" w:eastAsia="Bookman Old Style" w:hAnsi="Bookman Old Style" w:cs="Bookman Old Style"/>
          <w:sz w:val="24"/>
        </w:rPr>
        <w:tab/>
        <w:t xml:space="preserve">niektorých zákonov v znení neskorších predpisov. Rozpočet obce na rok 2013 bol zostavený </w:t>
      </w:r>
      <w:r>
        <w:rPr>
          <w:rFonts w:ascii="Bookman Old Style" w:eastAsia="Bookman Old Style" w:hAnsi="Bookman Old Style" w:cs="Bookman Old Style"/>
          <w:sz w:val="24"/>
        </w:rPr>
        <w:tab/>
        <w:t>ako vyrovnaný.</w:t>
      </w:r>
    </w:p>
    <w:p w:rsidR="00BA252F" w:rsidRDefault="00BA252F"/>
    <w:p w:rsidR="00BA252F" w:rsidRDefault="00B614CB">
      <w:r>
        <w:rPr>
          <w:rFonts w:ascii="Bookman Old Style" w:eastAsia="Bookman Old Style" w:hAnsi="Bookman Old Style" w:cs="Bookman Old Style"/>
          <w:sz w:val="24"/>
        </w:rPr>
        <w:t>Hospodárenie obce sa riadilo podľa schváleného rozpočtu na rok 2013.</w:t>
      </w:r>
    </w:p>
    <w:p w:rsidR="00BA252F" w:rsidRDefault="00B614CB">
      <w:r>
        <w:rPr>
          <w:rFonts w:ascii="Bookman Old Style" w:eastAsia="Bookman Old Style" w:hAnsi="Bookman Old Style" w:cs="Bookman Old Style"/>
          <w:sz w:val="24"/>
        </w:rPr>
        <w:t>Rozpočet obce bol schválený obecným zastupiteľstvom dňa 14. 12. 2012, u</w:t>
      </w:r>
      <w:r>
        <w:rPr>
          <w:rFonts w:ascii="Bookman Old Style" w:eastAsia="Bookman Old Style" w:hAnsi="Bookman Old Style" w:cs="Bookman Old Style"/>
          <w:sz w:val="24"/>
        </w:rPr>
        <w:t xml:space="preserve">znesením č. </w:t>
      </w:r>
      <w:r>
        <w:rPr>
          <w:rFonts w:ascii="Bookman Old Style" w:eastAsia="Bookman Old Style" w:hAnsi="Bookman Old Style" w:cs="Bookman Old Style"/>
          <w:sz w:val="24"/>
        </w:rPr>
        <w:tab/>
        <w:t>74/12/2012.</w:t>
      </w:r>
    </w:p>
    <w:p w:rsidR="00BA252F" w:rsidRDefault="00B614CB">
      <w:r>
        <w:rPr>
          <w:rFonts w:ascii="Bookman Old Style" w:eastAsia="Bookman Old Style" w:hAnsi="Bookman Old Style" w:cs="Bookman Old Style"/>
          <w:sz w:val="24"/>
        </w:rPr>
        <w:t>Rozpočet bol zmenený:</w:t>
      </w:r>
    </w:p>
    <w:p w:rsidR="00BA252F" w:rsidRDefault="00B614CB">
      <w:r>
        <w:rPr>
          <w:rFonts w:ascii="Bookman Old Style" w:eastAsia="Bookman Old Style" w:hAnsi="Bookman Old Style" w:cs="Bookman Old Style"/>
          <w:sz w:val="24"/>
        </w:rPr>
        <w:t>- Rozpočtové opatrenie č. 1, schválené obecným zastupiteľstvom dňa 22.02.2013</w:t>
      </w:r>
    </w:p>
    <w:p w:rsidR="00BA252F" w:rsidRDefault="00B614CB">
      <w:r>
        <w:rPr>
          <w:rFonts w:ascii="Bookman Old Style" w:eastAsia="Bookman Old Style" w:hAnsi="Bookman Old Style" w:cs="Bookman Old Style"/>
          <w:sz w:val="24"/>
        </w:rPr>
        <w:t>- Rozpočtové opatrenie č. 2, schválené obecným zastupiteľstvom dňa 27.09.2013</w:t>
      </w:r>
    </w:p>
    <w:p w:rsidR="00BA252F" w:rsidRDefault="00BA252F"/>
    <w:p w:rsidR="00BA252F" w:rsidRDefault="00BA252F">
      <w:pPr>
        <w:jc w:val="center"/>
      </w:pPr>
    </w:p>
    <w:p w:rsidR="00BA252F" w:rsidRDefault="00B614CB">
      <w:pPr>
        <w:jc w:val="center"/>
      </w:pPr>
      <w:r>
        <w:rPr>
          <w:rFonts w:ascii="Bookman Old Style" w:eastAsia="Bookman Old Style" w:hAnsi="Bookman Old Style" w:cs="Bookman Old Style"/>
          <w:b/>
          <w:sz w:val="24"/>
        </w:rPr>
        <w:t>SCHVÁLENÝ ROZPOČET OBCE V CELÝCH €</w:t>
      </w:r>
    </w:p>
    <w:p w:rsidR="00BA252F" w:rsidRDefault="00BA252F">
      <w:pPr>
        <w:jc w:val="center"/>
      </w:pPr>
    </w:p>
    <w:tbl>
      <w:tblPr>
        <w:tblW w:w="11936" w:type="dxa"/>
        <w:tblLayout w:type="fixed"/>
        <w:tblCellMar>
          <w:left w:w="10" w:type="dxa"/>
          <w:right w:w="10" w:type="dxa"/>
        </w:tblCellMar>
        <w:tblLook w:val="0000" w:firstRow="0" w:lastRow="0" w:firstColumn="0" w:lastColumn="0" w:noHBand="0" w:noVBand="0"/>
      </w:tblPr>
      <w:tblGrid>
        <w:gridCol w:w="2409"/>
        <w:gridCol w:w="3681"/>
        <w:gridCol w:w="2411"/>
        <w:gridCol w:w="3435"/>
      </w:tblGrid>
      <w:tr w:rsidR="00BA252F">
        <w:tblPrEx>
          <w:tblCellMar>
            <w:top w:w="0" w:type="dxa"/>
            <w:bottom w:w="0" w:type="dxa"/>
          </w:tblCellMar>
        </w:tblPrEx>
        <w:tc>
          <w:tcPr>
            <w:tcW w:w="2409"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68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Schválený rozp</w:t>
            </w:r>
            <w:r>
              <w:rPr>
                <w:rFonts w:ascii="Bookman Old Style" w:eastAsia="Bookman Old Style" w:hAnsi="Bookman Old Style" w:cs="Bookman Old Style"/>
                <w:b/>
                <w:sz w:val="24"/>
              </w:rPr>
              <w:t>očet</w:t>
            </w:r>
          </w:p>
        </w:tc>
        <w:tc>
          <w:tcPr>
            <w:tcW w:w="241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43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Rozpočet po zmenách</w:t>
            </w:r>
          </w:p>
        </w:tc>
      </w:tr>
      <w:tr w:rsidR="00BA252F">
        <w:tblPrEx>
          <w:tblCellMar>
            <w:top w:w="0" w:type="dxa"/>
            <w:bottom w:w="0" w:type="dxa"/>
          </w:tblCellMar>
        </w:tblPrEx>
        <w:tc>
          <w:tcPr>
            <w:tcW w:w="2409"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b/>
                <w:sz w:val="24"/>
              </w:rPr>
              <w:lastRenderedPageBreak/>
              <w:t>Príjmy celkom</w:t>
            </w:r>
          </w:p>
        </w:tc>
        <w:tc>
          <w:tcPr>
            <w:tcW w:w="368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518835,00</w:t>
            </w:r>
          </w:p>
        </w:tc>
        <w:tc>
          <w:tcPr>
            <w:tcW w:w="241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43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518835,00</w:t>
            </w:r>
          </w:p>
        </w:tc>
      </w:tr>
      <w:tr w:rsidR="00BA252F">
        <w:tblPrEx>
          <w:tblCellMar>
            <w:top w:w="0" w:type="dxa"/>
            <w:bottom w:w="0" w:type="dxa"/>
          </w:tblCellMar>
        </w:tblPrEx>
        <w:tc>
          <w:tcPr>
            <w:tcW w:w="2409"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z toho:</w:t>
            </w:r>
          </w:p>
        </w:tc>
        <w:tc>
          <w:tcPr>
            <w:tcW w:w="368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241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43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r>
      <w:tr w:rsidR="00BA252F">
        <w:tblPrEx>
          <w:tblCellMar>
            <w:top w:w="0" w:type="dxa"/>
            <w:bottom w:w="0" w:type="dxa"/>
          </w:tblCellMar>
        </w:tblPrEx>
        <w:tc>
          <w:tcPr>
            <w:tcW w:w="2409"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Bežné príjmy</w:t>
            </w:r>
          </w:p>
        </w:tc>
        <w:tc>
          <w:tcPr>
            <w:tcW w:w="368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454835,00</w:t>
            </w:r>
          </w:p>
        </w:tc>
        <w:tc>
          <w:tcPr>
            <w:tcW w:w="241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43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454835,00</w:t>
            </w:r>
          </w:p>
        </w:tc>
      </w:tr>
      <w:tr w:rsidR="00BA252F">
        <w:tblPrEx>
          <w:tblCellMar>
            <w:top w:w="0" w:type="dxa"/>
            <w:bottom w:w="0" w:type="dxa"/>
          </w:tblCellMar>
        </w:tblPrEx>
        <w:tc>
          <w:tcPr>
            <w:tcW w:w="2409"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Kapitálové príjmy</w:t>
            </w:r>
          </w:p>
        </w:tc>
        <w:tc>
          <w:tcPr>
            <w:tcW w:w="368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64000,00</w:t>
            </w:r>
          </w:p>
        </w:tc>
        <w:tc>
          <w:tcPr>
            <w:tcW w:w="241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43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64000,00</w:t>
            </w:r>
          </w:p>
        </w:tc>
      </w:tr>
      <w:tr w:rsidR="00BA252F">
        <w:tblPrEx>
          <w:tblCellMar>
            <w:top w:w="0" w:type="dxa"/>
            <w:bottom w:w="0" w:type="dxa"/>
          </w:tblCellMar>
        </w:tblPrEx>
        <w:tc>
          <w:tcPr>
            <w:tcW w:w="2409"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Finančné operácie</w:t>
            </w:r>
          </w:p>
        </w:tc>
        <w:tc>
          <w:tcPr>
            <w:tcW w:w="368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241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43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r>
      <w:tr w:rsidR="00BA252F">
        <w:tblPrEx>
          <w:tblCellMar>
            <w:top w:w="0" w:type="dxa"/>
            <w:bottom w:w="0" w:type="dxa"/>
          </w:tblCellMar>
        </w:tblPrEx>
        <w:tc>
          <w:tcPr>
            <w:tcW w:w="2409"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b/>
                <w:sz w:val="24"/>
              </w:rPr>
              <w:t>Výdavky celkom</w:t>
            </w:r>
          </w:p>
        </w:tc>
        <w:tc>
          <w:tcPr>
            <w:tcW w:w="368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518835,00</w:t>
            </w:r>
          </w:p>
        </w:tc>
        <w:tc>
          <w:tcPr>
            <w:tcW w:w="241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43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518835,00</w:t>
            </w:r>
          </w:p>
        </w:tc>
      </w:tr>
      <w:tr w:rsidR="00BA252F">
        <w:tblPrEx>
          <w:tblCellMar>
            <w:top w:w="0" w:type="dxa"/>
            <w:bottom w:w="0" w:type="dxa"/>
          </w:tblCellMar>
        </w:tblPrEx>
        <w:tc>
          <w:tcPr>
            <w:tcW w:w="2409"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z toho:</w:t>
            </w:r>
          </w:p>
        </w:tc>
        <w:tc>
          <w:tcPr>
            <w:tcW w:w="368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241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43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r>
      <w:tr w:rsidR="00BA252F">
        <w:tblPrEx>
          <w:tblCellMar>
            <w:top w:w="0" w:type="dxa"/>
            <w:bottom w:w="0" w:type="dxa"/>
          </w:tblCellMar>
        </w:tblPrEx>
        <w:tc>
          <w:tcPr>
            <w:tcW w:w="2409"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Bežné výdavky</w:t>
            </w:r>
          </w:p>
        </w:tc>
        <w:tc>
          <w:tcPr>
            <w:tcW w:w="368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454835,00</w:t>
            </w:r>
          </w:p>
        </w:tc>
        <w:tc>
          <w:tcPr>
            <w:tcW w:w="241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43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454835,00</w:t>
            </w:r>
          </w:p>
        </w:tc>
      </w:tr>
      <w:tr w:rsidR="00BA252F">
        <w:tblPrEx>
          <w:tblCellMar>
            <w:top w:w="0" w:type="dxa"/>
            <w:bottom w:w="0" w:type="dxa"/>
          </w:tblCellMar>
        </w:tblPrEx>
        <w:tc>
          <w:tcPr>
            <w:tcW w:w="2409"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Kapitálové výdavky</w:t>
            </w:r>
          </w:p>
        </w:tc>
        <w:tc>
          <w:tcPr>
            <w:tcW w:w="368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64000,00</w:t>
            </w:r>
          </w:p>
        </w:tc>
        <w:tc>
          <w:tcPr>
            <w:tcW w:w="241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43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64000,00</w:t>
            </w:r>
          </w:p>
        </w:tc>
      </w:tr>
      <w:tr w:rsidR="00BA252F">
        <w:tblPrEx>
          <w:tblCellMar>
            <w:top w:w="0" w:type="dxa"/>
            <w:bottom w:w="0" w:type="dxa"/>
          </w:tblCellMar>
        </w:tblPrEx>
        <w:tc>
          <w:tcPr>
            <w:tcW w:w="2409"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Finančné operácie</w:t>
            </w:r>
          </w:p>
        </w:tc>
        <w:tc>
          <w:tcPr>
            <w:tcW w:w="368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241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43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r>
      <w:tr w:rsidR="00BA252F">
        <w:tblPrEx>
          <w:tblCellMar>
            <w:top w:w="0" w:type="dxa"/>
            <w:bottom w:w="0" w:type="dxa"/>
          </w:tblCellMar>
        </w:tblPrEx>
        <w:tc>
          <w:tcPr>
            <w:tcW w:w="11936" w:type="dxa"/>
            <w:gridSpan w:val="4"/>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tc>
      </w:tr>
      <w:tr w:rsidR="00BA252F">
        <w:tblPrEx>
          <w:tblCellMar>
            <w:top w:w="0" w:type="dxa"/>
            <w:bottom w:w="0" w:type="dxa"/>
          </w:tblCellMar>
        </w:tblPrEx>
        <w:tc>
          <w:tcPr>
            <w:tcW w:w="2409"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Výsledok bežného rozpočtu</w:t>
            </w:r>
          </w:p>
        </w:tc>
        <w:tc>
          <w:tcPr>
            <w:tcW w:w="368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241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43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r>
      <w:tr w:rsidR="00BA252F">
        <w:tblPrEx>
          <w:tblCellMar>
            <w:top w:w="0" w:type="dxa"/>
            <w:bottom w:w="0" w:type="dxa"/>
          </w:tblCellMar>
        </w:tblPrEx>
        <w:tc>
          <w:tcPr>
            <w:tcW w:w="2409"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Výsledok kapitálového rozpočtu</w:t>
            </w:r>
          </w:p>
        </w:tc>
        <w:tc>
          <w:tcPr>
            <w:tcW w:w="368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241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43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r>
      <w:tr w:rsidR="00BA252F">
        <w:tblPrEx>
          <w:tblCellMar>
            <w:top w:w="0" w:type="dxa"/>
            <w:bottom w:w="0" w:type="dxa"/>
          </w:tblCellMar>
        </w:tblPrEx>
        <w:tc>
          <w:tcPr>
            <w:tcW w:w="2409"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Výsledok finančných operácií</w:t>
            </w:r>
          </w:p>
        </w:tc>
        <w:tc>
          <w:tcPr>
            <w:tcW w:w="368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241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43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r>
      <w:tr w:rsidR="00BA252F">
        <w:tblPrEx>
          <w:tblCellMar>
            <w:top w:w="0" w:type="dxa"/>
            <w:bottom w:w="0" w:type="dxa"/>
          </w:tblCellMar>
        </w:tblPrEx>
        <w:tc>
          <w:tcPr>
            <w:tcW w:w="11936" w:type="dxa"/>
            <w:gridSpan w:val="4"/>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tc>
      </w:tr>
      <w:tr w:rsidR="00BA252F">
        <w:tblPrEx>
          <w:tblCellMar>
            <w:top w:w="0" w:type="dxa"/>
            <w:bottom w:w="0" w:type="dxa"/>
          </w:tblCellMar>
        </w:tblPrEx>
        <w:tc>
          <w:tcPr>
            <w:tcW w:w="2409"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Celkový výsledok hospodárenia rozpočtu</w:t>
            </w:r>
          </w:p>
        </w:tc>
        <w:tc>
          <w:tcPr>
            <w:tcW w:w="368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0,00</w:t>
            </w:r>
          </w:p>
        </w:tc>
        <w:tc>
          <w:tcPr>
            <w:tcW w:w="2411"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43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0,00</w:t>
            </w:r>
          </w:p>
        </w:tc>
      </w:tr>
    </w:tbl>
    <w:p w:rsidR="00BA252F" w:rsidRDefault="00BA252F">
      <w:pPr>
        <w:jc w:val="center"/>
      </w:pPr>
    </w:p>
    <w:p w:rsidR="00BA252F" w:rsidRDefault="00B614CB">
      <w:r>
        <w:rPr>
          <w:rFonts w:ascii="Bookman Old Style" w:eastAsia="Bookman Old Style" w:hAnsi="Bookman Old Style" w:cs="Bookman Old Style"/>
          <w:b/>
          <w:color w:val="0000FF"/>
          <w:sz w:val="24"/>
        </w:rPr>
        <w:t>ROZBOR PLNENIA PRÍJMOV ZA ROK 2013 V CELÝCH €</w:t>
      </w:r>
    </w:p>
    <w:p w:rsidR="00BA252F" w:rsidRDefault="00BA252F"/>
    <w:tbl>
      <w:tblPr>
        <w:tblW w:w="9636" w:type="dxa"/>
        <w:tblLayout w:type="fixed"/>
        <w:tblCellMar>
          <w:left w:w="10" w:type="dxa"/>
          <w:right w:w="10" w:type="dxa"/>
        </w:tblCellMar>
        <w:tblLook w:val="0000" w:firstRow="0" w:lastRow="0" w:firstColumn="0" w:lastColumn="0" w:noHBand="0" w:noVBand="0"/>
      </w:tblPr>
      <w:tblGrid>
        <w:gridCol w:w="3212"/>
        <w:gridCol w:w="3212"/>
        <w:gridCol w:w="3212"/>
      </w:tblGrid>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Rozpočet na rok 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Skutočnosť k 31.12.2013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 plnenia</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454835,00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479127,63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105,34%</w:t>
            </w:r>
          </w:p>
        </w:tc>
      </w:tr>
    </w:tbl>
    <w:p w:rsidR="00BA252F" w:rsidRDefault="00BA252F"/>
    <w:p w:rsidR="00BA252F" w:rsidRDefault="00B614CB">
      <w:r>
        <w:rPr>
          <w:rFonts w:ascii="Bookman Old Style" w:eastAsia="Bookman Old Style" w:hAnsi="Bookman Old Style" w:cs="Bookman Old Style"/>
          <w:b/>
          <w:sz w:val="24"/>
        </w:rPr>
        <w:tab/>
      </w:r>
      <w:r>
        <w:rPr>
          <w:rFonts w:ascii="Bookman Old Style" w:eastAsia="Bookman Old Style" w:hAnsi="Bookman Old Style" w:cs="Bookman Old Style"/>
          <w:b/>
          <w:color w:val="0000FF"/>
          <w:sz w:val="24"/>
        </w:rPr>
        <w:t>Z TOHO:</w:t>
      </w:r>
    </w:p>
    <w:p w:rsidR="00BA252F" w:rsidRDefault="00BA252F"/>
    <w:p w:rsidR="00BA252F" w:rsidRDefault="00B614CB">
      <w:r>
        <w:rPr>
          <w:rFonts w:ascii="Bookman Old Style" w:eastAsia="Bookman Old Style" w:hAnsi="Bookman Old Style" w:cs="Bookman Old Style"/>
          <w:b/>
          <w:color w:val="FF0000"/>
          <w:sz w:val="24"/>
        </w:rPr>
        <w:t>Bežné príjmy – daňové príjmy</w:t>
      </w:r>
    </w:p>
    <w:p w:rsidR="00BA252F" w:rsidRDefault="00BA252F"/>
    <w:tbl>
      <w:tblPr>
        <w:tblW w:w="9636" w:type="dxa"/>
        <w:tblLayout w:type="fixed"/>
        <w:tblCellMar>
          <w:left w:w="10" w:type="dxa"/>
          <w:right w:w="10" w:type="dxa"/>
        </w:tblCellMar>
        <w:tblLook w:val="0000" w:firstRow="0" w:lastRow="0" w:firstColumn="0" w:lastColumn="0" w:noHBand="0" w:noVBand="0"/>
      </w:tblPr>
      <w:tblGrid>
        <w:gridCol w:w="3212"/>
        <w:gridCol w:w="3212"/>
        <w:gridCol w:w="3212"/>
      </w:tblGrid>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Rozpočet na rok 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Skutočnosť k 31.12.2013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 plnenia</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328396,00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325862,60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99,23</w:t>
            </w:r>
          </w:p>
        </w:tc>
      </w:tr>
    </w:tbl>
    <w:p w:rsidR="00BA252F" w:rsidRDefault="00BA252F"/>
    <w:p w:rsidR="00BA252F" w:rsidRDefault="00B614CB">
      <w:r>
        <w:rPr>
          <w:rFonts w:ascii="Bookman Old Style" w:eastAsia="Bookman Old Style" w:hAnsi="Bookman Old Style" w:cs="Bookman Old Style"/>
          <w:b/>
          <w:sz w:val="24"/>
        </w:rPr>
        <w:t>a) Výnos dane z príjmov poukázaný územnej samospráve</w:t>
      </w:r>
    </w:p>
    <w:p w:rsidR="00BA252F" w:rsidRDefault="00B614CB">
      <w:r>
        <w:rPr>
          <w:rFonts w:ascii="Bookman Old Style" w:eastAsia="Bookman Old Style" w:hAnsi="Bookman Old Style" w:cs="Bookman Old Style"/>
          <w:sz w:val="24"/>
        </w:rPr>
        <w:t>Z predpokladanej finančnej čiastky v sume 251 408,00 z výnosu dane z príjmov boli k 31.12.2013 poukázané prostriedky zo ŠR v sume 245504,39€, čo predstavuje 97,65%-né plnenie.</w:t>
      </w:r>
    </w:p>
    <w:p w:rsidR="00BA252F" w:rsidRDefault="00B614CB">
      <w:r>
        <w:rPr>
          <w:rFonts w:ascii="Bookman Old Style" w:eastAsia="Bookman Old Style" w:hAnsi="Bookman Old Style" w:cs="Bookman Old Style"/>
          <w:b/>
          <w:sz w:val="24"/>
        </w:rPr>
        <w:t>b) Daň z nehnuteľnosti</w:t>
      </w:r>
    </w:p>
    <w:p w:rsidR="00BA252F" w:rsidRDefault="00B614CB">
      <w:r>
        <w:rPr>
          <w:rFonts w:ascii="Bookman Old Style" w:eastAsia="Bookman Old Style" w:hAnsi="Bookman Old Style" w:cs="Bookman Old Style"/>
          <w:sz w:val="24"/>
        </w:rPr>
        <w:t>Z</w:t>
      </w:r>
      <w:r>
        <w:rPr>
          <w:rFonts w:ascii="Bookman Old Style" w:eastAsia="Bookman Old Style" w:hAnsi="Bookman Old Style" w:cs="Bookman Old Style"/>
          <w:sz w:val="24"/>
        </w:rPr>
        <w:t xml:space="preserve"> rozpočtovaných 54 111,00 bol skutočný príjem k 31.12.2013 v sume 55627,95 čo predstavuje plnenie na 102,80%. Príjmy dane z pozemkov boli v sume 50464,64 €, dane zo stavieb boli v sume 5163,31 €.</w:t>
      </w:r>
    </w:p>
    <w:p w:rsidR="00BA252F" w:rsidRDefault="00B614CB">
      <w:r>
        <w:rPr>
          <w:rFonts w:ascii="Bookman Old Style" w:eastAsia="Bookman Old Style" w:hAnsi="Bookman Old Style" w:cs="Bookman Old Style"/>
          <w:b/>
          <w:sz w:val="24"/>
        </w:rPr>
        <w:t>c) Daň za psa</w:t>
      </w:r>
    </w:p>
    <w:p w:rsidR="00BA252F" w:rsidRDefault="00B614CB">
      <w:r>
        <w:rPr>
          <w:rFonts w:ascii="Bookman Old Style" w:eastAsia="Bookman Old Style" w:hAnsi="Bookman Old Style" w:cs="Bookman Old Style"/>
          <w:sz w:val="24"/>
        </w:rPr>
        <w:t xml:space="preserve">Z rozpočtovaných 716,00 € bol skutočný príjem </w:t>
      </w:r>
      <w:r>
        <w:rPr>
          <w:rFonts w:ascii="Bookman Old Style" w:eastAsia="Bookman Old Style" w:hAnsi="Bookman Old Style" w:cs="Bookman Old Style"/>
          <w:sz w:val="24"/>
        </w:rPr>
        <w:t>k 31.12.2013 v sume 838,00€, čo je 117,04%-né plnenie.</w:t>
      </w:r>
    </w:p>
    <w:p w:rsidR="00BA252F" w:rsidRDefault="00B614CB">
      <w:r>
        <w:rPr>
          <w:rFonts w:ascii="Bookman Old Style" w:eastAsia="Bookman Old Style" w:hAnsi="Bookman Old Style" w:cs="Bookman Old Style"/>
          <w:b/>
          <w:sz w:val="24"/>
        </w:rPr>
        <w:lastRenderedPageBreak/>
        <w:t>d) Daň za nevýherné hrac. automaty</w:t>
      </w:r>
    </w:p>
    <w:p w:rsidR="00BA252F" w:rsidRDefault="00B614CB">
      <w:r>
        <w:rPr>
          <w:rFonts w:ascii="Bookman Old Style" w:eastAsia="Bookman Old Style" w:hAnsi="Bookman Old Style" w:cs="Bookman Old Style"/>
          <w:sz w:val="24"/>
        </w:rPr>
        <w:t>Z rozpočtovaných 8 961,00 € bol skutočný príjem k 31.12.2013 v sume 4087,12, čo predstavuje plnenie na  45,61%.</w:t>
      </w:r>
    </w:p>
    <w:p w:rsidR="00BA252F" w:rsidRDefault="00B614CB">
      <w:r>
        <w:rPr>
          <w:rFonts w:ascii="Bookman Old Style" w:eastAsia="Bookman Old Style" w:hAnsi="Bookman Old Style" w:cs="Bookman Old Style"/>
          <w:b/>
          <w:sz w:val="24"/>
        </w:rPr>
        <w:t>e) Daň za užívanie verejného priestranstva</w:t>
      </w:r>
    </w:p>
    <w:p w:rsidR="00BA252F" w:rsidRDefault="00B614CB">
      <w:r>
        <w:rPr>
          <w:rFonts w:ascii="Bookman Old Style" w:eastAsia="Bookman Old Style" w:hAnsi="Bookman Old Style" w:cs="Bookman Old Style"/>
          <w:sz w:val="24"/>
        </w:rPr>
        <w:t>Z rozpočtov</w:t>
      </w:r>
      <w:r>
        <w:rPr>
          <w:rFonts w:ascii="Bookman Old Style" w:eastAsia="Bookman Old Style" w:hAnsi="Bookman Old Style" w:cs="Bookman Old Style"/>
          <w:sz w:val="24"/>
        </w:rPr>
        <w:t>aných 700,00€ bol skutočný príjem k 31.12.2013 v sume 1351,14€, čo predstavuje plnenie na 193,02%.</w:t>
      </w:r>
    </w:p>
    <w:p w:rsidR="00BA252F" w:rsidRDefault="00B614CB">
      <w:r>
        <w:rPr>
          <w:rFonts w:ascii="Bookman Old Style" w:eastAsia="Bookman Old Style" w:hAnsi="Bookman Old Style" w:cs="Bookman Old Style"/>
          <w:b/>
          <w:sz w:val="24"/>
        </w:rPr>
        <w:t>f) Poplatok za komunálny odpad a drobný stavebný odpad</w:t>
      </w:r>
    </w:p>
    <w:p w:rsidR="00BA252F" w:rsidRDefault="00B614CB">
      <w:r>
        <w:rPr>
          <w:rFonts w:ascii="Bookman Old Style" w:eastAsia="Bookman Old Style" w:hAnsi="Bookman Old Style" w:cs="Bookman Old Style"/>
          <w:sz w:val="24"/>
        </w:rPr>
        <w:t>Z rozpočtovaných 12500,00€ bol skutočný príjem k 31.12.2013 10594,08€, čo predstavuje 84,75%-né plneni</w:t>
      </w:r>
      <w:r>
        <w:rPr>
          <w:rFonts w:ascii="Bookman Old Style" w:eastAsia="Bookman Old Style" w:hAnsi="Bookman Old Style" w:cs="Bookman Old Style"/>
          <w:sz w:val="24"/>
        </w:rPr>
        <w:t>e.</w:t>
      </w:r>
    </w:p>
    <w:p w:rsidR="00BA252F" w:rsidRDefault="00B614CB">
      <w:r>
        <w:rPr>
          <w:rFonts w:ascii="Bookman Old Style" w:eastAsia="Bookman Old Style" w:hAnsi="Bookman Old Style" w:cs="Bookman Old Style"/>
          <w:b/>
          <w:sz w:val="24"/>
        </w:rPr>
        <w:t>g) Počiatočný stav (prevod z roku 2012)</w:t>
      </w:r>
    </w:p>
    <w:p w:rsidR="00BA252F" w:rsidRDefault="00B614CB">
      <w:r>
        <w:rPr>
          <w:rFonts w:ascii="Bookman Old Style" w:eastAsia="Bookman Old Style" w:hAnsi="Bookman Old Style" w:cs="Bookman Old Style"/>
          <w:sz w:val="24"/>
        </w:rPr>
        <w:t>Skutočný príjem bol 7859,92€, z čoho 134,54€ bol zostatok pokladne OcÚ a 7725,38€ bol zostatok bankového účtu,č. ú.: 0919678001/5600, vedený v Prima banke Slovensko, pobočka Nitra k 31.12.2012.</w:t>
      </w:r>
    </w:p>
    <w:p w:rsidR="00BA252F" w:rsidRDefault="00BA252F"/>
    <w:p w:rsidR="00BA252F" w:rsidRDefault="00B614CB">
      <w:r>
        <w:rPr>
          <w:rFonts w:ascii="Bookman Old Style" w:eastAsia="Bookman Old Style" w:hAnsi="Bookman Old Style" w:cs="Bookman Old Style"/>
          <w:b/>
          <w:color w:val="FF0000"/>
          <w:sz w:val="24"/>
        </w:rPr>
        <w:t xml:space="preserve">Bežné príjmy – </w:t>
      </w:r>
      <w:r>
        <w:rPr>
          <w:rFonts w:ascii="Bookman Old Style" w:eastAsia="Bookman Old Style" w:hAnsi="Bookman Old Style" w:cs="Bookman Old Style"/>
          <w:b/>
          <w:color w:val="FF0000"/>
          <w:sz w:val="24"/>
        </w:rPr>
        <w:t>nedaňové príjmy</w:t>
      </w:r>
    </w:p>
    <w:p w:rsidR="00BA252F" w:rsidRDefault="00BA252F"/>
    <w:tbl>
      <w:tblPr>
        <w:tblW w:w="9636" w:type="dxa"/>
        <w:tblLayout w:type="fixed"/>
        <w:tblCellMar>
          <w:left w:w="10" w:type="dxa"/>
          <w:right w:w="10" w:type="dxa"/>
        </w:tblCellMar>
        <w:tblLook w:val="0000" w:firstRow="0" w:lastRow="0" w:firstColumn="0" w:lastColumn="0" w:noHBand="0" w:noVBand="0"/>
      </w:tblPr>
      <w:tblGrid>
        <w:gridCol w:w="3212"/>
        <w:gridCol w:w="3212"/>
        <w:gridCol w:w="3212"/>
      </w:tblGrid>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Rozpočet na rok 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Skutočnosť k 31.12.2013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 plnenia</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14039,00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22983,84</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163,71%</w:t>
            </w:r>
          </w:p>
        </w:tc>
      </w:tr>
    </w:tbl>
    <w:p w:rsidR="00BA252F" w:rsidRDefault="00BA252F"/>
    <w:p w:rsidR="00BA252F" w:rsidRDefault="00B614CB">
      <w:r>
        <w:rPr>
          <w:rFonts w:ascii="Bookman Old Style" w:eastAsia="Bookman Old Style" w:hAnsi="Bookman Old Style" w:cs="Bookman Old Style"/>
          <w:b/>
          <w:sz w:val="24"/>
        </w:rPr>
        <w:t>a) Príjmy z prenajatých pozemkov</w:t>
      </w:r>
    </w:p>
    <w:p w:rsidR="00BA252F" w:rsidRDefault="00B614CB">
      <w:r>
        <w:rPr>
          <w:rFonts w:ascii="Bookman Old Style" w:eastAsia="Bookman Old Style" w:hAnsi="Bookman Old Style" w:cs="Bookman Old Style"/>
          <w:sz w:val="24"/>
        </w:rPr>
        <w:t>Z rozpočtovaných 797,00€ bol skutočný príjem k 31.12.2013 v sume 1351,14€, čo je 169,53%-né plnenie.</w:t>
      </w:r>
    </w:p>
    <w:p w:rsidR="00BA252F" w:rsidRDefault="00B614CB">
      <w:r>
        <w:rPr>
          <w:rFonts w:ascii="Bookman Old Style" w:eastAsia="Bookman Old Style" w:hAnsi="Bookman Old Style" w:cs="Bookman Old Style"/>
          <w:b/>
          <w:sz w:val="24"/>
        </w:rPr>
        <w:t>b) Nájom za hrobové m</w:t>
      </w:r>
      <w:r>
        <w:rPr>
          <w:rFonts w:ascii="Bookman Old Style" w:eastAsia="Bookman Old Style" w:hAnsi="Bookman Old Style" w:cs="Bookman Old Style"/>
          <w:b/>
          <w:sz w:val="24"/>
        </w:rPr>
        <w:t>iesto</w:t>
      </w:r>
    </w:p>
    <w:p w:rsidR="00BA252F" w:rsidRDefault="00B614CB">
      <w:r>
        <w:rPr>
          <w:rFonts w:ascii="Bookman Old Style" w:eastAsia="Bookman Old Style" w:hAnsi="Bookman Old Style" w:cs="Bookman Old Style"/>
          <w:sz w:val="24"/>
        </w:rPr>
        <w:t>Z rozpočtovaných 530,00€ bol skutočný príjem k 31.12.2013 v sume 1728,00€, čo predstavuje plnenie na 326,03%.</w:t>
      </w:r>
    </w:p>
    <w:p w:rsidR="00BA252F" w:rsidRDefault="00B614CB">
      <w:r>
        <w:rPr>
          <w:rFonts w:ascii="Bookman Old Style" w:eastAsia="Bookman Old Style" w:hAnsi="Bookman Old Style" w:cs="Bookman Old Style"/>
          <w:b/>
          <w:sz w:val="24"/>
        </w:rPr>
        <w:t>c) Príjmy z prenajatých budov, priestorov</w:t>
      </w:r>
    </w:p>
    <w:p w:rsidR="00BA252F" w:rsidRDefault="00B614CB">
      <w:r>
        <w:rPr>
          <w:rFonts w:ascii="Bookman Old Style" w:eastAsia="Bookman Old Style" w:hAnsi="Bookman Old Style" w:cs="Bookman Old Style"/>
          <w:sz w:val="24"/>
        </w:rPr>
        <w:t xml:space="preserve">Z rozpočtovaných 2390,00€ bol skutočný príjem k 31.12.2013 v sume 945,48€, čo je 39,55%-né </w:t>
      </w:r>
      <w:r>
        <w:rPr>
          <w:rFonts w:ascii="Bookman Old Style" w:eastAsia="Bookman Old Style" w:hAnsi="Bookman Old Style" w:cs="Bookman Old Style"/>
          <w:sz w:val="24"/>
        </w:rPr>
        <w:t>plnenie.</w:t>
      </w:r>
    </w:p>
    <w:p w:rsidR="00BA252F" w:rsidRDefault="00B614CB">
      <w:r>
        <w:rPr>
          <w:rFonts w:ascii="Bookman Old Style" w:eastAsia="Bookman Old Style" w:hAnsi="Bookman Old Style" w:cs="Bookman Old Style"/>
          <w:b/>
          <w:sz w:val="24"/>
        </w:rPr>
        <w:t>d) Nájomné – pošta</w:t>
      </w:r>
    </w:p>
    <w:p w:rsidR="00BA252F" w:rsidRDefault="00B614CB">
      <w:r>
        <w:rPr>
          <w:rFonts w:ascii="Bookman Old Style" w:eastAsia="Bookman Old Style" w:hAnsi="Bookman Old Style" w:cs="Bookman Old Style"/>
          <w:sz w:val="24"/>
        </w:rPr>
        <w:t>Skutočný príjem k 31.12.2013 bol v sume 599,48€. V roku 2013 pošta zaplatila nájom za rok 2013 a aj zameškaný nájom za rok 2012.</w:t>
      </w:r>
    </w:p>
    <w:p w:rsidR="00BA252F" w:rsidRDefault="00B614CB">
      <w:r>
        <w:rPr>
          <w:rFonts w:ascii="Bookman Old Style" w:eastAsia="Bookman Old Style" w:hAnsi="Bookman Old Style" w:cs="Bookman Old Style"/>
          <w:b/>
          <w:sz w:val="24"/>
        </w:rPr>
        <w:t>e) Príjmy z prenajatých strojov, prístrojov</w:t>
      </w:r>
    </w:p>
    <w:p w:rsidR="00BA252F" w:rsidRDefault="00B614CB">
      <w:r>
        <w:rPr>
          <w:rFonts w:ascii="Bookman Old Style" w:eastAsia="Bookman Old Style" w:hAnsi="Bookman Old Style" w:cs="Bookman Old Style"/>
          <w:sz w:val="24"/>
        </w:rPr>
        <w:t>Z rozpočtovaných 100,00€ bol skutočný príjem k 31.12.20</w:t>
      </w:r>
      <w:r>
        <w:rPr>
          <w:rFonts w:ascii="Bookman Old Style" w:eastAsia="Bookman Old Style" w:hAnsi="Bookman Old Style" w:cs="Bookman Old Style"/>
          <w:sz w:val="24"/>
        </w:rPr>
        <w:t>13 v sume 60,00€, čo predstavuje plnenie na 60,00%.</w:t>
      </w:r>
    </w:p>
    <w:p w:rsidR="00BA252F" w:rsidRDefault="00B614CB">
      <w:r>
        <w:rPr>
          <w:rFonts w:ascii="Bookman Old Style" w:eastAsia="Bookman Old Style" w:hAnsi="Bookman Old Style" w:cs="Bookman Old Style"/>
          <w:b/>
          <w:sz w:val="24"/>
        </w:rPr>
        <w:t>f) Administratívne poplatky – ostatné (správne poplatky, overovanie a osvedčovanie,...)</w:t>
      </w:r>
    </w:p>
    <w:p w:rsidR="00BA252F" w:rsidRDefault="00B614CB">
      <w:r>
        <w:rPr>
          <w:rFonts w:ascii="Bookman Old Style" w:eastAsia="Bookman Old Style" w:hAnsi="Bookman Old Style" w:cs="Bookman Old Style"/>
          <w:sz w:val="24"/>
        </w:rPr>
        <w:t>Z rozpočtovaných 950,00€ bol skutočný príjem k 31.12.2013 v sume 2712,12€, čo predstavuje plnenie na 285,48%.</w:t>
      </w:r>
    </w:p>
    <w:p w:rsidR="00BA252F" w:rsidRDefault="00B614CB">
      <w:r>
        <w:rPr>
          <w:rFonts w:ascii="Bookman Old Style" w:eastAsia="Bookman Old Style" w:hAnsi="Bookman Old Style" w:cs="Bookman Old Style"/>
          <w:b/>
          <w:sz w:val="24"/>
        </w:rPr>
        <w:t>g) Pop</w:t>
      </w:r>
      <w:r>
        <w:rPr>
          <w:rFonts w:ascii="Bookman Old Style" w:eastAsia="Bookman Old Style" w:hAnsi="Bookman Old Style" w:cs="Bookman Old Style"/>
          <w:b/>
          <w:sz w:val="24"/>
        </w:rPr>
        <w:t>latky za predaj výrobkov</w:t>
      </w:r>
    </w:p>
    <w:p w:rsidR="00BA252F" w:rsidRDefault="00B614CB">
      <w:r>
        <w:rPr>
          <w:rFonts w:ascii="Bookman Old Style" w:eastAsia="Bookman Old Style" w:hAnsi="Bookman Old Style" w:cs="Bookman Old Style"/>
          <w:sz w:val="24"/>
        </w:rPr>
        <w:t>Z rozpočtovaných 800,00€ bol skutočný príjem k 31.12.2013 v sume 3648,80€, čo je 456,10%-né plnenie.</w:t>
      </w:r>
    </w:p>
    <w:p w:rsidR="00BA252F" w:rsidRDefault="00B614CB">
      <w:r>
        <w:rPr>
          <w:rFonts w:ascii="Bookman Old Style" w:eastAsia="Bookman Old Style" w:hAnsi="Bookman Old Style" w:cs="Bookman Old Style"/>
          <w:b/>
          <w:sz w:val="24"/>
        </w:rPr>
        <w:t>h) Relácie v miestnom rozhlase</w:t>
      </w:r>
    </w:p>
    <w:p w:rsidR="00BA252F" w:rsidRDefault="00B614CB">
      <w:r>
        <w:rPr>
          <w:rFonts w:ascii="Bookman Old Style" w:eastAsia="Bookman Old Style" w:hAnsi="Bookman Old Style" w:cs="Bookman Old Style"/>
          <w:sz w:val="24"/>
        </w:rPr>
        <w:t xml:space="preserve">Z rozpočtovaných 1150,00€ bol skutočný príjem k 31.12.2013 v sume 386,00€, čo predstavuje plnenie </w:t>
      </w:r>
      <w:r>
        <w:rPr>
          <w:rFonts w:ascii="Bookman Old Style" w:eastAsia="Bookman Old Style" w:hAnsi="Bookman Old Style" w:cs="Bookman Old Style"/>
          <w:sz w:val="24"/>
        </w:rPr>
        <w:t>na 33,57%.</w:t>
      </w:r>
    </w:p>
    <w:p w:rsidR="00BA252F" w:rsidRDefault="00B614CB">
      <w:r>
        <w:rPr>
          <w:rFonts w:ascii="Bookman Old Style" w:eastAsia="Bookman Old Style" w:hAnsi="Bookman Old Style" w:cs="Bookman Old Style"/>
          <w:b/>
          <w:sz w:val="24"/>
        </w:rPr>
        <w:t>i) Poplatok za opatrovanie</w:t>
      </w:r>
    </w:p>
    <w:p w:rsidR="00BA252F" w:rsidRDefault="00B614CB">
      <w:r>
        <w:rPr>
          <w:rFonts w:ascii="Bookman Old Style" w:eastAsia="Bookman Old Style" w:hAnsi="Bookman Old Style" w:cs="Bookman Old Style"/>
          <w:sz w:val="24"/>
        </w:rPr>
        <w:t>Z rozpočtovaných 1000,00€ bol skutočný príjem k 31.12.2013 v sume 991,80€, čo je 99,18%-né plnenie.</w:t>
      </w:r>
    </w:p>
    <w:p w:rsidR="00BA252F" w:rsidRDefault="00B614CB">
      <w:r>
        <w:rPr>
          <w:rFonts w:ascii="Bookman Old Style" w:eastAsia="Bookman Old Style" w:hAnsi="Bookman Old Style" w:cs="Bookman Old Style"/>
          <w:b/>
          <w:sz w:val="24"/>
        </w:rPr>
        <w:t>j) Poplatky za materskú školu a školský klub</w:t>
      </w:r>
    </w:p>
    <w:p w:rsidR="00BA252F" w:rsidRDefault="00B614CB">
      <w:r>
        <w:rPr>
          <w:rFonts w:ascii="Bookman Old Style" w:eastAsia="Bookman Old Style" w:hAnsi="Bookman Old Style" w:cs="Bookman Old Style"/>
          <w:sz w:val="24"/>
        </w:rPr>
        <w:lastRenderedPageBreak/>
        <w:t>Z rozpočtovaných 1800,00€ bol skutočný príjem k 31.12.2013 v sume 450,00€</w:t>
      </w:r>
      <w:r>
        <w:rPr>
          <w:rFonts w:ascii="Bookman Old Style" w:eastAsia="Bookman Old Style" w:hAnsi="Bookman Old Style" w:cs="Bookman Old Style"/>
          <w:sz w:val="24"/>
        </w:rPr>
        <w:t>, čo predstavuje plnenie na 25,00%.</w:t>
      </w:r>
    </w:p>
    <w:p w:rsidR="00BA252F" w:rsidRDefault="00B614CB">
      <w:r>
        <w:rPr>
          <w:rFonts w:ascii="Bookman Old Style" w:eastAsia="Bookman Old Style" w:hAnsi="Bookman Old Style" w:cs="Bookman Old Style"/>
          <w:b/>
          <w:sz w:val="24"/>
        </w:rPr>
        <w:t>k) Poplatky a platby za stravné</w:t>
      </w:r>
    </w:p>
    <w:p w:rsidR="00BA252F" w:rsidRDefault="00B614CB">
      <w:r>
        <w:rPr>
          <w:rFonts w:ascii="Bookman Old Style" w:eastAsia="Bookman Old Style" w:hAnsi="Bookman Old Style" w:cs="Bookman Old Style"/>
          <w:sz w:val="24"/>
        </w:rPr>
        <w:t>Z rozpočtovaných 4500,00€ bol skutočný príjem k 31.12.2013 v sume 10079,19€ , čo predstavuje 223,98%-né plnenie.</w:t>
      </w:r>
    </w:p>
    <w:p w:rsidR="00BA252F" w:rsidRDefault="00B614CB">
      <w:r>
        <w:rPr>
          <w:rFonts w:ascii="Bookman Old Style" w:eastAsia="Bookman Old Style" w:hAnsi="Bookman Old Style" w:cs="Bookman Old Style"/>
          <w:b/>
          <w:sz w:val="24"/>
        </w:rPr>
        <w:t>l) Úroky z vkladov</w:t>
      </w:r>
    </w:p>
    <w:p w:rsidR="00BA252F" w:rsidRDefault="00B614CB">
      <w:r>
        <w:rPr>
          <w:rFonts w:ascii="Bookman Old Style" w:eastAsia="Bookman Old Style" w:hAnsi="Bookman Old Style" w:cs="Bookman Old Style"/>
          <w:sz w:val="24"/>
        </w:rPr>
        <w:t>Z rozpočtovaných 22,00€ bol skutočný príjem k 31.12.2013</w:t>
      </w:r>
      <w:r>
        <w:rPr>
          <w:rFonts w:ascii="Bookman Old Style" w:eastAsia="Bookman Old Style" w:hAnsi="Bookman Old Style" w:cs="Bookman Old Style"/>
          <w:sz w:val="24"/>
        </w:rPr>
        <w:t xml:space="preserve"> v sume 32,06€, čo je 145,73%-né plnenie.</w:t>
      </w:r>
    </w:p>
    <w:p w:rsidR="00BA252F" w:rsidRDefault="00BA252F"/>
    <w:p w:rsidR="00BA252F" w:rsidRDefault="00B614CB">
      <w:r>
        <w:rPr>
          <w:rFonts w:ascii="Bookman Old Style" w:eastAsia="Bookman Old Style" w:hAnsi="Bookman Old Style" w:cs="Bookman Old Style"/>
          <w:b/>
          <w:color w:val="FF0000"/>
          <w:sz w:val="24"/>
        </w:rPr>
        <w:t>Bežné príjmy – ostatné príjmy</w:t>
      </w:r>
    </w:p>
    <w:p w:rsidR="00BA252F" w:rsidRDefault="00BA252F"/>
    <w:tbl>
      <w:tblPr>
        <w:tblW w:w="9636" w:type="dxa"/>
        <w:tblLayout w:type="fixed"/>
        <w:tblCellMar>
          <w:left w:w="10" w:type="dxa"/>
          <w:right w:w="10" w:type="dxa"/>
        </w:tblCellMar>
        <w:tblLook w:val="0000" w:firstRow="0" w:lastRow="0" w:firstColumn="0" w:lastColumn="0" w:noHBand="0" w:noVBand="0"/>
      </w:tblPr>
      <w:tblGrid>
        <w:gridCol w:w="3212"/>
        <w:gridCol w:w="3212"/>
        <w:gridCol w:w="3212"/>
      </w:tblGrid>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Rozpočet na rok 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Skutočnosť k 31.12.2013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 plnenia</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112400,00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130281,19</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115,91%</w:t>
            </w:r>
          </w:p>
        </w:tc>
      </w:tr>
    </w:tbl>
    <w:p w:rsidR="00BA252F" w:rsidRDefault="00B614CB">
      <w:r>
        <w:rPr>
          <w:rFonts w:ascii="Bookman Old Style" w:eastAsia="Bookman Old Style" w:hAnsi="Bookman Old Style" w:cs="Bookman Old Style"/>
          <w:b/>
          <w:color w:val="FF0000"/>
          <w:sz w:val="24"/>
        </w:rPr>
        <w:t>Kapitálové príjmy</w:t>
      </w:r>
    </w:p>
    <w:p w:rsidR="00BA252F" w:rsidRDefault="00BA252F"/>
    <w:tbl>
      <w:tblPr>
        <w:tblW w:w="9636" w:type="dxa"/>
        <w:tblLayout w:type="fixed"/>
        <w:tblCellMar>
          <w:left w:w="10" w:type="dxa"/>
          <w:right w:w="10" w:type="dxa"/>
        </w:tblCellMar>
        <w:tblLook w:val="0000" w:firstRow="0" w:lastRow="0" w:firstColumn="0" w:lastColumn="0" w:noHBand="0" w:noVBand="0"/>
      </w:tblPr>
      <w:tblGrid>
        <w:gridCol w:w="3212"/>
        <w:gridCol w:w="3212"/>
        <w:gridCol w:w="3212"/>
      </w:tblGrid>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color w:val="000000"/>
                <w:sz w:val="24"/>
              </w:rPr>
              <w:t>Rozpočet na rok 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color w:val="000000"/>
                <w:sz w:val="24"/>
              </w:rPr>
              <w:t>Skutočnosť k 31.12.2013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color w:val="000000"/>
                <w:sz w:val="24"/>
              </w:rPr>
              <w:t>% plnenia</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64000,00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43244,00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67,57%</w:t>
            </w:r>
          </w:p>
        </w:tc>
      </w:tr>
    </w:tbl>
    <w:p w:rsidR="00BA252F" w:rsidRDefault="00BA252F"/>
    <w:p w:rsidR="00BA252F" w:rsidRDefault="00B614CB">
      <w:r>
        <w:rPr>
          <w:rFonts w:ascii="Bookman Old Style" w:eastAsia="Bookman Old Style" w:hAnsi="Bookman Old Style" w:cs="Bookman Old Style"/>
          <w:sz w:val="24"/>
        </w:rPr>
        <w:t>Obec v roku 2013 predala 5 pozemokov na individuálnu bytovú výstavbu v časti obce Hájske – Starý Háj. Cena pozemkov bola stanovená znaleckým posudkom č. 92/2013 zo dňa 26.03.2013 na 10,53€/m2. Uznesením OZ č. 91/1/2013 zo dňa 22.02.2013 bola stano</w:t>
      </w:r>
      <w:r>
        <w:rPr>
          <w:rFonts w:ascii="Bookman Old Style" w:eastAsia="Bookman Old Style" w:hAnsi="Bookman Old Style" w:cs="Bookman Old Style"/>
          <w:sz w:val="24"/>
        </w:rPr>
        <w:t>vená cena pre rok 2013: 11€ za 1 m2, slovom jedenásť eur za meter štvorcový.</w:t>
      </w:r>
    </w:p>
    <w:p w:rsidR="00BA252F" w:rsidRDefault="00BA252F"/>
    <w:p w:rsidR="00BA252F" w:rsidRDefault="00B614CB">
      <w:r>
        <w:rPr>
          <w:rFonts w:ascii="Bookman Old Style" w:eastAsia="Bookman Old Style" w:hAnsi="Bookman Old Style" w:cs="Bookman Old Style"/>
          <w:b/>
          <w:color w:val="FF0000"/>
          <w:sz w:val="24"/>
        </w:rPr>
        <w:t>Príjmové finančné operácie</w:t>
      </w:r>
    </w:p>
    <w:p w:rsidR="00BA252F" w:rsidRDefault="00BA252F"/>
    <w:p w:rsidR="00BA252F" w:rsidRDefault="00B614CB">
      <w:r>
        <w:rPr>
          <w:rFonts w:ascii="Bookman Old Style" w:eastAsia="Bookman Old Style" w:hAnsi="Bookman Old Style" w:cs="Bookman Old Style"/>
          <w:sz w:val="24"/>
        </w:rPr>
        <w:t>Obec Hájske nemala v roku 2013 žiadne príjmy z finančných operácií.</w:t>
      </w:r>
    </w:p>
    <w:p w:rsidR="00BA252F" w:rsidRDefault="00BA252F"/>
    <w:p w:rsidR="00BA252F" w:rsidRDefault="00BA252F"/>
    <w:p w:rsidR="00BA252F" w:rsidRDefault="00B614CB">
      <w:r>
        <w:rPr>
          <w:rFonts w:ascii="Bookman Old Style" w:eastAsia="Bookman Old Style" w:hAnsi="Bookman Old Style" w:cs="Bookman Old Style"/>
          <w:b/>
          <w:color w:val="0000FF"/>
          <w:sz w:val="24"/>
        </w:rPr>
        <w:t>ROZBOR PLNENIA VÝDAVKOV ZA ROK 2013 V CELÝCH EURÁCH</w:t>
      </w:r>
    </w:p>
    <w:p w:rsidR="00BA252F" w:rsidRDefault="00BA252F"/>
    <w:tbl>
      <w:tblPr>
        <w:tblW w:w="9636" w:type="dxa"/>
        <w:tblLayout w:type="fixed"/>
        <w:tblCellMar>
          <w:left w:w="10" w:type="dxa"/>
          <w:right w:w="10" w:type="dxa"/>
        </w:tblCellMar>
        <w:tblLook w:val="0000" w:firstRow="0" w:lastRow="0" w:firstColumn="0" w:lastColumn="0" w:noHBand="0" w:noVBand="0"/>
      </w:tblPr>
      <w:tblGrid>
        <w:gridCol w:w="3212"/>
        <w:gridCol w:w="3212"/>
        <w:gridCol w:w="3212"/>
      </w:tblGrid>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Rozpočet na rok 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Skutočnosť k 31.12.2013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 plnenia</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454835,00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450539,79</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99,05%</w:t>
            </w:r>
          </w:p>
        </w:tc>
      </w:tr>
    </w:tbl>
    <w:p w:rsidR="00BA252F" w:rsidRDefault="00BA252F"/>
    <w:p w:rsidR="00BA252F" w:rsidRDefault="00B614CB">
      <w:r>
        <w:rPr>
          <w:rFonts w:ascii="Bookman Old Style" w:eastAsia="Bookman Old Style" w:hAnsi="Bookman Old Style" w:cs="Bookman Old Style"/>
          <w:b/>
          <w:color w:val="0000FF"/>
          <w:sz w:val="24"/>
        </w:rPr>
        <w:tab/>
        <w:t>Z TOHO:</w:t>
      </w:r>
    </w:p>
    <w:p w:rsidR="00BA252F" w:rsidRDefault="00BA252F"/>
    <w:p w:rsidR="00BA252F" w:rsidRDefault="00B614CB">
      <w:r>
        <w:rPr>
          <w:rFonts w:ascii="Bookman Old Style" w:eastAsia="Bookman Old Style" w:hAnsi="Bookman Old Style" w:cs="Bookman Old Style"/>
          <w:b/>
          <w:color w:val="FF0000"/>
          <w:sz w:val="24"/>
        </w:rPr>
        <w:t>Bežné výdavky – Výdavky verejnej správy</w:t>
      </w:r>
    </w:p>
    <w:p w:rsidR="00BA252F" w:rsidRDefault="00BA252F"/>
    <w:tbl>
      <w:tblPr>
        <w:tblW w:w="9636" w:type="dxa"/>
        <w:tblLayout w:type="fixed"/>
        <w:tblCellMar>
          <w:left w:w="10" w:type="dxa"/>
          <w:right w:w="10" w:type="dxa"/>
        </w:tblCellMar>
        <w:tblLook w:val="0000" w:firstRow="0" w:lastRow="0" w:firstColumn="0" w:lastColumn="0" w:noHBand="0" w:noVBand="0"/>
      </w:tblPr>
      <w:tblGrid>
        <w:gridCol w:w="3212"/>
        <w:gridCol w:w="3212"/>
        <w:gridCol w:w="3212"/>
      </w:tblGrid>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Rozpočet na rok 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Skutočnosť k 31.12.2013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 plnenia</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454835,00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450539,79</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99,05%</w:t>
            </w:r>
          </w:p>
        </w:tc>
      </w:tr>
    </w:tbl>
    <w:p w:rsidR="00BA252F" w:rsidRDefault="00BA252F"/>
    <w:p w:rsidR="00BA252F" w:rsidRDefault="00B614CB">
      <w:r>
        <w:rPr>
          <w:rFonts w:ascii="Bookman Old Style" w:eastAsia="Bookman Old Style" w:hAnsi="Bookman Old Style" w:cs="Bookman Old Style"/>
          <w:b/>
          <w:sz w:val="24"/>
        </w:rPr>
        <w:t>V tom:</w:t>
      </w:r>
    </w:p>
    <w:tbl>
      <w:tblPr>
        <w:tblW w:w="9645" w:type="dxa"/>
        <w:tblLayout w:type="fixed"/>
        <w:tblCellMar>
          <w:left w:w="10" w:type="dxa"/>
          <w:right w:w="10" w:type="dxa"/>
        </w:tblCellMar>
        <w:tblLook w:val="0000" w:firstRow="0" w:lastRow="0" w:firstColumn="0" w:lastColumn="0" w:noHBand="0" w:noVBand="0"/>
      </w:tblPr>
      <w:tblGrid>
        <w:gridCol w:w="4530"/>
        <w:gridCol w:w="1860"/>
        <w:gridCol w:w="1785"/>
        <w:gridCol w:w="1470"/>
      </w:tblGrid>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Ukazovateľ</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Rozpočet na rok 2013</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 xml:space="preserve">Skutočnosť k </w:t>
            </w:r>
            <w:r>
              <w:rPr>
                <w:rFonts w:ascii="Bookman Old Style" w:eastAsia="Bookman Old Style" w:hAnsi="Bookman Old Style" w:cs="Bookman Old Style"/>
                <w:b/>
                <w:sz w:val="24"/>
              </w:rPr>
              <w:t>31.12.2013</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 plnenia</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Mzdy</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70059,00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70826,78</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101,10%</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Odvody</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43155,00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49934,70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115,71%</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lastRenderedPageBreak/>
              <w:t>Elektrická energia</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11000,00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10161,64</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92,38%</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 xml:space="preserve">Plyn </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8500,00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8275,63</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97,36%</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Voda</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664,58</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132,91%</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Telefón, poštovné, internet</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5200,00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5134,93</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98,75%</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 xml:space="preserve">Výpočtová </w:t>
            </w:r>
            <w:r>
              <w:rPr>
                <w:rFonts w:ascii="Bookman Old Style" w:eastAsia="Bookman Old Style" w:hAnsi="Bookman Old Style" w:cs="Bookman Old Style"/>
                <w:sz w:val="24"/>
              </w:rPr>
              <w:t>technika</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549,99</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183,33%</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Kancelárske a čistiace potreby</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5800,00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5713,99</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86,01%</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Knihy, noviny, časopisy, zbierky zákonov</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2108,28</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351,38%</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Pracovné odevy, obuv a pracovné náradie</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383,81</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127,94%</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Softvér a licencie</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216,53</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216,53%</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Kosačky, píly – palivo, opravy</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1600,00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2011,14</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100,56%</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Reprezentačné</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566,12</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56,61%</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Palivo, mazivá, oleje, špeciálne kvapaliny</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3300,00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4786,42</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145,04%</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Servis a údržba dopravných prostriedkov</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2000,00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1858,84</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114,88%</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Poistenie vozidiel</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560,00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1393,70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248,86%</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Karty, známky, poplatky</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50,00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100,00%</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Údržba výpočtovej techniky</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1800,00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1844,92</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63,66%</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Údržba budov</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866,84</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96,32%</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Školenia, kurzy, semináre</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1749,45</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174,45%</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Všeobecné služby</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8000,00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7774,26</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72,18%</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 xml:space="preserve">Poplatky na </w:t>
            </w:r>
            <w:r>
              <w:rPr>
                <w:rFonts w:ascii="Bookman Old Style" w:eastAsia="Bookman Old Style" w:hAnsi="Bookman Old Style" w:cs="Bookman Old Style"/>
                <w:sz w:val="24"/>
              </w:rPr>
              <w:t>stavebný úrad</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923,33</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923,33%</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Poplatky a odvody</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896,29</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89,63%</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Stravovanie</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1300,00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430,50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33,12%</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Poistenie za majetok obce</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700,00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650,00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92,86%</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Kolkové známky</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80,00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16,00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0,20%</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Pokuty a penále</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20,00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20,00%</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 xml:space="preserve">Bežné transfery na členské </w:t>
            </w:r>
            <w:r>
              <w:rPr>
                <w:rFonts w:ascii="Bookman Old Style" w:eastAsia="Bookman Old Style" w:hAnsi="Bookman Old Style" w:cs="Bookman Old Style"/>
                <w:sz w:val="24"/>
              </w:rPr>
              <w:t>príspevky</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700,00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Odstupné</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Provízie</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69,31</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69,31%</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Splácanie úverov banke</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12878,00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9958,20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77,33%</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Nakladanie s odpadmi</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22000,00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23954,39</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108,88%</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Verejné osvetlenie</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15400,00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14984,62</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97,30%</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Dom smútku</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11650,00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2804,62</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24,07%</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Materská škola</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69996,00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72731,56</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103,91%</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Základná škola</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124757,00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124727,12</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99,98%</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Kultúrny dom</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5650,00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4057,41</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71,81%</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Kultúrne podujatia</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8300,00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7247,53</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87,32%</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Knižnica</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100,00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0,17%</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Sociálna výpomoc</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2000,00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2100,00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105,00%</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ŠK Hájske</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10500,00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7585,85</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53,20%</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Kriket klub</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700,00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Požiarna zbrojnica - hasiči</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800,00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411,21</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17,09%</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b/>
                <w:sz w:val="24"/>
              </w:rPr>
              <w:t>SPOLU</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454835,00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450539,79</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99,05%</w:t>
            </w:r>
          </w:p>
        </w:tc>
      </w:tr>
    </w:tbl>
    <w:p w:rsidR="00BA252F" w:rsidRDefault="00BA252F"/>
    <w:p w:rsidR="00BA252F" w:rsidRDefault="00B614CB">
      <w:r>
        <w:rPr>
          <w:rFonts w:ascii="Bookman Old Style" w:eastAsia="Bookman Old Style" w:hAnsi="Bookman Old Style" w:cs="Bookman Old Style"/>
          <w:b/>
          <w:sz w:val="24"/>
        </w:rPr>
        <w:t>a) Mzdy, platy, služobné príjmy a ostatné platové vyrovania</w:t>
      </w:r>
    </w:p>
    <w:p w:rsidR="00BA252F" w:rsidRDefault="00B614CB">
      <w:r>
        <w:rPr>
          <w:rFonts w:ascii="Bookman Old Style" w:eastAsia="Bookman Old Style" w:hAnsi="Bookman Old Style" w:cs="Bookman Old Style"/>
          <w:sz w:val="24"/>
        </w:rPr>
        <w:lastRenderedPageBreak/>
        <w:t xml:space="preserve">Z rozpočtovaných 70059,00€ bol skutočný príjem k 31.12.2013 v </w:t>
      </w:r>
      <w:r>
        <w:rPr>
          <w:rFonts w:ascii="Bookman Old Style" w:eastAsia="Bookman Old Style" w:hAnsi="Bookman Old Style" w:cs="Bookman Old Style"/>
          <w:sz w:val="24"/>
        </w:rPr>
        <w:t>sume 70826,78€, čo je 101,10%-né plnenie. Patria sem mzdové prostriedky pracovníkov obecného úradu práce na dohodu a príkazné zmluvy.</w:t>
      </w:r>
    </w:p>
    <w:p w:rsidR="00BA252F" w:rsidRDefault="00B614CB">
      <w:r>
        <w:rPr>
          <w:rFonts w:ascii="Bookman Old Style" w:eastAsia="Bookman Old Style" w:hAnsi="Bookman Old Style" w:cs="Bookman Old Style"/>
          <w:b/>
          <w:sz w:val="24"/>
        </w:rPr>
        <w:t>b) Poistné a príspevok do poisťovní</w:t>
      </w:r>
    </w:p>
    <w:p w:rsidR="00BA252F" w:rsidRDefault="00B614CB">
      <w:r>
        <w:rPr>
          <w:rFonts w:ascii="Bookman Old Style" w:eastAsia="Bookman Old Style" w:hAnsi="Bookman Old Style" w:cs="Bookman Old Style"/>
          <w:sz w:val="24"/>
        </w:rPr>
        <w:t xml:space="preserve">Z rozpočtovaných 37090,00€ bol skutočný príjem k 31.12.2013 v sume 49934,70€ čo </w:t>
      </w:r>
      <w:r>
        <w:rPr>
          <w:rFonts w:ascii="Bookman Old Style" w:eastAsia="Bookman Old Style" w:hAnsi="Bookman Old Style" w:cs="Bookman Old Style"/>
          <w:sz w:val="24"/>
        </w:rPr>
        <w:t>predstavuje 134,63%-né plnenie. Sú tu zahrnuté odvody poistného a príspevkov za zamestnávateľa. Prekročenie rozpočtu bolo spôsobené zmenou platného zákona o odvode poistného z dohôd o vykonaní práce.</w:t>
      </w:r>
    </w:p>
    <w:p w:rsidR="00BA252F" w:rsidRDefault="00BA252F"/>
    <w:p w:rsidR="00BA252F" w:rsidRDefault="00B614CB">
      <w:r>
        <w:rPr>
          <w:rFonts w:ascii="Bookman Old Style" w:eastAsia="Bookman Old Style" w:hAnsi="Bookman Old Style" w:cs="Bookman Old Style"/>
          <w:b/>
          <w:color w:val="FF0000"/>
          <w:sz w:val="24"/>
        </w:rPr>
        <w:t>Kapitálové výdavky:</w:t>
      </w:r>
    </w:p>
    <w:p w:rsidR="00BA252F" w:rsidRDefault="00BA252F"/>
    <w:tbl>
      <w:tblPr>
        <w:tblW w:w="9636" w:type="dxa"/>
        <w:tblLayout w:type="fixed"/>
        <w:tblCellMar>
          <w:left w:w="10" w:type="dxa"/>
          <w:right w:w="10" w:type="dxa"/>
        </w:tblCellMar>
        <w:tblLook w:val="0000" w:firstRow="0" w:lastRow="0" w:firstColumn="0" w:lastColumn="0" w:noHBand="0" w:noVBand="0"/>
      </w:tblPr>
      <w:tblGrid>
        <w:gridCol w:w="3212"/>
        <w:gridCol w:w="3212"/>
        <w:gridCol w:w="3212"/>
      </w:tblGrid>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Rozpočet na rok 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 xml:space="preserve">Skutočnosť k </w:t>
            </w:r>
            <w:r>
              <w:rPr>
                <w:rFonts w:ascii="Bookman Old Style" w:eastAsia="Bookman Old Style" w:hAnsi="Bookman Old Style" w:cs="Bookman Old Style"/>
                <w:b/>
                <w:sz w:val="24"/>
              </w:rPr>
              <w:t>31.12.2013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 plnenia</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64000,00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45776,14</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71,52%</w:t>
            </w:r>
          </w:p>
        </w:tc>
      </w:tr>
    </w:tbl>
    <w:p w:rsidR="00BA252F" w:rsidRDefault="00BA252F"/>
    <w:p w:rsidR="00BA252F" w:rsidRDefault="00B614CB">
      <w:r>
        <w:rPr>
          <w:rFonts w:ascii="Bookman Old Style" w:eastAsia="Bookman Old Style" w:hAnsi="Bookman Old Style" w:cs="Bookman Old Style"/>
          <w:sz w:val="24"/>
        </w:rPr>
        <w:t>V tom:</w:t>
      </w:r>
    </w:p>
    <w:tbl>
      <w:tblPr>
        <w:tblW w:w="9645" w:type="dxa"/>
        <w:tblLayout w:type="fixed"/>
        <w:tblCellMar>
          <w:left w:w="10" w:type="dxa"/>
          <w:right w:w="10" w:type="dxa"/>
        </w:tblCellMar>
        <w:tblLook w:val="0000" w:firstRow="0" w:lastRow="0" w:firstColumn="0" w:lastColumn="0" w:noHBand="0" w:noVBand="0"/>
      </w:tblPr>
      <w:tblGrid>
        <w:gridCol w:w="4530"/>
        <w:gridCol w:w="1860"/>
        <w:gridCol w:w="1785"/>
        <w:gridCol w:w="1470"/>
      </w:tblGrid>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Ukazovateľ</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Rozpočet na rok 2013</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Skutočnosť k 31.12.2013</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 plnenia</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Nájomné byty – stavebná pripravenosť</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10000,00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Cesta v ulici Nová</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30000,00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28543,00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95,14%</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Rekonštrukcia Domu smútku</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13500,00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13703,14</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101,50%</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Rekonštrukcia Kultúrneho domu</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7500,00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Rekonštrukcia pamätnej izby</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530,00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530,00%</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Územný plán</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3000,00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3000,00</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100,00%</w:t>
            </w:r>
          </w:p>
        </w:tc>
      </w:tr>
      <w:tr w:rsidR="00BA252F">
        <w:tblPrEx>
          <w:tblCellMar>
            <w:top w:w="0" w:type="dxa"/>
            <w:bottom w:w="0" w:type="dxa"/>
          </w:tblCellMar>
        </w:tblPrEx>
        <w:tc>
          <w:tcPr>
            <w:tcW w:w="453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b/>
                <w:sz w:val="24"/>
              </w:rPr>
              <w:t>SPOLU</w:t>
            </w:r>
          </w:p>
        </w:tc>
        <w:tc>
          <w:tcPr>
            <w:tcW w:w="186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64000,00</w:t>
            </w:r>
          </w:p>
        </w:tc>
        <w:tc>
          <w:tcPr>
            <w:tcW w:w="178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45776,14</w:t>
            </w:r>
          </w:p>
        </w:tc>
        <w:tc>
          <w:tcPr>
            <w:tcW w:w="14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71,52%</w:t>
            </w:r>
          </w:p>
        </w:tc>
      </w:tr>
    </w:tbl>
    <w:p w:rsidR="00BA252F" w:rsidRDefault="00BA252F"/>
    <w:p w:rsidR="00BA252F" w:rsidRDefault="00B614CB">
      <w:r>
        <w:rPr>
          <w:rFonts w:ascii="Bookman Old Style" w:eastAsia="Bookman Old Style" w:hAnsi="Bookman Old Style" w:cs="Bookman Old Style"/>
          <w:sz w:val="24"/>
        </w:rPr>
        <w:t xml:space="preserve">Kapitálové výdavky boli použité prevažne na rekonštrukciu </w:t>
      </w:r>
      <w:r>
        <w:rPr>
          <w:rFonts w:ascii="Bookman Old Style" w:eastAsia="Bookman Old Style" w:hAnsi="Bookman Old Style" w:cs="Bookman Old Style"/>
          <w:sz w:val="24"/>
        </w:rPr>
        <w:t>Domu smútku, a vybudovanie novej cesty v ulici Nová, ktorou sa podarilo prepojiť slepú ulicu s hlavnou cestou a pozĺž cesty sa vytvoril priestor na výstavbu nových rodinných domov. Všetky kapitálové výdavky boli kryté z vlastných zdrojov obce.</w:t>
      </w:r>
    </w:p>
    <w:p w:rsidR="00BA252F" w:rsidRDefault="00BA252F"/>
    <w:p w:rsidR="00BA252F" w:rsidRDefault="00BA252F"/>
    <w:p w:rsidR="00BA252F" w:rsidRDefault="00BA252F"/>
    <w:p w:rsidR="00BA252F" w:rsidRDefault="00B614CB">
      <w:r>
        <w:rPr>
          <w:rFonts w:ascii="Bookman Old Style" w:eastAsia="Bookman Old Style" w:hAnsi="Bookman Old Style" w:cs="Bookman Old Style"/>
          <w:b/>
          <w:color w:val="FF0000"/>
          <w:sz w:val="24"/>
        </w:rPr>
        <w:t>Výdavkové</w:t>
      </w:r>
      <w:r>
        <w:rPr>
          <w:rFonts w:ascii="Bookman Old Style" w:eastAsia="Bookman Old Style" w:hAnsi="Bookman Old Style" w:cs="Bookman Old Style"/>
          <w:b/>
          <w:color w:val="FF0000"/>
          <w:sz w:val="24"/>
        </w:rPr>
        <w:t xml:space="preserve"> finančné operácie</w:t>
      </w:r>
    </w:p>
    <w:p w:rsidR="00BA252F" w:rsidRDefault="00BA252F"/>
    <w:p w:rsidR="00BA252F" w:rsidRDefault="00B614CB">
      <w:r>
        <w:rPr>
          <w:rFonts w:ascii="Bookman Old Style" w:eastAsia="Bookman Old Style" w:hAnsi="Bookman Old Style" w:cs="Bookman Old Style"/>
          <w:sz w:val="24"/>
        </w:rPr>
        <w:t>Obec Hájske nemala v roku 2013 žiadne výdavky finančných operácií.</w:t>
      </w:r>
    </w:p>
    <w:p w:rsidR="00BA252F" w:rsidRDefault="00BA252F"/>
    <w:p w:rsidR="00BA252F" w:rsidRDefault="00B614CB">
      <w:pPr>
        <w:numPr>
          <w:ilvl w:val="0"/>
          <w:numId w:val="9"/>
        </w:numPr>
        <w:ind w:left="-360" w:firstLine="360"/>
      </w:pPr>
      <w:r>
        <w:rPr>
          <w:rFonts w:ascii="Bookman Old Style" w:eastAsia="Bookman Old Style" w:hAnsi="Bookman Old Style" w:cs="Bookman Old Style"/>
          <w:b/>
          <w:sz w:val="26"/>
        </w:rPr>
        <w:t>Bilancia aktív a pasív</w:t>
      </w:r>
    </w:p>
    <w:p w:rsidR="00BA252F" w:rsidRDefault="00BA252F"/>
    <w:tbl>
      <w:tblPr>
        <w:tblW w:w="9636" w:type="dxa"/>
        <w:tblLayout w:type="fixed"/>
        <w:tblCellMar>
          <w:left w:w="10" w:type="dxa"/>
          <w:right w:w="10" w:type="dxa"/>
        </w:tblCellMar>
        <w:tblLook w:val="0000" w:firstRow="0" w:lastRow="0" w:firstColumn="0" w:lastColumn="0" w:noHBand="0" w:noVBand="0"/>
      </w:tblPr>
      <w:tblGrid>
        <w:gridCol w:w="3212"/>
        <w:gridCol w:w="3212"/>
        <w:gridCol w:w="3212"/>
      </w:tblGrid>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Názov</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Stav k 31.12.2013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Stav k 31.12.2012</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b/>
                <w:i/>
                <w:sz w:val="24"/>
              </w:rPr>
              <w:t>Spolu majetok</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2354653,50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2195105,00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b/>
                <w:sz w:val="24"/>
              </w:rPr>
              <w:t>A. Neobežný majetok spolu</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2223955,57</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2184586,00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Z toho:</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Dlh.nehmotný majetok</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Dlh. hmotný majetok</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1966072,01</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1926702,00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lastRenderedPageBreak/>
              <w:t>Dlh. finančný majetok</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257883,56</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257884,00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b/>
                <w:sz w:val="24"/>
              </w:rPr>
              <w:t>B. Obežný majetok spolu</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130697,93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10519,00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Z toho:</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Zásoby</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Zúčtovanie medzi subj. VS</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68399,84</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Krátkodobé pohľadávky</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44921,37</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1173,00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Finančné účty</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26055,00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17376,72</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b/>
                <w:sz w:val="24"/>
              </w:rPr>
              <w:t>C. Časové rozlíšenie</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0,00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0,00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b/>
                <w:i/>
                <w:sz w:val="24"/>
              </w:rPr>
              <w:t>Zdroje krytia a záväzky</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Názov</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Stav k 31.12.2013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Stav k 31.12.2012</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b/>
                <w:sz w:val="24"/>
              </w:rPr>
              <w:t>Vlastné imanie a záväzky</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2354653,50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2195105,00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b/>
                <w:sz w:val="24"/>
              </w:rPr>
              <w:t>A. Vlastné imanie</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2322893,15</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2146942,00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Z toho:</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Výsledok hospodárenia</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2322893,15</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2146942,00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b/>
                <w:sz w:val="24"/>
              </w:rPr>
              <w:t>B. Záväzky</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31760,35</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48163,00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Z toho:</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Rezervy</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6122,00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6122,00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Zúčtovanie medzisubj. VS</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0,00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Dlhodobé záväzky</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1065,11</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1065,00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Krátkodobé záväzky</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3921,58</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10366,00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Bankové úvery a výpomoci</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20651,66</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30610,00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b/>
                <w:sz w:val="24"/>
              </w:rPr>
              <w:t>C. Časové rozlíšenie</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0,00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0,00</w:t>
            </w:r>
          </w:p>
        </w:tc>
      </w:tr>
    </w:tbl>
    <w:p w:rsidR="00BA252F" w:rsidRDefault="00BA252F"/>
    <w:p w:rsidR="00BA252F" w:rsidRDefault="00BA252F"/>
    <w:p w:rsidR="00BA252F" w:rsidRDefault="00B614CB">
      <w:pPr>
        <w:numPr>
          <w:ilvl w:val="0"/>
          <w:numId w:val="10"/>
        </w:numPr>
        <w:ind w:left="-360" w:firstLine="360"/>
      </w:pPr>
      <w:r>
        <w:rPr>
          <w:rFonts w:ascii="Bookman Old Style" w:eastAsia="Bookman Old Style" w:hAnsi="Bookman Old Style" w:cs="Bookman Old Style"/>
          <w:b/>
          <w:sz w:val="26"/>
        </w:rPr>
        <w:t>Vývoj pohľadávok a záväzkov</w:t>
      </w:r>
    </w:p>
    <w:p w:rsidR="00BA252F" w:rsidRDefault="00BA252F"/>
    <w:tbl>
      <w:tblPr>
        <w:tblW w:w="9636" w:type="dxa"/>
        <w:tblLayout w:type="fixed"/>
        <w:tblCellMar>
          <w:left w:w="10" w:type="dxa"/>
          <w:right w:w="10" w:type="dxa"/>
        </w:tblCellMar>
        <w:tblLook w:val="0000" w:firstRow="0" w:lastRow="0" w:firstColumn="0" w:lastColumn="0" w:noHBand="0" w:noVBand="0"/>
      </w:tblPr>
      <w:tblGrid>
        <w:gridCol w:w="3212"/>
        <w:gridCol w:w="3212"/>
        <w:gridCol w:w="3212"/>
      </w:tblGrid>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Druh záväzku</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Stav k 31.12.2013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Stav k 31.12.2012</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Prima banka</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20651,66</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30610,00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Zamestnanci</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5900,30</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5687,00</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Sociálna poisťovňa a zdrav.poi.</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3777,59</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3357,59</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Daňový úrad</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915,33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698,62</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Iné záväzky</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64,41</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54,78</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Záväzky spolu</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pPr>
              <w:jc w:val="center"/>
            </w:pP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V tom: krátkodobé záväzky</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10657,63</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9797,99</w:t>
            </w:r>
          </w:p>
        </w:tc>
      </w:tr>
      <w:tr w:rsidR="00BA252F">
        <w:tblPrEx>
          <w:tblCellMar>
            <w:top w:w="0" w:type="dxa"/>
            <w:bottom w:w="0" w:type="dxa"/>
          </w:tblCellMar>
        </w:tblPrEx>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 xml:space="preserve">            dlhodobé záväzky</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20651,66</w:t>
            </w:r>
          </w:p>
        </w:tc>
        <w:tc>
          <w:tcPr>
            <w:tcW w:w="32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30610,00</w:t>
            </w:r>
          </w:p>
        </w:tc>
      </w:tr>
    </w:tbl>
    <w:p w:rsidR="00BA252F" w:rsidRDefault="00BA252F"/>
    <w:p w:rsidR="00BA252F" w:rsidRDefault="00B614CB">
      <w:r>
        <w:rPr>
          <w:rFonts w:ascii="Bookman Old Style" w:eastAsia="Bookman Old Style" w:hAnsi="Bookman Old Style" w:cs="Bookman Old Style"/>
          <w:sz w:val="24"/>
        </w:rPr>
        <w:t>Všetky krátkodobé záväzky obec vysporiadala v priebehu mesiaca január 2014. Išlo predovšetkým o záväzky súvisiace</w:t>
      </w:r>
      <w:r>
        <w:rPr>
          <w:rFonts w:ascii="Bookman Old Style" w:eastAsia="Bookman Old Style" w:hAnsi="Bookman Old Style" w:cs="Bookman Old Style"/>
          <w:sz w:val="24"/>
        </w:rPr>
        <w:t xml:space="preserve"> s výplatou miezd a odvodov za december 2013. Dlhodobý záväzok predstavuje záväzok voči Prima banke z dôvodu čerpania dlhodobého bankového úveru. Splatnosť úveru je rok 2015.</w:t>
      </w:r>
    </w:p>
    <w:p w:rsidR="00BA252F" w:rsidRDefault="00BA252F"/>
    <w:p w:rsidR="00BA252F" w:rsidRDefault="00B614CB">
      <w:pPr>
        <w:numPr>
          <w:ilvl w:val="0"/>
          <w:numId w:val="11"/>
        </w:numPr>
        <w:ind w:left="-360" w:firstLine="360"/>
      </w:pPr>
      <w:r>
        <w:rPr>
          <w:rFonts w:ascii="Bookman Old Style" w:eastAsia="Bookman Old Style" w:hAnsi="Bookman Old Style" w:cs="Bookman Old Style"/>
          <w:b/>
          <w:sz w:val="26"/>
        </w:rPr>
        <w:t>Ostatné dôležité informácie</w:t>
      </w:r>
    </w:p>
    <w:p w:rsidR="00BA252F" w:rsidRDefault="00BA252F"/>
    <w:p w:rsidR="00BA252F" w:rsidRDefault="00B614CB">
      <w:pPr>
        <w:numPr>
          <w:ilvl w:val="0"/>
          <w:numId w:val="12"/>
        </w:numPr>
        <w:ind w:left="-360" w:firstLine="360"/>
      </w:pPr>
      <w:r>
        <w:rPr>
          <w:rFonts w:ascii="Bookman Old Style" w:eastAsia="Bookman Old Style" w:hAnsi="Bookman Old Style" w:cs="Bookman Old Style"/>
          <w:b/>
          <w:color w:val="FF0000"/>
          <w:sz w:val="24"/>
        </w:rPr>
        <w:lastRenderedPageBreak/>
        <w:t>1 Prijaté granty a dotácie</w:t>
      </w:r>
    </w:p>
    <w:p w:rsidR="00BA252F" w:rsidRDefault="00BA252F"/>
    <w:p w:rsidR="00BA252F" w:rsidRDefault="00BA252F"/>
    <w:tbl>
      <w:tblPr>
        <w:tblW w:w="9645" w:type="dxa"/>
        <w:tblLayout w:type="fixed"/>
        <w:tblCellMar>
          <w:left w:w="10" w:type="dxa"/>
          <w:right w:w="10" w:type="dxa"/>
        </w:tblCellMar>
        <w:tblLook w:val="0000" w:firstRow="0" w:lastRow="0" w:firstColumn="0" w:lastColumn="0" w:noHBand="0" w:noVBand="0"/>
      </w:tblPr>
      <w:tblGrid>
        <w:gridCol w:w="870"/>
        <w:gridCol w:w="3420"/>
        <w:gridCol w:w="2010"/>
        <w:gridCol w:w="3345"/>
      </w:tblGrid>
      <w:tr w:rsidR="00BA252F">
        <w:tblPrEx>
          <w:tblCellMar>
            <w:top w:w="0" w:type="dxa"/>
            <w:bottom w:w="0" w:type="dxa"/>
          </w:tblCellMar>
        </w:tblPrEx>
        <w:tc>
          <w:tcPr>
            <w:tcW w:w="8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P.č.</w:t>
            </w:r>
          </w:p>
        </w:tc>
        <w:tc>
          <w:tcPr>
            <w:tcW w:w="342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b/>
                <w:sz w:val="24"/>
              </w:rPr>
              <w:t>Poskytovateľ</w:t>
            </w:r>
          </w:p>
        </w:tc>
        <w:tc>
          <w:tcPr>
            <w:tcW w:w="201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b/>
                <w:sz w:val="24"/>
              </w:rPr>
              <w:t>Suma</w:t>
            </w:r>
            <w:r>
              <w:rPr>
                <w:rFonts w:ascii="Bookman Old Style" w:eastAsia="Bookman Old Style" w:hAnsi="Bookman Old Style" w:cs="Bookman Old Style"/>
                <w:b/>
                <w:sz w:val="24"/>
              </w:rPr>
              <w:t xml:space="preserve"> v €</w:t>
            </w:r>
          </w:p>
        </w:tc>
        <w:tc>
          <w:tcPr>
            <w:tcW w:w="334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b/>
                <w:sz w:val="24"/>
              </w:rPr>
              <w:t>Účel</w:t>
            </w:r>
          </w:p>
        </w:tc>
      </w:tr>
      <w:tr w:rsidR="00BA252F">
        <w:tblPrEx>
          <w:tblCellMar>
            <w:top w:w="0" w:type="dxa"/>
            <w:bottom w:w="0" w:type="dxa"/>
          </w:tblCellMar>
        </w:tblPrEx>
        <w:tc>
          <w:tcPr>
            <w:tcW w:w="8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1.</w:t>
            </w:r>
          </w:p>
        </w:tc>
        <w:tc>
          <w:tcPr>
            <w:tcW w:w="342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Transfer na základnú školu</w:t>
            </w:r>
          </w:p>
        </w:tc>
        <w:tc>
          <w:tcPr>
            <w:tcW w:w="201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121446,40</w:t>
            </w:r>
          </w:p>
        </w:tc>
        <w:tc>
          <w:tcPr>
            <w:tcW w:w="334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Prenesený výkon</w:t>
            </w:r>
          </w:p>
        </w:tc>
      </w:tr>
      <w:tr w:rsidR="00BA252F">
        <w:tblPrEx>
          <w:tblCellMar>
            <w:top w:w="0" w:type="dxa"/>
            <w:bottom w:w="0" w:type="dxa"/>
          </w:tblCellMar>
        </w:tblPrEx>
        <w:tc>
          <w:tcPr>
            <w:tcW w:w="8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2.</w:t>
            </w:r>
          </w:p>
        </w:tc>
        <w:tc>
          <w:tcPr>
            <w:tcW w:w="342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 xml:space="preserve">Transfer na voľby </w:t>
            </w:r>
          </w:p>
        </w:tc>
        <w:tc>
          <w:tcPr>
            <w:tcW w:w="201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1120,00</w:t>
            </w:r>
          </w:p>
        </w:tc>
        <w:tc>
          <w:tcPr>
            <w:tcW w:w="334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Voľby do VÚC</w:t>
            </w:r>
          </w:p>
        </w:tc>
      </w:tr>
      <w:tr w:rsidR="00BA252F">
        <w:tblPrEx>
          <w:tblCellMar>
            <w:top w:w="0" w:type="dxa"/>
            <w:bottom w:w="0" w:type="dxa"/>
          </w:tblCellMar>
        </w:tblPrEx>
        <w:tc>
          <w:tcPr>
            <w:tcW w:w="8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3.</w:t>
            </w:r>
          </w:p>
        </w:tc>
        <w:tc>
          <w:tcPr>
            <w:tcW w:w="342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Tuž.bež.transfer zo ŠR</w:t>
            </w:r>
          </w:p>
        </w:tc>
        <w:tc>
          <w:tcPr>
            <w:tcW w:w="201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3807,53</w:t>
            </w:r>
          </w:p>
        </w:tc>
        <w:tc>
          <w:tcPr>
            <w:tcW w:w="334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Bež.dot. (kultrúra, šport)</w:t>
            </w:r>
          </w:p>
        </w:tc>
      </w:tr>
      <w:tr w:rsidR="00BA252F">
        <w:tblPrEx>
          <w:tblCellMar>
            <w:top w:w="0" w:type="dxa"/>
            <w:bottom w:w="0" w:type="dxa"/>
          </w:tblCellMar>
        </w:tblPrEx>
        <w:tc>
          <w:tcPr>
            <w:tcW w:w="8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4.</w:t>
            </w:r>
          </w:p>
        </w:tc>
        <w:tc>
          <w:tcPr>
            <w:tcW w:w="342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Transfer na recyklačný fond</w:t>
            </w:r>
          </w:p>
        </w:tc>
        <w:tc>
          <w:tcPr>
            <w:tcW w:w="201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633,00</w:t>
            </w:r>
          </w:p>
        </w:tc>
        <w:tc>
          <w:tcPr>
            <w:tcW w:w="334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A252F"/>
        </w:tc>
      </w:tr>
      <w:tr w:rsidR="00BA252F">
        <w:tblPrEx>
          <w:tblCellMar>
            <w:top w:w="0" w:type="dxa"/>
            <w:bottom w:w="0" w:type="dxa"/>
          </w:tblCellMar>
        </w:tblPrEx>
        <w:tc>
          <w:tcPr>
            <w:tcW w:w="8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5.</w:t>
            </w:r>
          </w:p>
        </w:tc>
        <w:tc>
          <w:tcPr>
            <w:tcW w:w="342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Krajský úrad pre ŽP</w:t>
            </w:r>
          </w:p>
        </w:tc>
        <w:tc>
          <w:tcPr>
            <w:tcW w:w="201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137,14</w:t>
            </w:r>
          </w:p>
        </w:tc>
        <w:tc>
          <w:tcPr>
            <w:tcW w:w="334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 xml:space="preserve">Transfer na </w:t>
            </w:r>
            <w:r>
              <w:rPr>
                <w:rFonts w:ascii="Bookman Old Style" w:eastAsia="Bookman Old Style" w:hAnsi="Bookman Old Style" w:cs="Bookman Old Style"/>
                <w:sz w:val="24"/>
              </w:rPr>
              <w:t>ŽP</w:t>
            </w:r>
          </w:p>
        </w:tc>
      </w:tr>
      <w:tr w:rsidR="00BA252F">
        <w:tblPrEx>
          <w:tblCellMar>
            <w:top w:w="0" w:type="dxa"/>
            <w:bottom w:w="0" w:type="dxa"/>
          </w:tblCellMar>
        </w:tblPrEx>
        <w:tc>
          <w:tcPr>
            <w:tcW w:w="8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6.</w:t>
            </w:r>
          </w:p>
        </w:tc>
        <w:tc>
          <w:tcPr>
            <w:tcW w:w="342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Krajský úrad pre CD a PK</w:t>
            </w:r>
          </w:p>
        </w:tc>
        <w:tc>
          <w:tcPr>
            <w:tcW w:w="201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898,71</w:t>
            </w:r>
          </w:p>
        </w:tc>
        <w:tc>
          <w:tcPr>
            <w:tcW w:w="334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Transfer na CD a PK</w:t>
            </w:r>
          </w:p>
        </w:tc>
      </w:tr>
      <w:tr w:rsidR="00BA252F">
        <w:tblPrEx>
          <w:tblCellMar>
            <w:top w:w="0" w:type="dxa"/>
            <w:bottom w:w="0" w:type="dxa"/>
          </w:tblCellMar>
        </w:tblPrEx>
        <w:tc>
          <w:tcPr>
            <w:tcW w:w="8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7.</w:t>
            </w:r>
          </w:p>
        </w:tc>
        <w:tc>
          <w:tcPr>
            <w:tcW w:w="342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Transfer na matriku</w:t>
            </w:r>
          </w:p>
        </w:tc>
        <w:tc>
          <w:tcPr>
            <w:tcW w:w="201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1807,10</w:t>
            </w:r>
          </w:p>
        </w:tc>
        <w:tc>
          <w:tcPr>
            <w:tcW w:w="334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Transfer na matričnú činnosť</w:t>
            </w:r>
          </w:p>
        </w:tc>
      </w:tr>
      <w:tr w:rsidR="00BA252F">
        <w:tblPrEx>
          <w:tblCellMar>
            <w:top w:w="0" w:type="dxa"/>
            <w:bottom w:w="0" w:type="dxa"/>
          </w:tblCellMar>
        </w:tblPrEx>
        <w:tc>
          <w:tcPr>
            <w:tcW w:w="87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pPr>
              <w:jc w:val="center"/>
            </w:pPr>
            <w:r>
              <w:rPr>
                <w:rFonts w:ascii="Bookman Old Style" w:eastAsia="Bookman Old Style" w:hAnsi="Bookman Old Style" w:cs="Bookman Old Style"/>
                <w:sz w:val="24"/>
              </w:rPr>
              <w:t>8.</w:t>
            </w:r>
          </w:p>
        </w:tc>
        <w:tc>
          <w:tcPr>
            <w:tcW w:w="342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Transfer na REGOB</w:t>
            </w:r>
          </w:p>
        </w:tc>
        <w:tc>
          <w:tcPr>
            <w:tcW w:w="2010"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431,31</w:t>
            </w:r>
          </w:p>
        </w:tc>
        <w:tc>
          <w:tcPr>
            <w:tcW w:w="3345" w:type="dxa"/>
            <w:tcBorders>
              <w:top w:val="single" w:sz="2" w:space="0" w:color="000000"/>
              <w:left w:val="single" w:sz="2" w:space="0" w:color="000000"/>
              <w:bottom w:val="single" w:sz="2" w:space="0" w:color="000000"/>
              <w:right w:val="single" w:sz="2" w:space="0" w:color="000000"/>
            </w:tcBorders>
            <w:shd w:val="clear" w:color="auto" w:fill="FFFFFF"/>
            <w:tcMar>
              <w:top w:w="0" w:type="dxa"/>
              <w:left w:w="55" w:type="dxa"/>
              <w:bottom w:w="0" w:type="dxa"/>
              <w:right w:w="55" w:type="dxa"/>
            </w:tcMar>
          </w:tcPr>
          <w:p w:rsidR="00BA252F" w:rsidRDefault="00B614CB">
            <w:r>
              <w:rPr>
                <w:rFonts w:ascii="Bookman Old Style" w:eastAsia="Bookman Old Style" w:hAnsi="Bookman Old Style" w:cs="Bookman Old Style"/>
                <w:sz w:val="24"/>
              </w:rPr>
              <w:t>Transfer na register obyvateľov</w:t>
            </w:r>
          </w:p>
        </w:tc>
      </w:tr>
    </w:tbl>
    <w:p w:rsidR="00BA252F" w:rsidRDefault="00BA252F"/>
    <w:p w:rsidR="00BA252F" w:rsidRDefault="00B614CB">
      <w:r>
        <w:rPr>
          <w:rFonts w:ascii="Bookman Old Style" w:eastAsia="Bookman Old Style" w:hAnsi="Bookman Old Style" w:cs="Bookman Old Style"/>
          <w:color w:val="000000"/>
          <w:sz w:val="24"/>
        </w:rPr>
        <w:t xml:space="preserve">Granty a transfery boli účelovo viazané a boli použité v súlade s ich </w:t>
      </w:r>
      <w:r>
        <w:rPr>
          <w:rFonts w:ascii="Bookman Old Style" w:eastAsia="Bookman Old Style" w:hAnsi="Bookman Old Style" w:cs="Bookman Old Style"/>
          <w:color w:val="000000"/>
          <w:sz w:val="24"/>
        </w:rPr>
        <w:t>účelom.</w:t>
      </w:r>
    </w:p>
    <w:p w:rsidR="00BA252F" w:rsidRDefault="00BA252F"/>
    <w:p w:rsidR="00BA252F" w:rsidRDefault="00B614CB">
      <w:pPr>
        <w:numPr>
          <w:ilvl w:val="0"/>
          <w:numId w:val="13"/>
        </w:numPr>
        <w:ind w:left="-360" w:firstLine="360"/>
      </w:pPr>
      <w:r>
        <w:rPr>
          <w:rFonts w:ascii="Bookman Old Style" w:eastAsia="Bookman Old Style" w:hAnsi="Bookman Old Style" w:cs="Bookman Old Style"/>
          <w:b/>
          <w:color w:val="FF0000"/>
          <w:sz w:val="24"/>
        </w:rPr>
        <w:t>2 Poskytnuté dotácie</w:t>
      </w:r>
    </w:p>
    <w:p w:rsidR="00BA252F" w:rsidRDefault="00BA252F"/>
    <w:p w:rsidR="00BA252F" w:rsidRDefault="00B614CB">
      <w:r>
        <w:rPr>
          <w:rFonts w:ascii="Bookman Old Style" w:eastAsia="Bookman Old Style" w:hAnsi="Bookman Old Style" w:cs="Bookman Old Style"/>
          <w:sz w:val="24"/>
        </w:rPr>
        <w:t>Obec Hájske v roku 2013 poskytla dotáciu z rozpočtu obce 5-tim subjektom a to:</w:t>
      </w:r>
    </w:p>
    <w:p w:rsidR="00BA252F" w:rsidRDefault="00B614CB">
      <w:pPr>
        <w:numPr>
          <w:ilvl w:val="0"/>
          <w:numId w:val="14"/>
        </w:numPr>
        <w:ind w:left="-360" w:firstLine="360"/>
      </w:pPr>
      <w:r>
        <w:rPr>
          <w:rFonts w:ascii="Bookman Old Style" w:eastAsia="Bookman Old Style" w:hAnsi="Bookman Old Style" w:cs="Bookman Old Style"/>
          <w:sz w:val="24"/>
        </w:rPr>
        <w:t>Slovenská Jednota dôchodcov</w:t>
      </w:r>
      <w:r>
        <w:rPr>
          <w:rFonts w:ascii="Bookman Old Style" w:eastAsia="Bookman Old Style" w:hAnsi="Bookman Old Style" w:cs="Bookman Old Style"/>
          <w:sz w:val="24"/>
        </w:rPr>
        <w:tab/>
      </w:r>
      <w:r>
        <w:rPr>
          <w:rFonts w:ascii="Bookman Old Style" w:eastAsia="Bookman Old Style" w:hAnsi="Bookman Old Style" w:cs="Bookman Old Style"/>
          <w:sz w:val="24"/>
        </w:rPr>
        <w:tab/>
        <w:t>700,00 €</w:t>
      </w:r>
    </w:p>
    <w:p w:rsidR="00BA252F" w:rsidRDefault="00B614CB">
      <w:pPr>
        <w:numPr>
          <w:ilvl w:val="0"/>
          <w:numId w:val="14"/>
        </w:numPr>
        <w:ind w:left="-360" w:firstLine="360"/>
      </w:pPr>
      <w:r>
        <w:rPr>
          <w:rFonts w:ascii="Bookman Old Style" w:eastAsia="Bookman Old Style" w:hAnsi="Bookman Old Style" w:cs="Bookman Old Style"/>
          <w:sz w:val="24"/>
        </w:rPr>
        <w:t>HS Hájčanka</w:t>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t>700,00 €</w:t>
      </w:r>
    </w:p>
    <w:p w:rsidR="00BA252F" w:rsidRDefault="00B614CB">
      <w:pPr>
        <w:numPr>
          <w:ilvl w:val="0"/>
          <w:numId w:val="14"/>
        </w:numPr>
        <w:ind w:left="-360" w:firstLine="360"/>
      </w:pPr>
      <w:r>
        <w:rPr>
          <w:rFonts w:ascii="Bookman Old Style" w:eastAsia="Bookman Old Style" w:hAnsi="Bookman Old Style" w:cs="Bookman Old Style"/>
          <w:sz w:val="24"/>
        </w:rPr>
        <w:t>FS Kepeždanka</w:t>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t>700,00 €</w:t>
      </w:r>
    </w:p>
    <w:p w:rsidR="00BA252F" w:rsidRDefault="00B614CB">
      <w:pPr>
        <w:numPr>
          <w:ilvl w:val="0"/>
          <w:numId w:val="14"/>
        </w:numPr>
        <w:ind w:left="-360" w:firstLine="360"/>
      </w:pPr>
      <w:r>
        <w:rPr>
          <w:rFonts w:ascii="Bookman Old Style" w:eastAsia="Bookman Old Style" w:hAnsi="Bookman Old Style" w:cs="Bookman Old Style"/>
          <w:sz w:val="24"/>
        </w:rPr>
        <w:t>Kriket</w:t>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t>700,00 €</w:t>
      </w:r>
    </w:p>
    <w:p w:rsidR="00BA252F" w:rsidRDefault="00B614CB">
      <w:pPr>
        <w:numPr>
          <w:ilvl w:val="0"/>
          <w:numId w:val="14"/>
        </w:numPr>
        <w:ind w:left="-360" w:firstLine="360"/>
      </w:pPr>
      <w:r>
        <w:rPr>
          <w:rFonts w:ascii="Bookman Old Style" w:eastAsia="Bookman Old Style" w:hAnsi="Bookman Old Style" w:cs="Bookman Old Style"/>
          <w:sz w:val="24"/>
        </w:rPr>
        <w:t>ŠK Hájske</w:t>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r>
      <w:r>
        <w:rPr>
          <w:rFonts w:ascii="Bookman Old Style" w:eastAsia="Bookman Old Style" w:hAnsi="Bookman Old Style" w:cs="Bookman Old Style"/>
          <w:sz w:val="24"/>
        </w:rPr>
        <w:tab/>
        <w:t>10 500,00 €</w:t>
      </w:r>
    </w:p>
    <w:p w:rsidR="00BA252F" w:rsidRDefault="00BA252F"/>
    <w:p w:rsidR="00BA252F" w:rsidRDefault="00B614CB">
      <w:r>
        <w:rPr>
          <w:rFonts w:ascii="Bookman Old Style" w:eastAsia="Bookman Old Style" w:hAnsi="Bookman Old Style" w:cs="Bookman Old Style"/>
          <w:sz w:val="24"/>
        </w:rPr>
        <w:t>Organizácie</w:t>
      </w:r>
      <w:r>
        <w:rPr>
          <w:rFonts w:ascii="Bookman Old Style" w:eastAsia="Bookman Old Style" w:hAnsi="Bookman Old Style" w:cs="Bookman Old Style"/>
          <w:sz w:val="24"/>
        </w:rPr>
        <w:t xml:space="preserve"> hospodárili s poskytnutou dotáciou v súlade s podmienkami uvedenými v zmluve o poskytnutí dotácie.</w:t>
      </w:r>
    </w:p>
    <w:p w:rsidR="00BA252F" w:rsidRDefault="00BA252F"/>
    <w:p w:rsidR="00BA252F" w:rsidRDefault="00BA252F"/>
    <w:p w:rsidR="00BA252F" w:rsidRDefault="00B614CB">
      <w:r>
        <w:rPr>
          <w:rFonts w:ascii="Bookman Old Style" w:eastAsia="Bookman Old Style" w:hAnsi="Bookman Old Style" w:cs="Bookman Old Style"/>
          <w:sz w:val="24"/>
        </w:rPr>
        <w:t>Hájske, Jún 2014</w:t>
      </w:r>
    </w:p>
    <w:p w:rsidR="00BA252F" w:rsidRDefault="00BA252F"/>
    <w:sectPr w:rsidR="00BA252F">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14CB" w:rsidRDefault="00B614CB">
      <w:r>
        <w:separator/>
      </w:r>
    </w:p>
  </w:endnote>
  <w:endnote w:type="continuationSeparator" w:id="0">
    <w:p w:rsidR="00B614CB" w:rsidRDefault="00B614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14CB" w:rsidRDefault="00B614CB">
      <w:r>
        <w:rPr>
          <w:color w:val="000000"/>
        </w:rPr>
        <w:separator/>
      </w:r>
    </w:p>
  </w:footnote>
  <w:footnote w:type="continuationSeparator" w:id="0">
    <w:p w:rsidR="00B614CB" w:rsidRDefault="00B614C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D43DC"/>
    <w:multiLevelType w:val="multilevel"/>
    <w:tmpl w:val="0DBE996A"/>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 w15:restartNumberingAfterBreak="0">
    <w:nsid w:val="06A476A1"/>
    <w:multiLevelType w:val="multilevel"/>
    <w:tmpl w:val="80E68E7E"/>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1BB1141D"/>
    <w:multiLevelType w:val="multilevel"/>
    <w:tmpl w:val="BA725E94"/>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 w15:restartNumberingAfterBreak="0">
    <w:nsid w:val="209E7912"/>
    <w:multiLevelType w:val="multilevel"/>
    <w:tmpl w:val="DD80F1F2"/>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 w15:restartNumberingAfterBreak="0">
    <w:nsid w:val="2F06394C"/>
    <w:multiLevelType w:val="multilevel"/>
    <w:tmpl w:val="8BFCC106"/>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 w15:restartNumberingAfterBreak="0">
    <w:nsid w:val="321173C7"/>
    <w:multiLevelType w:val="multilevel"/>
    <w:tmpl w:val="D99A9D2C"/>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 w15:restartNumberingAfterBreak="0">
    <w:nsid w:val="337B364A"/>
    <w:multiLevelType w:val="multilevel"/>
    <w:tmpl w:val="C3F2A40A"/>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 w15:restartNumberingAfterBreak="0">
    <w:nsid w:val="396B05B4"/>
    <w:multiLevelType w:val="multilevel"/>
    <w:tmpl w:val="1A2EBE30"/>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 w15:restartNumberingAfterBreak="0">
    <w:nsid w:val="4BDE4567"/>
    <w:multiLevelType w:val="multilevel"/>
    <w:tmpl w:val="6EDC5934"/>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 w15:restartNumberingAfterBreak="0">
    <w:nsid w:val="4D1A1E9E"/>
    <w:multiLevelType w:val="multilevel"/>
    <w:tmpl w:val="B0EA8AAC"/>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15:restartNumberingAfterBreak="0">
    <w:nsid w:val="51420F7E"/>
    <w:multiLevelType w:val="multilevel"/>
    <w:tmpl w:val="20082DAE"/>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 w15:restartNumberingAfterBreak="0">
    <w:nsid w:val="5A095EF4"/>
    <w:multiLevelType w:val="multilevel"/>
    <w:tmpl w:val="E88498B6"/>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 w15:restartNumberingAfterBreak="0">
    <w:nsid w:val="5FD07BD0"/>
    <w:multiLevelType w:val="multilevel"/>
    <w:tmpl w:val="43E0398C"/>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 w15:restartNumberingAfterBreak="0">
    <w:nsid w:val="79BA2C31"/>
    <w:multiLevelType w:val="multilevel"/>
    <w:tmpl w:val="3F6C8BF6"/>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num w:numId="1">
    <w:abstractNumId w:val="6"/>
  </w:num>
  <w:num w:numId="2">
    <w:abstractNumId w:val="13"/>
  </w:num>
  <w:num w:numId="3">
    <w:abstractNumId w:val="11"/>
  </w:num>
  <w:num w:numId="4">
    <w:abstractNumId w:val="1"/>
  </w:num>
  <w:num w:numId="5">
    <w:abstractNumId w:val="8"/>
  </w:num>
  <w:num w:numId="6">
    <w:abstractNumId w:val="2"/>
  </w:num>
  <w:num w:numId="7">
    <w:abstractNumId w:val="0"/>
  </w:num>
  <w:num w:numId="8">
    <w:abstractNumId w:val="9"/>
  </w:num>
  <w:num w:numId="9">
    <w:abstractNumId w:val="10"/>
  </w:num>
  <w:num w:numId="10">
    <w:abstractNumId w:val="5"/>
  </w:num>
  <w:num w:numId="11">
    <w:abstractNumId w:val="4"/>
  </w:num>
  <w:num w:numId="12">
    <w:abstractNumId w:val="3"/>
  </w:num>
  <w:num w:numId="13">
    <w:abstractNumId w:val="7"/>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
  <w:rsids>
    <w:rsidRoot w:val="00BA252F"/>
    <w:rsid w:val="00B614CB"/>
    <w:rsid w:val="00BA252F"/>
    <w:rsid w:val="00ED6C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E525247-BA76-4617-8C24-40AC3C8FFF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kern w:val="3"/>
        <w:sz w:val="22"/>
        <w:szCs w:val="22"/>
        <w:lang w:val="sk-SK" w:eastAsia="sk-SK" w:bidi="ar-SA"/>
      </w:rPr>
    </w:rPrDefault>
    <w:pPrDefault>
      <w:pPr>
        <w:widowControl w:val="0"/>
        <w:overflowPunct w:val="0"/>
        <w:autoSpaceDE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pPr>
      <w:suppressAutoHyphens/>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3.png"/><Relationship Id="rId18" Type="http://schemas.openxmlformats.org/officeDocument/2006/relationships/oleObject" Target="embeddings/oleObject5.bin"/><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oleObject" Target="embeddings/oleObject2.bin"/><Relationship Id="rId17" Type="http://schemas.openxmlformats.org/officeDocument/2006/relationships/image" Target="media/image5.png"/><Relationship Id="rId2" Type="http://schemas.openxmlformats.org/officeDocument/2006/relationships/styles" Target="styles.xml"/><Relationship Id="rId16" Type="http://schemas.openxmlformats.org/officeDocument/2006/relationships/oleObject" Target="embeddings/oleObject4.bin"/><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image" Target="media/image4.png"/><Relationship Id="rId10" Type="http://schemas.openxmlformats.org/officeDocument/2006/relationships/hyperlink" Target="http://www.hajske.s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obec@hajske.sk" TargetMode="External"/><Relationship Id="rId14" Type="http://schemas.openxmlformats.org/officeDocument/2006/relationships/oleObject" Target="embeddings/oleObject3.bin"/></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3965</Words>
  <Characters>22607</Characters>
  <Application>Microsoft Office Word</Application>
  <DocSecurity>0</DocSecurity>
  <Lines>188</Lines>
  <Paragraphs>53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26519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Obec Hajske</dc:creator>
  <cp:lastModifiedBy>Obec Hajske</cp:lastModifiedBy>
  <cp:revision>2</cp:revision>
  <dcterms:created xsi:type="dcterms:W3CDTF">2015-12-31T09:08:00Z</dcterms:created>
  <dcterms:modified xsi:type="dcterms:W3CDTF">2015-12-31T09:08:00Z</dcterms:modified>
</cp:coreProperties>
</file>