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047" w:rsidRDefault="00113582">
      <w:pPr>
        <w:pStyle w:val="Standard"/>
      </w:pPr>
      <w:bookmarkStart w:id="0" w:name="_GoBack"/>
      <w:bookmarkEnd w:id="0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E2047" w:rsidRDefault="00113582">
      <w:pPr>
        <w:pStyle w:val="Standard"/>
      </w:pPr>
      <w:r>
        <w:tab/>
      </w:r>
      <w:r>
        <w:tab/>
      </w:r>
      <w:r>
        <w:tab/>
      </w:r>
      <w:r>
        <w:tab/>
      </w:r>
      <w:r>
        <w:tab/>
      </w:r>
      <w:r>
        <w:rPr>
          <w:noProof/>
          <w:lang w:eastAsia="sk-SK"/>
        </w:rPr>
        <w:drawing>
          <wp:inline distT="0" distB="0" distL="0" distR="0">
            <wp:extent cx="1066680" cy="1285919"/>
            <wp:effectExtent l="0" t="0" r="120" b="9481"/>
            <wp:docPr id="1" name="obrázky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66680" cy="1285919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2E2047" w:rsidRDefault="002E2047">
      <w:pPr>
        <w:pStyle w:val="Standard"/>
      </w:pPr>
    </w:p>
    <w:p w:rsidR="002E2047" w:rsidRDefault="002E2047">
      <w:pPr>
        <w:pStyle w:val="Standard"/>
      </w:pPr>
    </w:p>
    <w:p w:rsidR="002E2047" w:rsidRDefault="002E2047">
      <w:pPr>
        <w:pStyle w:val="Standard"/>
        <w:jc w:val="center"/>
      </w:pPr>
    </w:p>
    <w:p w:rsidR="002E2047" w:rsidRDefault="002E2047">
      <w:pPr>
        <w:pStyle w:val="Standard"/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2E2047" w:rsidRDefault="00113582">
      <w:pPr>
        <w:pStyle w:val="Standard"/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  <w:sz w:val="44"/>
          <w:szCs w:val="44"/>
        </w:rPr>
        <w:t>Výročná správa</w:t>
      </w:r>
    </w:p>
    <w:p w:rsidR="002E2047" w:rsidRDefault="00113582">
      <w:pPr>
        <w:pStyle w:val="Standard"/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  <w:sz w:val="44"/>
          <w:szCs w:val="44"/>
        </w:rPr>
        <w:t>Obce Prihradzany</w:t>
      </w:r>
    </w:p>
    <w:p w:rsidR="002E2047" w:rsidRDefault="00113582">
      <w:pPr>
        <w:pStyle w:val="Standard"/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  <w:sz w:val="44"/>
          <w:szCs w:val="44"/>
        </w:rPr>
        <w:t>za rok 2014</w:t>
      </w:r>
    </w:p>
    <w:p w:rsidR="002E2047" w:rsidRDefault="002E2047">
      <w:pPr>
        <w:pStyle w:val="Standard"/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2E2047" w:rsidRDefault="002E2047">
      <w:pPr>
        <w:pStyle w:val="Standard"/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2E2047" w:rsidRDefault="002E2047">
      <w:pPr>
        <w:pStyle w:val="Standard"/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2E2047" w:rsidRDefault="002E2047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</w:p>
    <w:p w:rsidR="002E2047" w:rsidRDefault="002E2047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</w:p>
    <w:p w:rsidR="002E2047" w:rsidRDefault="00113582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Milan Čipka, starosta obce</w:t>
      </w:r>
    </w:p>
    <w:p w:rsidR="002E2047" w:rsidRDefault="002E2047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</w:p>
    <w:p w:rsidR="002E2047" w:rsidRDefault="002E2047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</w:p>
    <w:p w:rsidR="00045E12" w:rsidRDefault="00045E12">
      <w:pPr>
        <w:pStyle w:val="Standard"/>
        <w:rPr>
          <w:rFonts w:ascii="Times New Roman" w:hAnsi="Times New Roman" w:cs="Times New Roman"/>
          <w:b/>
          <w:sz w:val="28"/>
          <w:szCs w:val="28"/>
        </w:rPr>
      </w:pPr>
    </w:p>
    <w:p w:rsidR="00045E12" w:rsidRDefault="00045E12">
      <w:pPr>
        <w:pStyle w:val="Standard"/>
        <w:rPr>
          <w:rFonts w:ascii="Times New Roman" w:hAnsi="Times New Roman" w:cs="Times New Roman"/>
          <w:b/>
          <w:sz w:val="28"/>
          <w:szCs w:val="28"/>
        </w:rPr>
      </w:pPr>
    </w:p>
    <w:p w:rsidR="002E2047" w:rsidRDefault="00113582">
      <w:pPr>
        <w:pStyle w:val="Standard"/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Obsah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2E2047" w:rsidRDefault="00113582">
      <w:pPr>
        <w:pStyle w:val="Standard"/>
        <w:spacing w:after="13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Identifikačné údaje obce</w:t>
      </w:r>
    </w:p>
    <w:p w:rsidR="002E2047" w:rsidRDefault="00113582">
      <w:pPr>
        <w:pStyle w:val="Standard"/>
        <w:spacing w:after="13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Organizačná štruktúra obce a identifikácia vedúcich predstaviteľov</w:t>
      </w:r>
    </w:p>
    <w:p w:rsidR="002E2047" w:rsidRDefault="00113582">
      <w:pPr>
        <w:pStyle w:val="Standard"/>
        <w:spacing w:after="13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Základná charakteristika obce</w:t>
      </w:r>
    </w:p>
    <w:p w:rsidR="002E2047" w:rsidRDefault="00113582">
      <w:pPr>
        <w:pStyle w:val="Standard"/>
        <w:spacing w:after="13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3.1 Geografické údaje</w:t>
      </w:r>
    </w:p>
    <w:p w:rsidR="002E2047" w:rsidRDefault="00113582">
      <w:pPr>
        <w:pStyle w:val="Standard"/>
        <w:spacing w:after="13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3.2 Demografické údaje</w:t>
      </w:r>
    </w:p>
    <w:p w:rsidR="002E2047" w:rsidRDefault="00113582">
      <w:pPr>
        <w:pStyle w:val="Standard"/>
        <w:spacing w:after="13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3.3 Ekonomické údaje</w:t>
      </w:r>
    </w:p>
    <w:p w:rsidR="002E2047" w:rsidRDefault="00113582">
      <w:pPr>
        <w:pStyle w:val="Standard"/>
        <w:spacing w:after="13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3.4 Symboly obce</w:t>
      </w:r>
    </w:p>
    <w:p w:rsidR="002E2047" w:rsidRDefault="00113582">
      <w:pPr>
        <w:pStyle w:val="Standard"/>
        <w:spacing w:after="13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3.5 História obce</w:t>
      </w:r>
    </w:p>
    <w:p w:rsidR="002E2047" w:rsidRDefault="00113582">
      <w:pPr>
        <w:pStyle w:val="Standard"/>
        <w:spacing w:after="13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3.6 Pamiatky a pamätihodnosti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2E2047" w:rsidRDefault="00113582">
      <w:pPr>
        <w:pStyle w:val="Standard"/>
        <w:spacing w:after="13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Plnenie funkcií obce</w:t>
      </w:r>
    </w:p>
    <w:p w:rsidR="002E2047" w:rsidRDefault="00113582">
      <w:pPr>
        <w:pStyle w:val="Standard"/>
        <w:spacing w:after="13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Informácia o vývoji obce z pohľadu rozpočtovníctva</w:t>
      </w:r>
    </w:p>
    <w:p w:rsidR="002E2047" w:rsidRDefault="00113582">
      <w:pPr>
        <w:pStyle w:val="Standard"/>
        <w:spacing w:after="13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5.1  Plnenie príjmov a čerpanie výdavkov za rok 2014</w:t>
      </w:r>
    </w:p>
    <w:p w:rsidR="002E2047" w:rsidRDefault="00113582">
      <w:pPr>
        <w:pStyle w:val="Standard"/>
        <w:spacing w:after="13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5.2  Prebytok / schodok  rozpočtového hospodárenia za rok 2014</w:t>
      </w:r>
      <w:r>
        <w:rPr>
          <w:rFonts w:ascii="Times New Roman" w:hAnsi="Times New Roman"/>
          <w:sz w:val="28"/>
          <w:szCs w:val="28"/>
        </w:rPr>
        <w:tab/>
      </w:r>
    </w:p>
    <w:p w:rsidR="002E2047" w:rsidRDefault="00113582">
      <w:pPr>
        <w:pStyle w:val="Standard"/>
        <w:spacing w:after="13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5.3  Rozpočet na rok 2015 - 2017</w:t>
      </w:r>
      <w:r>
        <w:rPr>
          <w:rFonts w:ascii="Times New Roman" w:hAnsi="Times New Roman"/>
          <w:sz w:val="28"/>
          <w:szCs w:val="28"/>
        </w:rPr>
        <w:tab/>
      </w:r>
    </w:p>
    <w:p w:rsidR="002E2047" w:rsidRDefault="00113582">
      <w:pPr>
        <w:pStyle w:val="Standard"/>
        <w:spacing w:after="130"/>
      </w:pPr>
      <w:r>
        <w:rPr>
          <w:rFonts w:ascii="Times New Roman" w:hAnsi="Times New Roman"/>
          <w:sz w:val="28"/>
          <w:szCs w:val="28"/>
          <w:shd w:val="clear" w:color="auto" w:fill="FFCC00"/>
        </w:rPr>
        <w:t>6. Informácia o vývoji obce z pohľadu účtovníctva</w:t>
      </w:r>
      <w:r>
        <w:rPr>
          <w:rFonts w:ascii="Times New Roman" w:hAnsi="Times New Roman"/>
          <w:sz w:val="28"/>
          <w:szCs w:val="28"/>
        </w:rPr>
        <w:tab/>
      </w:r>
    </w:p>
    <w:p w:rsidR="002E2047" w:rsidRDefault="00113582">
      <w:pPr>
        <w:pStyle w:val="Standard"/>
        <w:spacing w:after="13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6.1 Majetok</w:t>
      </w:r>
    </w:p>
    <w:p w:rsidR="002E2047" w:rsidRDefault="00113582">
      <w:pPr>
        <w:pStyle w:val="Standard"/>
        <w:spacing w:after="13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6.2 Zdroje krytia</w:t>
      </w:r>
    </w:p>
    <w:p w:rsidR="002E2047" w:rsidRDefault="00113582">
      <w:pPr>
        <w:pStyle w:val="Standard"/>
        <w:spacing w:after="13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6.3 Pohľadávky</w:t>
      </w:r>
    </w:p>
    <w:p w:rsidR="002E2047" w:rsidRDefault="00113582">
      <w:pPr>
        <w:pStyle w:val="Standard"/>
        <w:spacing w:after="13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6.4 Záväzky</w:t>
      </w:r>
    </w:p>
    <w:p w:rsidR="002E2047" w:rsidRDefault="00113582">
      <w:pPr>
        <w:pStyle w:val="Standard"/>
        <w:spacing w:after="13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7. Hospodársky výsledok za rok 2014 – vývoj nákladov a výnosov</w:t>
      </w:r>
    </w:p>
    <w:p w:rsidR="002E2047" w:rsidRDefault="00113582">
      <w:pPr>
        <w:pStyle w:val="Standard"/>
        <w:spacing w:after="13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8. Ostatné dôležité informácie</w:t>
      </w:r>
    </w:p>
    <w:p w:rsidR="002E2047" w:rsidRDefault="00113582">
      <w:pPr>
        <w:pStyle w:val="Standard"/>
        <w:spacing w:after="13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8.1 Prijaté granty a transfery</w:t>
      </w:r>
    </w:p>
    <w:p w:rsidR="002E2047" w:rsidRDefault="00113582">
      <w:pPr>
        <w:pStyle w:val="Standard"/>
        <w:spacing w:after="13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8.2 Udalosti osobitného významu po skončení</w:t>
      </w:r>
      <w:r>
        <w:rPr>
          <w:rFonts w:ascii="Times New Roman" w:hAnsi="Times New Roman"/>
          <w:sz w:val="28"/>
          <w:szCs w:val="28"/>
        </w:rPr>
        <w:tab/>
        <w:t>účtovného obdobia</w:t>
      </w:r>
    </w:p>
    <w:p w:rsidR="002E2047" w:rsidRDefault="00113582">
      <w:pPr>
        <w:pStyle w:val="Standard"/>
        <w:spacing w:after="13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8.3 Významné riziká a neistoty, ktorým je účtovná jednotka vystavená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</w:p>
    <w:p w:rsidR="002E2047" w:rsidRDefault="00113582">
      <w:pPr>
        <w:pStyle w:val="Standard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</w:p>
    <w:p w:rsidR="002E2047" w:rsidRDefault="002E2047">
      <w:pPr>
        <w:pStyle w:val="Standard"/>
        <w:rPr>
          <w:rFonts w:ascii="Times New Roman" w:hAnsi="Times New Roman" w:cs="Times New Roman"/>
          <w:b/>
          <w:i/>
          <w:iCs/>
          <w:sz w:val="28"/>
          <w:szCs w:val="28"/>
        </w:rPr>
      </w:pPr>
    </w:p>
    <w:p w:rsidR="002E2047" w:rsidRDefault="00113582">
      <w:pPr>
        <w:pStyle w:val="Standard"/>
        <w:rPr>
          <w:rFonts w:ascii="Times New Roman" w:hAnsi="Times New Roman" w:cs="Times New Roman"/>
          <w:b/>
          <w:sz w:val="30"/>
          <w:szCs w:val="30"/>
        </w:rPr>
      </w:pPr>
      <w:r>
        <w:rPr>
          <w:rFonts w:ascii="Times New Roman" w:hAnsi="Times New Roman" w:cs="Times New Roman"/>
          <w:b/>
          <w:sz w:val="30"/>
          <w:szCs w:val="30"/>
        </w:rPr>
        <w:lastRenderedPageBreak/>
        <w:t>1. Identifikačné údaje obce</w:t>
      </w:r>
    </w:p>
    <w:p w:rsidR="002E2047" w:rsidRDefault="00113582">
      <w:pPr>
        <w:pStyle w:val="Standard"/>
        <w:spacing w:after="19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Názov: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Obec Prihradzany</w:t>
      </w:r>
    </w:p>
    <w:p w:rsidR="002E2047" w:rsidRDefault="00113582">
      <w:pPr>
        <w:pStyle w:val="Standard"/>
        <w:spacing w:after="19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Sídlo: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Prihradzany 7, 049 14 Licince</w:t>
      </w:r>
    </w:p>
    <w:p w:rsidR="002E2047" w:rsidRDefault="00113582">
      <w:pPr>
        <w:pStyle w:val="Standard"/>
        <w:spacing w:after="19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IČO: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00328651</w:t>
      </w:r>
    </w:p>
    <w:p w:rsidR="002E2047" w:rsidRDefault="00113582">
      <w:pPr>
        <w:pStyle w:val="Standard"/>
        <w:spacing w:after="19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Štatutárny orgán obce:</w:t>
      </w:r>
      <w:r>
        <w:rPr>
          <w:rFonts w:ascii="Times New Roman" w:hAnsi="Times New Roman" w:cs="Times New Roman"/>
          <w:sz w:val="28"/>
          <w:szCs w:val="28"/>
        </w:rPr>
        <w:tab/>
        <w:t>starosta obce</w:t>
      </w:r>
    </w:p>
    <w:p w:rsidR="002E2047" w:rsidRDefault="00113582">
      <w:pPr>
        <w:pStyle w:val="Standard"/>
        <w:spacing w:after="19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Telefón: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058 4482 509</w:t>
      </w:r>
    </w:p>
    <w:p w:rsidR="002E2047" w:rsidRDefault="00113582">
      <w:pPr>
        <w:pStyle w:val="Standard"/>
        <w:spacing w:after="19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E-mail: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obecprihradzany@gmail.com</w:t>
      </w:r>
    </w:p>
    <w:p w:rsidR="002E2047" w:rsidRDefault="002E2047">
      <w:pPr>
        <w:pStyle w:val="Standard"/>
        <w:spacing w:after="198"/>
        <w:rPr>
          <w:rFonts w:ascii="Times New Roman" w:hAnsi="Times New Roman" w:cs="Times New Roman"/>
          <w:sz w:val="28"/>
          <w:szCs w:val="28"/>
        </w:rPr>
      </w:pPr>
    </w:p>
    <w:p w:rsidR="002E2047" w:rsidRDefault="002E2047">
      <w:pPr>
        <w:pStyle w:val="Standard"/>
        <w:spacing w:after="142"/>
        <w:rPr>
          <w:rFonts w:ascii="Times New Roman" w:hAnsi="Times New Roman" w:cs="Times New Roman"/>
          <w:sz w:val="28"/>
          <w:szCs w:val="28"/>
        </w:rPr>
      </w:pPr>
    </w:p>
    <w:p w:rsidR="002E2047" w:rsidRDefault="00113582">
      <w:pPr>
        <w:pStyle w:val="Standard"/>
        <w:rPr>
          <w:rFonts w:ascii="Times New Roman" w:hAnsi="Times New Roman" w:cs="Times New Roman"/>
          <w:b/>
          <w:sz w:val="30"/>
          <w:szCs w:val="30"/>
        </w:rPr>
      </w:pPr>
      <w:r>
        <w:rPr>
          <w:rFonts w:ascii="Times New Roman" w:hAnsi="Times New Roman" w:cs="Times New Roman"/>
          <w:b/>
          <w:sz w:val="30"/>
          <w:szCs w:val="30"/>
        </w:rPr>
        <w:t>2. Organizačná štruktúra obce a identifikácia vedúcich predstaviteľov</w:t>
      </w:r>
    </w:p>
    <w:p w:rsidR="002E2047" w:rsidRDefault="00113582">
      <w:pPr>
        <w:pStyle w:val="Standard"/>
        <w:spacing w:after="19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Starosta obce: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Milan Čipka</w:t>
      </w:r>
    </w:p>
    <w:p w:rsidR="002E2047" w:rsidRDefault="00113582">
      <w:pPr>
        <w:pStyle w:val="Standard"/>
        <w:spacing w:after="19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Zástupca starostu obce:</w:t>
      </w:r>
      <w:r>
        <w:rPr>
          <w:rFonts w:ascii="Times New Roman" w:hAnsi="Times New Roman" w:cs="Times New Roman"/>
          <w:sz w:val="28"/>
          <w:szCs w:val="28"/>
        </w:rPr>
        <w:tab/>
        <w:t>Stanislav Furman</w:t>
      </w:r>
    </w:p>
    <w:p w:rsidR="002E2047" w:rsidRDefault="00113582">
      <w:pPr>
        <w:pStyle w:val="Standard"/>
        <w:spacing w:after="19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Hlavný kontrolór obce:</w:t>
      </w:r>
      <w:r>
        <w:rPr>
          <w:rFonts w:ascii="Times New Roman" w:hAnsi="Times New Roman" w:cs="Times New Roman"/>
          <w:sz w:val="28"/>
          <w:szCs w:val="28"/>
        </w:rPr>
        <w:tab/>
        <w:t>Helena Tomšíková</w:t>
      </w:r>
    </w:p>
    <w:p w:rsidR="002E2047" w:rsidRDefault="00113582">
      <w:pPr>
        <w:pStyle w:val="Standard"/>
        <w:spacing w:after="19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Obecné zastupiteľstvo:</w:t>
      </w:r>
      <w:r>
        <w:rPr>
          <w:rFonts w:ascii="Times New Roman" w:hAnsi="Times New Roman" w:cs="Times New Roman"/>
          <w:sz w:val="28"/>
          <w:szCs w:val="28"/>
        </w:rPr>
        <w:tab/>
        <w:t>Stanislav Furman, Tibor Balážik, Marta Balážiková</w:t>
      </w:r>
    </w:p>
    <w:p w:rsidR="002E2047" w:rsidRDefault="00113582">
      <w:pPr>
        <w:pStyle w:val="Standard"/>
        <w:spacing w:after="19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Obecný úrad: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Prihradzany 7, 049 14 Licince</w:t>
      </w:r>
    </w:p>
    <w:p w:rsidR="002E2047" w:rsidRDefault="002E2047">
      <w:pPr>
        <w:pStyle w:val="Standard"/>
        <w:spacing w:after="198"/>
        <w:rPr>
          <w:rFonts w:ascii="Times New Roman" w:hAnsi="Times New Roman" w:cs="Times New Roman"/>
          <w:b/>
          <w:sz w:val="28"/>
          <w:szCs w:val="28"/>
        </w:rPr>
      </w:pPr>
    </w:p>
    <w:p w:rsidR="002E2047" w:rsidRDefault="002E2047">
      <w:pPr>
        <w:pStyle w:val="Standard"/>
        <w:rPr>
          <w:rFonts w:ascii="Times New Roman" w:hAnsi="Times New Roman" w:cs="Times New Roman"/>
          <w:b/>
          <w:sz w:val="28"/>
          <w:szCs w:val="28"/>
        </w:rPr>
      </w:pPr>
    </w:p>
    <w:p w:rsidR="002E2047" w:rsidRDefault="00113582">
      <w:pPr>
        <w:pStyle w:val="Standard"/>
        <w:rPr>
          <w:rFonts w:ascii="Times New Roman" w:hAnsi="Times New Roman" w:cs="Times New Roman"/>
          <w:b/>
          <w:sz w:val="30"/>
          <w:szCs w:val="30"/>
        </w:rPr>
      </w:pPr>
      <w:r>
        <w:rPr>
          <w:rFonts w:ascii="Times New Roman" w:hAnsi="Times New Roman" w:cs="Times New Roman"/>
          <w:b/>
          <w:sz w:val="30"/>
          <w:szCs w:val="30"/>
        </w:rPr>
        <w:t>3. Základná charakteristika obce</w:t>
      </w:r>
    </w:p>
    <w:p w:rsidR="002E2047" w:rsidRDefault="00113582">
      <w:pPr>
        <w:pStyle w:val="Standard"/>
        <w:spacing w:after="25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Obec je samostatný územný samosprávny a správny celok  Slovenskej republiky.  Obec je právnickou osobou, ktorá samostatne hospodári s vlastným majetkom a s vlastnými príjmami.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Základnou  úlohou obce pri výkone samosprávy je starostlivosť o všestranný rozvoj jej územia a o potreby jej obyvateľov.</w:t>
      </w:r>
    </w:p>
    <w:p w:rsidR="002E2047" w:rsidRDefault="002E2047">
      <w:pPr>
        <w:pStyle w:val="Standard"/>
        <w:spacing w:after="255"/>
        <w:rPr>
          <w:rFonts w:ascii="Times New Roman" w:hAnsi="Times New Roman" w:cs="Times New Roman"/>
          <w:b/>
          <w:i/>
          <w:sz w:val="28"/>
          <w:szCs w:val="28"/>
        </w:rPr>
      </w:pPr>
    </w:p>
    <w:p w:rsidR="002E2047" w:rsidRDefault="002E2047">
      <w:pPr>
        <w:pStyle w:val="Standard"/>
        <w:rPr>
          <w:rFonts w:ascii="Times New Roman" w:hAnsi="Times New Roman" w:cs="Times New Roman"/>
          <w:b/>
          <w:i/>
          <w:sz w:val="28"/>
          <w:szCs w:val="28"/>
        </w:rPr>
      </w:pPr>
    </w:p>
    <w:p w:rsidR="002E2047" w:rsidRDefault="002E2047">
      <w:pPr>
        <w:pStyle w:val="Standard"/>
        <w:rPr>
          <w:rFonts w:ascii="Times New Roman" w:hAnsi="Times New Roman" w:cs="Times New Roman"/>
          <w:b/>
          <w:i/>
          <w:sz w:val="28"/>
          <w:szCs w:val="28"/>
        </w:rPr>
      </w:pPr>
    </w:p>
    <w:p w:rsidR="002E2047" w:rsidRDefault="00113582">
      <w:pPr>
        <w:pStyle w:val="Standard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3.1Geografické údaje:</w:t>
      </w:r>
    </w:p>
    <w:p w:rsidR="002E2047" w:rsidRDefault="00113582">
      <w:pPr>
        <w:pStyle w:val="Standard"/>
        <w:spacing w:after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Obec leží v severnej časti Slovenského krasu, v kotline okolo Prihradzanského potoka pravobrežného prítoku Muráňa.  Obec sa nachádza v okrese Revúca.</w:t>
      </w:r>
    </w:p>
    <w:p w:rsidR="002E2047" w:rsidRDefault="00113582">
      <w:pPr>
        <w:pStyle w:val="Standard"/>
        <w:spacing w:after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Susedné mestá a obce: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na severe</w:t>
      </w:r>
      <w:r>
        <w:rPr>
          <w:rFonts w:ascii="Times New Roman" w:hAnsi="Times New Roman" w:cs="Times New Roman"/>
          <w:sz w:val="28"/>
          <w:szCs w:val="28"/>
        </w:rPr>
        <w:tab/>
        <w:t xml:space="preserve">- obec Gemerské Teplice,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na  juhu  </w:t>
      </w:r>
      <w:r>
        <w:rPr>
          <w:rFonts w:ascii="Times New Roman" w:hAnsi="Times New Roman" w:cs="Times New Roman"/>
          <w:sz w:val="28"/>
          <w:szCs w:val="28"/>
        </w:rPr>
        <w:tab/>
        <w:t>- obec Držkovce,</w:t>
      </w:r>
    </w:p>
    <w:p w:rsidR="002E2047" w:rsidRDefault="00113582">
      <w:pPr>
        <w:pStyle w:val="Standard"/>
        <w:spacing w:after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na východe</w:t>
      </w:r>
      <w:r>
        <w:rPr>
          <w:rFonts w:ascii="Times New Roman" w:hAnsi="Times New Roman" w:cs="Times New Roman"/>
          <w:sz w:val="28"/>
          <w:szCs w:val="28"/>
        </w:rPr>
        <w:tab/>
        <w:t>- obec Šivetice</w:t>
      </w:r>
    </w:p>
    <w:p w:rsidR="002E2047" w:rsidRDefault="00113582">
      <w:pPr>
        <w:pStyle w:val="Standard"/>
        <w:spacing w:after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na západe </w:t>
      </w:r>
      <w:r>
        <w:rPr>
          <w:rFonts w:ascii="Times New Roman" w:hAnsi="Times New Roman" w:cs="Times New Roman"/>
          <w:sz w:val="28"/>
          <w:szCs w:val="28"/>
        </w:rPr>
        <w:tab/>
        <w:t>- obec Kameňany</w:t>
      </w:r>
    </w:p>
    <w:p w:rsidR="002E2047" w:rsidRDefault="00113582">
      <w:pPr>
        <w:pStyle w:val="Standard"/>
        <w:spacing w:after="142"/>
      </w:pPr>
      <w:r>
        <w:rPr>
          <w:rFonts w:ascii="Times New Roman" w:hAnsi="Times New Roman" w:cs="Times New Roman"/>
          <w:sz w:val="28"/>
          <w:szCs w:val="28"/>
        </w:rPr>
        <w:t>Zemepisné súradnice obce:</w:t>
      </w:r>
      <w:r>
        <w:rPr>
          <w:rFonts w:ascii="Times New Roman" w:hAnsi="Times New Roman" w:cs="Times New Roman"/>
          <w:sz w:val="28"/>
          <w:szCs w:val="28"/>
        </w:rPr>
        <w:tab/>
        <w:t xml:space="preserve">48°35'02"S </w:t>
      </w:r>
      <w:r>
        <w:rPr>
          <w:rFonts w:ascii="Times New Roman" w:hAnsi="Times New Roman" w:cs="Times New Roman"/>
          <w:b/>
          <w:i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  20°14'20"V</w:t>
      </w:r>
    </w:p>
    <w:p w:rsidR="002E2047" w:rsidRDefault="00113582">
      <w:pPr>
        <w:pStyle w:val="Standard"/>
        <w:spacing w:after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Nadmorská výška: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271 m n. m.</w:t>
      </w:r>
    </w:p>
    <w:p w:rsidR="002E2047" w:rsidRDefault="00113582">
      <w:pPr>
        <w:pStyle w:val="Standard"/>
        <w:spacing w:after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Celková rozloha obce: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4,5 km² (455 ha)</w:t>
      </w:r>
    </w:p>
    <w:p w:rsidR="002E2047" w:rsidRDefault="00113582">
      <w:pPr>
        <w:pStyle w:val="Standard"/>
        <w:numPr>
          <w:ilvl w:val="0"/>
          <w:numId w:val="3"/>
        </w:numPr>
        <w:spacing w:after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poľnohospodárska pôda</w:t>
      </w:r>
      <w:r>
        <w:rPr>
          <w:rFonts w:ascii="Times New Roman" w:hAnsi="Times New Roman" w:cs="Times New Roman"/>
          <w:sz w:val="28"/>
          <w:szCs w:val="28"/>
        </w:rPr>
        <w:tab/>
        <w:t>2,52 km² (252 ha)</w:t>
      </w:r>
    </w:p>
    <w:p w:rsidR="002E2047" w:rsidRDefault="00113582">
      <w:pPr>
        <w:pStyle w:val="Standard"/>
        <w:numPr>
          <w:ilvl w:val="0"/>
          <w:numId w:val="3"/>
        </w:numPr>
        <w:spacing w:after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vodné plochy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0,02 km² (2 ha)</w:t>
      </w:r>
    </w:p>
    <w:p w:rsidR="002E2047" w:rsidRDefault="00113582">
      <w:pPr>
        <w:pStyle w:val="Standard"/>
        <w:numPr>
          <w:ilvl w:val="0"/>
          <w:numId w:val="3"/>
        </w:numPr>
        <w:spacing w:after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lesné pozemky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1,68 km² (168 ha)</w:t>
      </w:r>
    </w:p>
    <w:p w:rsidR="002E2047" w:rsidRDefault="00113582">
      <w:pPr>
        <w:pStyle w:val="Standard"/>
        <w:numPr>
          <w:ilvl w:val="0"/>
          <w:numId w:val="3"/>
        </w:numPr>
        <w:spacing w:after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zastavané plochy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0,13 km² (13 ha)</w:t>
      </w:r>
    </w:p>
    <w:p w:rsidR="002E2047" w:rsidRDefault="00113582">
      <w:pPr>
        <w:pStyle w:val="Standard"/>
        <w:numPr>
          <w:ilvl w:val="0"/>
          <w:numId w:val="3"/>
        </w:numPr>
        <w:spacing w:after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ostatné plochy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0,20 km² (20 ha)</w:t>
      </w:r>
    </w:p>
    <w:p w:rsidR="002E2047" w:rsidRDefault="002E2047">
      <w:pPr>
        <w:pStyle w:val="Standard"/>
        <w:spacing w:after="142"/>
        <w:rPr>
          <w:rFonts w:ascii="Times New Roman" w:hAnsi="Times New Roman" w:cs="Times New Roman"/>
          <w:sz w:val="28"/>
          <w:szCs w:val="28"/>
        </w:rPr>
      </w:pPr>
    </w:p>
    <w:p w:rsidR="002E2047" w:rsidRDefault="00113582">
      <w:pPr>
        <w:pStyle w:val="Standard"/>
        <w:spacing w:after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Okrajová južná a severná časť je zalesnená dubovým lesom, zvyšok je odlesnený.</w:t>
      </w:r>
    </w:p>
    <w:p w:rsidR="002E2047" w:rsidRDefault="00113582">
      <w:pPr>
        <w:pStyle w:val="Standard"/>
        <w:spacing w:after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</w:t>
      </w:r>
    </w:p>
    <w:p w:rsidR="002E2047" w:rsidRDefault="00113582">
      <w:pPr>
        <w:pStyle w:val="Standard"/>
        <w:spacing w:after="14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3.2 Demografické údaje:</w:t>
      </w:r>
    </w:p>
    <w:p w:rsidR="002E2047" w:rsidRDefault="00113582">
      <w:pPr>
        <w:pStyle w:val="Standard"/>
        <w:spacing w:after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Hustota  obyvateľov:</w:t>
      </w:r>
      <w:r>
        <w:rPr>
          <w:rFonts w:ascii="Times New Roman" w:hAnsi="Times New Roman" w:cs="Times New Roman"/>
          <w:sz w:val="28"/>
          <w:szCs w:val="28"/>
        </w:rPr>
        <w:tab/>
        <w:t>16 obyv / km²</w:t>
      </w:r>
    </w:p>
    <w:p w:rsidR="002E2047" w:rsidRDefault="00113582">
      <w:pPr>
        <w:pStyle w:val="Standard"/>
        <w:spacing w:after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Počet obyvateľov: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83</w:t>
      </w:r>
    </w:p>
    <w:p w:rsidR="002E2047" w:rsidRDefault="00113582">
      <w:pPr>
        <w:pStyle w:val="Standard"/>
        <w:spacing w:after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Národnostná štruktúra: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slovenská</w:t>
      </w:r>
    </w:p>
    <w:p w:rsidR="002E2047" w:rsidRDefault="00113582">
      <w:pPr>
        <w:pStyle w:val="Standard"/>
        <w:spacing w:after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Štruktúra obyvateľstva podľa náboženského významu:</w:t>
      </w:r>
    </w:p>
    <w:p w:rsidR="002E2047" w:rsidRDefault="00113582">
      <w:pPr>
        <w:pStyle w:val="ListParagraph"/>
        <w:numPr>
          <w:ilvl w:val="0"/>
          <w:numId w:val="4"/>
        </w:numPr>
        <w:spacing w:after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Rímsko-katolícka,</w:t>
      </w:r>
    </w:p>
    <w:p w:rsidR="002E2047" w:rsidRDefault="00113582">
      <w:pPr>
        <w:pStyle w:val="ListParagraph"/>
        <w:numPr>
          <w:ilvl w:val="0"/>
          <w:numId w:val="1"/>
        </w:numPr>
        <w:spacing w:after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Grécko-katolícka</w:t>
      </w:r>
    </w:p>
    <w:p w:rsidR="002E2047" w:rsidRDefault="00113582">
      <w:pPr>
        <w:pStyle w:val="ListParagraph"/>
        <w:numPr>
          <w:ilvl w:val="0"/>
          <w:numId w:val="1"/>
        </w:numPr>
        <w:spacing w:after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Evanjelická</w:t>
      </w:r>
    </w:p>
    <w:p w:rsidR="002E2047" w:rsidRDefault="00113582">
      <w:pPr>
        <w:pStyle w:val="Standard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3.3 Ekonomické údaje:</w:t>
      </w:r>
    </w:p>
    <w:p w:rsidR="002E2047" w:rsidRDefault="00113582">
      <w:pPr>
        <w:pStyle w:val="Standard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Nezamestnanosť v obci: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13 %</w:t>
      </w:r>
    </w:p>
    <w:p w:rsidR="002E2047" w:rsidRDefault="00113582">
      <w:pPr>
        <w:pStyle w:val="Standard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Nezamestnanosť v okrese:</w:t>
      </w:r>
      <w:r>
        <w:rPr>
          <w:rFonts w:ascii="Times New Roman" w:hAnsi="Times New Roman" w:cs="Times New Roman"/>
          <w:sz w:val="28"/>
          <w:szCs w:val="28"/>
        </w:rPr>
        <w:tab/>
        <w:t>nad 25 %</w:t>
      </w:r>
    </w:p>
    <w:p w:rsidR="002E2047" w:rsidRDefault="002E2047">
      <w:pPr>
        <w:pStyle w:val="Standard"/>
        <w:jc w:val="both"/>
        <w:rPr>
          <w:rFonts w:ascii="Times New Roman" w:hAnsi="Times New Roman" w:cs="Times New Roman"/>
          <w:sz w:val="28"/>
          <w:szCs w:val="28"/>
        </w:rPr>
      </w:pPr>
    </w:p>
    <w:p w:rsidR="002E2047" w:rsidRDefault="00113582">
      <w:pPr>
        <w:pStyle w:val="Standard"/>
        <w:jc w:val="both"/>
      </w:pPr>
      <w:r>
        <w:rPr>
          <w:rFonts w:ascii="Times New Roman" w:hAnsi="Times New Roman" w:cs="Times New Roman"/>
          <w:b/>
          <w:sz w:val="28"/>
          <w:szCs w:val="28"/>
        </w:rPr>
        <w:t>3.4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bCs/>
          <w:sz w:val="28"/>
          <w:szCs w:val="28"/>
        </w:rPr>
        <w:t>Symboly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obce:</w:t>
      </w:r>
    </w:p>
    <w:p w:rsidR="002E2047" w:rsidRDefault="00113582">
      <w:pPr>
        <w:pStyle w:val="Standard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Erb, pečať a vlajka predstavujú najvýznamnejšie obecné symboly,</w:t>
      </w:r>
    </w:p>
    <w:p w:rsidR="002E2047" w:rsidRDefault="00113582">
      <w:pPr>
        <w:pStyle w:val="Standard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Erb obce:</w:t>
      </w:r>
    </w:p>
    <w:p w:rsidR="002E2047" w:rsidRDefault="00113582">
      <w:pPr>
        <w:pStyle w:val="Standard"/>
        <w:spacing w:after="19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4927680</wp:posOffset>
            </wp:positionH>
            <wp:positionV relativeFrom="paragraph">
              <wp:posOffset>-95400</wp:posOffset>
            </wp:positionV>
            <wp:extent cx="762120" cy="876239"/>
            <wp:effectExtent l="0" t="0" r="0" b="61"/>
            <wp:wrapSquare wrapText="left"/>
            <wp:docPr id="2" name="obrázky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62120" cy="8762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sz w:val="28"/>
          <w:szCs w:val="28"/>
        </w:rPr>
        <w:t>V červenom</w:t>
      </w:r>
      <w:r>
        <w:rPr>
          <w:rFonts w:ascii="Times New Roman" w:hAnsi="Times New Roman" w:cs="Times New Roman"/>
          <w:sz w:val="28"/>
          <w:szCs w:val="28"/>
        </w:rPr>
        <w:tab/>
        <w:t>štíte vpravo zo zelenej, zlatom šikmo mrežovanej pažite vyrastajúci výhonok, vedľa strieborné bordúry radlíc – lemeša a skloneného čeriesla – vpravo dolu pri lemeši tri strieborné zrná.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2E2047" w:rsidRDefault="00113582">
      <w:pPr>
        <w:pStyle w:val="Standard"/>
        <w:spacing w:after="147"/>
        <w:jc w:val="both"/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Vlajka obce:</w:t>
      </w:r>
      <w:r>
        <w:rPr>
          <w:rFonts w:ascii="Times New Roman" w:hAnsi="Times New Roman" w:cs="Times New Roman"/>
          <w:i/>
          <w:iCs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2E2047" w:rsidRDefault="00113582">
      <w:pPr>
        <w:pStyle w:val="Standard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sk-SK"/>
        </w:rPr>
        <w:drawing>
          <wp:anchor distT="0" distB="0" distL="114300" distR="114300" simplePos="0" relativeHeight="2" behindDoc="0" locked="0" layoutInCell="1" allowOverlap="1">
            <wp:simplePos x="0" y="0"/>
            <wp:positionH relativeFrom="column">
              <wp:posOffset>4842000</wp:posOffset>
            </wp:positionH>
            <wp:positionV relativeFrom="paragraph">
              <wp:posOffset>-63360</wp:posOffset>
            </wp:positionV>
            <wp:extent cx="857880" cy="734039"/>
            <wp:effectExtent l="0" t="0" r="0" b="8911"/>
            <wp:wrapSquare wrapText="left"/>
            <wp:docPr id="3" name="obrázky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57880" cy="7340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sz w:val="28"/>
          <w:szCs w:val="28"/>
        </w:rPr>
        <w:t>Pozostáva zo siedmich pozdĺžnych pruhov vo farbách červený,  žltý, červený, biely, zelený, žltý, zelený. Vlajka má pomer strán   2 : 3  a ukončená je tromi cípmi, t.j. Dvomi zástrihmi, siahajúcimi do tretiny jej listu.</w:t>
      </w:r>
    </w:p>
    <w:p w:rsidR="002E2047" w:rsidRDefault="00113582">
      <w:pPr>
        <w:pStyle w:val="Standard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2E2047" w:rsidRDefault="00113582">
      <w:pPr>
        <w:pStyle w:val="Standard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3.5 História obce</w:t>
      </w:r>
    </w:p>
    <w:p w:rsidR="002E2047" w:rsidRDefault="00113582">
      <w:pPr>
        <w:pStyle w:val="Standard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Prihradzany sú doložené od roku 1262 ako Prelaz, v roku 1272 ako Preloz, v roku 1435 ako Perlaz, v roku 1558 ako Perlak vel Pryraseen, v roku 1573 ako Perlasz alis Pryhrade, v roku 1590 ako Prechrachjn, v roku 1773 ako Prichraczane, v roku 1808 ako Prihradzany. V rokoch 1938 – 1945 boli Prihradzany pripojené k Maďarsku. Maďarský názov bol Perlász, Kisperlász.</w:t>
      </w:r>
    </w:p>
    <w:p w:rsidR="002E2047" w:rsidRDefault="00113582">
      <w:pPr>
        <w:pStyle w:val="Standard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Prihradzany boli v roku 1275 ešte osadou, ale koncom 13.  storočia sa stali už obcou. Patrili Jelšavskému, od 16. storočia Muránskemu panstvu. Obyvatelia si vypomáhali sezzónnymi prácami a remeslami (hrnčiarstvo, výroba fajok), včelárstvom, voštinárstvom a furmančením, neskôr tesárstvom a zhotovovaním výrobkov z dreva.</w:t>
      </w:r>
    </w:p>
    <w:p w:rsidR="002E2047" w:rsidRDefault="00113582">
      <w:pPr>
        <w:pStyle w:val="Standard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Roku 1773 tu žilo 26 sedliakov a 3 želiari, roku 1828 mala obec 37 domov a 251 obyvateľov.</w:t>
      </w:r>
    </w:p>
    <w:p w:rsidR="002E2047" w:rsidRDefault="00113582">
      <w:pPr>
        <w:pStyle w:val="Standard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3.6 Pamiatky a pamätihodnosti</w:t>
      </w:r>
    </w:p>
    <w:p w:rsidR="002E2047" w:rsidRDefault="00113582">
      <w:pPr>
        <w:pStyle w:val="Standard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lastRenderedPageBreak/>
        <w:t>Románska rotunda sv. Anny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ab/>
      </w:r>
    </w:p>
    <w:p w:rsidR="002E2047" w:rsidRDefault="00113582">
      <w:pPr>
        <w:pStyle w:val="Standard"/>
        <w:jc w:val="both"/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Rotunda bola postavená niekedy v prvej polovici 13. storočia ako pútnická kaplnka. Predpokladá sa, že spolu so zaniknutým hradom pod kopcom Muteň tvorili obrannú sústavu. Krátko po postavení bola sčasti zbúraná. Opravy sa dočkala až v 18.storočí. Bola barokovo upravená a bol vytvorený nový vstup na západnej strane. Slúžila ako cintorínska kaplnka a konali sa v nej aj púte.      V roku 2013 bola nanovo zastrešená.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ab/>
      </w:r>
    </w:p>
    <w:p w:rsidR="002E2047" w:rsidRDefault="00113582">
      <w:pPr>
        <w:pStyle w:val="Standard"/>
        <w:jc w:val="both"/>
        <w:rPr>
          <w:rFonts w:ascii="Times New Roman" w:hAnsi="Times New Roman" w:cs="Times New Roman"/>
          <w:b/>
          <w:bCs/>
          <w:sz w:val="30"/>
          <w:szCs w:val="30"/>
        </w:rPr>
      </w:pPr>
      <w:r>
        <w:rPr>
          <w:rFonts w:ascii="Times New Roman" w:hAnsi="Times New Roman" w:cs="Times New Roman"/>
          <w:b/>
          <w:bCs/>
          <w:sz w:val="30"/>
          <w:szCs w:val="30"/>
        </w:rPr>
        <w:t>4. Plnenie funkcií obce (prenesené kompetencie)</w:t>
      </w:r>
    </w:p>
    <w:p w:rsidR="002E2047" w:rsidRDefault="00113582">
      <w:pPr>
        <w:pStyle w:val="Standard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Prenesený výkon štátnej správy na úseku:</w:t>
      </w:r>
      <w:r>
        <w:rPr>
          <w:rFonts w:ascii="Times New Roman" w:hAnsi="Times New Roman" w:cs="Times New Roman"/>
          <w:sz w:val="28"/>
          <w:szCs w:val="28"/>
        </w:rPr>
        <w:tab/>
        <w:t>- stavebného poriadku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- ochrany prírody a krajiny</w:t>
      </w:r>
    </w:p>
    <w:p w:rsidR="002E2047" w:rsidRDefault="00113582">
      <w:pPr>
        <w:pStyle w:val="Standard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 strede obci je postavený Kultúrny dom, ktorý bol postavený v päťdesiatych až šesťdesiatych rokoch minulého storočia.</w:t>
      </w:r>
    </w:p>
    <w:p w:rsidR="002E2047" w:rsidRDefault="002E2047">
      <w:pPr>
        <w:pStyle w:val="Standard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2E2047" w:rsidRDefault="00113582">
      <w:pPr>
        <w:pStyle w:val="Standard"/>
        <w:jc w:val="both"/>
        <w:rPr>
          <w:rFonts w:ascii="Times New Roman" w:hAnsi="Times New Roman" w:cs="Times New Roman"/>
          <w:b/>
          <w:bCs/>
          <w:sz w:val="30"/>
          <w:szCs w:val="30"/>
        </w:rPr>
      </w:pPr>
      <w:r>
        <w:rPr>
          <w:rFonts w:ascii="Times New Roman" w:hAnsi="Times New Roman" w:cs="Times New Roman"/>
          <w:b/>
          <w:bCs/>
          <w:sz w:val="30"/>
          <w:szCs w:val="30"/>
        </w:rPr>
        <w:t>5. Informácia o vývoji obce z pohľadu rozpočtovníctva</w:t>
      </w:r>
    </w:p>
    <w:p w:rsidR="002E2047" w:rsidRDefault="00113582">
      <w:pPr>
        <w:pStyle w:val="Standard"/>
        <w:jc w:val="both"/>
      </w:pPr>
      <w:r>
        <w:rPr>
          <w:rFonts w:ascii="Times New Roman" w:hAnsi="Times New Roman" w:cs="Times New Roman"/>
          <w:sz w:val="28"/>
          <w:szCs w:val="28"/>
        </w:rPr>
        <w:t>Základným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nástrojom finančného hospodárenia obce bol rozpočet obce na rok 2014. Obec v roku 2014 zostavila rozpočet podľa ustanovenia § 10 odsek 7) zákona č.583/2004 Z.z. o rozpočtových </w:t>
      </w:r>
      <w:r>
        <w:rPr>
          <w:rFonts w:ascii="Times New Roman" w:eastAsia="TT2271o00" w:hAnsi="Times New Roman" w:cs="Times New Roman"/>
          <w:sz w:val="28"/>
          <w:szCs w:val="28"/>
        </w:rPr>
        <w:t>pravidlách územnej samosprávy a o zmene a doplnení niektorých zákonov v znení neskorších predpisov.</w:t>
      </w:r>
      <w:r>
        <w:rPr>
          <w:rFonts w:ascii="Times New Roman" w:eastAsia="TT2271o00" w:hAnsi="Times New Roman" w:cs="Times New Roman"/>
          <w:sz w:val="28"/>
          <w:szCs w:val="28"/>
        </w:rPr>
        <w:tab/>
        <w:t xml:space="preserve">    </w:t>
      </w:r>
      <w:r>
        <w:rPr>
          <w:rFonts w:ascii="Times New Roman" w:eastAsia="TT2271o00" w:hAnsi="Times New Roman" w:cs="Times New Roman"/>
          <w:b/>
          <w:bCs/>
          <w:sz w:val="28"/>
          <w:szCs w:val="28"/>
        </w:rPr>
        <w:t xml:space="preserve">Rozpočet obce </w:t>
      </w:r>
      <w:r>
        <w:rPr>
          <w:rFonts w:ascii="Times New Roman" w:eastAsia="TT2271o00" w:hAnsi="Times New Roman" w:cs="Times New Roman"/>
          <w:sz w:val="28"/>
          <w:szCs w:val="28"/>
        </w:rPr>
        <w:t>na rok 2014 bol zostavený ako vyrovnaný</w:t>
      </w:r>
    </w:p>
    <w:p w:rsidR="002E2047" w:rsidRDefault="00113582">
      <w:pPr>
        <w:pStyle w:val="Standard"/>
        <w:jc w:val="both"/>
        <w:rPr>
          <w:rFonts w:ascii="Times New Roman" w:eastAsia="TT2271o00" w:hAnsi="Times New Roman" w:cs="Times New Roman"/>
          <w:b/>
          <w:bCs/>
          <w:sz w:val="28"/>
          <w:szCs w:val="28"/>
        </w:rPr>
      </w:pPr>
      <w:r>
        <w:rPr>
          <w:rFonts w:ascii="Times New Roman" w:eastAsia="TT2271o00" w:hAnsi="Times New Roman" w:cs="Times New Roman"/>
          <w:b/>
          <w:bCs/>
          <w:sz w:val="28"/>
          <w:szCs w:val="28"/>
        </w:rPr>
        <w:t>5.1 Plnenie príjmov a čerpanie výdavkov za rok 2014</w:t>
      </w:r>
    </w:p>
    <w:tbl>
      <w:tblPr>
        <w:tblW w:w="907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1531"/>
        <w:gridCol w:w="1531"/>
        <w:gridCol w:w="1588"/>
        <w:gridCol w:w="1590"/>
      </w:tblGrid>
      <w:tr w:rsidR="002E2047">
        <w:trPr>
          <w:cantSplit/>
          <w:trHeight w:val="6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FF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2E2047">
            <w:pPr>
              <w:pStyle w:val="TableContents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  <w:t>Rozpočet</w:t>
            </w: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  <w:t>Rozpočet po zmenách</w:t>
            </w: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  <w:t>Skutočné plnenie príjmov/ výdavkov k 31.12.2014</w:t>
            </w:r>
          </w:p>
        </w:tc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  <w:t>% plnenia príjmov /</w:t>
            </w:r>
          </w:p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  <w:t>% čerpania výdavkov</w:t>
            </w:r>
          </w:p>
        </w:tc>
      </w:tr>
      <w:tr w:rsidR="002E2047">
        <w:trPr>
          <w:trHeight w:val="6"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CCCC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both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  <w:t>Príjmy celkom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CCCC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  <w:t>14 770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CCCC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  <w:t>17 148</w:t>
            </w: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CCCC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3A3DF7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  <w:t>18 870</w:t>
            </w:r>
            <w:r w:rsidR="00113582"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  <w:t>,09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3A3DF7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  <w:t>110,04</w:t>
            </w:r>
          </w:p>
        </w:tc>
      </w:tr>
      <w:tr w:rsidR="002E2047">
        <w:trPr>
          <w:trHeight w:val="6"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both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 xml:space="preserve"> z toho: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2E2047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2E2047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2E2047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2E2047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</w:p>
        </w:tc>
      </w:tr>
      <w:tr w:rsidR="002E2047">
        <w:trPr>
          <w:trHeight w:val="6"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both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14 770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17 148</w:t>
            </w: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17 922,09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hd w:val="clear" w:color="auto" w:fill="FFFFFF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104,51</w:t>
            </w:r>
          </w:p>
        </w:tc>
      </w:tr>
      <w:tr w:rsidR="002E2047">
        <w:trPr>
          <w:trHeight w:val="6"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both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0</w:t>
            </w:r>
          </w:p>
        </w:tc>
      </w:tr>
      <w:tr w:rsidR="002E2047">
        <w:trPr>
          <w:trHeight w:val="6"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948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0</w:t>
            </w:r>
          </w:p>
        </w:tc>
      </w:tr>
      <w:tr w:rsidR="002E2047">
        <w:trPr>
          <w:trHeight w:val="6"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  <w:t>Výdavky celkom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CCCC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  <w:t>14 770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CCCC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  <w:t>17 148</w:t>
            </w: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CCCC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  <w:t>18 707,12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  <w:t>109,09</w:t>
            </w:r>
          </w:p>
        </w:tc>
      </w:tr>
      <w:tr w:rsidR="002E2047">
        <w:trPr>
          <w:trHeight w:val="6"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2E2047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2E2047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2E2047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2E2047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2E2047">
        <w:trPr>
          <w:trHeight w:val="6"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lastRenderedPageBreak/>
              <w:t>Bežné výdavky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14 770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17 148</w:t>
            </w: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  <w:t>18 707,12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  <w:t>109,09</w:t>
            </w:r>
          </w:p>
        </w:tc>
      </w:tr>
      <w:tr w:rsidR="002E2047">
        <w:trPr>
          <w:trHeight w:val="6"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0</w:t>
            </w:r>
          </w:p>
        </w:tc>
      </w:tr>
      <w:tr w:rsidR="002E2047">
        <w:trPr>
          <w:trHeight w:val="6"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sz w:val="24"/>
                <w:szCs w:val="24"/>
              </w:rPr>
              <w:t>0</w:t>
            </w:r>
          </w:p>
        </w:tc>
      </w:tr>
      <w:tr w:rsidR="002E2047">
        <w:trPr>
          <w:trHeight w:val="6"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  <w:t>Upravené hospodárenie obce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3A3DF7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  <w:t>162,97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2E2047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2E2047" w:rsidRDefault="002E2047">
      <w:pPr>
        <w:pStyle w:val="Textbody"/>
        <w:jc w:val="both"/>
        <w:rPr>
          <w:rFonts w:ascii="Times New Roman" w:eastAsia="TT2271o00" w:hAnsi="Times New Roman" w:cs="Times New Roman"/>
          <w:b/>
          <w:bCs/>
          <w:color w:val="000000"/>
          <w:sz w:val="28"/>
          <w:szCs w:val="28"/>
        </w:rPr>
      </w:pPr>
    </w:p>
    <w:p w:rsidR="002E2047" w:rsidRDefault="00113582">
      <w:pPr>
        <w:pStyle w:val="Textbody"/>
        <w:jc w:val="both"/>
        <w:rPr>
          <w:rFonts w:ascii="Times New Roman" w:eastAsia="TT2271o00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T2271o00" w:hAnsi="Times New Roman" w:cs="Times New Roman"/>
          <w:b/>
          <w:bCs/>
          <w:color w:val="000000"/>
          <w:sz w:val="28"/>
          <w:szCs w:val="28"/>
        </w:rPr>
        <w:t>5.2 Prebytok/schodok rozpočtového hospodárenia za rok 2014</w:t>
      </w:r>
    </w:p>
    <w:tbl>
      <w:tblPr>
        <w:tblW w:w="907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0"/>
        <w:gridCol w:w="3405"/>
      </w:tblGrid>
      <w:tr w:rsidR="002E2047">
        <w:tc>
          <w:tcPr>
            <w:tcW w:w="5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 </w:t>
            </w:r>
          </w:p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Hospodárenie obce</w:t>
            </w:r>
          </w:p>
        </w:tc>
        <w:tc>
          <w:tcPr>
            <w:tcW w:w="3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 </w:t>
            </w:r>
          </w:p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Skutočnosť k 31.12.2014 v EUR</w:t>
            </w:r>
          </w:p>
        </w:tc>
      </w:tr>
      <w:tr w:rsidR="002E2047"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9C3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 príjmy spolu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17 922,09</w:t>
            </w:r>
          </w:p>
        </w:tc>
      </w:tr>
      <w:tr w:rsidR="002E2047"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 toho : bežné príjmy obce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right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17 922,09</w:t>
            </w:r>
          </w:p>
        </w:tc>
      </w:tr>
      <w:tr w:rsidR="002E2047"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9C3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výdavky spolu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18 707,12</w:t>
            </w:r>
          </w:p>
        </w:tc>
      </w:tr>
      <w:tr w:rsidR="002E2047"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 toho : bežné výdavky  obce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right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18 707,12</w:t>
            </w:r>
          </w:p>
        </w:tc>
      </w:tr>
      <w:tr w:rsidR="002E2047"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Bežný rozpočet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-785,03</w:t>
            </w:r>
          </w:p>
        </w:tc>
      </w:tr>
      <w:tr w:rsidR="002E2047"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9C3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Kapitálové  príjmy spolu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2E2047">
            <w:pPr>
              <w:pStyle w:val="TableContents"/>
              <w:spacing w:after="0"/>
              <w:jc w:val="right"/>
              <w:rPr>
                <w:rFonts w:ascii="Times New Roman" w:hAnsi="Times New Roman"/>
              </w:rPr>
            </w:pPr>
          </w:p>
        </w:tc>
      </w:tr>
      <w:tr w:rsidR="002E2047"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 toho : kapitálové  príjmy obce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2E2047">
            <w:pPr>
              <w:pStyle w:val="TableContents"/>
              <w:spacing w:after="0"/>
              <w:jc w:val="right"/>
              <w:rPr>
                <w:rFonts w:ascii="Times New Roman" w:hAnsi="Times New Roman"/>
              </w:rPr>
            </w:pPr>
          </w:p>
        </w:tc>
      </w:tr>
      <w:tr w:rsidR="002E2047"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9C3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Kapitálové  výdavky spolu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2E2047">
            <w:pPr>
              <w:pStyle w:val="TableContents"/>
              <w:spacing w:after="0"/>
              <w:jc w:val="right"/>
              <w:rPr>
                <w:rFonts w:ascii="Times New Roman" w:hAnsi="Times New Roman"/>
              </w:rPr>
            </w:pPr>
          </w:p>
        </w:tc>
      </w:tr>
      <w:tr w:rsidR="002E2047"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 toho : kapitálové  výdavky  obce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2E2047">
            <w:pPr>
              <w:pStyle w:val="TableContents"/>
              <w:spacing w:after="0"/>
              <w:jc w:val="right"/>
              <w:rPr>
                <w:rFonts w:ascii="Times New Roman" w:hAnsi="Times New Roman"/>
                <w:i/>
                <w:iCs/>
              </w:rPr>
            </w:pPr>
          </w:p>
        </w:tc>
      </w:tr>
      <w:tr w:rsidR="002E2047"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Kapitálový rozpočet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2E2047">
            <w:pPr>
              <w:pStyle w:val="TableContents"/>
              <w:spacing w:after="0"/>
              <w:jc w:val="right"/>
              <w:rPr>
                <w:rFonts w:ascii="Times New Roman" w:hAnsi="Times New Roman"/>
                <w:b/>
                <w:bCs/>
                <w:i/>
                <w:iCs/>
              </w:rPr>
            </w:pPr>
          </w:p>
        </w:tc>
      </w:tr>
      <w:tr w:rsidR="002E2047"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9C3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Prebytok/schodok bežného a kapitálového rozpočtu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9C3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right"/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-785,03</w:t>
            </w:r>
          </w:p>
        </w:tc>
      </w:tr>
      <w:tr w:rsidR="002E2047"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Vylúčenie z prebytku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right"/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0,00</w:t>
            </w:r>
          </w:p>
        </w:tc>
      </w:tr>
      <w:tr w:rsidR="002E2047"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9C3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Upravený prebytok/schodok bežného a kapitálového rozpočtu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9C3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right"/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-785,03</w:t>
            </w:r>
          </w:p>
        </w:tc>
      </w:tr>
      <w:tr w:rsidR="002E2047"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Príjmy z finančných operácií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right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948,00</w:t>
            </w:r>
          </w:p>
        </w:tc>
      </w:tr>
      <w:tr w:rsidR="002E2047"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z finančných operácií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2E2047">
            <w:pPr>
              <w:pStyle w:val="TableContents"/>
              <w:spacing w:after="0"/>
              <w:jc w:val="right"/>
              <w:rPr>
                <w:rFonts w:ascii="Times New Roman" w:hAnsi="Times New Roman"/>
              </w:rPr>
            </w:pPr>
          </w:p>
        </w:tc>
      </w:tr>
      <w:tr w:rsidR="002E2047"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Rozdiel finančných operácií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right"/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948,00</w:t>
            </w:r>
          </w:p>
        </w:tc>
      </w:tr>
      <w:tr w:rsidR="002E2047"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spolu 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18 870,09</w:t>
            </w:r>
          </w:p>
        </w:tc>
      </w:tr>
      <w:tr w:rsidR="002E2047"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SPOLU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18 707,12</w:t>
            </w:r>
          </w:p>
        </w:tc>
      </w:tr>
      <w:tr w:rsidR="002E2047"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Hospodárenie obce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right"/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162,97</w:t>
            </w:r>
          </w:p>
        </w:tc>
      </w:tr>
      <w:tr w:rsidR="002E2047"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Vylúčenie z prebytku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right"/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0,00</w:t>
            </w:r>
          </w:p>
        </w:tc>
      </w:tr>
      <w:tr w:rsidR="002E2047"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Upravené hospodárenie obce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right"/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162,97</w:t>
            </w:r>
          </w:p>
        </w:tc>
      </w:tr>
    </w:tbl>
    <w:p w:rsidR="002E2047" w:rsidRDefault="00113582">
      <w:pPr>
        <w:pStyle w:val="Textbody"/>
        <w:jc w:val="both"/>
      </w:pPr>
      <w:r>
        <w:rPr>
          <w:rFonts w:ascii="Times New Roman" w:eastAsia="TT2271o00" w:hAnsi="Times New Roman" w:cs="Times New Roman"/>
          <w:b/>
          <w:sz w:val="28"/>
          <w:szCs w:val="28"/>
        </w:rPr>
        <w:t>Schodok rozpočtu v sume 785,03 EUR</w:t>
      </w:r>
      <w:r>
        <w:rPr>
          <w:rFonts w:ascii="Times New Roman" w:eastAsia="TT2271o00" w:hAnsi="Times New Roman" w:cs="Times New Roman"/>
          <w:sz w:val="28"/>
          <w:szCs w:val="28"/>
        </w:rPr>
        <w:t xml:space="preserve"> zistený podľa ustanovenia § 10 ods. 3 písm. a) a b) zákona č. 583/2004 Z.z. O rozpočtových pravidlách územnej samosprávy a o zmene a doplnení niektorých zákonov v z.n.p. bol v rozpočtovom roku 2014 vysporiadaný :</w:t>
      </w:r>
      <w:r>
        <w:rPr>
          <w:rFonts w:ascii="Times New Roman" w:eastAsia="TT2271o00" w:hAnsi="Times New Roman" w:cs="Times New Roman"/>
          <w:sz w:val="28"/>
          <w:szCs w:val="28"/>
        </w:rPr>
        <w:tab/>
      </w:r>
      <w:r>
        <w:rPr>
          <w:rFonts w:ascii="Times New Roman" w:eastAsia="TT2271o00" w:hAnsi="Times New Roman" w:cs="Times New Roman"/>
          <w:sz w:val="28"/>
          <w:szCs w:val="28"/>
        </w:rPr>
        <w:tab/>
      </w:r>
      <w:r>
        <w:rPr>
          <w:rFonts w:ascii="Times New Roman" w:eastAsia="TT2271o00" w:hAnsi="Times New Roman" w:cs="Times New Roman"/>
          <w:sz w:val="28"/>
          <w:szCs w:val="28"/>
        </w:rPr>
        <w:tab/>
      </w:r>
      <w:r>
        <w:rPr>
          <w:rFonts w:ascii="Times New Roman" w:eastAsia="TT2271o00" w:hAnsi="Times New Roman" w:cs="Times New Roman"/>
          <w:sz w:val="28"/>
          <w:szCs w:val="28"/>
        </w:rPr>
        <w:tab/>
      </w:r>
      <w:r>
        <w:rPr>
          <w:rFonts w:ascii="Times New Roman" w:eastAsia="TT2271o00" w:hAnsi="Times New Roman" w:cs="Times New Roman"/>
          <w:sz w:val="28"/>
          <w:szCs w:val="28"/>
        </w:rPr>
        <w:tab/>
      </w:r>
      <w:r>
        <w:rPr>
          <w:rFonts w:ascii="Times New Roman" w:eastAsia="TT2271o00" w:hAnsi="Times New Roman" w:cs="Times New Roman"/>
          <w:sz w:val="28"/>
          <w:szCs w:val="28"/>
        </w:rPr>
        <w:tab/>
      </w:r>
      <w:r>
        <w:rPr>
          <w:rFonts w:ascii="Times New Roman" w:eastAsia="TT2271o00" w:hAnsi="Times New Roman" w:cs="Times New Roman"/>
          <w:sz w:val="28"/>
          <w:szCs w:val="28"/>
        </w:rPr>
        <w:tab/>
      </w:r>
      <w:r>
        <w:t>-</w:t>
      </w:r>
      <w:r>
        <w:rPr>
          <w:rFonts w:ascii="Times New Roman" w:hAnsi="Times New Roman"/>
          <w:sz w:val="28"/>
          <w:szCs w:val="28"/>
        </w:rPr>
        <w:t xml:space="preserve"> z finančných operácií </w:t>
      </w:r>
      <w:r>
        <w:rPr>
          <w:rFonts w:ascii="Times New Roman" w:hAnsi="Times New Roman"/>
          <w:sz w:val="28"/>
          <w:szCs w:val="28"/>
        </w:rPr>
        <w:tab/>
        <w:t>785,03 EUR</w:t>
      </w:r>
    </w:p>
    <w:p w:rsidR="002E2047" w:rsidRDefault="00113582">
      <w:pPr>
        <w:pStyle w:val="Textbody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T2271o00" w:hAnsi="Times New Roman" w:cs="Times New Roman"/>
          <w:b/>
          <w:sz w:val="28"/>
          <w:szCs w:val="28"/>
        </w:rPr>
        <w:lastRenderedPageBreak/>
        <w:t xml:space="preserve">Zostatok finančných operácií </w:t>
      </w:r>
      <w:r>
        <w:rPr>
          <w:rFonts w:ascii="Times New Roman" w:eastAsia="TT2271o00" w:hAnsi="Times New Roman" w:cs="Times New Roman"/>
          <w:sz w:val="28"/>
          <w:szCs w:val="28"/>
        </w:rPr>
        <w:t>v sume 212,50 EUR</w:t>
      </w:r>
      <w:r>
        <w:rPr>
          <w:rFonts w:ascii="Times New Roman" w:eastAsia="TT2271o00" w:hAnsi="Times New Roman" w:cs="Times New Roman"/>
          <w:b/>
          <w:sz w:val="28"/>
          <w:szCs w:val="28"/>
        </w:rPr>
        <w:t>,</w:t>
      </w:r>
      <w:r>
        <w:rPr>
          <w:rFonts w:ascii="Times New Roman" w:eastAsia="TT2271o00" w:hAnsi="Times New Roman" w:cs="Times New Roman"/>
          <w:sz w:val="28"/>
          <w:szCs w:val="28"/>
        </w:rPr>
        <w:t xml:space="preserve"> navrhujeme použiť na:</w:t>
      </w:r>
      <w:r>
        <w:rPr>
          <w:rFonts w:ascii="Times New Roman" w:eastAsia="TT2271o00" w:hAnsi="Times New Roman" w:cs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- tvorbu finančných príjmov v roku 2015</w:t>
      </w:r>
    </w:p>
    <w:p w:rsidR="002E2047" w:rsidRDefault="002E2047">
      <w:pPr>
        <w:pStyle w:val="Textbody"/>
        <w:jc w:val="both"/>
        <w:rPr>
          <w:rFonts w:ascii="Times New Roman" w:hAnsi="Times New Roman"/>
          <w:sz w:val="28"/>
          <w:szCs w:val="28"/>
        </w:rPr>
      </w:pPr>
    </w:p>
    <w:p w:rsidR="002E2047" w:rsidRDefault="00113582">
      <w:pPr>
        <w:pStyle w:val="Textbody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5.3 Rozpočet na roky 2015 - 2017</w:t>
      </w:r>
    </w:p>
    <w:p w:rsidR="002E2047" w:rsidRDefault="002E2047">
      <w:pPr>
        <w:pStyle w:val="Textbody"/>
        <w:jc w:val="both"/>
      </w:pPr>
    </w:p>
    <w:tbl>
      <w:tblPr>
        <w:tblW w:w="907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85"/>
        <w:gridCol w:w="1672"/>
        <w:gridCol w:w="1672"/>
        <w:gridCol w:w="1672"/>
        <w:gridCol w:w="1672"/>
      </w:tblGrid>
      <w:tr w:rsidR="002E2047">
        <w:tc>
          <w:tcPr>
            <w:tcW w:w="2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2E2047">
            <w:pPr>
              <w:pStyle w:val="TableContents"/>
              <w:spacing w:after="0"/>
              <w:jc w:val="both"/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  <w:t>Skutočnosť k 31.12.2014</w:t>
            </w: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  <w:t>Rozpočet na rok 2015</w:t>
            </w: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  <w:t>Rozpočet na rok 2016</w:t>
            </w: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FFCC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  <w:t>Rozpočet na rok 2017</w:t>
            </w:r>
          </w:p>
        </w:tc>
      </w:tr>
      <w:tr w:rsidR="002E2047">
        <w:tc>
          <w:tcPr>
            <w:tcW w:w="238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both"/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  <w:t>Príjmy celkom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  <w:t>18 870,09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  <w:t>13 900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  <w:t>14 000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FFCC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  <w:t>14 000</w:t>
            </w:r>
          </w:p>
        </w:tc>
      </w:tr>
      <w:tr w:rsidR="002E2047">
        <w:tc>
          <w:tcPr>
            <w:tcW w:w="23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both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z toho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2E2047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2E2047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2E2047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2E2047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</w:p>
        </w:tc>
      </w:tr>
      <w:tr w:rsidR="002E2047">
        <w:tc>
          <w:tcPr>
            <w:tcW w:w="23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both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Bežné príjmy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17 922,09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13 900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14 000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14 000</w:t>
            </w:r>
          </w:p>
        </w:tc>
      </w:tr>
      <w:tr w:rsidR="002E2047">
        <w:tc>
          <w:tcPr>
            <w:tcW w:w="23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both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Kapitálové príjmy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0</w:t>
            </w:r>
          </w:p>
        </w:tc>
      </w:tr>
      <w:tr w:rsidR="002E2047">
        <w:tc>
          <w:tcPr>
            <w:tcW w:w="23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both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Finančné príjmy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948,00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0</w:t>
            </w:r>
          </w:p>
        </w:tc>
      </w:tr>
    </w:tbl>
    <w:p w:rsidR="00113582" w:rsidRDefault="00113582">
      <w:pPr>
        <w:spacing w:after="0"/>
        <w:rPr>
          <w:vanish/>
        </w:rPr>
      </w:pPr>
    </w:p>
    <w:tbl>
      <w:tblPr>
        <w:tblW w:w="907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85"/>
        <w:gridCol w:w="1672"/>
        <w:gridCol w:w="1672"/>
        <w:gridCol w:w="1672"/>
        <w:gridCol w:w="1672"/>
      </w:tblGrid>
      <w:tr w:rsidR="002E2047">
        <w:tc>
          <w:tcPr>
            <w:tcW w:w="2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2E2047">
            <w:pPr>
              <w:pStyle w:val="TableContents"/>
              <w:spacing w:after="0"/>
              <w:jc w:val="both"/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  <w:t>Skutočnosť k 31.12.2014</w:t>
            </w: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  <w:t>Rozpočet na rok 2015</w:t>
            </w: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  <w:t>Rozpočet na rok 2016</w:t>
            </w: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FFCC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  <w:t>Rozpočet na rok 2017</w:t>
            </w:r>
          </w:p>
        </w:tc>
      </w:tr>
      <w:tr w:rsidR="002E2047">
        <w:tc>
          <w:tcPr>
            <w:tcW w:w="238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both"/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  <w:t>Výdavky celkom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  <w:t>18 707,12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  <w:t>13 900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  <w:t>14 000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FFCC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b/>
                <w:bCs/>
                <w:sz w:val="28"/>
                <w:szCs w:val="28"/>
              </w:rPr>
              <w:t>14 000</w:t>
            </w:r>
          </w:p>
        </w:tc>
      </w:tr>
      <w:tr w:rsidR="002E2047">
        <w:tc>
          <w:tcPr>
            <w:tcW w:w="23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both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z toho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2E2047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2E2047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2E2047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2E2047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</w:p>
        </w:tc>
      </w:tr>
      <w:tr w:rsidR="002E2047">
        <w:tc>
          <w:tcPr>
            <w:tcW w:w="23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both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Bežné výdavky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18707,12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13 900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14 000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14 000</w:t>
            </w:r>
          </w:p>
        </w:tc>
      </w:tr>
      <w:tr w:rsidR="002E2047">
        <w:tc>
          <w:tcPr>
            <w:tcW w:w="23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both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Kapitálové výdavky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0</w:t>
            </w:r>
          </w:p>
        </w:tc>
      </w:tr>
      <w:tr w:rsidR="002E2047">
        <w:tc>
          <w:tcPr>
            <w:tcW w:w="23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both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Finančné výdavky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eastAsia="TT2271o00" w:hAnsi="Times New Roman" w:cs="Times New Roman"/>
                <w:sz w:val="28"/>
                <w:szCs w:val="28"/>
              </w:rPr>
            </w:pPr>
            <w:r>
              <w:rPr>
                <w:rFonts w:ascii="Times New Roman" w:eastAsia="TT2271o00" w:hAnsi="Times New Roman" w:cs="Times New Roman"/>
                <w:sz w:val="28"/>
                <w:szCs w:val="28"/>
              </w:rPr>
              <w:t>0</w:t>
            </w:r>
          </w:p>
        </w:tc>
      </w:tr>
    </w:tbl>
    <w:p w:rsidR="002E2047" w:rsidRDefault="002E2047">
      <w:pPr>
        <w:pStyle w:val="Standard"/>
      </w:pPr>
    </w:p>
    <w:p w:rsidR="002E2047" w:rsidRDefault="00113582">
      <w:pPr>
        <w:pStyle w:val="Standard"/>
        <w:rPr>
          <w:rFonts w:ascii="Times New Roman" w:hAnsi="Times New Roman"/>
          <w:b/>
          <w:bCs/>
          <w:sz w:val="30"/>
          <w:szCs w:val="30"/>
          <w:shd w:val="clear" w:color="auto" w:fill="FFCC00"/>
        </w:rPr>
      </w:pPr>
      <w:r>
        <w:rPr>
          <w:rFonts w:ascii="Times New Roman" w:hAnsi="Times New Roman"/>
          <w:b/>
          <w:bCs/>
          <w:sz w:val="30"/>
          <w:szCs w:val="30"/>
          <w:shd w:val="clear" w:color="auto" w:fill="FFCC00"/>
        </w:rPr>
        <w:t>6. Informácia o vývoji obce z pohľadu účtovníctva</w:t>
      </w:r>
    </w:p>
    <w:p w:rsidR="002E2047" w:rsidRDefault="007E2CBD">
      <w:pPr>
        <w:pStyle w:val="Standard"/>
        <w:rPr>
          <w:rFonts w:ascii="Times New Roman" w:hAnsi="Times New Roman"/>
          <w:b/>
          <w:bCs/>
          <w:sz w:val="28"/>
          <w:szCs w:val="28"/>
          <w:shd w:val="clear" w:color="auto" w:fill="FFFFFF"/>
        </w:rPr>
      </w:pPr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6</w:t>
      </w:r>
      <w:r w:rsidR="00113582"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.1 Majetok</w:t>
      </w:r>
    </w:p>
    <w:p w:rsidR="00113582" w:rsidRPr="00113582" w:rsidRDefault="00113582" w:rsidP="00113582">
      <w:pPr>
        <w:widowControl/>
        <w:suppressAutoHyphens w:val="0"/>
        <w:autoSpaceDN/>
        <w:spacing w:after="0" w:line="240" w:lineRule="auto"/>
        <w:textAlignment w:val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</w:rPr>
      </w:pPr>
      <w:r w:rsidRPr="00113582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</w:rPr>
        <w:t xml:space="preserve">  </w:t>
      </w:r>
      <w:r w:rsidRPr="0011358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</w:rPr>
        <w:t>A K T Í V A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113582" w:rsidRPr="00113582" w:rsidTr="00113582">
        <w:tc>
          <w:tcPr>
            <w:tcW w:w="3756" w:type="dxa"/>
            <w:shd w:val="clear" w:color="auto" w:fill="D9D9D9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ZS  k  1.1.2014  v EUR</w:t>
            </w:r>
          </w:p>
        </w:tc>
        <w:tc>
          <w:tcPr>
            <w:tcW w:w="2800" w:type="dxa"/>
            <w:shd w:val="clear" w:color="auto" w:fill="D9D9D9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KZ  k  31.12.2014 v EUR</w:t>
            </w:r>
          </w:p>
        </w:tc>
      </w:tr>
      <w:tr w:rsidR="00113582" w:rsidRPr="00113582" w:rsidTr="00113582">
        <w:tc>
          <w:tcPr>
            <w:tcW w:w="3756" w:type="dxa"/>
            <w:shd w:val="clear" w:color="auto" w:fill="C4BC96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127 078,98</w:t>
            </w:r>
          </w:p>
        </w:tc>
        <w:tc>
          <w:tcPr>
            <w:tcW w:w="2800" w:type="dxa"/>
            <w:shd w:val="clear" w:color="auto" w:fill="C4BC96"/>
          </w:tcPr>
          <w:p w:rsidR="00113582" w:rsidRPr="00113582" w:rsidRDefault="007E2CBD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125 800,19</w:t>
            </w: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b/>
                <w:kern w:val="0"/>
                <w:lang w:eastAsia="sk-SK"/>
              </w:rPr>
              <w:t>Neobežný majetok spolu</w:t>
            </w:r>
          </w:p>
        </w:tc>
        <w:tc>
          <w:tcPr>
            <w:tcW w:w="2870" w:type="dxa"/>
          </w:tcPr>
          <w:p w:rsidR="00113582" w:rsidRPr="007E2CBD" w:rsidRDefault="00A31D81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</w:pPr>
            <w:r w:rsidRPr="007E2CBD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124 838,63</w:t>
            </w:r>
          </w:p>
        </w:tc>
        <w:tc>
          <w:tcPr>
            <w:tcW w:w="2800" w:type="dxa"/>
          </w:tcPr>
          <w:p w:rsidR="00113582" w:rsidRPr="007E2CBD" w:rsidRDefault="00A31D81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</w:pPr>
            <w:r w:rsidRPr="007E2CBD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124 838,63</w:t>
            </w: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kern w:val="0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kern w:val="0"/>
                <w:lang w:eastAsia="sk-SK"/>
              </w:rPr>
              <w:t>Dlhodobý nehmotný majetok</w:t>
            </w:r>
          </w:p>
        </w:tc>
        <w:tc>
          <w:tcPr>
            <w:tcW w:w="287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kern w:val="0"/>
                <w:lang w:eastAsia="sk-SK"/>
              </w:rPr>
              <w:t>Dlhodobý hmotný majetok</w:t>
            </w:r>
          </w:p>
        </w:tc>
        <w:tc>
          <w:tcPr>
            <w:tcW w:w="2870" w:type="dxa"/>
          </w:tcPr>
          <w:p w:rsidR="00113582" w:rsidRPr="00113582" w:rsidRDefault="00A31D81" w:rsidP="001240E3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100 4</w:t>
            </w:r>
            <w:r w:rsidR="001240E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3,98</w:t>
            </w:r>
          </w:p>
        </w:tc>
        <w:tc>
          <w:tcPr>
            <w:tcW w:w="2800" w:type="dxa"/>
          </w:tcPr>
          <w:p w:rsidR="00113582" w:rsidRPr="00113582" w:rsidRDefault="00A31D81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100 443,98</w:t>
            </w: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kern w:val="0"/>
                <w:lang w:eastAsia="sk-SK"/>
              </w:rPr>
              <w:t>Dlhodobý finančný majetok</w:t>
            </w:r>
          </w:p>
        </w:tc>
        <w:tc>
          <w:tcPr>
            <w:tcW w:w="2870" w:type="dxa"/>
          </w:tcPr>
          <w:p w:rsidR="00113582" w:rsidRPr="00113582" w:rsidRDefault="00A31D81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24 394,65</w:t>
            </w:r>
          </w:p>
        </w:tc>
        <w:tc>
          <w:tcPr>
            <w:tcW w:w="2800" w:type="dxa"/>
          </w:tcPr>
          <w:p w:rsidR="00113582" w:rsidRPr="00113582" w:rsidRDefault="00A31D81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24 394,65</w:t>
            </w: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b/>
                <w:kern w:val="0"/>
                <w:lang w:eastAsia="sk-SK"/>
              </w:rPr>
              <w:t>Obežný majetok spolu</w:t>
            </w:r>
          </w:p>
        </w:tc>
        <w:tc>
          <w:tcPr>
            <w:tcW w:w="2870" w:type="dxa"/>
          </w:tcPr>
          <w:p w:rsidR="00113582" w:rsidRPr="007E2CBD" w:rsidRDefault="00A31D81" w:rsidP="00A31D81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</w:pPr>
            <w:r w:rsidRPr="007E2CBD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2 130,56</w:t>
            </w:r>
          </w:p>
        </w:tc>
        <w:tc>
          <w:tcPr>
            <w:tcW w:w="2800" w:type="dxa"/>
          </w:tcPr>
          <w:p w:rsidR="00113582" w:rsidRPr="007E2CBD" w:rsidRDefault="001B2B10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842,53</w:t>
            </w: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kern w:val="0"/>
                <w:lang w:eastAsia="sk-SK"/>
              </w:rPr>
              <w:lastRenderedPageBreak/>
              <w:t>z toho :</w:t>
            </w:r>
          </w:p>
        </w:tc>
        <w:tc>
          <w:tcPr>
            <w:tcW w:w="287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kern w:val="0"/>
                <w:lang w:eastAsia="sk-SK"/>
              </w:rPr>
              <w:t>Zásoby</w:t>
            </w:r>
          </w:p>
        </w:tc>
        <w:tc>
          <w:tcPr>
            <w:tcW w:w="287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kern w:val="0"/>
                <w:lang w:eastAsia="sk-SK"/>
              </w:rPr>
              <w:t>Zúčtovanie medzi subjektami VS</w:t>
            </w:r>
          </w:p>
        </w:tc>
        <w:tc>
          <w:tcPr>
            <w:tcW w:w="287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kern w:val="0"/>
                <w:lang w:eastAsia="sk-SK"/>
              </w:rPr>
              <w:t>Dlhodobé pohľadávky</w:t>
            </w:r>
          </w:p>
        </w:tc>
        <w:tc>
          <w:tcPr>
            <w:tcW w:w="287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kern w:val="0"/>
                <w:lang w:eastAsia="sk-SK"/>
              </w:rPr>
              <w:t xml:space="preserve">Krátkodobé pohľadávky </w:t>
            </w:r>
          </w:p>
        </w:tc>
        <w:tc>
          <w:tcPr>
            <w:tcW w:w="2870" w:type="dxa"/>
          </w:tcPr>
          <w:p w:rsidR="00113582" w:rsidRPr="00113582" w:rsidRDefault="00A31D81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1 133,03</w:t>
            </w:r>
          </w:p>
        </w:tc>
        <w:tc>
          <w:tcPr>
            <w:tcW w:w="2800" w:type="dxa"/>
          </w:tcPr>
          <w:p w:rsidR="00113582" w:rsidRPr="00113582" w:rsidRDefault="001B2B10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630,03</w:t>
            </w: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kern w:val="0"/>
                <w:lang w:eastAsia="sk-SK"/>
              </w:rPr>
              <w:t xml:space="preserve">Finančné účty </w:t>
            </w:r>
          </w:p>
        </w:tc>
        <w:tc>
          <w:tcPr>
            <w:tcW w:w="2870" w:type="dxa"/>
          </w:tcPr>
          <w:p w:rsidR="00113582" w:rsidRPr="00113582" w:rsidRDefault="00A31D81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997,53</w:t>
            </w:r>
          </w:p>
        </w:tc>
        <w:tc>
          <w:tcPr>
            <w:tcW w:w="2800" w:type="dxa"/>
          </w:tcPr>
          <w:p w:rsidR="00113582" w:rsidRPr="00113582" w:rsidRDefault="001B2B10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212,50</w:t>
            </w: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kern w:val="0"/>
                <w:lang w:eastAsia="sk-SK"/>
              </w:rPr>
              <w:t>Poskytnuté návratné fin. výpomoci dlh.</w:t>
            </w:r>
          </w:p>
        </w:tc>
        <w:tc>
          <w:tcPr>
            <w:tcW w:w="287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kern w:val="0"/>
                <w:lang w:eastAsia="sk-SK"/>
              </w:rPr>
              <w:t>Poskytnuté návratné fin. výpomoci krát.</w:t>
            </w:r>
          </w:p>
        </w:tc>
        <w:tc>
          <w:tcPr>
            <w:tcW w:w="287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b/>
                <w:kern w:val="0"/>
                <w:lang w:eastAsia="sk-SK"/>
              </w:rPr>
              <w:t xml:space="preserve">Časové rozlíšenie </w:t>
            </w:r>
          </w:p>
        </w:tc>
        <w:tc>
          <w:tcPr>
            <w:tcW w:w="2870" w:type="dxa"/>
          </w:tcPr>
          <w:p w:rsidR="00113582" w:rsidRPr="007E2CBD" w:rsidRDefault="007E2CBD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</w:pPr>
            <w:r w:rsidRPr="007E2CBD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109,79</w:t>
            </w:r>
          </w:p>
        </w:tc>
        <w:tc>
          <w:tcPr>
            <w:tcW w:w="2800" w:type="dxa"/>
          </w:tcPr>
          <w:p w:rsidR="00113582" w:rsidRPr="007E2CBD" w:rsidRDefault="001B2B10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119,03</w:t>
            </w:r>
          </w:p>
        </w:tc>
      </w:tr>
    </w:tbl>
    <w:p w:rsidR="00113582" w:rsidRDefault="00113582" w:rsidP="00113582">
      <w:pPr>
        <w:widowControl/>
        <w:suppressAutoHyphens w:val="0"/>
        <w:autoSpaceDN/>
        <w:spacing w:after="0" w:line="360" w:lineRule="auto"/>
        <w:jc w:val="both"/>
        <w:textAlignment w:val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</w:rPr>
      </w:pPr>
    </w:p>
    <w:p w:rsidR="00113582" w:rsidRPr="00113582" w:rsidRDefault="00113582" w:rsidP="00113582">
      <w:pPr>
        <w:widowControl/>
        <w:suppressAutoHyphens w:val="0"/>
        <w:autoSpaceDN/>
        <w:spacing w:after="0" w:line="240" w:lineRule="auto"/>
        <w:textAlignment w:val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</w:rPr>
      </w:pPr>
      <w:r w:rsidRPr="0011358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</w:rPr>
        <w:t xml:space="preserve">  P A S Í V A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113582" w:rsidRPr="00113582" w:rsidTr="00113582">
        <w:tc>
          <w:tcPr>
            <w:tcW w:w="3756" w:type="dxa"/>
            <w:shd w:val="clear" w:color="auto" w:fill="D9D9D9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ZS  k  1.1.2014 v</w:t>
            </w:r>
            <w:r w:rsidR="001240E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 </w:t>
            </w:r>
            <w:r w:rsidRPr="0011358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2800" w:type="dxa"/>
            <w:shd w:val="clear" w:color="auto" w:fill="D9D9D9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KZ  k  31.12.2014 v</w:t>
            </w:r>
            <w:r w:rsidR="001B2B10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 </w:t>
            </w:r>
            <w:r w:rsidRPr="0011358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EUR</w:t>
            </w:r>
          </w:p>
        </w:tc>
      </w:tr>
      <w:tr w:rsidR="00113582" w:rsidRPr="00113582" w:rsidTr="00113582">
        <w:tc>
          <w:tcPr>
            <w:tcW w:w="3756" w:type="dxa"/>
            <w:shd w:val="clear" w:color="auto" w:fill="C4BC96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113582" w:rsidRPr="007E2CBD" w:rsidRDefault="00A31D81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</w:pPr>
            <w:r w:rsidRPr="007E2CBD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127 078,98</w:t>
            </w:r>
          </w:p>
        </w:tc>
        <w:tc>
          <w:tcPr>
            <w:tcW w:w="2800" w:type="dxa"/>
            <w:shd w:val="clear" w:color="auto" w:fill="C4BC96"/>
          </w:tcPr>
          <w:p w:rsidR="00113582" w:rsidRPr="007E2CBD" w:rsidRDefault="001B2B10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125800,19</w:t>
            </w: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b/>
                <w:kern w:val="0"/>
                <w:lang w:eastAsia="sk-SK"/>
              </w:rPr>
              <w:t xml:space="preserve">Vlastné imanie </w:t>
            </w:r>
          </w:p>
        </w:tc>
        <w:tc>
          <w:tcPr>
            <w:tcW w:w="2870" w:type="dxa"/>
          </w:tcPr>
          <w:p w:rsidR="00113582" w:rsidRPr="007E2CBD" w:rsidRDefault="00A31D81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</w:pPr>
            <w:r w:rsidRPr="007E2CBD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119 319,73</w:t>
            </w:r>
          </w:p>
        </w:tc>
        <w:tc>
          <w:tcPr>
            <w:tcW w:w="2800" w:type="dxa"/>
          </w:tcPr>
          <w:p w:rsidR="00113582" w:rsidRPr="007E2CBD" w:rsidRDefault="001B2B10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120524,20</w:t>
            </w: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kern w:val="0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kern w:val="0"/>
                <w:lang w:eastAsia="sk-SK"/>
              </w:rPr>
              <w:t xml:space="preserve">Oceňovacie rozdiely </w:t>
            </w:r>
          </w:p>
        </w:tc>
        <w:tc>
          <w:tcPr>
            <w:tcW w:w="2870" w:type="dxa"/>
          </w:tcPr>
          <w:p w:rsidR="00113582" w:rsidRPr="00113582" w:rsidRDefault="00A31D81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-2,88</w:t>
            </w:r>
          </w:p>
        </w:tc>
        <w:tc>
          <w:tcPr>
            <w:tcW w:w="280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kern w:val="0"/>
                <w:lang w:eastAsia="sk-SK"/>
              </w:rPr>
              <w:t>Fondy</w:t>
            </w:r>
          </w:p>
        </w:tc>
        <w:tc>
          <w:tcPr>
            <w:tcW w:w="287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kern w:val="0"/>
                <w:lang w:eastAsia="sk-SK"/>
              </w:rPr>
              <w:t xml:space="preserve">Výsledok hospodárenia </w:t>
            </w:r>
          </w:p>
        </w:tc>
        <w:tc>
          <w:tcPr>
            <w:tcW w:w="2870" w:type="dxa"/>
          </w:tcPr>
          <w:p w:rsidR="00113582" w:rsidRPr="00113582" w:rsidRDefault="00A31D81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119 322,61</w:t>
            </w:r>
          </w:p>
        </w:tc>
        <w:tc>
          <w:tcPr>
            <w:tcW w:w="2800" w:type="dxa"/>
          </w:tcPr>
          <w:p w:rsidR="00113582" w:rsidRPr="00113582" w:rsidRDefault="001B2B10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120524,20</w:t>
            </w: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b/>
                <w:kern w:val="0"/>
                <w:lang w:eastAsia="sk-SK"/>
              </w:rPr>
              <w:t>Záväzky</w:t>
            </w:r>
          </w:p>
        </w:tc>
        <w:tc>
          <w:tcPr>
            <w:tcW w:w="2870" w:type="dxa"/>
          </w:tcPr>
          <w:p w:rsidR="00113582" w:rsidRPr="007E2CBD" w:rsidRDefault="00A31D81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</w:pPr>
            <w:r w:rsidRPr="007E2CBD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3 259,25</w:t>
            </w:r>
          </w:p>
        </w:tc>
        <w:tc>
          <w:tcPr>
            <w:tcW w:w="2800" w:type="dxa"/>
          </w:tcPr>
          <w:p w:rsidR="00113582" w:rsidRPr="007E2CBD" w:rsidRDefault="001B2B10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1 967,29</w:t>
            </w: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kern w:val="0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kern w:val="0"/>
                <w:lang w:eastAsia="sk-SK"/>
              </w:rPr>
              <w:t xml:space="preserve">Rezervy </w:t>
            </w:r>
          </w:p>
        </w:tc>
        <w:tc>
          <w:tcPr>
            <w:tcW w:w="287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</w:tr>
      <w:tr w:rsidR="00113582" w:rsidRPr="00113582" w:rsidTr="00113582">
        <w:trPr>
          <w:trHeight w:val="452"/>
        </w:trPr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kern w:val="0"/>
                <w:lang w:eastAsia="sk-SK"/>
              </w:rPr>
              <w:t>Zúčtovanie medzi subjektami VS</w:t>
            </w:r>
          </w:p>
        </w:tc>
        <w:tc>
          <w:tcPr>
            <w:tcW w:w="287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kern w:val="0"/>
                <w:lang w:eastAsia="sk-SK"/>
              </w:rPr>
              <w:t>Dlhodobé záväzky</w:t>
            </w:r>
          </w:p>
        </w:tc>
        <w:tc>
          <w:tcPr>
            <w:tcW w:w="287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kern w:val="0"/>
                <w:lang w:eastAsia="sk-SK"/>
              </w:rPr>
              <w:t>Krátkodobé záväzky</w:t>
            </w:r>
          </w:p>
        </w:tc>
        <w:tc>
          <w:tcPr>
            <w:tcW w:w="2870" w:type="dxa"/>
          </w:tcPr>
          <w:p w:rsidR="00113582" w:rsidRPr="00113582" w:rsidRDefault="00A31D81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3 259,25</w:t>
            </w:r>
          </w:p>
        </w:tc>
        <w:tc>
          <w:tcPr>
            <w:tcW w:w="2800" w:type="dxa"/>
          </w:tcPr>
          <w:p w:rsidR="00113582" w:rsidRPr="00113582" w:rsidRDefault="001B2B10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1 967,29</w:t>
            </w: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kern w:val="0"/>
                <w:lang w:eastAsia="sk-SK"/>
              </w:rPr>
              <w:t>Bankové úvery a výpomoci</w:t>
            </w:r>
          </w:p>
        </w:tc>
        <w:tc>
          <w:tcPr>
            <w:tcW w:w="287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</w:tr>
      <w:tr w:rsidR="00113582" w:rsidRPr="00113582" w:rsidTr="00113582">
        <w:tc>
          <w:tcPr>
            <w:tcW w:w="3756" w:type="dxa"/>
          </w:tcPr>
          <w:p w:rsidR="00113582" w:rsidRPr="00113582" w:rsidRDefault="00113582" w:rsidP="00113582">
            <w:pPr>
              <w:widowControl/>
              <w:suppressAutoHyphens w:val="0"/>
              <w:autoSpaceDN/>
              <w:spacing w:after="0" w:line="360" w:lineRule="auto"/>
              <w:jc w:val="both"/>
              <w:textAlignment w:val="auto"/>
              <w:rPr>
                <w:rFonts w:ascii="Times New Roman" w:eastAsia="Times New Roman" w:hAnsi="Times New Roman" w:cs="Times New Roman"/>
                <w:kern w:val="0"/>
                <w:lang w:eastAsia="sk-SK"/>
              </w:rPr>
            </w:pPr>
            <w:r w:rsidRPr="00113582">
              <w:rPr>
                <w:rFonts w:ascii="Times New Roman" w:eastAsia="Times New Roman" w:hAnsi="Times New Roman" w:cs="Times New Roman"/>
                <w:b/>
                <w:kern w:val="0"/>
                <w:lang w:eastAsia="sk-SK"/>
              </w:rPr>
              <w:t>Časové rozlíšenie</w:t>
            </w:r>
          </w:p>
        </w:tc>
        <w:tc>
          <w:tcPr>
            <w:tcW w:w="2870" w:type="dxa"/>
          </w:tcPr>
          <w:p w:rsidR="00113582" w:rsidRPr="007E2CBD" w:rsidRDefault="00A31D81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</w:pPr>
            <w:r w:rsidRPr="007E2CBD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4 500</w:t>
            </w:r>
          </w:p>
        </w:tc>
        <w:tc>
          <w:tcPr>
            <w:tcW w:w="2800" w:type="dxa"/>
          </w:tcPr>
          <w:p w:rsidR="00113582" w:rsidRPr="007E2CBD" w:rsidRDefault="00A31D81" w:rsidP="00113582">
            <w:pPr>
              <w:widowControl/>
              <w:suppressAutoHyphens w:val="0"/>
              <w:autoSpaceDN/>
              <w:spacing w:after="0" w:line="360" w:lineRule="auto"/>
              <w:jc w:val="right"/>
              <w:textAlignment w:val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</w:pPr>
            <w:r w:rsidRPr="007E2CBD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</w:rPr>
              <w:t>3 308,7</w:t>
            </w:r>
          </w:p>
        </w:tc>
      </w:tr>
    </w:tbl>
    <w:p w:rsidR="00113582" w:rsidRPr="00113582" w:rsidRDefault="00113582" w:rsidP="00113582">
      <w:pPr>
        <w:widowControl/>
        <w:suppressAutoHyphens w:val="0"/>
        <w:autoSpaceDN/>
        <w:spacing w:after="0" w:line="240" w:lineRule="auto"/>
        <w:textAlignment w:val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</w:rPr>
      </w:pPr>
    </w:p>
    <w:p w:rsidR="00113582" w:rsidRPr="00113582" w:rsidRDefault="00113582" w:rsidP="00113582">
      <w:pPr>
        <w:widowControl/>
        <w:suppressAutoHyphens w:val="0"/>
        <w:autoSpaceDN/>
        <w:spacing w:after="0" w:line="240" w:lineRule="auto"/>
        <w:textAlignment w:val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</w:rPr>
      </w:pPr>
    </w:p>
    <w:p w:rsidR="00113582" w:rsidRPr="00113582" w:rsidRDefault="00113582" w:rsidP="00113582">
      <w:pPr>
        <w:widowControl/>
        <w:tabs>
          <w:tab w:val="left" w:pos="2880"/>
          <w:tab w:val="right" w:pos="8820"/>
        </w:tabs>
        <w:suppressAutoHyphens w:val="0"/>
        <w:autoSpaceDN/>
        <w:spacing w:after="0" w:line="240" w:lineRule="auto"/>
        <w:jc w:val="both"/>
        <w:textAlignment w:val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</w:rPr>
      </w:pPr>
    </w:p>
    <w:p w:rsidR="00113582" w:rsidRDefault="00113582">
      <w:pPr>
        <w:pStyle w:val="Standard"/>
        <w:rPr>
          <w:rFonts w:ascii="Times New Roman" w:hAnsi="Times New Roman"/>
          <w:b/>
          <w:bCs/>
          <w:sz w:val="28"/>
          <w:szCs w:val="28"/>
          <w:shd w:val="clear" w:color="auto" w:fill="FFFFFF"/>
        </w:rPr>
      </w:pPr>
    </w:p>
    <w:p w:rsidR="002E2047" w:rsidRDefault="00113582">
      <w:pPr>
        <w:pStyle w:val="Standard"/>
        <w:rPr>
          <w:rFonts w:ascii="Times New Roman" w:hAnsi="Times New Roman"/>
          <w:b/>
          <w:bCs/>
          <w:sz w:val="28"/>
          <w:szCs w:val="28"/>
          <w:shd w:val="clear" w:color="auto" w:fill="FFFFFF"/>
        </w:rPr>
      </w:pPr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6.3 Pohľadávky</w:t>
      </w:r>
    </w:p>
    <w:tbl>
      <w:tblPr>
        <w:tblW w:w="907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55"/>
        <w:gridCol w:w="2160"/>
        <w:gridCol w:w="2160"/>
      </w:tblGrid>
      <w:tr w:rsidR="002E2047">
        <w:tc>
          <w:tcPr>
            <w:tcW w:w="4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Pohľadávky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Zostatok k 31.12.2013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Zostatok k 31.12.2014</w:t>
            </w:r>
          </w:p>
        </w:tc>
      </w:tr>
      <w:tr w:rsidR="002E2047">
        <w:tc>
          <w:tcPr>
            <w:tcW w:w="475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Pohľadávky do lehoty splatnosti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7E2CBD">
            <w:pPr>
              <w:pStyle w:val="TableContents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1 133,03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7E2CBD">
            <w:pPr>
              <w:pStyle w:val="TableContents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630,03</w:t>
            </w:r>
          </w:p>
        </w:tc>
      </w:tr>
      <w:tr w:rsidR="002E2047">
        <w:tc>
          <w:tcPr>
            <w:tcW w:w="475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>Pohľadávky po lehote splatnosti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2E2047">
            <w:pPr>
              <w:pStyle w:val="TableContents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2E2047">
            <w:pPr>
              <w:pStyle w:val="TableContents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2E2047" w:rsidRDefault="002E2047">
      <w:pPr>
        <w:pStyle w:val="Standard"/>
        <w:rPr>
          <w:rFonts w:ascii="Times New Roman" w:hAnsi="Times New Roman"/>
          <w:b/>
          <w:bCs/>
          <w:sz w:val="28"/>
          <w:szCs w:val="28"/>
          <w:shd w:val="clear" w:color="auto" w:fill="FFFFFF"/>
        </w:rPr>
      </w:pPr>
    </w:p>
    <w:p w:rsidR="002E2047" w:rsidRDefault="002E2047">
      <w:pPr>
        <w:pStyle w:val="Standard"/>
        <w:rPr>
          <w:rFonts w:ascii="Times New Roman" w:hAnsi="Times New Roman"/>
          <w:b/>
          <w:bCs/>
          <w:sz w:val="28"/>
          <w:szCs w:val="28"/>
          <w:shd w:val="clear" w:color="auto" w:fill="FFFFFF"/>
        </w:rPr>
      </w:pPr>
    </w:p>
    <w:p w:rsidR="002E2047" w:rsidRDefault="00113582">
      <w:pPr>
        <w:pStyle w:val="Standard"/>
        <w:rPr>
          <w:rFonts w:ascii="Times New Roman" w:hAnsi="Times New Roman"/>
          <w:b/>
          <w:bCs/>
          <w:sz w:val="28"/>
          <w:szCs w:val="28"/>
          <w:shd w:val="clear" w:color="auto" w:fill="FFFFFF"/>
        </w:rPr>
      </w:pPr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6.4 Záväzky</w:t>
      </w:r>
    </w:p>
    <w:tbl>
      <w:tblPr>
        <w:tblW w:w="907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55"/>
        <w:gridCol w:w="2160"/>
        <w:gridCol w:w="2160"/>
      </w:tblGrid>
      <w:tr w:rsidR="002E2047">
        <w:tc>
          <w:tcPr>
            <w:tcW w:w="4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Záväzky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Zostatok k 31.12.2013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Zostatok k 31.12.2014</w:t>
            </w:r>
          </w:p>
        </w:tc>
      </w:tr>
      <w:tr w:rsidR="002E2047">
        <w:tc>
          <w:tcPr>
            <w:tcW w:w="475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Záväzky do lehoty splatnosti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7E2CBD">
            <w:pPr>
              <w:pStyle w:val="TableContents"/>
              <w:spacing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3 259,25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7E2CBD">
            <w:pPr>
              <w:pStyle w:val="TableContents"/>
              <w:spacing w:after="0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1 967,29</w:t>
            </w:r>
          </w:p>
        </w:tc>
      </w:tr>
      <w:tr w:rsidR="002E2047">
        <w:tc>
          <w:tcPr>
            <w:tcW w:w="475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Záväzky po lehote splatnosti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7E2CBD">
            <w:pPr>
              <w:pStyle w:val="TableContents"/>
              <w:spacing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2 379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7E2CBD">
            <w:pPr>
              <w:pStyle w:val="TableContents"/>
              <w:spacing w:after="0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927,07</w:t>
            </w:r>
          </w:p>
        </w:tc>
      </w:tr>
    </w:tbl>
    <w:p w:rsidR="002E2047" w:rsidRDefault="002E2047">
      <w:pPr>
        <w:pStyle w:val="Standard"/>
      </w:pPr>
    </w:p>
    <w:p w:rsidR="002E2047" w:rsidRDefault="00113582">
      <w:pPr>
        <w:pStyle w:val="Standard"/>
        <w:rPr>
          <w:rFonts w:ascii="Times New Roman" w:hAnsi="Times New Roman"/>
          <w:b/>
          <w:bCs/>
          <w:sz w:val="30"/>
          <w:szCs w:val="30"/>
        </w:rPr>
      </w:pPr>
      <w:r>
        <w:rPr>
          <w:rFonts w:ascii="Times New Roman" w:hAnsi="Times New Roman"/>
          <w:b/>
          <w:bCs/>
          <w:sz w:val="30"/>
          <w:szCs w:val="30"/>
        </w:rPr>
        <w:t>7. Hospodársky výsledok za rok 2014</w:t>
      </w:r>
    </w:p>
    <w:tbl>
      <w:tblPr>
        <w:tblW w:w="77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84"/>
        <w:gridCol w:w="2126"/>
      </w:tblGrid>
      <w:tr w:rsidR="007E2CBD" w:rsidTr="007E2CBD">
        <w:tc>
          <w:tcPr>
            <w:tcW w:w="5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jc w:val="center"/>
              <w:rPr>
                <w:rFonts w:ascii="Times New Roman" w:hAnsi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Názo</w:t>
            </w:r>
            <w:r>
              <w:rPr>
                <w:rFonts w:ascii="Times New Roman" w:hAnsi="Times New Roman"/>
                <w:b/>
                <w:bCs/>
                <w:sz w:val="30"/>
                <w:szCs w:val="30"/>
              </w:rPr>
              <w:t>v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Skutočnosť k 31.12.2014</w:t>
            </w:r>
          </w:p>
        </w:tc>
      </w:tr>
      <w:tr w:rsidR="007E2CBD" w:rsidTr="007E2CBD"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rPr>
                <w:rFonts w:ascii="Times New Roman" w:hAnsi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/>
                <w:b/>
                <w:bCs/>
                <w:sz w:val="30"/>
                <w:szCs w:val="30"/>
              </w:rPr>
              <w:t>Náklady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jc w:val="right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17 581,71</w:t>
            </w:r>
          </w:p>
        </w:tc>
      </w:tr>
      <w:tr w:rsidR="007E2CBD" w:rsidTr="007E2CBD"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50 – Spotrebované nákupy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jc w:val="right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3 070,85</w:t>
            </w:r>
          </w:p>
        </w:tc>
      </w:tr>
      <w:tr w:rsidR="007E2CBD" w:rsidTr="007E2CBD"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51 – Služby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jc w:val="right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5 366,79</w:t>
            </w:r>
          </w:p>
        </w:tc>
      </w:tr>
      <w:tr w:rsidR="007E2CBD" w:rsidTr="007E2CBD"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52 – Osobné náklady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jc w:val="right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8 770,07</w:t>
            </w:r>
          </w:p>
        </w:tc>
      </w:tr>
      <w:tr w:rsidR="007E2CBD" w:rsidTr="007E2CBD"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54 – Ostatné náklady na prevádzkovú činnosť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jc w:val="right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33,60</w:t>
            </w:r>
          </w:p>
        </w:tc>
      </w:tr>
      <w:tr w:rsidR="007E2CBD" w:rsidTr="007E2CBD"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56 – Finančné náklady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jc w:val="right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273,60</w:t>
            </w:r>
          </w:p>
        </w:tc>
      </w:tr>
      <w:tr w:rsidR="007E2CBD" w:rsidTr="007E2CBD"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58 – Náklady na transfery a náklady z odvodov príjmov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jc w:val="right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68,60</w:t>
            </w:r>
          </w:p>
        </w:tc>
      </w:tr>
      <w:tr w:rsidR="007E2CBD" w:rsidTr="007E2CBD"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Výnosy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jc w:val="right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17 538,32</w:t>
            </w:r>
          </w:p>
        </w:tc>
      </w:tr>
      <w:tr w:rsidR="007E2CBD" w:rsidTr="007E2CBD"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60 – Tržby za vlastné výkony a tovar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jc w:val="right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169,00</w:t>
            </w:r>
          </w:p>
          <w:p w:rsidR="007E2CBD" w:rsidRDefault="007E2CBD">
            <w:pPr>
              <w:pStyle w:val="TableContents"/>
              <w:spacing w:after="0"/>
              <w:jc w:val="right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7E2CBD" w:rsidTr="007E2CBD"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63 – Daňové a colné výnosy a výnosy z poplatkov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jc w:val="right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14 991,81</w:t>
            </w:r>
          </w:p>
        </w:tc>
      </w:tr>
      <w:tr w:rsidR="007E2CBD" w:rsidTr="007E2CBD"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69 – Výnosy z transferov a rozpočtových príjmov v obciach, VÚC a v RO a PO zriadených obcou alebo VÚC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jc w:val="right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2 377,51</w:t>
            </w:r>
          </w:p>
        </w:tc>
      </w:tr>
      <w:tr w:rsidR="007E2CBD" w:rsidTr="007E2CBD"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7E2CBD">
            <w:pPr>
              <w:pStyle w:val="TableContents"/>
              <w:spacing w:after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Hospodársky výsledok          / + kladný HV, - záporný HV/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E2CBD" w:rsidRDefault="00045E12">
            <w:pPr>
              <w:pStyle w:val="TableContents"/>
              <w:spacing w:after="0"/>
              <w:jc w:val="right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-45,19</w:t>
            </w:r>
          </w:p>
        </w:tc>
      </w:tr>
    </w:tbl>
    <w:p w:rsidR="00045E12" w:rsidRDefault="00045E12">
      <w:pPr>
        <w:pStyle w:val="Standard"/>
        <w:rPr>
          <w:rFonts w:ascii="Times New Roman" w:hAnsi="Times New Roman"/>
          <w:b/>
          <w:bCs/>
          <w:sz w:val="30"/>
          <w:szCs w:val="30"/>
        </w:rPr>
      </w:pPr>
    </w:p>
    <w:p w:rsidR="00045E12" w:rsidRDefault="00045E12">
      <w:pPr>
        <w:pStyle w:val="Standard"/>
        <w:rPr>
          <w:rFonts w:ascii="Times New Roman" w:hAnsi="Times New Roman"/>
          <w:b/>
          <w:bCs/>
          <w:sz w:val="30"/>
          <w:szCs w:val="30"/>
        </w:rPr>
      </w:pPr>
    </w:p>
    <w:p w:rsidR="002E2047" w:rsidRDefault="00113582">
      <w:pPr>
        <w:pStyle w:val="Standard"/>
        <w:rPr>
          <w:rFonts w:ascii="Times New Roman" w:hAnsi="Times New Roman"/>
          <w:b/>
          <w:bCs/>
          <w:sz w:val="30"/>
          <w:szCs w:val="30"/>
        </w:rPr>
      </w:pPr>
      <w:r>
        <w:rPr>
          <w:rFonts w:ascii="Times New Roman" w:hAnsi="Times New Roman"/>
          <w:b/>
          <w:bCs/>
          <w:sz w:val="30"/>
          <w:szCs w:val="30"/>
        </w:rPr>
        <w:lastRenderedPageBreak/>
        <w:t>8. Ostatné dôležité informácie</w:t>
      </w:r>
    </w:p>
    <w:p w:rsidR="002E2047" w:rsidRDefault="00113582">
      <w:pPr>
        <w:pStyle w:val="Standard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8.1 Prijaté granty a transfery</w:t>
      </w:r>
    </w:p>
    <w:tbl>
      <w:tblPr>
        <w:tblW w:w="907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70"/>
        <w:gridCol w:w="4605"/>
        <w:gridCol w:w="2700"/>
      </w:tblGrid>
      <w:tr w:rsidR="002E2047"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Poskytovateľ</w:t>
            </w:r>
          </w:p>
        </w:tc>
        <w:tc>
          <w:tcPr>
            <w:tcW w:w="4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Účelové určenie grantov a transferov</w:t>
            </w:r>
          </w:p>
        </w:tc>
        <w:tc>
          <w:tcPr>
            <w:tcW w:w="2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Suma prijatých prostriedkov v EUR</w:t>
            </w:r>
          </w:p>
        </w:tc>
      </w:tr>
      <w:tr w:rsidR="002E2047">
        <w:tc>
          <w:tcPr>
            <w:tcW w:w="177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MV SR</w:t>
            </w:r>
          </w:p>
        </w:tc>
        <w:tc>
          <w:tcPr>
            <w:tcW w:w="46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Voľby prezidenta, Voľby poslancov so EP, Komunálne voľby</w:t>
            </w:r>
          </w:p>
        </w:tc>
        <w:tc>
          <w:tcPr>
            <w:tcW w:w="270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2E2047" w:rsidRDefault="00113582">
            <w:pPr>
              <w:pStyle w:val="TableContents"/>
              <w:spacing w:after="0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045E12">
              <w:rPr>
                <w:rFonts w:ascii="Times New Roman" w:hAnsi="Times New Roman"/>
                <w:sz w:val="28"/>
                <w:szCs w:val="28"/>
              </w:rPr>
              <w:t>34</w:t>
            </w:r>
            <w:r>
              <w:rPr>
                <w:rFonts w:ascii="Times New Roman" w:hAnsi="Times New Roman"/>
                <w:sz w:val="28"/>
                <w:szCs w:val="28"/>
              </w:rPr>
              <w:t>9,13</w:t>
            </w:r>
          </w:p>
          <w:p w:rsidR="002E2047" w:rsidRDefault="002E2047">
            <w:pPr>
              <w:pStyle w:val="TableContents"/>
              <w:spacing w:after="0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2E2047">
        <w:tc>
          <w:tcPr>
            <w:tcW w:w="177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MV SR</w:t>
            </w:r>
          </w:p>
        </w:tc>
        <w:tc>
          <w:tcPr>
            <w:tcW w:w="46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2047" w:rsidRDefault="00113582">
            <w:pPr>
              <w:pStyle w:val="TableContents"/>
              <w:spacing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REGOB</w:t>
            </w:r>
          </w:p>
        </w:tc>
        <w:tc>
          <w:tcPr>
            <w:tcW w:w="270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2E2047" w:rsidRDefault="00113582">
            <w:pPr>
              <w:pStyle w:val="TableContents"/>
              <w:spacing w:after="0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28,38</w:t>
            </w:r>
          </w:p>
        </w:tc>
      </w:tr>
    </w:tbl>
    <w:p w:rsidR="002E2047" w:rsidRDefault="002E2047">
      <w:pPr>
        <w:pStyle w:val="Standard"/>
        <w:rPr>
          <w:rFonts w:ascii="Times New Roman" w:hAnsi="Times New Roman"/>
          <w:b/>
          <w:bCs/>
          <w:sz w:val="28"/>
          <w:szCs w:val="28"/>
        </w:rPr>
      </w:pPr>
    </w:p>
    <w:p w:rsidR="002E2047" w:rsidRDefault="00113582">
      <w:pPr>
        <w:pStyle w:val="Standard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8.2 Udalosti osobitného významu po skončení účtovného obdobia</w:t>
      </w:r>
    </w:p>
    <w:p w:rsidR="002E2047" w:rsidRDefault="00113582">
      <w:pPr>
        <w:pStyle w:val="Standard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Obec nezaznamenala žiadnu udalosť osobitného významu po skončení účtovného obdobia.</w:t>
      </w:r>
    </w:p>
    <w:p w:rsidR="002E2047" w:rsidRDefault="00113582">
      <w:pPr>
        <w:pStyle w:val="Standard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8.3 Významné riziká a neistoty, ktorým je účtovná jednotka vystavená</w:t>
      </w:r>
    </w:p>
    <w:p w:rsidR="002E2047" w:rsidRDefault="00113582">
      <w:pPr>
        <w:pStyle w:val="Standard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Obec nevedie žiadny súdny spor.</w:t>
      </w:r>
    </w:p>
    <w:p w:rsidR="002E2047" w:rsidRDefault="002E2047">
      <w:pPr>
        <w:pStyle w:val="Standard"/>
        <w:rPr>
          <w:rFonts w:ascii="Times New Roman" w:hAnsi="Times New Roman"/>
          <w:sz w:val="28"/>
          <w:szCs w:val="28"/>
        </w:rPr>
      </w:pPr>
    </w:p>
    <w:p w:rsidR="002E2047" w:rsidRDefault="00113582">
      <w:pPr>
        <w:pStyle w:val="Standard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Vypracoval: Ing. Mária Ropeková, Janka Balážiková</w:t>
      </w:r>
    </w:p>
    <w:p w:rsidR="002E2047" w:rsidRDefault="00113582">
      <w:pPr>
        <w:pStyle w:val="Standard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</w:p>
    <w:p w:rsidR="002E2047" w:rsidRDefault="00113582">
      <w:pPr>
        <w:pStyle w:val="Standard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Schválil: Milan Čipka</w:t>
      </w:r>
    </w:p>
    <w:p w:rsidR="002E2047" w:rsidRDefault="002E2047">
      <w:pPr>
        <w:pStyle w:val="Standard"/>
        <w:rPr>
          <w:rFonts w:ascii="Times New Roman" w:hAnsi="Times New Roman"/>
          <w:sz w:val="28"/>
          <w:szCs w:val="28"/>
        </w:rPr>
      </w:pPr>
    </w:p>
    <w:p w:rsidR="002E2047" w:rsidRDefault="002E2047">
      <w:pPr>
        <w:pStyle w:val="Standard"/>
        <w:rPr>
          <w:rFonts w:ascii="Times New Roman" w:hAnsi="Times New Roman"/>
          <w:sz w:val="28"/>
          <w:szCs w:val="28"/>
        </w:rPr>
      </w:pPr>
    </w:p>
    <w:p w:rsidR="002E2047" w:rsidRDefault="00113582">
      <w:pPr>
        <w:pStyle w:val="Standard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V Prihradzanoch, dňa</w:t>
      </w:r>
    </w:p>
    <w:p w:rsidR="002E2047" w:rsidRDefault="002E2047">
      <w:pPr>
        <w:pStyle w:val="Standard"/>
        <w:rPr>
          <w:rFonts w:ascii="Times New Roman" w:hAnsi="Times New Roman"/>
          <w:sz w:val="28"/>
          <w:szCs w:val="28"/>
        </w:rPr>
      </w:pPr>
    </w:p>
    <w:p w:rsidR="002E2047" w:rsidRDefault="002E2047">
      <w:pPr>
        <w:pStyle w:val="Standard"/>
        <w:rPr>
          <w:rFonts w:ascii="Times New Roman" w:hAnsi="Times New Roman"/>
          <w:sz w:val="28"/>
          <w:szCs w:val="28"/>
        </w:rPr>
      </w:pPr>
    </w:p>
    <w:p w:rsidR="002E2047" w:rsidRDefault="00113582">
      <w:pPr>
        <w:pStyle w:val="Default"/>
        <w:spacing w:after="0"/>
        <w:rPr>
          <w:sz w:val="28"/>
          <w:szCs w:val="28"/>
        </w:rPr>
      </w:pPr>
      <w:r>
        <w:rPr>
          <w:sz w:val="28"/>
          <w:szCs w:val="28"/>
        </w:rPr>
        <w:t>Prílohy:</w:t>
      </w:r>
    </w:p>
    <w:p w:rsidR="002E2047" w:rsidRDefault="00113582">
      <w:pPr>
        <w:pStyle w:val="Default"/>
        <w:spacing w:after="0"/>
        <w:rPr>
          <w:sz w:val="28"/>
          <w:szCs w:val="28"/>
        </w:rPr>
      </w:pPr>
      <w:r>
        <w:rPr>
          <w:sz w:val="28"/>
          <w:szCs w:val="28"/>
        </w:rPr>
        <w:t>1. Záverečný účet obce</w:t>
      </w:r>
    </w:p>
    <w:p w:rsidR="002E2047" w:rsidRDefault="002E2047">
      <w:pPr>
        <w:pStyle w:val="Default"/>
        <w:spacing w:after="0"/>
        <w:rPr>
          <w:sz w:val="28"/>
          <w:szCs w:val="28"/>
        </w:rPr>
      </w:pPr>
    </w:p>
    <w:p w:rsidR="002E2047" w:rsidRDefault="00113582">
      <w:pPr>
        <w:pStyle w:val="Default"/>
        <w:spacing w:after="0"/>
        <w:rPr>
          <w:sz w:val="28"/>
          <w:szCs w:val="28"/>
        </w:rPr>
      </w:pPr>
      <w:r>
        <w:rPr>
          <w:sz w:val="28"/>
          <w:szCs w:val="28"/>
        </w:rPr>
        <w:t>Výkazy FIN 1 – 12* Finančný výkaz o plnení rozpočtu a o nerozpočtovaných</w:t>
      </w:r>
    </w:p>
    <w:p w:rsidR="002E2047" w:rsidRDefault="00113582">
      <w:pPr>
        <w:pStyle w:val="Default"/>
        <w:spacing w:after="0"/>
        <w:rPr>
          <w:sz w:val="28"/>
          <w:szCs w:val="28"/>
        </w:rPr>
      </w:pPr>
      <w:r>
        <w:rPr>
          <w:sz w:val="28"/>
          <w:szCs w:val="28"/>
        </w:rPr>
        <w:t>pohyboch na účtoch subjektu verejnej správy</w:t>
      </w:r>
    </w:p>
    <w:p w:rsidR="002E2047" w:rsidRDefault="00113582">
      <w:pPr>
        <w:pStyle w:val="Default"/>
        <w:spacing w:after="0"/>
        <w:rPr>
          <w:sz w:val="28"/>
          <w:szCs w:val="28"/>
        </w:rPr>
      </w:pPr>
      <w:r>
        <w:rPr>
          <w:sz w:val="28"/>
          <w:szCs w:val="28"/>
        </w:rPr>
        <w:t>FIN 5 – 04 Finančný výkaz o úveroch, emitovaných dlhopisoch, zmenkách</w:t>
      </w:r>
    </w:p>
    <w:p w:rsidR="002E2047" w:rsidRDefault="00113582">
      <w:pPr>
        <w:pStyle w:val="Default"/>
        <w:spacing w:after="0"/>
        <w:rPr>
          <w:sz w:val="28"/>
          <w:szCs w:val="28"/>
        </w:rPr>
      </w:pPr>
      <w:r>
        <w:rPr>
          <w:sz w:val="28"/>
          <w:szCs w:val="28"/>
        </w:rPr>
        <w:t>a finančnom prenájme subjektu verejnej správy</w:t>
      </w:r>
    </w:p>
    <w:p w:rsidR="002E2047" w:rsidRDefault="00113582">
      <w:pPr>
        <w:pStyle w:val="Default"/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FIN 6 – 04 Finančný výkaz o stave bankových účtoch a záväzkov obcí,</w:t>
      </w:r>
    </w:p>
    <w:p w:rsidR="002E2047" w:rsidRDefault="00113582">
      <w:pPr>
        <w:pStyle w:val="Default"/>
        <w:spacing w:after="0"/>
        <w:rPr>
          <w:sz w:val="28"/>
          <w:szCs w:val="28"/>
        </w:rPr>
      </w:pPr>
      <w:r>
        <w:rPr>
          <w:sz w:val="28"/>
          <w:szCs w:val="28"/>
        </w:rPr>
        <w:t>vyšších územných celkov a nimi zriadených rozpočtových organizácií</w:t>
      </w:r>
    </w:p>
    <w:sectPr w:rsidR="002E2047">
      <w:footerReference w:type="default" r:id="rId10"/>
      <w:pgSz w:w="11906" w:h="16838"/>
      <w:pgMar w:top="1134" w:right="1418" w:bottom="1418" w:left="1418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2C28" w:rsidRDefault="00F52C28">
      <w:pPr>
        <w:spacing w:after="0" w:line="240" w:lineRule="auto"/>
      </w:pPr>
      <w:r>
        <w:separator/>
      </w:r>
    </w:p>
  </w:endnote>
  <w:endnote w:type="continuationSeparator" w:id="0">
    <w:p w:rsidR="00F52C28" w:rsidRDefault="00F52C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OpenSymbol">
    <w:altName w:val="Times New Roman"/>
    <w:charset w:val="00"/>
    <w:family w:val="auto"/>
    <w:pitch w:val="default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T2271o00"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3582" w:rsidRDefault="00113582">
    <w:pPr>
      <w:pStyle w:val="Footer"/>
    </w:pPr>
    <w:r>
      <w:fldChar w:fldCharType="begin"/>
    </w:r>
    <w:r>
      <w:instrText xml:space="preserve"> PAGE </w:instrText>
    </w:r>
    <w:r>
      <w:fldChar w:fldCharType="separate"/>
    </w:r>
    <w:r w:rsidR="00045E12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2C28" w:rsidRDefault="00F52C28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F52C28" w:rsidRDefault="00F52C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A57027"/>
    <w:multiLevelType w:val="multilevel"/>
    <w:tmpl w:val="CE0066B8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1">
    <w:nsid w:val="2E56642A"/>
    <w:multiLevelType w:val="multilevel"/>
    <w:tmpl w:val="CC00915A"/>
    <w:styleLink w:val="RTFNum2"/>
    <w:lvl w:ilvl="0">
      <w:start w:val="1"/>
      <w:numFmt w:val="none"/>
      <w:lvlText w:val="%1"/>
      <w:lvlJc w:val="left"/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32BE7304"/>
    <w:multiLevelType w:val="multilevel"/>
    <w:tmpl w:val="3C723526"/>
    <w:styleLink w:val="WWNum1"/>
    <w:lvl w:ilvl="0">
      <w:numFmt w:val="bullet"/>
      <w:lvlText w:val="-"/>
      <w:lvlJc w:val="left"/>
      <w:rPr>
        <w:rFonts w:ascii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2E2047"/>
    <w:rsid w:val="00045E12"/>
    <w:rsid w:val="00113582"/>
    <w:rsid w:val="001240E3"/>
    <w:rsid w:val="001B2B10"/>
    <w:rsid w:val="00276567"/>
    <w:rsid w:val="002E2047"/>
    <w:rsid w:val="003A3DF7"/>
    <w:rsid w:val="007E2CBD"/>
    <w:rsid w:val="00A31D81"/>
    <w:rsid w:val="00F52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SimSun" w:hAnsi="Calibri" w:cs="Tahoma"/>
        <w:kern w:val="3"/>
        <w:sz w:val="22"/>
        <w:szCs w:val="22"/>
        <w:lang w:val="sk-SK" w:eastAsia="en-US" w:bidi="ar-SA"/>
      </w:rPr>
    </w:rPrDefault>
    <w:pPrDefault>
      <w:pPr>
        <w:widowControl w:val="0"/>
        <w:suppressAutoHyphens/>
        <w:autoSpaceDN w:val="0"/>
        <w:spacing w:after="200" w:line="27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pPr>
      <w:widowControl/>
    </w:pPr>
  </w:style>
  <w:style w:type="paragraph" w:styleId="Title">
    <w:name w:val="Title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Subtitle">
    <w:name w:val="Subtitle"/>
    <w:basedOn w:val="Title"/>
    <w:next w:val="Textbody"/>
    <w:pPr>
      <w:jc w:val="center"/>
    </w:pPr>
    <w:rPr>
      <w:i/>
      <w:iCs/>
    </w:rPr>
  </w:style>
  <w:style w:type="paragraph" w:styleId="List">
    <w:name w:val="List"/>
    <w:basedOn w:val="Textbody"/>
    <w:rPr>
      <w:rFonts w:cs="Mangal"/>
    </w:rPr>
  </w:style>
  <w:style w:type="paragraph" w:styleId="Captio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BalloonText">
    <w:name w:val="Balloon Text"/>
    <w:basedOn w:val="Standard"/>
    <w:pPr>
      <w:spacing w:after="0" w:line="240" w:lineRule="auto"/>
    </w:pPr>
    <w:rPr>
      <w:rFonts w:ascii="Tahoma" w:hAnsi="Tahoma"/>
      <w:sz w:val="16"/>
      <w:szCs w:val="16"/>
    </w:rPr>
  </w:style>
  <w:style w:type="paragraph" w:styleId="ListParagraph">
    <w:name w:val="List Paragraph"/>
    <w:basedOn w:val="Standard"/>
    <w:pPr>
      <w:ind w:left="720"/>
    </w:pPr>
  </w:style>
  <w:style w:type="paragraph" w:styleId="Header">
    <w:name w:val="header"/>
    <w:basedOn w:val="Standard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Footer">
    <w:name w:val="footer"/>
    <w:basedOn w:val="Standard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Default">
    <w:name w:val="Default"/>
    <w:basedOn w:val="Standard"/>
    <w:pPr>
      <w:autoSpaceDE w:val="0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TextbublinyChar">
    <w:name w:val="Text bubliny Char"/>
    <w:basedOn w:val="DefaultParagraphFont"/>
    <w:rPr>
      <w:rFonts w:ascii="Tahoma" w:hAnsi="Tahoma" w:cs="Tahoma"/>
      <w:sz w:val="16"/>
      <w:szCs w:val="16"/>
    </w:rPr>
  </w:style>
  <w:style w:type="character" w:customStyle="1" w:styleId="Internetlink">
    <w:name w:val="Internet link"/>
    <w:basedOn w:val="DefaultParagraphFont"/>
    <w:rPr>
      <w:color w:val="0000FF"/>
      <w:u w:val="single"/>
    </w:rPr>
  </w:style>
  <w:style w:type="character" w:customStyle="1" w:styleId="ZhlavChar">
    <w:name w:val="Záhlaví Char"/>
    <w:basedOn w:val="DefaultParagraphFont"/>
  </w:style>
  <w:style w:type="character" w:customStyle="1" w:styleId="ZpatChar">
    <w:name w:val="Zápatí Char"/>
    <w:basedOn w:val="DefaultParagraphFont"/>
  </w:style>
  <w:style w:type="character" w:customStyle="1" w:styleId="ListLabel1">
    <w:name w:val="ListLabel 1"/>
    <w:rPr>
      <w:rFonts w:cs="Times New Roman"/>
    </w:rPr>
  </w:style>
  <w:style w:type="character" w:customStyle="1" w:styleId="ListLabel2">
    <w:name w:val="ListLabel 2"/>
    <w:rPr>
      <w:rFonts w:cs="Courier New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NumberingSymbols">
    <w:name w:val="Numbering Symbols"/>
  </w:style>
  <w:style w:type="character" w:customStyle="1" w:styleId="StrongEmphasis">
    <w:name w:val="Strong Emphasis"/>
    <w:rPr>
      <w:b/>
      <w:bCs/>
    </w:rPr>
  </w:style>
  <w:style w:type="character" w:styleId="Emphasis">
    <w:name w:val="Emphasis"/>
    <w:rPr>
      <w:i/>
      <w:iCs/>
    </w:rPr>
  </w:style>
  <w:style w:type="numbering" w:customStyle="1" w:styleId="WWNum1">
    <w:name w:val="WWNum1"/>
    <w:basedOn w:val="NoList"/>
    <w:pPr>
      <w:numPr>
        <w:numId w:val="1"/>
      </w:numPr>
    </w:pPr>
  </w:style>
  <w:style w:type="numbering" w:customStyle="1" w:styleId="RTFNum2">
    <w:name w:val="RTF_Num 2"/>
    <w:basedOn w:val="NoList"/>
    <w:pPr>
      <w:numPr>
        <w:numId w:val="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SimSun" w:hAnsi="Calibri" w:cs="Tahoma"/>
        <w:kern w:val="3"/>
        <w:sz w:val="22"/>
        <w:szCs w:val="22"/>
        <w:lang w:val="sk-SK" w:eastAsia="en-US" w:bidi="ar-SA"/>
      </w:rPr>
    </w:rPrDefault>
    <w:pPrDefault>
      <w:pPr>
        <w:widowControl w:val="0"/>
        <w:suppressAutoHyphens/>
        <w:autoSpaceDN w:val="0"/>
        <w:spacing w:after="200" w:line="27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pPr>
      <w:widowControl/>
    </w:pPr>
  </w:style>
  <w:style w:type="paragraph" w:styleId="Title">
    <w:name w:val="Title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Subtitle">
    <w:name w:val="Subtitle"/>
    <w:basedOn w:val="Title"/>
    <w:next w:val="Textbody"/>
    <w:pPr>
      <w:jc w:val="center"/>
    </w:pPr>
    <w:rPr>
      <w:i/>
      <w:iCs/>
    </w:rPr>
  </w:style>
  <w:style w:type="paragraph" w:styleId="List">
    <w:name w:val="List"/>
    <w:basedOn w:val="Textbody"/>
    <w:rPr>
      <w:rFonts w:cs="Mangal"/>
    </w:rPr>
  </w:style>
  <w:style w:type="paragraph" w:styleId="Captio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BalloonText">
    <w:name w:val="Balloon Text"/>
    <w:basedOn w:val="Standard"/>
    <w:pPr>
      <w:spacing w:after="0" w:line="240" w:lineRule="auto"/>
    </w:pPr>
    <w:rPr>
      <w:rFonts w:ascii="Tahoma" w:hAnsi="Tahoma"/>
      <w:sz w:val="16"/>
      <w:szCs w:val="16"/>
    </w:rPr>
  </w:style>
  <w:style w:type="paragraph" w:styleId="ListParagraph">
    <w:name w:val="List Paragraph"/>
    <w:basedOn w:val="Standard"/>
    <w:pPr>
      <w:ind w:left="720"/>
    </w:pPr>
  </w:style>
  <w:style w:type="paragraph" w:styleId="Header">
    <w:name w:val="header"/>
    <w:basedOn w:val="Standard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Footer">
    <w:name w:val="footer"/>
    <w:basedOn w:val="Standard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Default">
    <w:name w:val="Default"/>
    <w:basedOn w:val="Standard"/>
    <w:pPr>
      <w:autoSpaceDE w:val="0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TextbublinyChar">
    <w:name w:val="Text bubliny Char"/>
    <w:basedOn w:val="DefaultParagraphFont"/>
    <w:rPr>
      <w:rFonts w:ascii="Tahoma" w:hAnsi="Tahoma" w:cs="Tahoma"/>
      <w:sz w:val="16"/>
      <w:szCs w:val="16"/>
    </w:rPr>
  </w:style>
  <w:style w:type="character" w:customStyle="1" w:styleId="Internetlink">
    <w:name w:val="Internet link"/>
    <w:basedOn w:val="DefaultParagraphFont"/>
    <w:rPr>
      <w:color w:val="0000FF"/>
      <w:u w:val="single"/>
    </w:rPr>
  </w:style>
  <w:style w:type="character" w:customStyle="1" w:styleId="ZhlavChar">
    <w:name w:val="Záhlaví Char"/>
    <w:basedOn w:val="DefaultParagraphFont"/>
  </w:style>
  <w:style w:type="character" w:customStyle="1" w:styleId="ZpatChar">
    <w:name w:val="Zápatí Char"/>
    <w:basedOn w:val="DefaultParagraphFont"/>
  </w:style>
  <w:style w:type="character" w:customStyle="1" w:styleId="ListLabel1">
    <w:name w:val="ListLabel 1"/>
    <w:rPr>
      <w:rFonts w:cs="Times New Roman"/>
    </w:rPr>
  </w:style>
  <w:style w:type="character" w:customStyle="1" w:styleId="ListLabel2">
    <w:name w:val="ListLabel 2"/>
    <w:rPr>
      <w:rFonts w:cs="Courier New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NumberingSymbols">
    <w:name w:val="Numbering Symbols"/>
  </w:style>
  <w:style w:type="character" w:customStyle="1" w:styleId="StrongEmphasis">
    <w:name w:val="Strong Emphasis"/>
    <w:rPr>
      <w:b/>
      <w:bCs/>
    </w:rPr>
  </w:style>
  <w:style w:type="character" w:styleId="Emphasis">
    <w:name w:val="Emphasis"/>
    <w:rPr>
      <w:i/>
      <w:iCs/>
    </w:rPr>
  </w:style>
  <w:style w:type="numbering" w:customStyle="1" w:styleId="WWNum1">
    <w:name w:val="WWNum1"/>
    <w:basedOn w:val="NoList"/>
    <w:pPr>
      <w:numPr>
        <w:numId w:val="1"/>
      </w:numPr>
    </w:pPr>
  </w:style>
  <w:style w:type="numbering" w:customStyle="1" w:styleId="RTFNum2">
    <w:name w:val="RTF_Num 2"/>
    <w:basedOn w:val="NoList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615</TotalTime>
  <Pages>1</Pages>
  <Words>1621</Words>
  <Characters>9245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JURJA</dc:creator>
  <cp:lastModifiedBy>Marika</cp:lastModifiedBy>
  <cp:revision>3</cp:revision>
  <dcterms:created xsi:type="dcterms:W3CDTF">2015-07-29T17:04:00Z</dcterms:created>
  <dcterms:modified xsi:type="dcterms:W3CDTF">2015-11-19T17:08:00Z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