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6F1" w:rsidRDefault="001836F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</w:t>
      </w:r>
    </w:p>
    <w:p w:rsidR="001836F1" w:rsidRDefault="001836F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Všeobecné údaje</w:t>
      </w:r>
    </w:p>
    <w:p w:rsidR="001836F1" w:rsidRDefault="001836F1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:rsidR="001836F1" w:rsidRDefault="001836F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187"/>
      </w:tblGrid>
      <w:tr w:rsidR="001836F1">
        <w:trPr>
          <w:trHeight w:val="355"/>
        </w:trPr>
        <w:tc>
          <w:tcPr>
            <w:tcW w:w="8187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DOMEN  s.r.o. ,Nitrianska ul. 76, 940 01  Nové Zámky</w:t>
            </w:r>
          </w:p>
        </w:tc>
      </w:tr>
    </w:tbl>
    <w:p w:rsidR="001836F1" w:rsidRDefault="001836F1">
      <w:pPr>
        <w:pStyle w:val="ListParagraph"/>
        <w:jc w:val="both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1836F1" w:rsidRDefault="001836F1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a sídlo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  <w:spacing w:val="40"/>
        </w:rPr>
        <w:t xml:space="preserve"> </w:t>
      </w:r>
      <w:r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71"/>
        </w:rPr>
        <w:t xml:space="preserve"> </w:t>
      </w:r>
      <w:r>
        <w:rPr>
          <w:rFonts w:ascii="Times New Roman" w:hAnsi="Times New Roman" w:cs="Times New Roman"/>
        </w:rPr>
        <w:t xml:space="preserve">konsolidovanú účtovnú </w:t>
      </w:r>
      <w:r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 xml:space="preserve">za tú skupinu účtovných </w:t>
      </w:r>
      <w:r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53"/>
        </w:rPr>
        <w:t xml:space="preserve"> </w:t>
      </w:r>
      <w:r>
        <w:rPr>
          <w:rFonts w:ascii="Times New Roman" w:hAnsi="Times New Roman" w:cs="Times New Roman"/>
        </w:rPr>
        <w:t>celku,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  <w:spacing w:val="10"/>
        </w:rPr>
        <w:t xml:space="preserve"> </w:t>
      </w:r>
      <w:r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  <w:spacing w:val="29"/>
        </w:rPr>
        <w:t xml:space="preserve"> </w:t>
      </w:r>
      <w:r>
        <w:rPr>
          <w:rFonts w:ascii="Times New Roman" w:hAnsi="Times New Roman" w:cs="Times New Roman"/>
        </w:rPr>
        <w:t>účtovnej</w:t>
      </w:r>
      <w:r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 xml:space="preserve">ktorá </w:t>
      </w:r>
      <w:r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>konsolidujúcou</w:t>
      </w:r>
      <w:r>
        <w:rPr>
          <w:rFonts w:ascii="Times New Roman" w:hAnsi="Times New Roman" w:cs="Times New Roman"/>
        </w:rPr>
        <w:t xml:space="preserve"> účtovnou </w:t>
      </w:r>
      <w:r>
        <w:rPr>
          <w:rFonts w:ascii="Times New Roman" w:hAnsi="Times New Roman" w:cs="Times New Roman"/>
          <w:spacing w:val="-1"/>
        </w:rPr>
        <w:t>jednotkou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1836F1">
        <w:trPr>
          <w:trHeight w:val="368"/>
        </w:trPr>
        <w:tc>
          <w:tcPr>
            <w:tcW w:w="9212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1836F1" w:rsidRDefault="001836F1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1836F1" w:rsidRDefault="001836F1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>
        <w:rPr>
          <w:rFonts w:ascii="Times New Roman" w:hAnsi="Times New Roman" w:cs="Times New Roman"/>
          <w:spacing w:val="-1"/>
          <w:sz w:val="10"/>
          <w:szCs w:val="10"/>
        </w:rPr>
        <w:t>,</w:t>
      </w:r>
      <w:r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1836F1" w:rsidRDefault="001836F1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12 zákona obchodné meno a sídlo dcérskych účtovných jednotiek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1836F1">
        <w:trPr>
          <w:trHeight w:val="350"/>
        </w:trPr>
        <w:tc>
          <w:tcPr>
            <w:tcW w:w="9212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1836F1" w:rsidRDefault="001836F1">
      <w:pPr>
        <w:ind w:left="1080"/>
        <w:jc w:val="both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  <w:t>6</w:t>
      </w:r>
      <w:r>
        <w:rPr>
          <w:rFonts w:ascii="Times New Roman" w:hAnsi="Times New Roman" w:cs="Times New Roman"/>
          <w:bdr w:val="single" w:sz="4" w:space="0" w:color="auto"/>
        </w:rPr>
        <w:t xml:space="preserve">      </w:t>
      </w:r>
    </w:p>
    <w:p w:rsidR="001836F1" w:rsidRDefault="001836F1">
      <w:pPr>
        <w:rPr>
          <w:rFonts w:ascii="Times New Roman" w:hAnsi="Times New Roman" w:cs="Times New Roman"/>
        </w:rPr>
      </w:pPr>
    </w:p>
    <w:p w:rsidR="001836F1" w:rsidRDefault="001836F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</w:t>
      </w:r>
    </w:p>
    <w:p w:rsidR="001836F1" w:rsidRDefault="001836F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prijatých postupoch</w:t>
      </w:r>
    </w:p>
    <w:p w:rsidR="001836F1" w:rsidRDefault="001836F1">
      <w:pPr>
        <w:pStyle w:val="ListParagraph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áno</w:t>
      </w:r>
      <w:r>
        <w:rPr>
          <w:rFonts w:ascii="Times New Roman" w:hAnsi="Times New Roman" w:cs="Times New Roman"/>
          <w:b/>
          <w:bCs/>
        </w:rPr>
        <w:t xml:space="preserve"> </w:t>
      </w:r>
    </w:p>
    <w:p w:rsidR="001836F1" w:rsidRDefault="001836F1">
      <w:pPr>
        <w:pStyle w:val="ListParagraph"/>
        <w:spacing w:after="60"/>
        <w:ind w:left="714"/>
        <w:jc w:val="both"/>
        <w:rPr>
          <w:rFonts w:ascii="Times New Roman" w:hAnsi="Times New Roman" w:cs="Times New Roman"/>
          <w:b/>
          <w:bCs/>
        </w:rPr>
      </w:pPr>
    </w:p>
    <w:p w:rsidR="001836F1" w:rsidRDefault="001836F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1836F1" w:rsidRDefault="001836F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dlhodobého nehmotného majetku, dlhodobého hmotného a dlhodobého finančného majetku: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1836F1" w:rsidRDefault="001836F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 obstaraných kúpou, zásob vytvorených vlastnou činnosťou: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1836F1" w:rsidRDefault="001836F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pohľadávok: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1836F1" w:rsidRDefault="001836F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krátkodobého finančného majetku: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1836F1" w:rsidRDefault="001836F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dlhopisov, pôžičiek a úverov: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1836F1" w:rsidRDefault="001836F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derivátových operácií: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odpisové metódy pri určení odpisov:</w:t>
      </w:r>
    </w:p>
    <w:p w:rsidR="001836F1" w:rsidRDefault="001836F1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Odpisový plán účtovných odpisov hmotného majetku sa zostavil interným predpisom tak, že za základ sa vzali metódy používané pri vyčísľovaní daňových odpisov.</w:t>
      </w:r>
    </w:p>
    <w:p w:rsidR="001836F1" w:rsidRDefault="001836F1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1836F1" w:rsidRDefault="001836F1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1836F1" w:rsidRDefault="001836F1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32"/>
        <w:gridCol w:w="1843"/>
        <w:gridCol w:w="1649"/>
        <w:gridCol w:w="1895"/>
      </w:tblGrid>
      <w:tr w:rsidR="001836F1">
        <w:trPr>
          <w:trHeight w:val="340"/>
        </w:trPr>
        <w:tc>
          <w:tcPr>
            <w:tcW w:w="2932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Druh majetku</w:t>
            </w:r>
          </w:p>
        </w:tc>
        <w:tc>
          <w:tcPr>
            <w:tcW w:w="1843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Odpisová metóda</w:t>
            </w:r>
          </w:p>
        </w:tc>
      </w:tr>
      <w:tr w:rsidR="001836F1">
        <w:trPr>
          <w:trHeight w:val="340"/>
        </w:trPr>
        <w:tc>
          <w:tcPr>
            <w:tcW w:w="2932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  <w:tc>
          <w:tcPr>
            <w:tcW w:w="1649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1836F1">
        <w:trPr>
          <w:trHeight w:val="340"/>
        </w:trPr>
        <w:tc>
          <w:tcPr>
            <w:tcW w:w="2932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1836F1">
        <w:trPr>
          <w:trHeight w:val="340"/>
        </w:trPr>
        <w:tc>
          <w:tcPr>
            <w:tcW w:w="2932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1836F1">
        <w:trPr>
          <w:trHeight w:val="340"/>
        </w:trPr>
        <w:tc>
          <w:tcPr>
            <w:tcW w:w="2932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1836F1" w:rsidRDefault="001836F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1836F1" w:rsidRDefault="001836F1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1836F1" w:rsidRDefault="001836F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 hospodárenia účtovnej jednotky:</w:t>
      </w:r>
    </w:p>
    <w:p w:rsidR="001836F1" w:rsidRDefault="001836F1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Účtovné metódy a účtovné zásady sú aplikované v zmysle platného zákona o účtovníctve a postupov účtovania pre podnikateľov účtujúcich v podvojnom účtovníctve.</w:t>
      </w:r>
    </w:p>
    <w:p w:rsidR="001836F1" w:rsidRDefault="001836F1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1836F1" w:rsidRDefault="001836F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a ich oceňovanie v účtovníctve: 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jc w:val="both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zisku minulých rokov alebo neuhradenú stratu minulých rokov; súčasne sa môže uviesť aj účtovanie nevýznamných chýb minulých účtovných období s uvedením vplyvu na výsledok hospodárenia bežného účtovného obdobia: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jc w:val="both"/>
        <w:rPr>
          <w:rFonts w:ascii="Times New Roman" w:hAnsi="Times New Roman" w:cs="Times New Roman"/>
        </w:rPr>
      </w:pPr>
    </w:p>
    <w:p w:rsidR="001836F1" w:rsidRDefault="001836F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1836F1" w:rsidRDefault="001836F1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Informácie, ktoré vysvetľujú a dopĺňajú súvahu a výkaz ziskov a strát</w:t>
      </w:r>
    </w:p>
    <w:p w:rsidR="001836F1" w:rsidRDefault="001836F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   </w:t>
      </w:r>
    </w:p>
    <w:p w:rsidR="001836F1" w:rsidRDefault="001836F1">
      <w:pPr>
        <w:pStyle w:val="ListParagraph"/>
        <w:ind w:firstLine="69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jc w:val="both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1836F1" w:rsidRDefault="001836F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1836F1" w:rsidRDefault="001836F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1836F1" w:rsidRDefault="001836F1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1836F1" w:rsidRDefault="001836F1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1836F1" w:rsidRDefault="001836F1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informáciách, ktorými sú</w:t>
      </w:r>
    </w:p>
    <w:p w:rsidR="001836F1" w:rsidRDefault="001836F1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1836F1" w:rsidRDefault="001836F1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1836F1" w:rsidRDefault="001836F1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1836F1" w:rsidRDefault="001836F1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1836F1" w:rsidRDefault="001836F1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výške jednotlivých druhov záruk alebo iných zabezpečení poskytnutých pre členov štatutárneho orgánu, dozorného orgánu a iného orgánu účtovnej jednotky, a to v členení za jednotlivé orgány,</w:t>
      </w:r>
    </w:p>
    <w:p w:rsidR="001836F1" w:rsidRDefault="001836F1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štatutárneho orgánu, dozorného orgánu a iného orgánu účtovnej jednotky a to</w:t>
      </w:r>
    </w:p>
    <w:p w:rsidR="001836F1" w:rsidRDefault="001836F1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</w:t>
      </w:r>
    </w:p>
    <w:p w:rsidR="001836F1" w:rsidRDefault="001836F1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1836F1" w:rsidRDefault="001836F1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1836F1" w:rsidRDefault="001836F1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hlavných podmienkach, na základe ktorých im boli záruky alebo iné zabezpečenie a pôžičky poskytnuté; pri pôžičkách sa uvádzajú úrokové sadzby,</w:t>
      </w:r>
    </w:p>
    <w:p w:rsidR="001836F1" w:rsidRDefault="001836F1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1836F1" w:rsidRDefault="001836F1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1836F1" w:rsidRDefault="001836F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1836F1" w:rsidRDefault="001836F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1836F1" w:rsidRDefault="001836F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1836F1" w:rsidRDefault="001836F1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2a. nie je pravdepodobné, že na splnenie tejto povinnosti bude potrebný úbytok ekonomických úžitkov, alebo</w:t>
      </w:r>
    </w:p>
    <w:p w:rsidR="001836F1" w:rsidRDefault="001836F1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1836F1" w:rsidRDefault="001836F1">
      <w:pPr>
        <w:pStyle w:val="ListParagraph"/>
        <w:ind w:left="180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významných finančných povinností a významných podmienených záväzkov:</w:t>
      </w:r>
      <w:r>
        <w:rPr>
          <w:rFonts w:ascii="Times New Roman" w:hAnsi="Times New Roman" w:cs="Times New Roman"/>
          <w:b/>
          <w:bCs/>
          <w:i/>
          <w:iCs/>
        </w:rPr>
        <w:t xml:space="preserve"> negatívne</w:t>
      </w:r>
    </w:p>
    <w:p w:rsidR="001836F1" w:rsidRDefault="001836F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finančných povinností a významných podmienených záväzkov voči dcérskej účtovnej jednotke a účtovnej jednotke s podstatným vplyvom: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>
        <w:rPr>
          <w:rFonts w:ascii="Times New Roman" w:hAnsi="Times New Roman" w:cs="Times New Roman"/>
          <w:b/>
          <w:bCs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dôchodkových programov pre zamestnancov: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1836F1" w:rsidRDefault="001836F1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prijatej náhrady: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 prideľovaní nákladov a výnosov: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druhoch činností účtovnej jednotky: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1836F1" w:rsidRDefault="001836F1">
      <w:pPr>
        <w:jc w:val="both"/>
        <w:rPr>
          <w:rFonts w:ascii="Times New Roman" w:hAnsi="Times New Roman" w:cs="Times New Roman"/>
        </w:rPr>
      </w:pPr>
    </w:p>
    <w:p w:rsidR="001836F1" w:rsidRDefault="001836F1">
      <w:pPr>
        <w:rPr>
          <w:rFonts w:ascii="Times New Roman" w:hAnsi="Times New Roman" w:cs="Times New Roman"/>
        </w:rPr>
      </w:pPr>
      <w:r>
        <w:rPr>
          <w:rStyle w:val="FootnoteReference"/>
        </w:rPr>
        <w:footnoteReference w:id="1"/>
      </w:r>
      <w:r>
        <w:rPr>
          <w:rFonts w:ascii="Times New Roman" w:hAnsi="Times New Roman" w:cs="Times New Roman"/>
        </w:rPr>
        <w:br w:type="page"/>
      </w:r>
    </w:p>
    <w:p w:rsidR="001836F1" w:rsidRDefault="001836F1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zabezpečených záväzkoch podľa § 4 ods. 4 pism. e)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36"/>
        <w:gridCol w:w="2092"/>
      </w:tblGrid>
      <w:tr w:rsidR="001836F1">
        <w:trPr>
          <w:trHeight w:val="284"/>
        </w:trPr>
        <w:tc>
          <w:tcPr>
            <w:tcW w:w="6836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1836F1" w:rsidRDefault="001836F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 zabez. záväzku</w:t>
            </w:r>
          </w:p>
        </w:tc>
      </w:tr>
      <w:tr w:rsidR="001836F1">
        <w:trPr>
          <w:trHeight w:val="284"/>
        </w:trPr>
        <w:tc>
          <w:tcPr>
            <w:tcW w:w="6836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1836F1" w:rsidRDefault="001836F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836F1">
        <w:trPr>
          <w:trHeight w:val="284"/>
        </w:trPr>
        <w:tc>
          <w:tcPr>
            <w:tcW w:w="6836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1836F1" w:rsidRDefault="001836F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836F1">
        <w:trPr>
          <w:trHeight w:val="284"/>
        </w:trPr>
        <w:tc>
          <w:tcPr>
            <w:tcW w:w="6836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1836F1" w:rsidRDefault="001836F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836F1">
        <w:trPr>
          <w:trHeight w:val="284"/>
        </w:trPr>
        <w:tc>
          <w:tcPr>
            <w:tcW w:w="6836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1836F1" w:rsidRDefault="001836F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836F1">
        <w:trPr>
          <w:trHeight w:val="284"/>
        </w:trPr>
        <w:tc>
          <w:tcPr>
            <w:tcW w:w="6836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1836F1" w:rsidRDefault="001836F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836F1">
        <w:trPr>
          <w:trHeight w:val="284"/>
        </w:trPr>
        <w:tc>
          <w:tcPr>
            <w:tcW w:w="6836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1836F1" w:rsidRDefault="001836F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1836F1" w:rsidRDefault="001836F1">
      <w:pPr>
        <w:ind w:left="360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64"/>
        <w:gridCol w:w="1506"/>
        <w:gridCol w:w="1484"/>
        <w:gridCol w:w="1504"/>
        <w:gridCol w:w="1485"/>
        <w:gridCol w:w="1485"/>
      </w:tblGrid>
      <w:tr w:rsidR="001836F1">
        <w:tc>
          <w:tcPr>
            <w:tcW w:w="1464" w:type="dxa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menovitá hodnota nadob. vlast. akcií počas účtovného obdobia</w:t>
            </w:r>
          </w:p>
        </w:tc>
        <w:tc>
          <w:tcPr>
            <w:tcW w:w="1506" w:type="dxa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hodnota nadobudnutí a vlastných akcií počas účtov. obdobia</w:t>
            </w:r>
          </w:p>
        </w:tc>
        <w:tc>
          <w:tcPr>
            <w:tcW w:w="1484" w:type="dxa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  <w:tc>
          <w:tcPr>
            <w:tcW w:w="1504" w:type="dxa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 prevedených vlast. akcií počas účtovného obdobia</w:t>
            </w:r>
          </w:p>
        </w:tc>
        <w:tc>
          <w:tcPr>
            <w:tcW w:w="1485" w:type="dxa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prevedenia vlast. akcií počas účtovného obdobia</w:t>
            </w:r>
          </w:p>
        </w:tc>
        <w:tc>
          <w:tcPr>
            <w:tcW w:w="1485" w:type="dxa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základnom imaní v %</w:t>
            </w:r>
          </w:p>
        </w:tc>
      </w:tr>
      <w:tr w:rsidR="001836F1">
        <w:trPr>
          <w:trHeight w:val="340"/>
        </w:trPr>
        <w:tc>
          <w:tcPr>
            <w:tcW w:w="1464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836F1">
        <w:trPr>
          <w:trHeight w:val="340"/>
        </w:trPr>
        <w:tc>
          <w:tcPr>
            <w:tcW w:w="1464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6F1">
        <w:trPr>
          <w:trHeight w:val="340"/>
        </w:trPr>
        <w:tc>
          <w:tcPr>
            <w:tcW w:w="1464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1836F1" w:rsidRDefault="001836F1">
      <w:pPr>
        <w:ind w:left="360"/>
        <w:rPr>
          <w:rFonts w:ascii="Times New Roman" w:hAnsi="Times New Roman" w:cs="Times New Roman"/>
        </w:rPr>
      </w:pPr>
    </w:p>
    <w:p w:rsidR="001836F1" w:rsidRDefault="001836F1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80"/>
        <w:gridCol w:w="2981"/>
        <w:gridCol w:w="2967"/>
      </w:tblGrid>
      <w:tr w:rsidR="001836F1">
        <w:tc>
          <w:tcPr>
            <w:tcW w:w="2980" w:type="dxa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nadobudnutia vlastných akcií držaných k poslednému dňu účtovného obdobia</w:t>
            </w:r>
          </w:p>
        </w:tc>
        <w:tc>
          <w:tcPr>
            <w:tcW w:w="2967" w:type="dxa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</w:tr>
      <w:tr w:rsidR="001836F1">
        <w:trPr>
          <w:trHeight w:val="340"/>
        </w:trPr>
        <w:tc>
          <w:tcPr>
            <w:tcW w:w="298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836F1">
        <w:trPr>
          <w:trHeight w:val="340"/>
        </w:trPr>
        <w:tc>
          <w:tcPr>
            <w:tcW w:w="298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6F1">
        <w:trPr>
          <w:trHeight w:val="340"/>
        </w:trPr>
        <w:tc>
          <w:tcPr>
            <w:tcW w:w="298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1836F1" w:rsidRDefault="001836F1">
      <w:pPr>
        <w:pStyle w:val="ListParagraph"/>
        <w:ind w:left="0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4.Informácie o poskytnutých pôžičkách, zárukách a iných plnení pre členov štatutárnych orgánov, správnych orgánov a dozorných orgánov podľa ô 4 ods. 4 písm. g)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1836F1">
        <w:trPr>
          <w:cantSplit/>
        </w:trPr>
        <w:tc>
          <w:tcPr>
            <w:tcW w:w="4001" w:type="dxa"/>
            <w:vMerge w:val="restart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1836F1">
        <w:trPr>
          <w:cantSplit/>
        </w:trPr>
        <w:tc>
          <w:tcPr>
            <w:tcW w:w="4001" w:type="dxa"/>
            <w:vMerge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1836F1">
        <w:trPr>
          <w:cantSplit/>
        </w:trPr>
        <w:tc>
          <w:tcPr>
            <w:tcW w:w="4001" w:type="dxa"/>
            <w:vMerge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1836F1">
        <w:trPr>
          <w:trHeight w:val="340"/>
        </w:trPr>
        <w:tc>
          <w:tcPr>
            <w:tcW w:w="4001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6F1">
        <w:trPr>
          <w:trHeight w:val="340"/>
        </w:trPr>
        <w:tc>
          <w:tcPr>
            <w:tcW w:w="4001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1836F1">
        <w:trPr>
          <w:trHeight w:val="340"/>
        </w:trPr>
        <w:tc>
          <w:tcPr>
            <w:tcW w:w="4001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pôžičiek k poslednému dňu účtovného obdobia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1836F1">
        <w:trPr>
          <w:trHeight w:val="340"/>
        </w:trPr>
        <w:tc>
          <w:tcPr>
            <w:tcW w:w="4001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6F1">
        <w:trPr>
          <w:trHeight w:val="340"/>
        </w:trPr>
        <w:tc>
          <w:tcPr>
            <w:tcW w:w="4001" w:type="dxa"/>
            <w:vAlign w:val="center"/>
          </w:tcPr>
          <w:p w:rsidR="001836F1" w:rsidRDefault="001836F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1836F1">
        <w:trPr>
          <w:trHeight w:val="340"/>
        </w:trPr>
        <w:tc>
          <w:tcPr>
            <w:tcW w:w="4001" w:type="dxa"/>
            <w:vAlign w:val="center"/>
          </w:tcPr>
          <w:p w:rsidR="001836F1" w:rsidRDefault="001836F1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1836F1">
        <w:trPr>
          <w:trHeight w:val="340"/>
        </w:trPr>
        <w:tc>
          <w:tcPr>
            <w:tcW w:w="4001" w:type="dxa"/>
            <w:vAlign w:val="center"/>
          </w:tcPr>
          <w:p w:rsidR="001836F1" w:rsidRDefault="001836F1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1836F1" w:rsidRDefault="001836F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1836F1" w:rsidRDefault="001836F1">
      <w:pPr>
        <w:rPr>
          <w:rFonts w:ascii="Times New Roman" w:hAnsi="Times New Roman" w:cs="Times New Roman"/>
        </w:rPr>
      </w:pPr>
    </w:p>
    <w:sectPr w:rsidR="001836F1" w:rsidSect="001836F1">
      <w:headerReference w:type="default" r:id="rId7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36F1" w:rsidRDefault="001836F1">
      <w:pPr>
        <w:spacing w:after="0" w:line="240" w:lineRule="auto"/>
      </w:pPr>
      <w:r>
        <w:separator/>
      </w:r>
    </w:p>
  </w:endnote>
  <w:endnote w:type="continuationSeparator" w:id="0">
    <w:p w:rsidR="001836F1" w:rsidRDefault="001836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36F1" w:rsidRDefault="001836F1">
      <w:pPr>
        <w:spacing w:after="0" w:line="240" w:lineRule="auto"/>
      </w:pPr>
      <w:r>
        <w:separator/>
      </w:r>
    </w:p>
  </w:footnote>
  <w:footnote w:type="continuationSeparator" w:id="0">
    <w:p w:rsidR="001836F1" w:rsidRDefault="001836F1">
      <w:pPr>
        <w:spacing w:after="0" w:line="240" w:lineRule="auto"/>
      </w:pPr>
      <w:r>
        <w:continuationSeparator/>
      </w:r>
    </w:p>
  </w:footnote>
  <w:footnote w:id="1">
    <w:p w:rsidR="001836F1" w:rsidRDefault="001836F1">
      <w:pPr>
        <w:pStyle w:val="FootnoteText"/>
        <w:jc w:val="both"/>
        <w:rPr>
          <w:sz w:val="16"/>
          <w:szCs w:val="16"/>
        </w:rPr>
      </w:pPr>
      <w:r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1836F1" w:rsidRDefault="001836F1">
      <w:pPr>
        <w:pStyle w:val="FootnoteText"/>
        <w:jc w:val="both"/>
      </w:pPr>
      <w:r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6F1" w:rsidRDefault="001836F1">
    <w:pPr>
      <w:pStyle w:val="Header"/>
      <w:rPr>
        <w:b/>
        <w:bCs/>
        <w:sz w:val="18"/>
        <w:szCs w:val="18"/>
      </w:rPr>
    </w:pPr>
    <w:r>
      <w:rPr>
        <w:b/>
        <w:bCs/>
        <w:sz w:val="18"/>
        <w:szCs w:val="18"/>
      </w:rPr>
      <w:t>Poznámky Úč MÚJ 3 – 01</w:t>
    </w:r>
    <w:r>
      <w:rPr>
        <w:b/>
        <w:bCs/>
        <w:sz w:val="18"/>
        <w:szCs w:val="18"/>
      </w:rPr>
      <w:tab/>
      <w:t>IČO: 46</w:t>
    </w:r>
    <w:r>
      <w:rPr>
        <w:rStyle w:val="ra"/>
        <w:rFonts w:ascii="Tahoma" w:hAnsi="Tahoma" w:cs="Tahoma"/>
        <w:b/>
        <w:bCs/>
      </w:rPr>
      <w:t xml:space="preserve"> 911 057 </w:t>
    </w:r>
    <w:r>
      <w:rPr>
        <w:b/>
        <w:bCs/>
        <w:sz w:val="18"/>
        <w:szCs w:val="18"/>
      </w:rPr>
      <w:tab/>
      <w:t>DIČ: 2023654798</w:t>
    </w:r>
  </w:p>
  <w:p w:rsidR="001836F1" w:rsidRDefault="001836F1">
    <w:pPr>
      <w:pStyle w:val="Header"/>
      <w:rPr>
        <w:b/>
        <w:b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836F1"/>
    <w:rsid w:val="001836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Tahoma" w:hAnsi="Tahoma" w:cs="Tahoma"/>
      <w:sz w:val="20"/>
      <w:szCs w:val="20"/>
      <w:lang w:val="sk-SK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styleId="FootnoteText">
    <w:name w:val="footnote text"/>
    <w:basedOn w:val="Normal"/>
    <w:link w:val="FootnoteTextChar"/>
    <w:uiPriority w:val="99"/>
    <w:pPr>
      <w:spacing w:after="0"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Times New Roman" w:hAnsi="Times New Roman" w:cs="Times New Roman"/>
    </w:rPr>
  </w:style>
  <w:style w:type="character" w:styleId="FootnoteReference">
    <w:name w:val="footnote reference"/>
    <w:basedOn w:val="DefaultParagraphFont"/>
    <w:uiPriority w:val="99"/>
    <w:rPr>
      <w:rFonts w:ascii="Times New Roman" w:hAnsi="Times New Roman" w:cs="Times New Roman"/>
      <w:vertAlign w:val="superscript"/>
    </w:rPr>
  </w:style>
  <w:style w:type="character" w:customStyle="1" w:styleId="ra">
    <w:name w:val="ra"/>
    <w:basedOn w:val="DefaultParagraphFont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6</Pages>
  <Words>1313</Words>
  <Characters>7489</Characters>
  <Application>Microsoft Office Outlook</Application>
  <DocSecurity>0</DocSecurity>
  <Lines>0</Lines>
  <Paragraphs>0</Paragraphs>
  <ScaleCrop>false</ScaleCrop>
  <Company>Your Company Name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Your User Name</dc:creator>
  <cp:keywords/>
  <dc:description/>
  <cp:lastModifiedBy> Virágova</cp:lastModifiedBy>
  <cp:revision>4</cp:revision>
  <dcterms:created xsi:type="dcterms:W3CDTF">2016-02-24T20:09:00Z</dcterms:created>
  <dcterms:modified xsi:type="dcterms:W3CDTF">2016-02-24T20:14:00Z</dcterms:modified>
</cp:coreProperties>
</file>