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512F" w:rsidRDefault="0042512F" w:rsidP="00945FD5">
      <w:pPr>
        <w:pStyle w:val="Heading1"/>
        <w:tabs>
          <w:tab w:val="num" w:pos="360"/>
        </w:tabs>
        <w:spacing w:before="0" w:after="0"/>
        <w:rPr>
          <w:rFonts w:ascii="Calibri" w:hAnsi="Calibri"/>
          <w:sz w:val="22"/>
          <w:szCs w:val="22"/>
        </w:rPr>
      </w:pPr>
      <w:bookmarkStart w:id="0" w:name="_GoBack"/>
      <w:bookmarkEnd w:id="0"/>
    </w:p>
    <w:p w:rsidR="0042512F" w:rsidRPr="009346D0" w:rsidRDefault="0042512F" w:rsidP="009346D0">
      <w:pPr>
        <w:rPr>
          <w:lang w:val="sk-SK"/>
        </w:rPr>
      </w:pPr>
    </w:p>
    <w:p w:rsidR="0042512F" w:rsidRPr="00BB5992" w:rsidRDefault="0042512F" w:rsidP="00995D17">
      <w:pPr>
        <w:pStyle w:val="Heading1"/>
        <w:tabs>
          <w:tab w:val="num" w:pos="360"/>
        </w:tabs>
        <w:spacing w:before="0" w:after="0"/>
        <w:ind w:left="360" w:hanging="360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Informácie o účtovnej jednotke</w:t>
      </w:r>
    </w:p>
    <w:p w:rsidR="0042512F" w:rsidRPr="00BB5992" w:rsidRDefault="0042512F" w:rsidP="00995D17">
      <w:pPr>
        <w:pStyle w:val="BodyText"/>
        <w:rPr>
          <w:rFonts w:ascii="Calibri" w:hAnsi="Calibri"/>
          <w:sz w:val="22"/>
          <w:szCs w:val="22"/>
        </w:rPr>
      </w:pPr>
    </w:p>
    <w:p w:rsidR="0042512F" w:rsidRPr="00742DD4" w:rsidRDefault="0042512F" w:rsidP="00995D17">
      <w:pPr>
        <w:pStyle w:val="BodyTex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Spoločnosť Superinterier, s.r.o.</w:t>
      </w:r>
      <w:r w:rsidRPr="00742DD4">
        <w:rPr>
          <w:rFonts w:ascii="Calibri" w:hAnsi="Calibri"/>
          <w:sz w:val="22"/>
          <w:szCs w:val="22"/>
        </w:rPr>
        <w:t>, s.r.o. (ďalej len Spol</w:t>
      </w:r>
      <w:r>
        <w:rPr>
          <w:rFonts w:ascii="Calibri" w:hAnsi="Calibri"/>
          <w:sz w:val="22"/>
          <w:szCs w:val="22"/>
        </w:rPr>
        <w:t xml:space="preserve">očnosť) bola založená 09.12.2010 </w:t>
      </w:r>
      <w:r w:rsidRPr="00742DD4">
        <w:rPr>
          <w:rFonts w:ascii="Calibri" w:hAnsi="Calibri"/>
          <w:sz w:val="22"/>
          <w:szCs w:val="22"/>
        </w:rPr>
        <w:t xml:space="preserve"> a do obchodného re</w:t>
      </w:r>
      <w:r>
        <w:rPr>
          <w:rFonts w:ascii="Calibri" w:hAnsi="Calibri"/>
          <w:sz w:val="22"/>
          <w:szCs w:val="22"/>
        </w:rPr>
        <w:t xml:space="preserve">gistra bola zapísaná  01.01.2011 </w:t>
      </w:r>
      <w:r w:rsidRPr="00742DD4">
        <w:rPr>
          <w:rFonts w:ascii="Calibri" w:hAnsi="Calibri"/>
          <w:sz w:val="22"/>
          <w:szCs w:val="22"/>
        </w:rPr>
        <w:t xml:space="preserve">(Obchodný register Okresného súdu </w:t>
      </w:r>
      <w:r>
        <w:rPr>
          <w:rFonts w:ascii="Calibri" w:hAnsi="Calibri"/>
          <w:sz w:val="22"/>
          <w:szCs w:val="22"/>
        </w:rPr>
        <w:t>Bratislava I, oddiel Sro,  vložka č.  69541/B</w:t>
      </w:r>
      <w:r w:rsidRPr="00742DD4">
        <w:rPr>
          <w:rFonts w:ascii="Calibri" w:hAnsi="Calibri"/>
          <w:sz w:val="22"/>
          <w:szCs w:val="22"/>
        </w:rPr>
        <w:t xml:space="preserve">). </w:t>
      </w:r>
    </w:p>
    <w:p w:rsidR="0042512F" w:rsidRPr="00742DD4" w:rsidRDefault="0042512F" w:rsidP="00995D17">
      <w:pPr>
        <w:pStyle w:val="BodyText"/>
        <w:rPr>
          <w:rFonts w:ascii="Calibri" w:hAnsi="Calibri"/>
          <w:sz w:val="22"/>
          <w:szCs w:val="22"/>
        </w:rPr>
      </w:pPr>
    </w:p>
    <w:p w:rsidR="0042512F" w:rsidRPr="00BB5992" w:rsidRDefault="0042512F" w:rsidP="00995D17"/>
    <w:p w:rsidR="0042512F" w:rsidRPr="00BB5992" w:rsidRDefault="0042512F" w:rsidP="00995D17">
      <w:pPr>
        <w:pStyle w:val="Heading2"/>
        <w:tabs>
          <w:tab w:val="num" w:pos="360"/>
        </w:tabs>
        <w:spacing w:before="0" w:after="0"/>
        <w:ind w:left="360" w:hanging="360"/>
        <w:rPr>
          <w:rFonts w:ascii="Calibri" w:hAnsi="Calibri"/>
          <w:b w:val="0"/>
          <w:sz w:val="22"/>
          <w:szCs w:val="22"/>
        </w:rPr>
      </w:pPr>
      <w:bookmarkStart w:id="1" w:name="_Toc530739896"/>
      <w:r w:rsidRPr="00BB5992">
        <w:rPr>
          <w:rFonts w:ascii="Calibri" w:hAnsi="Calibri"/>
          <w:sz w:val="22"/>
          <w:szCs w:val="22"/>
        </w:rPr>
        <w:t>Hlavnými činnosťami Spoločnosti sú</w:t>
      </w:r>
      <w:r w:rsidRPr="00BB5992">
        <w:rPr>
          <w:rFonts w:ascii="Calibri" w:hAnsi="Calibri"/>
          <w:b w:val="0"/>
          <w:sz w:val="22"/>
          <w:szCs w:val="22"/>
        </w:rPr>
        <w:t>:</w:t>
      </w:r>
      <w:bookmarkEnd w:id="1"/>
    </w:p>
    <w:p w:rsidR="0042512F" w:rsidRPr="00BB5992" w:rsidRDefault="0042512F" w:rsidP="00995D17">
      <w:pPr>
        <w:pStyle w:val="BodyText"/>
        <w:numPr>
          <w:ilvl w:val="0"/>
          <w:numId w:val="5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Sprostredkovanie obchodu s rozličným tovarom SK.NACE 46.19.0.</w:t>
      </w:r>
    </w:p>
    <w:p w:rsidR="0042512F" w:rsidRDefault="0042512F"/>
    <w:p w:rsidR="0042512F" w:rsidRPr="00BB5992" w:rsidRDefault="0042512F"/>
    <w:p w:rsidR="0042512F" w:rsidRPr="00BB5992" w:rsidRDefault="0042512F"/>
    <w:p w:rsidR="0042512F" w:rsidRDefault="0042512F" w:rsidP="001C70AD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 prílohe č. 3 časti A. písm. c) o počte zamestnancov</w:t>
      </w:r>
    </w:p>
    <w:p w:rsidR="0042512F" w:rsidRPr="00BB5992" w:rsidRDefault="0042512F" w:rsidP="008B2040">
      <w:pPr>
        <w:pStyle w:val="ListParagraph"/>
        <w:ind w:left="426"/>
        <w:rPr>
          <w:b/>
        </w:rPr>
      </w:pPr>
    </w:p>
    <w:p w:rsidR="0042512F" w:rsidRPr="000C7D54" w:rsidRDefault="0042512F" w:rsidP="000C7D54">
      <w:pPr>
        <w:ind w:left="426"/>
      </w:pPr>
      <w:r>
        <w:t xml:space="preserve">Spoločnosť  </w:t>
      </w:r>
      <w:r w:rsidRPr="000C7D54">
        <w:t>má</w:t>
      </w:r>
      <w:r>
        <w:t xml:space="preserve">  jedného  zamestnanca  k 31.12.2015</w:t>
      </w:r>
      <w:r w:rsidRPr="000C7D54">
        <w:t>.</w:t>
      </w:r>
    </w:p>
    <w:p w:rsidR="0042512F" w:rsidRPr="00BB5992" w:rsidRDefault="0042512F" w:rsidP="000C7D54">
      <w:pPr>
        <w:ind w:left="426"/>
        <w:rPr>
          <w:b/>
        </w:rPr>
      </w:pPr>
    </w:p>
    <w:p w:rsidR="0042512F" w:rsidRPr="00BB5992" w:rsidRDefault="0042512F" w:rsidP="00995D17">
      <w:pPr>
        <w:pStyle w:val="Heading1"/>
        <w:tabs>
          <w:tab w:val="num" w:pos="360"/>
        </w:tabs>
        <w:spacing w:before="0" w:after="0"/>
        <w:ind w:left="360" w:hanging="360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 xml:space="preserve">Informácie o konsolidovanom celku – </w:t>
      </w:r>
    </w:p>
    <w:p w:rsidR="0042512F" w:rsidRPr="00BB5992" w:rsidRDefault="0042512F" w:rsidP="00995D17">
      <w:pPr>
        <w:pStyle w:val="BodyText"/>
        <w:jc w:val="center"/>
        <w:rPr>
          <w:rFonts w:ascii="Calibri" w:hAnsi="Calibri"/>
          <w:sz w:val="22"/>
          <w:szCs w:val="22"/>
        </w:rPr>
      </w:pPr>
    </w:p>
    <w:p w:rsidR="0042512F" w:rsidRDefault="0042512F" w:rsidP="00BB5992">
      <w:pPr>
        <w:pStyle w:val="BodyText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Spoločnosť nespĺňa podmienky ustanovené v § 22 ods. 10 Zákona č. 431/2002 Z. z. o účtovníctve v znení neskorších predpisov na zostavenie konsolidovanej účtovnej závierky</w:t>
      </w:r>
    </w:p>
    <w:p w:rsidR="0042512F" w:rsidRPr="00BB5992" w:rsidRDefault="0042512F" w:rsidP="00BB5992">
      <w:pPr>
        <w:pStyle w:val="BodyText"/>
        <w:rPr>
          <w:rFonts w:ascii="Calibri" w:hAnsi="Calibri"/>
          <w:b w:val="0"/>
          <w:sz w:val="22"/>
          <w:szCs w:val="22"/>
        </w:rPr>
      </w:pPr>
    </w:p>
    <w:p w:rsidR="0042512F" w:rsidRPr="00BB5992" w:rsidRDefault="0042512F" w:rsidP="00BB5992">
      <w:pPr>
        <w:pStyle w:val="BodyText"/>
        <w:rPr>
          <w:rFonts w:ascii="Calibri" w:hAnsi="Calibri"/>
          <w:sz w:val="22"/>
          <w:szCs w:val="22"/>
        </w:rPr>
      </w:pPr>
    </w:p>
    <w:p w:rsidR="0042512F" w:rsidRDefault="0042512F" w:rsidP="00BB5992">
      <w:pPr>
        <w:pStyle w:val="Heading1"/>
        <w:tabs>
          <w:tab w:val="num" w:pos="360"/>
        </w:tabs>
        <w:spacing w:before="0" w:after="0"/>
        <w:ind w:left="360" w:hanging="360"/>
        <w:jc w:val="both"/>
        <w:rPr>
          <w:rFonts w:ascii="Calibri" w:hAnsi="Calibri"/>
          <w:sz w:val="22"/>
          <w:szCs w:val="22"/>
        </w:rPr>
      </w:pPr>
      <w:bookmarkStart w:id="2" w:name="_Toc530739899"/>
      <w:r w:rsidRPr="00BB5992">
        <w:rPr>
          <w:rFonts w:ascii="Calibri" w:hAnsi="Calibri"/>
          <w:sz w:val="22"/>
          <w:szCs w:val="22"/>
        </w:rPr>
        <w:t xml:space="preserve">Informácie o účtovných zásadách a účtovných metódach  </w:t>
      </w:r>
      <w:bookmarkEnd w:id="2"/>
      <w:r w:rsidRPr="00BB5992">
        <w:rPr>
          <w:rFonts w:ascii="Calibri" w:hAnsi="Calibri"/>
          <w:sz w:val="22"/>
          <w:szCs w:val="22"/>
        </w:rPr>
        <w:t xml:space="preserve"> -</w:t>
      </w:r>
    </w:p>
    <w:p w:rsidR="0042512F" w:rsidRPr="00BB5992" w:rsidRDefault="0042512F" w:rsidP="00BB5992">
      <w:pPr>
        <w:rPr>
          <w:lang w:val="sk-SK"/>
        </w:rPr>
      </w:pPr>
    </w:p>
    <w:p w:rsidR="0042512F" w:rsidRPr="00BB5992" w:rsidRDefault="0042512F" w:rsidP="00BB5992">
      <w:pPr>
        <w:pStyle w:val="BodyText"/>
        <w:rPr>
          <w:rFonts w:ascii="Calibri" w:hAnsi="Calibri"/>
          <w:b w:val="0"/>
          <w:sz w:val="22"/>
          <w:szCs w:val="22"/>
        </w:rPr>
      </w:pPr>
    </w:p>
    <w:p w:rsidR="0042512F" w:rsidRPr="00BB5992" w:rsidRDefault="0042512F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Východiská pre zostavenie účtovnej závierky</w:t>
      </w:r>
    </w:p>
    <w:p w:rsidR="0042512F" w:rsidRPr="00BB5992" w:rsidRDefault="0042512F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Účtovná závierka bola zostavená za predpokladu nepretržitého trvania Spoločnosti (going concern).</w:t>
      </w:r>
    </w:p>
    <w:p w:rsidR="0042512F" w:rsidRDefault="0042512F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42512F" w:rsidRDefault="0042512F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42512F" w:rsidRPr="00BB5992" w:rsidRDefault="0042512F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42512F" w:rsidRDefault="0042512F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Dlhodobý nehmotný a dlhodobý hmotný majetok</w:t>
      </w:r>
    </w:p>
    <w:p w:rsidR="0042512F" w:rsidRDefault="0042512F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 w:rsidRPr="0032154F">
        <w:rPr>
          <w:rFonts w:ascii="Calibri" w:hAnsi="Calibri"/>
          <w:b w:val="0"/>
          <w:sz w:val="22"/>
          <w:szCs w:val="22"/>
        </w:rPr>
        <w:t>Účtovná jednotka neúčtu</w:t>
      </w:r>
      <w:r>
        <w:rPr>
          <w:rFonts w:ascii="Calibri" w:hAnsi="Calibri"/>
          <w:b w:val="0"/>
          <w:sz w:val="22"/>
          <w:szCs w:val="22"/>
        </w:rPr>
        <w:t>je dlhodobom nehmotnom majetku.</w:t>
      </w:r>
    </w:p>
    <w:p w:rsidR="0042512F" w:rsidRDefault="0042512F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 xml:space="preserve">Účtovná jednotka účtuje o dlhodobom hmotnom majetku. </w:t>
      </w:r>
    </w:p>
    <w:p w:rsidR="0042512F" w:rsidRDefault="0042512F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V roku 2015 bol obstaraný automobil  Renault Master  , obstarávacia cena 18 529 €.</w:t>
      </w:r>
    </w:p>
    <w:p w:rsidR="0042512F" w:rsidRDefault="0042512F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42512F" w:rsidRPr="00BB5992" w:rsidRDefault="0042512F" w:rsidP="00E943B7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42512F" w:rsidRDefault="0042512F" w:rsidP="00E943B7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Dlhodobý nehmotný a dlhodobý hmotný majetok</w:t>
      </w:r>
    </w:p>
    <w:p w:rsidR="0042512F" w:rsidRDefault="0042512F" w:rsidP="00E943B7">
      <w:pPr>
        <w:pStyle w:val="Pismenka"/>
        <w:tabs>
          <w:tab w:val="clear" w:pos="426"/>
        </w:tabs>
        <w:rPr>
          <w:rFonts w:ascii="Calibri" w:hAnsi="Calibri"/>
          <w:sz w:val="22"/>
          <w:szCs w:val="22"/>
        </w:rPr>
      </w:pPr>
    </w:p>
    <w:p w:rsidR="0042512F" w:rsidRPr="00BB5992" w:rsidRDefault="0042512F" w:rsidP="00E943B7">
      <w:pPr>
        <w:pStyle w:val="Pismenka"/>
        <w:tabs>
          <w:tab w:val="clear" w:pos="426"/>
        </w:tabs>
        <w:rPr>
          <w:rFonts w:ascii="Calibri" w:hAnsi="Calibri"/>
          <w:sz w:val="22"/>
          <w:szCs w:val="22"/>
        </w:rPr>
      </w:pPr>
    </w:p>
    <w:p w:rsidR="0042512F" w:rsidRPr="00BB5992" w:rsidRDefault="0042512F" w:rsidP="00E943B7">
      <w:pPr>
        <w:pStyle w:val="BodyText"/>
        <w:ind w:firstLine="426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Dlhodobý majetok  nakupovaný sa oceňuje obstarávacou cenou, ktorá zahrnuje cenu obstarania a náklady súvisiace s obstaraním (clo, prepravu, montáž, poistné a pod.).</w:t>
      </w:r>
    </w:p>
    <w:p w:rsidR="0042512F" w:rsidRPr="00BB5992" w:rsidRDefault="0042512F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p w:rsidR="0042512F" w:rsidRDefault="0042512F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dňom obstarania v mesiaci po uvedení dlhodobého majetku do používania. Dlhodobý </w:t>
      </w:r>
    </w:p>
    <w:p w:rsidR="0042512F" w:rsidRDefault="0042512F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</w:p>
    <w:p w:rsidR="0042512F" w:rsidRDefault="0042512F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</w:p>
    <w:p w:rsidR="0042512F" w:rsidRDefault="0042512F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</w:p>
    <w:p w:rsidR="0042512F" w:rsidRPr="00BB5992" w:rsidRDefault="0042512F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nehmotný majetok, ktorého obstarávacia cena (resp. vlastné náklady) je 2400 € a nižšia sa odpisuje jednorazovo pri uvedení do používania. Predpokladaná doba používania, metóda odpisovania a odpisová sadzba sú uvedené v nasledujúcej tabuľke:</w:t>
      </w:r>
    </w:p>
    <w:p w:rsidR="0042512F" w:rsidRPr="00BB5992" w:rsidRDefault="0042512F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tbl>
      <w:tblPr>
        <w:tblW w:w="8817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42512F" w:rsidRPr="00C5374D" w:rsidTr="00A57764">
        <w:trPr>
          <w:trHeight w:val="250"/>
        </w:trPr>
        <w:tc>
          <w:tcPr>
            <w:tcW w:w="3402" w:type="dxa"/>
            <w:gridSpan w:val="2"/>
          </w:tcPr>
          <w:p w:rsidR="0042512F" w:rsidRPr="00BB5992" w:rsidRDefault="0042512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br w:type="page"/>
            </w:r>
          </w:p>
        </w:tc>
        <w:tc>
          <w:tcPr>
            <w:tcW w:w="1559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predpokladaná</w:t>
            </w:r>
          </w:p>
        </w:tc>
        <w:tc>
          <w:tcPr>
            <w:tcW w:w="1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ročná odpisová</w:t>
            </w:r>
          </w:p>
        </w:tc>
      </w:tr>
      <w:tr w:rsidR="0042512F" w:rsidRPr="00C5374D" w:rsidTr="00A5776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2512F" w:rsidRPr="00BB5992" w:rsidRDefault="0042512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26" w:type="dxa"/>
          </w:tcPr>
          <w:p w:rsidR="0042512F" w:rsidRPr="00BB5992" w:rsidRDefault="0042512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doba používania</w:t>
            </w:r>
          </w:p>
        </w:tc>
        <w:tc>
          <w:tcPr>
            <w:tcW w:w="1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odpisovania</w:t>
            </w:r>
          </w:p>
        </w:tc>
        <w:tc>
          <w:tcPr>
            <w:tcW w:w="1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sadzba v %</w:t>
            </w:r>
          </w:p>
        </w:tc>
      </w:tr>
      <w:tr w:rsidR="0042512F" w:rsidRPr="00C5374D" w:rsidTr="00A57764">
        <w:trPr>
          <w:trHeight w:val="205"/>
        </w:trPr>
        <w:tc>
          <w:tcPr>
            <w:tcW w:w="3402" w:type="dxa"/>
            <w:gridSpan w:val="2"/>
          </w:tcPr>
          <w:p w:rsidR="0042512F" w:rsidRPr="00BB5992" w:rsidRDefault="0042512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zriaďovacie náklady</w:t>
            </w:r>
          </w:p>
        </w:tc>
        <w:tc>
          <w:tcPr>
            <w:tcW w:w="1559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1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</w:tr>
      <w:tr w:rsidR="0042512F" w:rsidRPr="00C5374D" w:rsidTr="00A57764">
        <w:trPr>
          <w:trHeight w:val="250"/>
        </w:trPr>
        <w:tc>
          <w:tcPr>
            <w:tcW w:w="3402" w:type="dxa"/>
            <w:gridSpan w:val="2"/>
          </w:tcPr>
          <w:p w:rsidR="0042512F" w:rsidRPr="00BB5992" w:rsidRDefault="0042512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aktivované náklady na vývoj</w:t>
            </w:r>
          </w:p>
        </w:tc>
        <w:tc>
          <w:tcPr>
            <w:tcW w:w="1559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1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</w:tr>
      <w:tr w:rsidR="0042512F" w:rsidRPr="00C5374D" w:rsidTr="00A57764">
        <w:trPr>
          <w:trHeight w:val="250"/>
        </w:trPr>
        <w:tc>
          <w:tcPr>
            <w:tcW w:w="3402" w:type="dxa"/>
            <w:gridSpan w:val="2"/>
          </w:tcPr>
          <w:p w:rsidR="0042512F" w:rsidRPr="00BB5992" w:rsidRDefault="0042512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softvér</w:t>
            </w:r>
          </w:p>
        </w:tc>
        <w:tc>
          <w:tcPr>
            <w:tcW w:w="1559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4</w:t>
            </w:r>
          </w:p>
        </w:tc>
        <w:tc>
          <w:tcPr>
            <w:tcW w:w="1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25</w:t>
            </w:r>
          </w:p>
        </w:tc>
      </w:tr>
      <w:tr w:rsidR="0042512F" w:rsidRPr="00C5374D" w:rsidTr="00A57764">
        <w:trPr>
          <w:trHeight w:val="94"/>
        </w:trPr>
        <w:tc>
          <w:tcPr>
            <w:tcW w:w="3402" w:type="dxa"/>
            <w:gridSpan w:val="2"/>
          </w:tcPr>
          <w:p w:rsidR="0042512F" w:rsidRPr="00BB5992" w:rsidRDefault="0042512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oceniteľné práva (licencia)</w:t>
            </w:r>
          </w:p>
        </w:tc>
        <w:tc>
          <w:tcPr>
            <w:tcW w:w="1559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1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</w:tr>
      <w:tr w:rsidR="0042512F" w:rsidRPr="00C5374D" w:rsidTr="00A57764">
        <w:trPr>
          <w:trHeight w:val="250"/>
        </w:trPr>
        <w:tc>
          <w:tcPr>
            <w:tcW w:w="3402" w:type="dxa"/>
            <w:gridSpan w:val="2"/>
          </w:tcPr>
          <w:p w:rsidR="0042512F" w:rsidRPr="00BB5992" w:rsidRDefault="0042512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drobný dlhodobý nehmotný majetok</w:t>
            </w:r>
          </w:p>
        </w:tc>
        <w:tc>
          <w:tcPr>
            <w:tcW w:w="1559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rôzna</w:t>
            </w:r>
          </w:p>
        </w:tc>
        <w:tc>
          <w:tcPr>
            <w:tcW w:w="1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100</w:t>
            </w:r>
          </w:p>
        </w:tc>
      </w:tr>
    </w:tbl>
    <w:p w:rsidR="0042512F" w:rsidRPr="00BB5992" w:rsidRDefault="0042512F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p w:rsidR="0042512F" w:rsidRPr="00BB5992" w:rsidRDefault="0042512F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Odpisy dlhodobého hmotného majetku sú stanovené vychádzajúc z predpokladanej doby jeho používania a predpokladaného priebehu jeho opotrebovania. Odpisovať sa začína dňom obstarania v mesiaci po uvedení dlhodobého majetku do používania. Dlhodobý hmotný majetok, ktorého obstarávacia cena (resp. vlastné náklady) je 1700 € a nižšia, sa odpisuje jednorazovo pri uvedení do používania. Pozemky sa neodpisujú. Predpokladaná doba používania, metóda odpisovania a odpisová sadzba sú uvedené v nasledujúcej tabuľke:</w:t>
      </w:r>
    </w:p>
    <w:p w:rsidR="0042512F" w:rsidRPr="00BB5992" w:rsidRDefault="0042512F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2512F" w:rsidRPr="00C5374D" w:rsidTr="00A57764">
        <w:trPr>
          <w:trHeight w:val="250"/>
        </w:trPr>
        <w:tc>
          <w:tcPr>
            <w:tcW w:w="3402" w:type="dxa"/>
            <w:gridSpan w:val="2"/>
          </w:tcPr>
          <w:p w:rsidR="0042512F" w:rsidRPr="00BB5992" w:rsidRDefault="0042512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ročná odpisová</w:t>
            </w:r>
          </w:p>
        </w:tc>
      </w:tr>
      <w:tr w:rsidR="0042512F" w:rsidRPr="00C5374D" w:rsidTr="00A5776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2512F" w:rsidRPr="00BB5992" w:rsidRDefault="0042512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26" w:type="dxa"/>
          </w:tcPr>
          <w:p w:rsidR="0042512F" w:rsidRPr="00BB5992" w:rsidRDefault="0042512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doba používania</w:t>
            </w:r>
          </w:p>
        </w:tc>
        <w:tc>
          <w:tcPr>
            <w:tcW w:w="141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odpisovania</w:t>
            </w:r>
          </w:p>
        </w:tc>
        <w:tc>
          <w:tcPr>
            <w:tcW w:w="1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sadzba v %</w:t>
            </w:r>
          </w:p>
        </w:tc>
      </w:tr>
      <w:tr w:rsidR="0042512F" w:rsidRPr="00C5374D" w:rsidTr="00A57764">
        <w:trPr>
          <w:trHeight w:val="250"/>
        </w:trPr>
        <w:tc>
          <w:tcPr>
            <w:tcW w:w="3402" w:type="dxa"/>
            <w:gridSpan w:val="2"/>
          </w:tcPr>
          <w:p w:rsidR="0042512F" w:rsidRPr="00BB5992" w:rsidRDefault="0042512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stavby</w:t>
            </w:r>
          </w:p>
        </w:tc>
        <w:tc>
          <w:tcPr>
            <w:tcW w:w="1701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  <w:tc>
          <w:tcPr>
            <w:tcW w:w="141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</w:tr>
      <w:tr w:rsidR="0042512F" w:rsidRPr="00C5374D" w:rsidTr="00A57764">
        <w:trPr>
          <w:trHeight w:val="250"/>
        </w:trPr>
        <w:tc>
          <w:tcPr>
            <w:tcW w:w="3402" w:type="dxa"/>
            <w:gridSpan w:val="2"/>
          </w:tcPr>
          <w:p w:rsidR="0042512F" w:rsidRPr="00BB5992" w:rsidRDefault="0042512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stroje, prístroje a zariadenia</w:t>
            </w:r>
          </w:p>
        </w:tc>
        <w:tc>
          <w:tcPr>
            <w:tcW w:w="1701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8 až 12</w:t>
            </w:r>
          </w:p>
        </w:tc>
        <w:tc>
          <w:tcPr>
            <w:tcW w:w="141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8,5 až 12,5</w:t>
            </w:r>
          </w:p>
        </w:tc>
      </w:tr>
      <w:tr w:rsidR="0042512F" w:rsidRPr="00C5374D" w:rsidTr="00A57764">
        <w:trPr>
          <w:trHeight w:val="250"/>
        </w:trPr>
        <w:tc>
          <w:tcPr>
            <w:tcW w:w="3402" w:type="dxa"/>
            <w:gridSpan w:val="2"/>
          </w:tcPr>
          <w:p w:rsidR="0042512F" w:rsidRPr="00BB5992" w:rsidRDefault="0042512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4 až 6</w:t>
            </w:r>
          </w:p>
        </w:tc>
        <w:tc>
          <w:tcPr>
            <w:tcW w:w="141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25 až 16,5</w:t>
            </w:r>
          </w:p>
        </w:tc>
      </w:tr>
      <w:tr w:rsidR="0042512F" w:rsidRPr="00C5374D" w:rsidTr="00A57764">
        <w:trPr>
          <w:trHeight w:val="250"/>
        </w:trPr>
        <w:tc>
          <w:tcPr>
            <w:tcW w:w="3402" w:type="dxa"/>
            <w:gridSpan w:val="2"/>
          </w:tcPr>
          <w:p w:rsidR="0042512F" w:rsidRPr="00BB5992" w:rsidRDefault="0042512F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drobný dlhodobý hmotný majetok</w:t>
            </w:r>
          </w:p>
        </w:tc>
        <w:tc>
          <w:tcPr>
            <w:tcW w:w="1701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42512F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100</w:t>
            </w:r>
          </w:p>
          <w:p w:rsidR="0042512F" w:rsidRPr="00BB5992" w:rsidRDefault="0042512F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42512F" w:rsidRDefault="0042512F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42512F" w:rsidRDefault="0042512F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42512F" w:rsidRPr="0032154F" w:rsidRDefault="0042512F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42512F" w:rsidRPr="00C9201C" w:rsidRDefault="0042512F" w:rsidP="00C9201C">
      <w:pPr>
        <w:rPr>
          <w:b/>
        </w:rPr>
      </w:pPr>
    </w:p>
    <w:p w:rsidR="0042512F" w:rsidRDefault="0042512F" w:rsidP="00B27DE5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j) o  dlhodobom finančnom majetku</w:t>
      </w:r>
    </w:p>
    <w:p w:rsidR="0042512F" w:rsidRPr="00C9201C" w:rsidRDefault="0042512F" w:rsidP="00DB3381">
      <w:pPr>
        <w:pStyle w:val="ListParagraph"/>
        <w:ind w:left="426"/>
      </w:pPr>
      <w:r>
        <w:t>Účtovná jednotka neúčtuje ku dňu 31.12.2015  o dlhodobom finančnom majetku</w:t>
      </w:r>
    </w:p>
    <w:p w:rsidR="0042512F" w:rsidRPr="00BB5992" w:rsidRDefault="0042512F"/>
    <w:p w:rsidR="0042512F" w:rsidRDefault="0042512F" w:rsidP="00AC1B07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j) a l) o poskytnutých dlhodobých pôžičkách</w:t>
      </w:r>
    </w:p>
    <w:p w:rsidR="0042512F" w:rsidRPr="00C9201C" w:rsidRDefault="0042512F" w:rsidP="00C9201C">
      <w:r>
        <w:rPr>
          <w:b/>
        </w:rPr>
        <w:t xml:space="preserve">        </w:t>
      </w:r>
      <w:r w:rsidRPr="00C9201C">
        <w:t>Účtovná jednotka neúčtuj</w:t>
      </w:r>
      <w:r>
        <w:t>e o poskytnutých dlhodobých pôžičkách.</w:t>
      </w:r>
    </w:p>
    <w:p w:rsidR="0042512F" w:rsidRPr="00BB5992" w:rsidRDefault="0042512F"/>
    <w:p w:rsidR="0042512F" w:rsidRPr="00BB5992" w:rsidRDefault="0042512F"/>
    <w:p w:rsidR="0042512F" w:rsidRDefault="0042512F" w:rsidP="00BB5992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s) o vekovej štruktúre pohľadávok</w:t>
      </w:r>
    </w:p>
    <w:p w:rsidR="0042512F" w:rsidRDefault="0042512F" w:rsidP="00F83396">
      <w:pPr>
        <w:pStyle w:val="ListParagraph"/>
        <w:ind w:left="426"/>
      </w:pPr>
      <w:r>
        <w:t xml:space="preserve">Účtovná jednotka ku dňu  31.12.2015 eviduje  pohľadávky z obchodného styku  5 895 € </w:t>
      </w:r>
    </w:p>
    <w:p w:rsidR="0042512F" w:rsidRDefault="0042512F" w:rsidP="00F83396">
      <w:pPr>
        <w:pStyle w:val="ListParagraph"/>
        <w:ind w:left="426"/>
      </w:pPr>
      <w:r>
        <w:t>( V lehote splatnosti  1 587 €.  Po lehote splatnosti 4 150 €  Poskytnuté preddavky</w:t>
      </w:r>
    </w:p>
    <w:p w:rsidR="0042512F" w:rsidRDefault="0042512F" w:rsidP="00F83396">
      <w:pPr>
        <w:pStyle w:val="ListParagraph"/>
        <w:ind w:left="426"/>
      </w:pPr>
      <w:r>
        <w:t xml:space="preserve"> 158 €)  Ostatné pohľadávky v lehote splatnosti  5 426 €, daňové pohľadávky 34 € </w:t>
      </w:r>
    </w:p>
    <w:p w:rsidR="0042512F" w:rsidRDefault="0042512F" w:rsidP="00F83396">
      <w:pPr>
        <w:pStyle w:val="ListParagraph"/>
        <w:ind w:left="426"/>
      </w:pPr>
      <w:r>
        <w:t xml:space="preserve">Spolu krátkodobé pohľadávky 11 355 €. </w:t>
      </w:r>
    </w:p>
    <w:p w:rsidR="0042512F" w:rsidRDefault="0042512F"/>
    <w:p w:rsidR="0042512F" w:rsidRDefault="0042512F"/>
    <w:p w:rsidR="0042512F" w:rsidRPr="00BB5992" w:rsidRDefault="0042512F"/>
    <w:p w:rsidR="0042512F" w:rsidRDefault="0042512F" w:rsidP="00317691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w) o krátkodobom finančnom majetku</w:t>
      </w:r>
    </w:p>
    <w:p w:rsidR="0042512F" w:rsidRDefault="0042512F" w:rsidP="00BB5992">
      <w:pPr>
        <w:rPr>
          <w:b/>
        </w:rPr>
      </w:pPr>
    </w:p>
    <w:p w:rsidR="0042512F" w:rsidRDefault="0042512F" w:rsidP="00BB5992">
      <w:pPr>
        <w:rPr>
          <w:b/>
        </w:rPr>
      </w:pPr>
    </w:p>
    <w:p w:rsidR="0042512F" w:rsidRDefault="0042512F" w:rsidP="00BB5992">
      <w:pPr>
        <w:rPr>
          <w:b/>
        </w:rPr>
      </w:pPr>
    </w:p>
    <w:p w:rsidR="0042512F" w:rsidRDefault="0042512F" w:rsidP="00BB5992">
      <w:pPr>
        <w:rPr>
          <w:b/>
        </w:rPr>
      </w:pPr>
    </w:p>
    <w:p w:rsidR="0042512F" w:rsidRPr="0047616E" w:rsidRDefault="0042512F" w:rsidP="0047616E">
      <w:pPr>
        <w:ind w:left="426"/>
      </w:pPr>
      <w:r w:rsidRPr="0047616E">
        <w:t>Účtovná jednotka ku dňu 31.12.2014 eviduje krátkodobý finančný majetok</w:t>
      </w:r>
    </w:p>
    <w:p w:rsidR="0042512F" w:rsidRDefault="0042512F" w:rsidP="0047616E">
      <w:pPr>
        <w:ind w:left="426"/>
      </w:pPr>
      <w:r w:rsidRPr="0047616E">
        <w:t xml:space="preserve">Pokladnica –        </w:t>
      </w:r>
      <w:r>
        <w:t xml:space="preserve">       20 596</w:t>
      </w:r>
      <w:r w:rsidRPr="0047616E">
        <w:t xml:space="preserve"> € </w:t>
      </w:r>
    </w:p>
    <w:p w:rsidR="0042512F" w:rsidRPr="0047616E" w:rsidRDefault="0042512F" w:rsidP="0047616E">
      <w:pPr>
        <w:ind w:left="426"/>
      </w:pPr>
      <w:r>
        <w:t xml:space="preserve">Ceniny -                            265  €  </w:t>
      </w:r>
    </w:p>
    <w:p w:rsidR="0042512F" w:rsidRPr="0047616E" w:rsidRDefault="0042512F" w:rsidP="0047616E">
      <w:pPr>
        <w:ind w:left="426"/>
      </w:pPr>
      <w:r w:rsidRPr="0047616E">
        <w:t>Bankový účet –</w:t>
      </w:r>
      <w:r>
        <w:t xml:space="preserve">          1 493 </w:t>
      </w:r>
      <w:r w:rsidRPr="0047616E">
        <w:t xml:space="preserve"> € </w:t>
      </w:r>
    </w:p>
    <w:p w:rsidR="0042512F" w:rsidRPr="0047616E" w:rsidRDefault="0042512F" w:rsidP="0047616E">
      <w:pPr>
        <w:ind w:left="426"/>
      </w:pPr>
      <w:r w:rsidRPr="0047616E">
        <w:t xml:space="preserve">Spolu -               </w:t>
      </w:r>
      <w:r>
        <w:t xml:space="preserve">       22 354  </w:t>
      </w:r>
      <w:r w:rsidRPr="0047616E">
        <w:t xml:space="preserve">€ </w:t>
      </w:r>
    </w:p>
    <w:p w:rsidR="0042512F" w:rsidRPr="00BB5992" w:rsidRDefault="0042512F"/>
    <w:p w:rsidR="0042512F" w:rsidRDefault="0042512F"/>
    <w:p w:rsidR="0042512F" w:rsidRDefault="0042512F"/>
    <w:p w:rsidR="0042512F" w:rsidRPr="00BB5992" w:rsidRDefault="0042512F"/>
    <w:p w:rsidR="0042512F" w:rsidRDefault="0042512F" w:rsidP="00EB041D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a) tretiemu bodu o rozdelení účtovného zisku alebo o vysporiadaní účtovnej straty</w:t>
      </w:r>
    </w:p>
    <w:p w:rsidR="0042512F" w:rsidRPr="00BB5992" w:rsidRDefault="0042512F" w:rsidP="00BB5992">
      <w:pPr>
        <w:rPr>
          <w:b/>
        </w:rPr>
      </w:pPr>
    </w:p>
    <w:p w:rsidR="0042512F" w:rsidRPr="00BB5992" w:rsidRDefault="0042512F" w:rsidP="00DB3381">
      <w:pPr>
        <w:ind w:left="426"/>
      </w:pPr>
      <w:r>
        <w:t>Spoločnosť za rok 2014 vykázala účtovný zisk vo výške   3 654 €. Zis  bol preúčtovaný na účet  neuhradený  zisk  minulých rokov na základe valného zromaždenia.</w:t>
      </w:r>
    </w:p>
    <w:p w:rsidR="0042512F" w:rsidRDefault="0042512F" w:rsidP="0047616E"/>
    <w:p w:rsidR="0042512F" w:rsidRPr="00BB5992" w:rsidRDefault="0042512F"/>
    <w:p w:rsidR="0042512F" w:rsidRDefault="0042512F" w:rsidP="009C7B1E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b) o rezervách</w:t>
      </w:r>
    </w:p>
    <w:p w:rsidR="0042512F" w:rsidRDefault="0042512F" w:rsidP="0047616E">
      <w:pPr>
        <w:ind w:left="426"/>
      </w:pPr>
      <w:r>
        <w:t>Účtovná jednotka ku dňu 31.12.2014 neúčtuje o krátkodobých rezervách.</w:t>
      </w:r>
    </w:p>
    <w:p w:rsidR="0042512F" w:rsidRDefault="0042512F" w:rsidP="0047616E">
      <w:pPr>
        <w:ind w:left="426"/>
      </w:pPr>
    </w:p>
    <w:p w:rsidR="0042512F" w:rsidRPr="00BB5992" w:rsidRDefault="0042512F" w:rsidP="0047616E">
      <w:pPr>
        <w:ind w:left="426"/>
      </w:pPr>
    </w:p>
    <w:p w:rsidR="0042512F" w:rsidRPr="00BB5992" w:rsidRDefault="0042512F" w:rsidP="00EF5E33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 časti G. písm. c) a d) o záväzkoch</w:t>
      </w:r>
    </w:p>
    <w:p w:rsidR="0042512F" w:rsidRDefault="0042512F" w:rsidP="0047616E">
      <w:pPr>
        <w:ind w:left="426"/>
      </w:pPr>
      <w:r>
        <w:t xml:space="preserve">Účtovná jednotka ku dňu 31.12.2015 eviduje závázky z obchodného styky  43 224 €  (  v lehote </w:t>
      </w:r>
    </w:p>
    <w:p w:rsidR="0042512F" w:rsidRDefault="0042512F" w:rsidP="0047616E">
      <w:pPr>
        <w:ind w:left="426"/>
      </w:pPr>
      <w:r>
        <w:t xml:space="preserve">splatnosti  34 492 € , záväzky z obchodného styku po splatnosti  8 732 € ) ,  daňové záväzky v lehote splatnosti  1 786 €. Záväzky voči zamestnancom 838 €  , o statné krátkodobé </w:t>
      </w:r>
    </w:p>
    <w:p w:rsidR="0042512F" w:rsidRDefault="0042512F" w:rsidP="0047616E">
      <w:pPr>
        <w:ind w:left="426"/>
      </w:pPr>
      <w:r>
        <w:t>záväzky   v lehote splatnosti  25 150 €.</w:t>
      </w:r>
    </w:p>
    <w:p w:rsidR="0042512F" w:rsidRPr="00BB5992" w:rsidRDefault="0042512F" w:rsidP="0047616E">
      <w:pPr>
        <w:ind w:left="426"/>
      </w:pPr>
      <w:r>
        <w:t>Spolu krátkodobé záväzky ku dňu 31.12.2015 -    70 998 €.</w:t>
      </w:r>
    </w:p>
    <w:p w:rsidR="0042512F" w:rsidRPr="00BB5992" w:rsidRDefault="0042512F"/>
    <w:p w:rsidR="0042512F" w:rsidRPr="00BB5992" w:rsidRDefault="0042512F" w:rsidP="004C69B9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i) o bankových úveroch, pôžičkách a krátkodobých finančných výpomociach</w:t>
      </w:r>
    </w:p>
    <w:p w:rsidR="0042512F" w:rsidRDefault="0042512F" w:rsidP="00DB3381">
      <w:pPr>
        <w:ind w:left="426"/>
      </w:pPr>
      <w:r>
        <w:t xml:space="preserve">Účtovná jednotka ku dňu 31.12.2015 účtuje o spotrebnom úveru  UniCredit Leasing Slovakia, s.r.o. na automobil Renault Master. Výška úveru 17 766 €.  . Splatnosť úveru je 05.04.2019, dlžka 48 mesiacov.  </w:t>
      </w:r>
    </w:p>
    <w:p w:rsidR="0042512F" w:rsidRPr="00BB5992" w:rsidRDefault="0042512F"/>
    <w:p w:rsidR="0042512F" w:rsidRDefault="0042512F" w:rsidP="00262928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H. písm. g) o čistom obrate</w:t>
      </w:r>
    </w:p>
    <w:p w:rsidR="0042512F" w:rsidRDefault="0042512F" w:rsidP="000C6480">
      <w:pPr>
        <w:ind w:left="426"/>
      </w:pPr>
      <w:r>
        <w:t xml:space="preserve">Výnosy z predaja tovaru         422 213    €. </w:t>
      </w:r>
    </w:p>
    <w:p w:rsidR="0042512F" w:rsidRDefault="0042512F" w:rsidP="000C6480">
      <w:pPr>
        <w:ind w:left="426"/>
      </w:pPr>
      <w:r>
        <w:t>Výnosy z predaja služieb          23 415     €</w:t>
      </w:r>
    </w:p>
    <w:p w:rsidR="0042512F" w:rsidRDefault="0042512F" w:rsidP="000C6480">
      <w:pPr>
        <w:ind w:left="426"/>
      </w:pPr>
      <w:r>
        <w:t>Ostatné výnosy z HČ                       855      €</w:t>
      </w:r>
    </w:p>
    <w:p w:rsidR="0042512F" w:rsidRDefault="0042512F" w:rsidP="000C6480">
      <w:pPr>
        <w:ind w:left="426"/>
      </w:pPr>
      <w:r>
        <w:t>Čistý obrat                                446 483      €.</w:t>
      </w:r>
    </w:p>
    <w:p w:rsidR="0042512F" w:rsidRDefault="0042512F"/>
    <w:p w:rsidR="0042512F" w:rsidRDefault="0042512F"/>
    <w:p w:rsidR="0042512F" w:rsidRDefault="0042512F"/>
    <w:p w:rsidR="0042512F" w:rsidRDefault="0042512F"/>
    <w:p w:rsidR="0042512F" w:rsidRDefault="0042512F"/>
    <w:p w:rsidR="0042512F" w:rsidRPr="00837AC4" w:rsidRDefault="0042512F" w:rsidP="00837AC4">
      <w:pPr>
        <w:rPr>
          <w:b/>
          <w:u w:val="single"/>
          <w:lang w:val="sk-SK"/>
        </w:rPr>
      </w:pPr>
    </w:p>
    <w:p w:rsidR="0042512F" w:rsidRPr="00BB5992" w:rsidRDefault="0042512F"/>
    <w:p w:rsidR="0042512F" w:rsidRDefault="0042512F" w:rsidP="00C449AA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 časti J.  písm. f) a g) o daniach z príjmov</w:t>
      </w:r>
    </w:p>
    <w:p w:rsidR="0042512F" w:rsidRDefault="0042512F" w:rsidP="000C6480">
      <w:pPr>
        <w:pStyle w:val="ListParagraph"/>
        <w:ind w:left="426"/>
        <w:rPr>
          <w:b/>
        </w:rPr>
      </w:pPr>
      <w:r>
        <w:rPr>
          <w:b/>
        </w:rPr>
        <w:t xml:space="preserve">Výsledok hospodárenia  pred zdanením k 31.12.2015   1 458,94 € </w:t>
      </w:r>
    </w:p>
    <w:p w:rsidR="0042512F" w:rsidRDefault="0042512F" w:rsidP="000C6480">
      <w:pPr>
        <w:pStyle w:val="ListParagraph"/>
        <w:ind w:left="426"/>
        <w:rPr>
          <w:b/>
        </w:rPr>
      </w:pPr>
      <w:r>
        <w:rPr>
          <w:b/>
        </w:rPr>
        <w:t xml:space="preserve">Pripočitateľné položky                                                           3 140,54 € </w:t>
      </w:r>
    </w:p>
    <w:p w:rsidR="0042512F" w:rsidRDefault="0042512F" w:rsidP="000C6480">
      <w:pPr>
        <w:pStyle w:val="ListParagraph"/>
        <w:ind w:left="426"/>
        <w:rPr>
          <w:b/>
        </w:rPr>
      </w:pPr>
      <w:r>
        <w:rPr>
          <w:b/>
        </w:rPr>
        <w:t xml:space="preserve">Odpočitateľné položky                                                                 0,11  € </w:t>
      </w:r>
    </w:p>
    <w:p w:rsidR="0042512F" w:rsidRDefault="0042512F" w:rsidP="000C6480">
      <w:pPr>
        <w:pStyle w:val="ListParagraph"/>
        <w:ind w:left="426"/>
        <w:rPr>
          <w:b/>
        </w:rPr>
      </w:pPr>
      <w:r>
        <w:rPr>
          <w:b/>
        </w:rPr>
        <w:t>Základ dane                                                                              4 599,37 €</w:t>
      </w:r>
    </w:p>
    <w:p w:rsidR="0042512F" w:rsidRDefault="0042512F" w:rsidP="000C6480">
      <w:pPr>
        <w:pStyle w:val="ListParagraph"/>
        <w:ind w:left="426"/>
        <w:rPr>
          <w:b/>
        </w:rPr>
      </w:pPr>
      <w:r>
        <w:rPr>
          <w:b/>
        </w:rPr>
        <w:t>Odpočet daňovej straty                                                         4 599,37  €</w:t>
      </w:r>
    </w:p>
    <w:p w:rsidR="0042512F" w:rsidRDefault="0042512F" w:rsidP="000C6480">
      <w:pPr>
        <w:pStyle w:val="ListParagraph"/>
        <w:ind w:left="426"/>
        <w:rPr>
          <w:b/>
        </w:rPr>
      </w:pPr>
      <w:r>
        <w:rPr>
          <w:b/>
        </w:rPr>
        <w:t>Základ dane                                                                                      0,00 €</w:t>
      </w:r>
    </w:p>
    <w:p w:rsidR="0042512F" w:rsidRDefault="0042512F" w:rsidP="000C6480">
      <w:pPr>
        <w:pStyle w:val="ListParagraph"/>
        <w:ind w:left="426"/>
        <w:rPr>
          <w:b/>
        </w:rPr>
      </w:pPr>
      <w:r>
        <w:rPr>
          <w:b/>
        </w:rPr>
        <w:t xml:space="preserve">Daň 22 %                                                                                           0, 00 € </w:t>
      </w:r>
    </w:p>
    <w:p w:rsidR="0042512F" w:rsidRDefault="0042512F" w:rsidP="000C6480">
      <w:pPr>
        <w:pStyle w:val="ListParagraph"/>
        <w:ind w:left="426"/>
        <w:rPr>
          <w:b/>
        </w:rPr>
      </w:pPr>
      <w:r>
        <w:rPr>
          <w:b/>
        </w:rPr>
        <w:t xml:space="preserve">Daňová licencia                                                                            960,00 € </w:t>
      </w:r>
    </w:p>
    <w:p w:rsidR="0042512F" w:rsidRDefault="0042512F" w:rsidP="000C6480">
      <w:pPr>
        <w:pStyle w:val="ListParagraph"/>
        <w:ind w:left="426"/>
        <w:rPr>
          <w:b/>
        </w:rPr>
      </w:pPr>
      <w:r>
        <w:rPr>
          <w:b/>
        </w:rPr>
        <w:t xml:space="preserve">Splatná daň z príjmu                                                                   960,00 € </w:t>
      </w:r>
    </w:p>
    <w:p w:rsidR="0042512F" w:rsidRPr="00BB5992" w:rsidRDefault="0042512F"/>
    <w:p w:rsidR="0042512F" w:rsidRPr="00BB5992" w:rsidRDefault="0042512F"/>
    <w:p w:rsidR="0042512F" w:rsidRPr="00945FD5" w:rsidRDefault="0042512F" w:rsidP="00945FD5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t>Informácie k prílohe č. 3 časti P. o zmenách vlastného imania</w:t>
      </w:r>
      <w:r>
        <w:t xml:space="preserve"> k 31.12.2015    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56"/>
        <w:gridCol w:w="1417"/>
        <w:gridCol w:w="1417"/>
        <w:gridCol w:w="1417"/>
        <w:gridCol w:w="1417"/>
        <w:gridCol w:w="1417"/>
      </w:tblGrid>
      <w:tr w:rsidR="0042512F" w:rsidTr="00E534DB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512F" w:rsidRDefault="0042512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42512F" w:rsidTr="00E534DB">
        <w:trPr>
          <w:jc w:val="center"/>
        </w:trPr>
        <w:tc>
          <w:tcPr>
            <w:tcW w:w="215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2512F" w:rsidRDefault="0042512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2512F" w:rsidRDefault="0042512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2512F" w:rsidRDefault="0042512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2512F" w:rsidRDefault="0042512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2512F" w:rsidRDefault="0042512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2512F" w:rsidRDefault="0042512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42512F" w:rsidTr="00E534DB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512F" w:rsidRDefault="0042512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512F" w:rsidRDefault="0042512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42512F" w:rsidTr="00E534DB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42512F" w:rsidTr="00E534D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pStyle w:val="Value"/>
              <w:rPr>
                <w:sz w:val="21"/>
                <w:szCs w:val="21"/>
              </w:rPr>
            </w:pPr>
          </w:p>
        </w:tc>
      </w:tr>
      <w:tr w:rsidR="0042512F" w:rsidTr="00E534D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pStyle w:val="Value"/>
              <w:rPr>
                <w:sz w:val="21"/>
                <w:szCs w:val="21"/>
              </w:rPr>
            </w:pPr>
          </w:p>
        </w:tc>
      </w:tr>
      <w:tr w:rsidR="0042512F" w:rsidTr="00E534DB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pStyle w:val="Value"/>
              <w:rPr>
                <w:sz w:val="21"/>
                <w:szCs w:val="21"/>
              </w:rPr>
            </w:pPr>
          </w:p>
        </w:tc>
      </w:tr>
      <w:tr w:rsidR="0042512F" w:rsidTr="00E534D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2512F" w:rsidTr="00E534D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42512F" w:rsidTr="00E534D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512F" w:rsidRDefault="0042512F" w:rsidP="008B31AC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42512F" w:rsidTr="00E534DB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2512F" w:rsidTr="00E534D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2512F" w:rsidTr="00E534DB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2512F" w:rsidRDefault="0042512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2512F" w:rsidTr="00E534DB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2512F" w:rsidTr="00E534DB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2512F" w:rsidTr="00E534DB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2512F" w:rsidTr="00E534D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3 654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3 654</w:t>
            </w:r>
          </w:p>
        </w:tc>
      </w:tr>
      <w:tr w:rsidR="0042512F" w:rsidTr="00E534D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- 38 710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- 38 710</w:t>
            </w:r>
          </w:p>
        </w:tc>
      </w:tr>
      <w:tr w:rsidR="0042512F" w:rsidTr="00E534DB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3 654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499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 w:rsidP="008B31AC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3 654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 w:rsidP="008B31AC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499</w:t>
            </w:r>
          </w:p>
        </w:tc>
      </w:tr>
      <w:tr w:rsidR="0042512F" w:rsidTr="00E534DB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2512F" w:rsidTr="00E534D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Vlastné imanie spolu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- 30 056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4 153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512F" w:rsidRDefault="0042512F" w:rsidP="00E172E4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3 654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512F" w:rsidRDefault="0042512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-29 558</w:t>
            </w:r>
          </w:p>
        </w:tc>
      </w:tr>
    </w:tbl>
    <w:p w:rsidR="0042512F" w:rsidRDefault="0042512F" w:rsidP="000019B0"/>
    <w:sectPr w:rsidR="0042512F" w:rsidSect="00DA790C">
      <w:headerReference w:type="default" r:id="rId7"/>
      <w:footerReference w:type="default" r:id="rId8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512F" w:rsidRDefault="0042512F" w:rsidP="00F800C9">
      <w:pPr>
        <w:spacing w:line="240" w:lineRule="auto"/>
      </w:pPr>
      <w:r>
        <w:separator/>
      </w:r>
    </w:p>
  </w:endnote>
  <w:endnote w:type="continuationSeparator" w:id="0">
    <w:p w:rsidR="0042512F" w:rsidRDefault="0042512F" w:rsidP="00F800C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2F" w:rsidRDefault="0042512F" w:rsidP="00E172E4">
    <w:pPr>
      <w:pStyle w:val="Footer"/>
      <w:jc w:val="right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>
      <w:rPr>
        <w:b/>
        <w:bCs/>
        <w:noProof/>
      </w:rPr>
      <w:t>4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512F" w:rsidRDefault="0042512F" w:rsidP="00F800C9">
      <w:pPr>
        <w:spacing w:line="240" w:lineRule="auto"/>
      </w:pPr>
      <w:r>
        <w:separator/>
      </w:r>
    </w:p>
  </w:footnote>
  <w:footnote w:type="continuationSeparator" w:id="0">
    <w:p w:rsidR="0042512F" w:rsidRDefault="0042512F" w:rsidP="00F800C9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512F" w:rsidRPr="00945FD5" w:rsidRDefault="0042512F">
    <w:pPr>
      <w:pStyle w:val="Header"/>
      <w:rPr>
        <w:lang w:val="sk-SK"/>
      </w:rPr>
    </w:pPr>
    <w:r>
      <w:rPr>
        <w:lang w:val="sk-SK"/>
      </w:rPr>
      <w:t>Poznámky Úč.MÚJ 3-01, IČO: 45 977 232, DIČ: 2023168543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C453B"/>
    <w:multiLevelType w:val="hybridMultilevel"/>
    <w:tmpl w:val="F03836F4"/>
    <w:lvl w:ilvl="0" w:tplc="A224CC18">
      <w:start w:val="1"/>
      <w:numFmt w:val="decimal"/>
      <w:pStyle w:val="Prilohacim"/>
      <w:lvlText w:val="%1.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3">
    <w:nsid w:val="17054185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64375F1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00C9"/>
    <w:rsid w:val="000019B0"/>
    <w:rsid w:val="00002D97"/>
    <w:rsid w:val="00024973"/>
    <w:rsid w:val="00031F94"/>
    <w:rsid w:val="000341BA"/>
    <w:rsid w:val="00065932"/>
    <w:rsid w:val="0009070F"/>
    <w:rsid w:val="000B09E3"/>
    <w:rsid w:val="000C6480"/>
    <w:rsid w:val="000C7D54"/>
    <w:rsid w:val="000F7B11"/>
    <w:rsid w:val="00104E1C"/>
    <w:rsid w:val="00111032"/>
    <w:rsid w:val="0011146D"/>
    <w:rsid w:val="001121ED"/>
    <w:rsid w:val="0014580E"/>
    <w:rsid w:val="00166F5A"/>
    <w:rsid w:val="00181840"/>
    <w:rsid w:val="00183662"/>
    <w:rsid w:val="00184174"/>
    <w:rsid w:val="001A48A6"/>
    <w:rsid w:val="001C70AD"/>
    <w:rsid w:val="001D0A12"/>
    <w:rsid w:val="001D28EC"/>
    <w:rsid w:val="001E0D3C"/>
    <w:rsid w:val="001F3B39"/>
    <w:rsid w:val="00214CEC"/>
    <w:rsid w:val="00236BF3"/>
    <w:rsid w:val="00262928"/>
    <w:rsid w:val="00267138"/>
    <w:rsid w:val="00282140"/>
    <w:rsid w:val="00286FAA"/>
    <w:rsid w:val="002B150C"/>
    <w:rsid w:val="002B4D0B"/>
    <w:rsid w:val="002B6748"/>
    <w:rsid w:val="002D3017"/>
    <w:rsid w:val="002E23D5"/>
    <w:rsid w:val="002E4EBC"/>
    <w:rsid w:val="002F0850"/>
    <w:rsid w:val="002F35A6"/>
    <w:rsid w:val="003102E9"/>
    <w:rsid w:val="00317691"/>
    <w:rsid w:val="003210A0"/>
    <w:rsid w:val="0032154F"/>
    <w:rsid w:val="00323E67"/>
    <w:rsid w:val="00326367"/>
    <w:rsid w:val="00341771"/>
    <w:rsid w:val="00365A96"/>
    <w:rsid w:val="00365ABC"/>
    <w:rsid w:val="003703D8"/>
    <w:rsid w:val="00382340"/>
    <w:rsid w:val="003A5768"/>
    <w:rsid w:val="003B2491"/>
    <w:rsid w:val="003B2E5D"/>
    <w:rsid w:val="003B5340"/>
    <w:rsid w:val="003F7250"/>
    <w:rsid w:val="00404234"/>
    <w:rsid w:val="0041388C"/>
    <w:rsid w:val="00422F7C"/>
    <w:rsid w:val="0042512F"/>
    <w:rsid w:val="00441B73"/>
    <w:rsid w:val="00444C39"/>
    <w:rsid w:val="00464781"/>
    <w:rsid w:val="00465C82"/>
    <w:rsid w:val="0047616E"/>
    <w:rsid w:val="00487053"/>
    <w:rsid w:val="004A2F9D"/>
    <w:rsid w:val="004A4AAF"/>
    <w:rsid w:val="004C211E"/>
    <w:rsid w:val="004C69B9"/>
    <w:rsid w:val="004C7B4D"/>
    <w:rsid w:val="004D27F5"/>
    <w:rsid w:val="004D333A"/>
    <w:rsid w:val="004F64A6"/>
    <w:rsid w:val="00513FAD"/>
    <w:rsid w:val="005248EF"/>
    <w:rsid w:val="00534125"/>
    <w:rsid w:val="00561FF8"/>
    <w:rsid w:val="0059074F"/>
    <w:rsid w:val="005A1409"/>
    <w:rsid w:val="005A1CBA"/>
    <w:rsid w:val="005B7B20"/>
    <w:rsid w:val="005D351A"/>
    <w:rsid w:val="005D6ECD"/>
    <w:rsid w:val="00604D53"/>
    <w:rsid w:val="0061022A"/>
    <w:rsid w:val="00630D88"/>
    <w:rsid w:val="00647E93"/>
    <w:rsid w:val="00657D3D"/>
    <w:rsid w:val="00665A3E"/>
    <w:rsid w:val="006849E4"/>
    <w:rsid w:val="006B0345"/>
    <w:rsid w:val="00710684"/>
    <w:rsid w:val="007142D3"/>
    <w:rsid w:val="00714343"/>
    <w:rsid w:val="00722A54"/>
    <w:rsid w:val="007420A7"/>
    <w:rsid w:val="00742DD4"/>
    <w:rsid w:val="00747D66"/>
    <w:rsid w:val="00750C8E"/>
    <w:rsid w:val="007553FB"/>
    <w:rsid w:val="00775FBF"/>
    <w:rsid w:val="00784D30"/>
    <w:rsid w:val="007C5700"/>
    <w:rsid w:val="007D3247"/>
    <w:rsid w:val="007E4735"/>
    <w:rsid w:val="00800667"/>
    <w:rsid w:val="00802ED6"/>
    <w:rsid w:val="00803FA1"/>
    <w:rsid w:val="00804FBC"/>
    <w:rsid w:val="0081080B"/>
    <w:rsid w:val="00837AC4"/>
    <w:rsid w:val="00846DB9"/>
    <w:rsid w:val="0085383B"/>
    <w:rsid w:val="00855D95"/>
    <w:rsid w:val="00876D37"/>
    <w:rsid w:val="00880795"/>
    <w:rsid w:val="008B2040"/>
    <w:rsid w:val="008B31AC"/>
    <w:rsid w:val="008F43E5"/>
    <w:rsid w:val="008F759F"/>
    <w:rsid w:val="00922E47"/>
    <w:rsid w:val="009346D0"/>
    <w:rsid w:val="00935D9C"/>
    <w:rsid w:val="00945FD5"/>
    <w:rsid w:val="00962C33"/>
    <w:rsid w:val="00965379"/>
    <w:rsid w:val="0096647D"/>
    <w:rsid w:val="00976C73"/>
    <w:rsid w:val="00994209"/>
    <w:rsid w:val="00995D17"/>
    <w:rsid w:val="00997D6B"/>
    <w:rsid w:val="009A3C03"/>
    <w:rsid w:val="009C0D8D"/>
    <w:rsid w:val="009C7B1E"/>
    <w:rsid w:val="009D3941"/>
    <w:rsid w:val="009E29E3"/>
    <w:rsid w:val="009E3D93"/>
    <w:rsid w:val="00A02C7F"/>
    <w:rsid w:val="00A04725"/>
    <w:rsid w:val="00A3071C"/>
    <w:rsid w:val="00A308BA"/>
    <w:rsid w:val="00A34B7D"/>
    <w:rsid w:val="00A57764"/>
    <w:rsid w:val="00A7762F"/>
    <w:rsid w:val="00AA40EB"/>
    <w:rsid w:val="00AB0881"/>
    <w:rsid w:val="00AB4977"/>
    <w:rsid w:val="00AC1B07"/>
    <w:rsid w:val="00AD610E"/>
    <w:rsid w:val="00B07B59"/>
    <w:rsid w:val="00B2704A"/>
    <w:rsid w:val="00B27DE5"/>
    <w:rsid w:val="00B74875"/>
    <w:rsid w:val="00B76113"/>
    <w:rsid w:val="00B77822"/>
    <w:rsid w:val="00B86D24"/>
    <w:rsid w:val="00B9185E"/>
    <w:rsid w:val="00B9677C"/>
    <w:rsid w:val="00BA79D0"/>
    <w:rsid w:val="00BB5992"/>
    <w:rsid w:val="00BC2E31"/>
    <w:rsid w:val="00BD0D57"/>
    <w:rsid w:val="00BF1266"/>
    <w:rsid w:val="00C0318C"/>
    <w:rsid w:val="00C10350"/>
    <w:rsid w:val="00C178B4"/>
    <w:rsid w:val="00C40F82"/>
    <w:rsid w:val="00C449AA"/>
    <w:rsid w:val="00C5374D"/>
    <w:rsid w:val="00C9201C"/>
    <w:rsid w:val="00C9470C"/>
    <w:rsid w:val="00CA7A99"/>
    <w:rsid w:val="00CB4A78"/>
    <w:rsid w:val="00CC247A"/>
    <w:rsid w:val="00D16447"/>
    <w:rsid w:val="00D275B1"/>
    <w:rsid w:val="00D35417"/>
    <w:rsid w:val="00D408C7"/>
    <w:rsid w:val="00D447BB"/>
    <w:rsid w:val="00D53A75"/>
    <w:rsid w:val="00D72AAA"/>
    <w:rsid w:val="00D74445"/>
    <w:rsid w:val="00D943EE"/>
    <w:rsid w:val="00D9603C"/>
    <w:rsid w:val="00D97445"/>
    <w:rsid w:val="00DA2501"/>
    <w:rsid w:val="00DA42E7"/>
    <w:rsid w:val="00DA71DA"/>
    <w:rsid w:val="00DA790C"/>
    <w:rsid w:val="00DB3381"/>
    <w:rsid w:val="00DC1935"/>
    <w:rsid w:val="00DD619B"/>
    <w:rsid w:val="00DE3816"/>
    <w:rsid w:val="00E0095C"/>
    <w:rsid w:val="00E10844"/>
    <w:rsid w:val="00E172E4"/>
    <w:rsid w:val="00E223BF"/>
    <w:rsid w:val="00E24EC6"/>
    <w:rsid w:val="00E534DB"/>
    <w:rsid w:val="00E6642F"/>
    <w:rsid w:val="00E80BDA"/>
    <w:rsid w:val="00E943B7"/>
    <w:rsid w:val="00EB041D"/>
    <w:rsid w:val="00EB1377"/>
    <w:rsid w:val="00EB4C42"/>
    <w:rsid w:val="00EC032D"/>
    <w:rsid w:val="00ED3EBE"/>
    <w:rsid w:val="00EE15C0"/>
    <w:rsid w:val="00EE4A1E"/>
    <w:rsid w:val="00EF5E33"/>
    <w:rsid w:val="00F000C2"/>
    <w:rsid w:val="00F31514"/>
    <w:rsid w:val="00F363BE"/>
    <w:rsid w:val="00F606AA"/>
    <w:rsid w:val="00F64C66"/>
    <w:rsid w:val="00F800C9"/>
    <w:rsid w:val="00F83396"/>
    <w:rsid w:val="00F86AC1"/>
    <w:rsid w:val="00FA2BA2"/>
    <w:rsid w:val="00FB2724"/>
    <w:rsid w:val="00FB3760"/>
    <w:rsid w:val="00FC0F95"/>
    <w:rsid w:val="00FC7417"/>
    <w:rsid w:val="00FD0328"/>
    <w:rsid w:val="00FD6A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3017"/>
    <w:pPr>
      <w:spacing w:line="259" w:lineRule="auto"/>
    </w:pPr>
    <w:rPr>
      <w:lang w:val="hu-HU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95D17"/>
    <w:pPr>
      <w:keepNext/>
      <w:spacing w:before="240" w:after="60" w:line="240" w:lineRule="auto"/>
      <w:outlineLvl w:val="0"/>
    </w:pPr>
    <w:rPr>
      <w:rFonts w:ascii="Cambria" w:eastAsia="Times New Roman" w:hAnsi="Cambria"/>
      <w:b/>
      <w:bCs/>
      <w:kern w:val="32"/>
      <w:sz w:val="32"/>
      <w:szCs w:val="32"/>
      <w:lang w:val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95D17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val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95D17"/>
    <w:rPr>
      <w:rFonts w:ascii="Cambria" w:hAnsi="Cambria" w:cs="Times New Roman"/>
      <w:b/>
      <w:bCs/>
      <w:kern w:val="32"/>
      <w:sz w:val="32"/>
      <w:szCs w:val="32"/>
      <w:lang w:val="sk-SK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995D17"/>
    <w:rPr>
      <w:rFonts w:ascii="Cambria" w:hAnsi="Cambria" w:cs="Times New Roman"/>
      <w:b/>
      <w:bCs/>
      <w:i/>
      <w:iCs/>
      <w:sz w:val="28"/>
      <w:szCs w:val="28"/>
      <w:lang w:val="sk-SK"/>
    </w:rPr>
  </w:style>
  <w:style w:type="paragraph" w:styleId="Header">
    <w:name w:val="header"/>
    <w:basedOn w:val="Normal"/>
    <w:link w:val="HeaderChar"/>
    <w:uiPriority w:val="99"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F800C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F800C9"/>
    <w:rPr>
      <w:rFonts w:cs="Times New Roman"/>
    </w:rPr>
  </w:style>
  <w:style w:type="table" w:styleId="TableGrid">
    <w:name w:val="Table Grid"/>
    <w:basedOn w:val="TableNormal"/>
    <w:uiPriority w:val="99"/>
    <w:rsid w:val="00F800C9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link w:val="ListParagraph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ListParagraph"/>
    <w:link w:val="PrilohacimChar"/>
    <w:uiPriority w:val="99"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DefaultParagraphFont"/>
    <w:link w:val="Prilohacim"/>
    <w:uiPriority w:val="99"/>
    <w:locked/>
    <w:rsid w:val="00FD6AB6"/>
    <w:rPr>
      <w:rFonts w:cs="Times New Roman"/>
      <w:b/>
    </w:rPr>
  </w:style>
  <w:style w:type="character" w:styleId="Hyperlink">
    <w:name w:val="Hyperlink"/>
    <w:basedOn w:val="DefaultParagraphFont"/>
    <w:uiPriority w:val="99"/>
    <w:rsid w:val="00267138"/>
    <w:rPr>
      <w:rFonts w:cs="Times New Roman"/>
      <w:color w:val="0563C1"/>
      <w:u w:val="single"/>
    </w:rPr>
  </w:style>
  <w:style w:type="character" w:customStyle="1" w:styleId="ListParagraphChar">
    <w:name w:val="List Paragraph Char"/>
    <w:basedOn w:val="DefaultParagraphFont"/>
    <w:link w:val="ListParagraph"/>
    <w:uiPriority w:val="99"/>
    <w:locked/>
    <w:rsid w:val="003B2491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C211E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99"/>
    <w:rsid w:val="00995D17"/>
    <w:pPr>
      <w:spacing w:line="240" w:lineRule="auto"/>
      <w:jc w:val="both"/>
    </w:pPr>
    <w:rPr>
      <w:rFonts w:ascii="Times New Roman" w:eastAsia="Times New Roman" w:hAnsi="Times New Roman"/>
      <w:b/>
      <w:bCs/>
      <w:sz w:val="24"/>
      <w:szCs w:val="24"/>
      <w:lang w:val="sk-SK"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995D17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customStyle="1" w:styleId="Pismenka">
    <w:name w:val="Pismenka"/>
    <w:basedOn w:val="BodyText"/>
    <w:uiPriority w:val="99"/>
    <w:rsid w:val="00995D17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al"/>
    <w:uiPriority w:val="99"/>
    <w:rsid w:val="00995D17"/>
    <w:pPr>
      <w:spacing w:line="240" w:lineRule="auto"/>
    </w:pPr>
    <w:rPr>
      <w:rFonts w:ascii="Times New Roman" w:eastAsia="Times New Roman" w:hAnsi="Times New Roman"/>
      <w:color w:val="000000"/>
      <w:sz w:val="18"/>
      <w:szCs w:val="20"/>
      <w:lang w:val="sk-SK"/>
    </w:rPr>
  </w:style>
  <w:style w:type="paragraph" w:customStyle="1" w:styleId="TopHeader">
    <w:name w:val="Top Header"/>
    <w:basedOn w:val="Normal"/>
    <w:uiPriority w:val="99"/>
    <w:rsid w:val="00E534DB"/>
    <w:pPr>
      <w:spacing w:line="240" w:lineRule="auto"/>
      <w:jc w:val="center"/>
    </w:pPr>
    <w:rPr>
      <w:rFonts w:ascii="Arial Narrow" w:hAnsi="Arial Narrow"/>
      <w:b/>
      <w:bCs/>
      <w:lang w:val="sk-SK"/>
    </w:rPr>
  </w:style>
  <w:style w:type="character" w:customStyle="1" w:styleId="ValueChar">
    <w:name w:val="Value Char"/>
    <w:basedOn w:val="DefaultParagraphFont"/>
    <w:link w:val="Value"/>
    <w:uiPriority w:val="99"/>
    <w:locked/>
    <w:rsid w:val="00E534DB"/>
    <w:rPr>
      <w:rFonts w:ascii="Arial Narrow" w:hAnsi="Arial Narrow" w:cs="Times New Roman"/>
      <w:sz w:val="24"/>
      <w:szCs w:val="24"/>
      <w:lang w:val="sk-SK" w:eastAsia="en-US" w:bidi="ar-SA"/>
    </w:rPr>
  </w:style>
  <w:style w:type="paragraph" w:customStyle="1" w:styleId="Value">
    <w:name w:val="Value"/>
    <w:basedOn w:val="Normal"/>
    <w:link w:val="ValueChar"/>
    <w:uiPriority w:val="99"/>
    <w:rsid w:val="00E534DB"/>
    <w:pPr>
      <w:spacing w:line="240" w:lineRule="auto"/>
      <w:jc w:val="right"/>
    </w:pPr>
    <w:rPr>
      <w:rFonts w:ascii="Arial Narrow" w:hAnsi="Arial Narrow"/>
      <w:szCs w:val="24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8035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35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35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35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35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35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35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5</Pages>
  <Words>1114</Words>
  <Characters>6355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Informácie o účtovnej jednotke</dc:title>
  <dc:subject/>
  <dc:creator>Czita Istvan</dc:creator>
  <cp:keywords/>
  <dc:description/>
  <cp:lastModifiedBy>Beata Ozorak</cp:lastModifiedBy>
  <cp:revision>2</cp:revision>
  <cp:lastPrinted>2016-02-23T06:35:00Z</cp:lastPrinted>
  <dcterms:created xsi:type="dcterms:W3CDTF">2016-02-23T06:42:00Z</dcterms:created>
  <dcterms:modified xsi:type="dcterms:W3CDTF">2016-02-23T06:42:00Z</dcterms:modified>
</cp:coreProperties>
</file>