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810000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A. Informácie o obchodnej spoločnosti</w:t>
      </w:r>
      <w:r w:rsidR="00703BD3">
        <w:rPr>
          <w:rFonts w:ascii="Calibri" w:hAnsi="Calibri" w:cs="Calibri"/>
          <w:color w:val="4B4B4B"/>
          <w:sz w:val="24"/>
          <w:szCs w:val="24"/>
        </w:rPr>
        <w:t xml:space="preserve"> K 31.12.2015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1. Založenie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C3CD5" w:rsidRDefault="004C0CF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Calibri" w:hAnsi="Calibri" w:cs="Calibri"/>
          <w:color w:val="4B4B4B"/>
          <w:sz w:val="24"/>
          <w:szCs w:val="24"/>
        </w:rPr>
        <w:t xml:space="preserve">Obchodná spoločnosť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94"/>
      </w:tblGrid>
      <w:tr w:rsidR="00BC3CD5" w:rsidRPr="00BC3CD5" w:rsidTr="00BC3CD5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87"/>
              <w:gridCol w:w="3119"/>
            </w:tblGrid>
            <w:tr w:rsidR="00BC3CD5" w:rsidRPr="00BC3C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C3CD5" w:rsidRPr="00BC3CD5" w:rsidRDefault="00496E9E" w:rsidP="00496E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Altersoft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,</w:t>
                  </w:r>
                  <w:r w:rsidR="00D97A4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r w:rsidR="00BC3CD5"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s. r. o. </w:t>
                  </w:r>
                </w:p>
              </w:tc>
              <w:tc>
                <w:tcPr>
                  <w:tcW w:w="1650" w:type="pct"/>
                  <w:hideMark/>
                </w:tcPr>
                <w:p w:rsidR="00BC3CD5" w:rsidRPr="00BC3CD5" w:rsidRDefault="00BC3CD5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BC3CD5" w:rsidRPr="00BC3CD5" w:rsidRDefault="00BC3CD5" w:rsidP="00BC3CD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C3CD5" w:rsidRPr="00BC3CD5" w:rsidTr="00BC3CD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C3CD5" w:rsidRPr="00BC3C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C3CD5" w:rsidRPr="00BC3CD5" w:rsidRDefault="00496E9E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Trnavská cesta 80</w:t>
                  </w:r>
                </w:p>
              </w:tc>
              <w:tc>
                <w:tcPr>
                  <w:tcW w:w="1650" w:type="pct"/>
                  <w:hideMark/>
                </w:tcPr>
                <w:p w:rsidR="00BC3CD5" w:rsidRPr="00BC3CD5" w:rsidRDefault="00BC3CD5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BC3CD5" w:rsidRPr="00BC3CD5" w:rsidRDefault="00D97A48" w:rsidP="0049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821 0</w:t>
            </w:r>
            <w:r w:rsidR="00496E9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Bratislava</w:t>
            </w:r>
          </w:p>
        </w:tc>
      </w:tr>
    </w:tbl>
    <w:p w:rsidR="00BC3CD5" w:rsidRPr="00BC3CD5" w:rsidRDefault="00BC3CD5" w:rsidP="00BC3CD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C3CD5" w:rsidRPr="00BC3CD5" w:rsidTr="00496E9E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C3C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490"/>
            </w:tblGrid>
            <w:tr w:rsidR="00BC3CD5" w:rsidRPr="00BC3C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C3CD5" w:rsidRPr="00BC3CD5" w:rsidRDefault="00496E9E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45 958 254</w:t>
                  </w:r>
                </w:p>
              </w:tc>
            </w:tr>
          </w:tbl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BF7CD2" w:rsidRPr="00496E9E" w:rsidRDefault="00496E9E" w:rsidP="00BF7CD2">
      <w:pPr>
        <w:autoSpaceDE w:val="0"/>
        <w:autoSpaceDN w:val="0"/>
        <w:adjustRightInd w:val="0"/>
        <w:spacing w:after="0" w:line="240" w:lineRule="auto"/>
        <w:rPr>
          <w:rFonts w:cs="Calibri"/>
          <w:color w:val="4B4B4B"/>
          <w:sz w:val="24"/>
          <w:szCs w:val="24"/>
        </w:rPr>
      </w:pPr>
      <w:r>
        <w:rPr>
          <w:rStyle w:val="ra"/>
        </w:rPr>
        <w:t>Obchodná spoločnosť bola založená spoločenskou zmluvou zo dňa 26.11.2010 a dodatkom k nej zo dňa 12.01.2011 podľa §§ 56-75a, §§ 105-153 Obchodného zákonníka č. 513/1991 Zb. v znení neskorších predpisov.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>,</w:t>
      </w:r>
      <w:r>
        <w:rPr>
          <w:rFonts w:ascii="Calibri" w:hAnsi="Calibri" w:cs="Calibri"/>
          <w:color w:val="4B4B4B"/>
          <w:sz w:val="24"/>
          <w:szCs w:val="24"/>
        </w:rPr>
        <w:t xml:space="preserve"> </w:t>
      </w:r>
      <w:proofErr w:type="spellStart"/>
      <w:r>
        <w:rPr>
          <w:rFonts w:ascii="Calibri" w:hAnsi="Calibri" w:cs="Calibri"/>
          <w:color w:val="4B4B4B"/>
          <w:sz w:val="24"/>
          <w:szCs w:val="24"/>
        </w:rPr>
        <w:t>zapísana</w:t>
      </w:r>
      <w:proofErr w:type="spellEnd"/>
      <w:r>
        <w:rPr>
          <w:rFonts w:ascii="Calibri" w:hAnsi="Calibri" w:cs="Calibri"/>
          <w:color w:val="4B4B4B"/>
          <w:sz w:val="24"/>
          <w:szCs w:val="24"/>
        </w:rPr>
        <w:t xml:space="preserve"> v OR okresný súd  BA1, </w:t>
      </w:r>
      <w:r w:rsidR="00BC3CD5">
        <w:rPr>
          <w:rFonts w:ascii="Calibri" w:hAnsi="Calibri" w:cs="Calibri"/>
          <w:color w:val="4B4B4B"/>
          <w:sz w:val="24"/>
          <w:szCs w:val="24"/>
        </w:rPr>
        <w:t xml:space="preserve"> 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>oddiel S</w:t>
      </w:r>
      <w:r w:rsidR="004C0CF2">
        <w:rPr>
          <w:rFonts w:ascii="Calibri" w:hAnsi="Calibri" w:cs="Calibri"/>
          <w:color w:val="4B4B4B"/>
          <w:sz w:val="24"/>
          <w:szCs w:val="24"/>
        </w:rPr>
        <w:t xml:space="preserve">RO 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 xml:space="preserve">, </w:t>
      </w:r>
      <w:r w:rsidR="00BC3CD5">
        <w:rPr>
          <w:rStyle w:val="tl"/>
        </w:rPr>
        <w:t>Vložka číslo: </w:t>
      </w:r>
      <w:r w:rsidR="00BC3CD5">
        <w:t xml:space="preserve"> </w:t>
      </w:r>
      <w:r>
        <w:t>70422</w:t>
      </w:r>
      <w:r w:rsidR="00BC3CD5">
        <w:rPr>
          <w:rStyle w:val="ra"/>
        </w:rPr>
        <w:t>/B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 xml:space="preserve">, bola zapísaná dňa </w:t>
      </w:r>
      <w:r>
        <w:rPr>
          <w:rFonts w:ascii="Calibri" w:hAnsi="Calibri" w:cs="Calibri"/>
          <w:color w:val="4B4B4B"/>
          <w:sz w:val="24"/>
          <w:szCs w:val="24"/>
        </w:rPr>
        <w:t>03.02.2011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2. Hlavné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innosti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Medzi hlavné obchodné činnosti obchodnej spoločnosti patria:</w:t>
      </w:r>
    </w:p>
    <w:p w:rsidR="00D97A48" w:rsidRPr="00D97A48" w:rsidRDefault="00D97A48" w:rsidP="00D97A4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496E9E" w:rsidRPr="00496E9E" w:rsidTr="00496E9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96E9E" w:rsidRPr="00496E9E" w:rsidRDefault="00E77FF7" w:rsidP="0049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</w:t>
            </w:r>
            <w:r w:rsidR="00496E9E" w:rsidRPr="00496E9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496E9E" w:rsidRPr="00496E9E" w:rsidRDefault="00496E9E" w:rsidP="0049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E9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03.02.2011)</w:t>
            </w:r>
          </w:p>
        </w:tc>
      </w:tr>
    </w:tbl>
    <w:p w:rsidR="00496E9E" w:rsidRPr="00496E9E" w:rsidRDefault="00496E9E" w:rsidP="00496E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496E9E" w:rsidRPr="00496E9E" w:rsidTr="00496E9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96E9E" w:rsidRPr="00496E9E" w:rsidRDefault="00496E9E" w:rsidP="0049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E9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496E9E" w:rsidRPr="00496E9E" w:rsidRDefault="00496E9E" w:rsidP="0049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E9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03.02.2011)</w:t>
            </w:r>
          </w:p>
        </w:tc>
      </w:tr>
    </w:tbl>
    <w:p w:rsidR="00496E9E" w:rsidRPr="00496E9E" w:rsidRDefault="00496E9E" w:rsidP="00496E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496E9E" w:rsidRPr="00496E9E" w:rsidTr="00496E9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96E9E" w:rsidRPr="00496E9E" w:rsidRDefault="00496E9E" w:rsidP="0049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E9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:rsidR="00496E9E" w:rsidRPr="00496E9E" w:rsidRDefault="00496E9E" w:rsidP="0049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E9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03.02.2011)</w:t>
            </w:r>
          </w:p>
        </w:tc>
      </w:tr>
    </w:tbl>
    <w:p w:rsidR="00496E9E" w:rsidRPr="00496E9E" w:rsidRDefault="00496E9E" w:rsidP="00496E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96"/>
      </w:tblGrid>
      <w:tr w:rsidR="00496E9E" w:rsidRPr="00496E9E" w:rsidTr="00496E9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96E9E" w:rsidRPr="00496E9E" w:rsidRDefault="00496E9E" w:rsidP="0049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E9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výroba komunikačných zariadení, spotrebnej elektroniky, počítačov a kancelárskych strojov </w:t>
            </w:r>
          </w:p>
        </w:tc>
      </w:tr>
    </w:tbl>
    <w:p w:rsidR="00BC3CD5" w:rsidRPr="00BF7CD2" w:rsidRDefault="00BC3CD5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3. Po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et zamestnancov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Informácie o počte zamestnancov obchodnej spoločnosti sú uvedené v nasledujúcej tabuľke:</w:t>
      </w:r>
    </w:p>
    <w:p w:rsidR="004C0CF2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>
        <w:rPr>
          <w:rFonts w:ascii="Calibri" w:hAnsi="Calibri" w:cs="Calibri"/>
          <w:b/>
          <w:bCs/>
          <w:color w:val="4B4B4B"/>
          <w:sz w:val="24"/>
          <w:szCs w:val="24"/>
        </w:rPr>
        <w:t>Tabuľka č. 1</w:t>
      </w:r>
    </w:p>
    <w:p w:rsidR="00061CCB" w:rsidRPr="00BF7CD2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075"/>
      </w:tblGrid>
      <w:tr w:rsidR="00893F97" w:rsidTr="00893F97">
        <w:trPr>
          <w:trHeight w:val="705"/>
        </w:trPr>
        <w:tc>
          <w:tcPr>
            <w:tcW w:w="9075" w:type="dxa"/>
          </w:tcPr>
          <w:p w:rsidR="00893F97" w:rsidRDefault="00703BD3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>Zamestnanci k 31.12.2015</w:t>
            </w:r>
            <w:r w:rsidR="00893F97"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 xml:space="preserve"> </w:t>
            </w:r>
          </w:p>
          <w:p w:rsidR="00893F97" w:rsidRDefault="00496E9E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>0</w:t>
            </w:r>
          </w:p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</w:tc>
      </w:tr>
      <w:tr w:rsidR="00893F97" w:rsidTr="00C04396">
        <w:trPr>
          <w:trHeight w:val="524"/>
        </w:trPr>
        <w:tc>
          <w:tcPr>
            <w:tcW w:w="9075" w:type="dxa"/>
          </w:tcPr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</w:tc>
      </w:tr>
    </w:tbl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4. Neobmedzené ru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enie v inej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jednotke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Obchodná spoločnosť nie je neobmedzene ručiacim spoločníkom v žiadnej spoločnosti.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5. Právne dôvody na zostavenie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závierky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Účtovná závierka obchodnej spoločnosti zostavená k 31. decembru 201</w:t>
      </w:r>
      <w:r w:rsidR="00703BD3">
        <w:rPr>
          <w:rFonts w:ascii="Calibri" w:hAnsi="Calibri" w:cs="Calibri"/>
          <w:color w:val="4B4B4B"/>
          <w:sz w:val="24"/>
          <w:szCs w:val="24"/>
        </w:rPr>
        <w:t>5</w:t>
      </w:r>
      <w:r w:rsidRPr="00BF7CD2">
        <w:rPr>
          <w:rFonts w:ascii="Calibri" w:hAnsi="Calibri" w:cs="Calibri"/>
          <w:color w:val="4B4B4B"/>
          <w:sz w:val="24"/>
          <w:szCs w:val="24"/>
        </w:rPr>
        <w:t xml:space="preserve"> je zostavená ako riadna účtovná závierka podľa § 17 ods. 6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zákona č. 431/2002 Z. z. o účtovníctve v znení neskorších predpisov.</w:t>
      </w:r>
    </w:p>
    <w:p w:rsidR="00BF7CD2" w:rsidRDefault="00BF7CD2" w:rsidP="00893F9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6. Dátum schválenia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závierky za predchádzajúce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="00893F97">
        <w:rPr>
          <w:rFonts w:ascii="Calibri" w:hAnsi="Calibri" w:cs="Calibri"/>
          <w:b/>
          <w:bCs/>
          <w:color w:val="4B4B4B"/>
          <w:sz w:val="24"/>
          <w:szCs w:val="24"/>
        </w:rPr>
        <w:t>tovné obdo</w:t>
      </w:r>
      <w:r w:rsidR="00893F97">
        <w:rPr>
          <w:rFonts w:ascii="Calibri" w:hAnsi="Calibri" w:cs="Calibri"/>
          <w:color w:val="4B4B4B"/>
          <w:sz w:val="24"/>
          <w:szCs w:val="24"/>
        </w:rPr>
        <w:t>bie.</w:t>
      </w:r>
    </w:p>
    <w:p w:rsidR="00893F97" w:rsidRDefault="00893F97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B. Informácie o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lenoch štatutárnych, dozorných a iných orgánov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Pr="00BF7CD2" w:rsidRDefault="00496E9E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Calibri" w:hAnsi="Calibri" w:cs="Calibri"/>
          <w:color w:val="4B4B4B"/>
          <w:sz w:val="24"/>
          <w:szCs w:val="24"/>
        </w:rPr>
        <w:t xml:space="preserve">Konatelia:  Juraj </w:t>
      </w:r>
      <w:proofErr w:type="spellStart"/>
      <w:r>
        <w:rPr>
          <w:rFonts w:ascii="Calibri" w:hAnsi="Calibri" w:cs="Calibri"/>
          <w:color w:val="4B4B4B"/>
          <w:sz w:val="24"/>
          <w:szCs w:val="24"/>
        </w:rPr>
        <w:t>Hegyi</w:t>
      </w:r>
      <w:proofErr w:type="spellEnd"/>
    </w:p>
    <w:p w:rsidR="00893F97" w:rsidRDefault="00893F97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C. Informácie o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níkoch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Štruktúra spoločníkov obchodnej spoločnosti k 31. 12. 201</w:t>
      </w:r>
      <w:r w:rsidR="00703BD3">
        <w:rPr>
          <w:rFonts w:ascii="Calibri" w:hAnsi="Calibri" w:cs="Calibri"/>
          <w:color w:val="4B4B4B"/>
          <w:sz w:val="24"/>
          <w:szCs w:val="24"/>
        </w:rPr>
        <w:t>5</w:t>
      </w:r>
      <w:r w:rsidRPr="00BF7CD2">
        <w:rPr>
          <w:rFonts w:ascii="Calibri" w:hAnsi="Calibri" w:cs="Calibri"/>
          <w:color w:val="4B4B4B"/>
          <w:sz w:val="24"/>
          <w:szCs w:val="24"/>
        </w:rPr>
        <w:t xml:space="preserve"> je uvedená v nasledujúcom prehľade:</w:t>
      </w: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893F97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Tabu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ka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. 2 </w:t>
      </w:r>
    </w:p>
    <w:tbl>
      <w:tblPr>
        <w:tblW w:w="9495" w:type="dxa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495"/>
      </w:tblGrid>
      <w:tr w:rsidR="00C04396" w:rsidTr="00C04396">
        <w:trPr>
          <w:trHeight w:val="668"/>
        </w:trPr>
        <w:tc>
          <w:tcPr>
            <w:tcW w:w="9495" w:type="dxa"/>
          </w:tcPr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Spoločník                           dátum zmeny               výška podielu                   podiel na hlasovacích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                                                               Na ZI                                   právach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  <w:tr w:rsidR="00C04396" w:rsidTr="00C04396">
        <w:trPr>
          <w:trHeight w:val="796"/>
        </w:trPr>
        <w:tc>
          <w:tcPr>
            <w:tcW w:w="9495" w:type="dxa"/>
          </w:tcPr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496E9E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Juraj </w:t>
            </w:r>
            <w:proofErr w:type="spellStart"/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Hegyi</w:t>
            </w:r>
            <w:proofErr w:type="spellEnd"/>
            <w:r w:rsidR="00C04396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</w:t>
            </w:r>
            <w:r w:rsidR="00BC3CD5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</w:t>
            </w:r>
            <w:r w:rsidR="00C04396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100%    </w:t>
            </w:r>
            <w:r w:rsidR="00D97A48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</w:t>
            </w: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</w:t>
            </w:r>
            <w:r w:rsidR="00D97A48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5000 </w:t>
            </w: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</w:t>
            </w:r>
            <w:r w:rsidR="00BC3CD5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</w:t>
            </w:r>
            <w:r w:rsidR="00C04396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EUR                       100%               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</w:tbl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E. Informácie o použitých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tovných zásadách a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tovných metódach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Účtovná závierka bola zostavená za predpokladu nepretržitého trvania obchodnej spoločnosti (</w:t>
      </w:r>
      <w:proofErr w:type="spellStart"/>
      <w:r w:rsidRPr="00BF7CD2">
        <w:rPr>
          <w:rFonts w:ascii="Calibri" w:hAnsi="Calibri" w:cs="Calibri"/>
          <w:color w:val="4B4B4B"/>
          <w:sz w:val="24"/>
          <w:szCs w:val="24"/>
        </w:rPr>
        <w:t>goingconcern</w:t>
      </w:r>
      <w:proofErr w:type="spellEnd"/>
      <w:r w:rsidRPr="00BF7CD2">
        <w:rPr>
          <w:rFonts w:ascii="Calibri" w:hAnsi="Calibri" w:cs="Calibri"/>
          <w:color w:val="4B4B4B"/>
          <w:sz w:val="24"/>
          <w:szCs w:val="24"/>
        </w:rPr>
        <w:t>). Základné účtovné metódy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použité pri zostavovaní tejto individuálnej účtovnej závierky sú opísané nižšie. Tieto metódy sa uplatňujú konzistentne počas všetkých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účtovných období, ak nie je uvedené inak.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Návod na doplnenie informácií: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Dlhodobý nehmotný majetok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F7CD2">
        <w:rPr>
          <w:rFonts w:ascii="Times New Roman" w:hAnsi="Times New Roman" w:cs="Times New Roman"/>
          <w:color w:val="000000"/>
          <w:sz w:val="24"/>
          <w:szCs w:val="24"/>
        </w:rPr>
        <w:t>strana 3/5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1. Dlhodobý nehmotný majetok nakupovaný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obstarávacou cenou, ktorá zah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ŕň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cenu obstarania a náklady súvisiace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obstaraním (clo, prepravu, montáž, poistné a pod.). Sú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obstarávacej ceny dlhodobého nehmotného majetku sú úroky z úverov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súvisiacich s obstaraním majetku, ktoré vznikli do momentu zaradenia majetku do užívania.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2. Dlhodobý nehmotný majetok vytvorený vlastnou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vlastnými nákladmi. Vlastnými nákladmi sú všetky priame náklady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vynaložené na výrobu alebo inú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nepriame náklady, ktoré sa vz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ahujú na výrobu a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lastRenderedPageBreak/>
        <w:t>3. Náklady na výskum sa neaktivujú,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tujú sa do nákladov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tovného obdobia, v ktorom vznikli. Náklady na vývoj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tujú do obdobia,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-Italic" w:hAnsi="Calibri-Italic" w:cs="Calibri-Italic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v ktorom vznikli, ale tie náklady na vývoj, ktoré sa vz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ahujú na jasne definovaný výrobok alebo proces, pri ktorých je možné preukáza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technickú realizovate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možnos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predaja, spolo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má dostato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né zdroje na dokon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enie projektu, jeho predaj alebo vnútorné využitie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jeho výsledkov sa aktivujú, a to vo výške, ktorá je pravdepodobná, že sa získa spä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z budúcich ekonomických úžitkov.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4. Do obstarávaného dlhodobého nehmotného majetku sa aktivujú výdavky na vývoj na nový produkt „ABC“. Aktivované náklady na vývoj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odpisujú 5 rokov.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5. Odpisy dlhodobého nehmotného majetku sú stanovené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predpokladanej doby používania a predpokladaného priebehu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opotrebenia. Odpisova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ína v mesiaci zaradenia dlhodobo nehmotného majetku do používania. Nehmotný majetok, ktorého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obstarávacia cena je 2 400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 xml:space="preserve">€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(do 28. 2. 2009: 1 660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) a nižšia, s dobou použite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nosti dlhšou ako jeden rok,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tuje na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et 518 – Ostatné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služby. Dlhodobý nehmotný majetok, ktorý bol uvedený do používania najneskôr do 28. 2. 2009 v ocenení rovnom alebo nižšom ako 2 400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považuje za dlhodobý nehmotný majetok a pokra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sa v jeho odpisovaní.</w:t>
      </w:r>
    </w:p>
    <w:p w:rsid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Tabu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ka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="00061CCB">
        <w:rPr>
          <w:rFonts w:ascii="Calibri" w:hAnsi="Calibri" w:cs="Calibri"/>
          <w:b/>
          <w:bCs/>
          <w:color w:val="4B4B4B"/>
          <w:sz w:val="24"/>
          <w:szCs w:val="24"/>
        </w:rPr>
        <w:t>. 3</w:t>
      </w: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tbl>
      <w:tblPr>
        <w:tblW w:w="9705" w:type="dxa"/>
        <w:tblInd w:w="1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705"/>
      </w:tblGrid>
      <w:tr w:rsidR="00061CCB" w:rsidTr="00061CCB">
        <w:trPr>
          <w:trHeight w:val="858"/>
        </w:trPr>
        <w:tc>
          <w:tcPr>
            <w:tcW w:w="9705" w:type="dxa"/>
          </w:tcPr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                    Predpokladaná doba používania                               metóda odpisovania</w:t>
            </w: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  <w:tr w:rsidR="00061CCB" w:rsidTr="00061CCB">
        <w:trPr>
          <w:trHeight w:val="885"/>
        </w:trPr>
        <w:tc>
          <w:tcPr>
            <w:tcW w:w="9705" w:type="dxa"/>
          </w:tcPr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Softwe</w:t>
            </w:r>
            <w:r w:rsidR="00496E9E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r</w:t>
            </w:r>
            <w:proofErr w:type="spellEnd"/>
            <w:r w:rsidR="00496E9E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6000                       2 rovnomerná                </w:t>
            </w: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</w:tbl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31BA2" w:rsidRPr="00BF7CD2" w:rsidRDefault="00C31BA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Dlhodobý hmotný majetok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Predpokladaná doba používania Metóda odpisovania</w:t>
      </w:r>
    </w:p>
    <w:p w:rsidR="009D27A9" w:rsidRDefault="009D27A9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1. Dlhodobý hmotný majetok nakupovaný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obstarávacou cenou, ktorá zah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ŕň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cenu obstarania a náklady súvisiace s obstaraním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(clo, prepravu, montáž, poistné a pod.). Sú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obstarávacej ceny dlhodobého hmotného majetku sú úroky z úverov súvisiacich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obstaraním majetku, ktoré vznikli do momentu zaradenia majetku do užívania.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2. Do dlhodobého hmotného majetku patrí majetok, ku ktorému má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tovná jednotka vlastnícke právo.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Ď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alej do dlhodobého hmotného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majetku v roku 201</w:t>
      </w:r>
      <w:r w:rsidR="00E77FF7">
        <w:rPr>
          <w:rFonts w:ascii="Calibri" w:hAnsi="Calibri" w:cs="Calibri"/>
          <w:i/>
          <w:iCs/>
          <w:color w:val="4B4B4B"/>
          <w:sz w:val="24"/>
          <w:szCs w:val="24"/>
        </w:rPr>
        <w:t>2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 bol zaradený nehnute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ný majetok, ktorý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tovná jednotka užíva, ale vlastnícke právo nadobudne až povolením vkladu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do katastra nehnute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ností.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lastRenderedPageBreak/>
        <w:t>3. Odpisy dlhodobého hmotného majetku sú stanovené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predpokladanej doby jeho používania a predpokladaného priebehu jeho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opotrebovania. Odpisova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ne v mesiaci zaradenia dlhodobého hmotného majetku do používania. O dlhodobom hmotnom majetku,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ktorého obstarávacia cena je v ocenení rovnom alebo nižšom ako 1 700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 xml:space="preserve">€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(do 28. 2. 2009 : 996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) a zárove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ň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dobou použite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nosti dlhšou ako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jeden rok,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tuje ako o zásobách. Pozemky, umelecké diela a zbierky sa neodpisujú. Dlhodobý hmotný majetok vrátane technického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zhodnotenia, ktorý bol uvedený do používania do 28. 2. 2009 v ocenení rovnom alebo nižšom ako 1 700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, sa považuje za dlhodobý hmotný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majetok aj po tomto dátume a pokra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sa v jeho odpisovaní.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4. Alternatívne sa vypracuje tabu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ka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jednotlivého dlhodobého hmotného majetku so stanovenou metódou odpisovania a ro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odpisovou sadzbou.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5. Odhadovaná doba životnosti a odpisový plán sú prehodnotené na konci každého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tovného obdobia.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6. V prípade zníženia úžitkovej hodnoty dlhodobého majetku zisteného pri inventarizácii, pokia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ľ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 zistená úžitková hodnota dlhodobého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majetku výrazne nižšia ako jeho ocenenie v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tovníctve po odpo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ítaní oprávok, je k dlhodobému majetku vytvorená opravná položka na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úrove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ň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jeho zistenej úžitkovej hodnoty.</w:t>
      </w:r>
      <w:bookmarkStart w:id="0" w:name="_GoBack"/>
      <w:bookmarkEnd w:id="0"/>
    </w:p>
    <w:sectPr w:rsidR="00BF7CD2" w:rsidRPr="00BF7CD2" w:rsidSect="00D877FE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-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857DC6"/>
    <w:multiLevelType w:val="hybridMultilevel"/>
    <w:tmpl w:val="77B4B124"/>
    <w:lvl w:ilvl="0" w:tplc="6752344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F703A"/>
    <w:rsid w:val="00061CCB"/>
    <w:rsid w:val="002F451B"/>
    <w:rsid w:val="00496E9E"/>
    <w:rsid w:val="004C0CF2"/>
    <w:rsid w:val="005F4496"/>
    <w:rsid w:val="005F5BCB"/>
    <w:rsid w:val="005F703A"/>
    <w:rsid w:val="0062513B"/>
    <w:rsid w:val="00703BD3"/>
    <w:rsid w:val="00871E54"/>
    <w:rsid w:val="00890322"/>
    <w:rsid w:val="00893F97"/>
    <w:rsid w:val="00925838"/>
    <w:rsid w:val="00972008"/>
    <w:rsid w:val="009D27A9"/>
    <w:rsid w:val="00B065FA"/>
    <w:rsid w:val="00B268B1"/>
    <w:rsid w:val="00BC3CD5"/>
    <w:rsid w:val="00BF7CD2"/>
    <w:rsid w:val="00C04396"/>
    <w:rsid w:val="00C31BA2"/>
    <w:rsid w:val="00C47776"/>
    <w:rsid w:val="00D97A48"/>
    <w:rsid w:val="00DB7A03"/>
    <w:rsid w:val="00E032F3"/>
    <w:rsid w:val="00E77FF7"/>
    <w:rsid w:val="00F775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5BC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C0CF2"/>
    <w:pPr>
      <w:ind w:left="720"/>
      <w:contextualSpacing/>
    </w:pPr>
  </w:style>
  <w:style w:type="character" w:customStyle="1" w:styleId="ra">
    <w:name w:val="ra"/>
    <w:basedOn w:val="Predvolenpsmoodseku"/>
    <w:rsid w:val="00BC3CD5"/>
  </w:style>
  <w:style w:type="character" w:customStyle="1" w:styleId="tl">
    <w:name w:val="tl"/>
    <w:basedOn w:val="Predvolenpsmoodseku"/>
    <w:rsid w:val="00BC3CD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C0CF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91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5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3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998</Words>
  <Characters>5690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YNNA</dc:creator>
  <cp:keywords/>
  <dc:description/>
  <cp:lastModifiedBy>a</cp:lastModifiedBy>
  <cp:revision>6</cp:revision>
  <cp:lastPrinted>2012-06-27T01:25:00Z</cp:lastPrinted>
  <dcterms:created xsi:type="dcterms:W3CDTF">2012-06-27T01:24:00Z</dcterms:created>
  <dcterms:modified xsi:type="dcterms:W3CDTF">2016-03-19T15:21:00Z</dcterms:modified>
</cp:coreProperties>
</file>