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47364688                             DIČ: 2023829753</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2015</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8"/>
        <w:gridCol w:w="5101"/>
      </w:tblGrid>
      <w:tr>
        <w:trPr>
          <w:cantSplit w:val="false"/>
        </w:trPr>
        <w:tc>
          <w:tcPr>
            <w:tcW w:type="dxa" w:w="3968"/>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FERKON s.r.o. </w:t>
            </w:r>
          </w:p>
          <w:p>
            <w:pPr>
              <w:pStyle w:val="style0"/>
              <w:rPr>
                <w:b/>
                <w:bCs/>
                <w:color w:val="000000"/>
                <w:sz w:val="15"/>
                <w:szCs w:val="15"/>
              </w:rPr>
            </w:pPr>
            <w:r>
              <w:rPr>
                <w:b/>
                <w:bCs/>
                <w:color w:val="000000"/>
                <w:sz w:val="15"/>
                <w:szCs w:val="15"/>
              </w:rPr>
              <w:t>Závodná 264/13</w:t>
            </w:r>
          </w:p>
          <w:p>
            <w:pPr>
              <w:pStyle w:val="style0"/>
              <w:rPr>
                <w:b/>
                <w:bCs/>
                <w:color w:val="000000"/>
              </w:rPr>
            </w:pPr>
            <w:r>
              <w:rPr>
                <w:b/>
                <w:bCs/>
                <w:color w:val="000000"/>
              </w:rPr>
            </w:r>
          </w:p>
          <w:p>
            <w:pPr>
              <w:pStyle w:val="style0"/>
              <w:rPr>
                <w:b/>
                <w:bCs/>
                <w:color w:val="000000"/>
                <w:sz w:val="15"/>
                <w:szCs w:val="15"/>
              </w:rPr>
            </w:pPr>
            <w:r>
              <w:rPr>
                <w:b/>
                <w:bCs/>
                <w:color w:val="000000"/>
                <w:sz w:val="15"/>
                <w:szCs w:val="15"/>
              </w:rPr>
              <w:t>14.08.2013</w:t>
            </w:r>
          </w:p>
          <w:p>
            <w:pPr>
              <w:pStyle w:val="style0"/>
              <w:rPr>
                <w:b/>
                <w:bCs/>
                <w:color w:val="000000"/>
              </w:rPr>
            </w:pPr>
            <w:r>
              <w:rPr>
                <w:b/>
                <w:bCs/>
                <w:color w:val="000000"/>
              </w:rPr>
            </w:r>
          </w:p>
        </w:tc>
      </w:tr>
      <w:tr>
        <w:trPr>
          <w:cantSplit w:val="false"/>
        </w:trPr>
        <w:tc>
          <w:tcPr>
            <w:tcW w:type="dxa" w:w="3968"/>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44"/>
        <w:gridCol w:w="1311"/>
        <w:gridCol w:w="1315"/>
      </w:tblGrid>
      <w:tr>
        <w:trPr>
          <w:cantSplit w:val="false"/>
        </w:trPr>
        <w:tc>
          <w:tcPr>
            <w:tcW w:type="dxa" w:w="6444"/>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1"/>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2015</w:t>
            </w:r>
          </w:p>
        </w:tc>
        <w:tc>
          <w:tcPr>
            <w:tcW w:type="dxa" w:w="1315"/>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2014</w:t>
            </w:r>
          </w:p>
        </w:tc>
      </w:tr>
      <w:tr>
        <w:trPr>
          <w:cantSplit w:val="false"/>
        </w:trPr>
        <w:tc>
          <w:tcPr>
            <w:tcW w:type="dxa" w:w="6444"/>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1"/>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15"/>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2015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b/>
          <w:bCs/>
          <w:lang w:eastAsia="sk-SK"/>
        </w:rPr>
        <w:t>FERKON s.r.o</w:t>
      </w:r>
      <w:r>
        <w:rPr>
          <w:lang w:eastAsia="sk-SK"/>
        </w:rPr>
        <w:t>. Bola zostavená za účtovné obdobie od 1. januára do 31. decembra 2015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2014</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Účtovnú závierku spoločnosti FERKON s.r.o. za rok 2014 schválilo riadne valné zhromaždenie, ktoré sa konalo dňa 30.04.2015.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FERKON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29"/>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29"/>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29"/>
        <w:rPr>
          <w:b w:val="false"/>
          <w:bCs w:val="false"/>
        </w:rPr>
      </w:pPr>
      <w:r>
        <w:rPr>
          <w:b w:val="false"/>
          <w:bCs w:val="false"/>
        </w:rPr>
      </w:r>
    </w:p>
    <w:p>
      <w:pPr>
        <w:pStyle w:val="style29"/>
        <w:rPr>
          <w:b/>
          <w:bCs/>
          <w:sz w:val="16"/>
          <w:szCs w:val="16"/>
        </w:rPr>
      </w:pPr>
      <w:r>
        <w:rPr>
          <w:b/>
          <w:bCs/>
          <w:sz w:val="16"/>
          <w:szCs w:val="16"/>
        </w:rPr>
        <w:t>2.  Pôžičky poskytnuté členom orgánov spoločnosti</w:t>
      </w:r>
    </w:p>
    <w:p>
      <w:pPr>
        <w:pStyle w:val="style29"/>
        <w:rPr>
          <w:b w:val="false"/>
          <w:bCs w:val="false"/>
          <w:sz w:val="18"/>
          <w:szCs w:val="18"/>
        </w:rPr>
      </w:pPr>
      <w:r>
        <w:rPr>
          <w:b w:val="false"/>
          <w:bCs w:val="false"/>
          <w:sz w:val="18"/>
          <w:szCs w:val="18"/>
        </w:rPr>
        <w:t>Spoločnosť v účtovnom období 2015 neposkytla členom orgánov spoločnosti žiadne záruky alebo iné zabezpečenie a poskytnuté pôžičky.</w:t>
      </w:r>
    </w:p>
    <w:p>
      <w:pPr>
        <w:pStyle w:val="style29"/>
        <w:rPr>
          <w:b w:val="false"/>
          <w:bCs w:val="false"/>
        </w:rPr>
      </w:pPr>
      <w:r>
        <w:rPr>
          <w:b w:val="false"/>
          <w:bCs w:val="false"/>
        </w:rPr>
      </w:r>
    </w:p>
    <w:p>
      <w:pPr>
        <w:pStyle w:val="style29"/>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29"/>
        <w:rPr>
          <w:b/>
          <w:bCs/>
        </w:rPr>
      </w:pPr>
      <w:r>
        <w:rPr>
          <w:b/>
          <w:bCs/>
        </w:rPr>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 xml:space="preserve">Spoločnosť uplatňuje účtovné princípy a postupy účtovania v súlade so zákonom o účtovníctve a postupmi  účtovania pre podnikateľov, ktoré platia v Slovenskej republike. Účtovníctvo sa vedie v peňažných jednotkách  slovenskej meny, t. j. </w:t>
      </w:r>
      <w:r>
        <w:rPr>
          <w:b w:val="false"/>
          <w:bCs w:val="false"/>
          <w:sz w:val="18"/>
          <w:szCs w:val="18"/>
          <w:u w:val="none"/>
        </w:rPr>
        <w:t>v</w:t>
      </w:r>
      <w:r>
        <w:rPr>
          <w:b w:val="false"/>
          <w:bCs w:val="false"/>
          <w:sz w:val="18"/>
          <w:szCs w:val="18"/>
          <w:u w:val="none"/>
        </w:rPr>
        <w:t xml:space="preserve"> eurách.</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2015 bola spracovaná za predpokladu nepretržitého pokračovania činnosti.</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bCs/>
          <w:u w:val="none"/>
        </w:rPr>
      </w:pPr>
      <w:r>
        <w:rPr>
          <w:b/>
          <w:bCs/>
          <w:u w:val="none"/>
        </w:rPr>
      </w:r>
    </w:p>
    <w:p>
      <w:pPr>
        <w:pStyle w:val="style29"/>
        <w:widowControl/>
        <w:suppressAutoHyphens w:val="true"/>
        <w:spacing w:after="120" w:before="0"/>
        <w:ind w:hanging="214" w:left="246" w:right="0"/>
        <w:contextualSpacing w:val="false"/>
        <w:jc w:val="both"/>
        <w:rPr>
          <w:b/>
          <w:bCs/>
          <w:u w:val="none"/>
        </w:rPr>
      </w:pPr>
      <w:r>
        <w:rPr>
          <w:b/>
          <w:bCs/>
          <w:u w:val="none"/>
        </w:rPr>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29"/>
        <w:widowControl/>
        <w:suppressAutoHyphens w:val="true"/>
        <w:spacing w:after="120" w:before="0"/>
        <w:ind w:hanging="214" w:left="246" w:right="0"/>
        <w:contextualSpacing w:val="false"/>
        <w:jc w:val="both"/>
        <w:rPr>
          <w:b/>
          <w:bCs/>
          <w:u w:val="none"/>
        </w:rPr>
      </w:pPr>
      <w:r>
        <w:rPr>
          <w:b/>
          <w:bCs/>
          <w:u w:val="none"/>
        </w:rPr>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22% po úpravách o niektoré položky na daňové účely.</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2015 nevyplynula povinnosť tvorby rezervy.</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2015 nevyplynula povinnosť tvoruť opravné položky.</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2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2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29"/>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29"/>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2015 nenastali v spoločnosti FERKON s.r.o. žiadne zmeny týkajúce sa účtovných zásad a účtovných metód.</w:t>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29"/>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2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2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FERKON s.r.o. nedošlo v účtovnom období roku 2015 k žiadnzm opravám významných chýb minulých období.</w:t>
      </w:r>
    </w:p>
    <w:p>
      <w:pPr>
        <w:pStyle w:val="style29"/>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29"/>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29"/>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29"/>
        <w:widowControl/>
        <w:suppressAutoHyphens w:val="true"/>
        <w:spacing w:after="120" w:before="0"/>
        <w:ind w:hanging="214" w:left="246" w:right="0"/>
        <w:contextualSpacing w:val="false"/>
        <w:jc w:val="both"/>
        <w:rPr>
          <w:b/>
          <w:bCs/>
          <w:u w:val="none"/>
        </w:rPr>
      </w:pPr>
      <w:r>
        <w:rPr>
          <w:b/>
          <w:bCs/>
          <w:u w:val="none"/>
        </w:rPr>
      </w:r>
    </w:p>
    <w:p>
      <w:pPr>
        <w:pStyle w:val="style29"/>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29"/>
        <w:rPr>
          <w:b w:val="false"/>
          <w:bCs w:val="false"/>
          <w:sz w:val="18"/>
          <w:szCs w:val="18"/>
        </w:rPr>
      </w:pPr>
      <w:r>
        <w:rPr>
          <w:b w:val="false"/>
          <w:bCs w:val="false"/>
          <w:sz w:val="18"/>
          <w:szCs w:val="18"/>
        </w:rPr>
      </w:r>
    </w:p>
    <w:p>
      <w:pPr>
        <w:pStyle w:val="style29"/>
        <w:rPr>
          <w:b w:val="false"/>
          <w:bCs w:val="false"/>
        </w:rPr>
      </w:pPr>
      <w:r>
        <w:rPr>
          <w:b w:val="false"/>
          <w:bCs w:val="false"/>
        </w:rPr>
      </w:r>
    </w:p>
    <w:p>
      <w:pPr>
        <w:pStyle w:val="style29"/>
        <w:rPr>
          <w:b w:val="false"/>
          <w:bCs w:val="false"/>
        </w:rPr>
      </w:pPr>
      <w:r>
        <w:rPr>
          <w:b w:val="false"/>
          <w:bCs w:val="false"/>
        </w:rPr>
      </w:r>
    </w:p>
    <w:p>
      <w:pPr>
        <w:pStyle w:val="style29"/>
        <w:rPr>
          <w:b w:val="false"/>
          <w:bCs w:val="false"/>
        </w:rPr>
      </w:pPr>
      <w:r>
        <w:rPr>
          <w:b w:val="false"/>
          <w:bCs w:val="false"/>
        </w:rPr>
      </w:r>
    </w:p>
    <w:p>
      <w:pPr>
        <w:pStyle w:val="style29"/>
        <w:rPr>
          <w:b/>
          <w:bCs/>
          <w:sz w:val="18"/>
          <w:szCs w:val="18"/>
        </w:rPr>
      </w:pPr>
      <w:r>
        <w:rPr>
          <w:b/>
          <w:bCs/>
          <w:sz w:val="18"/>
          <w:szCs w:val="18"/>
        </w:rPr>
        <w:t xml:space="preserve">2.  </w:t>
      </w:r>
      <w:r>
        <w:rPr>
          <w:b/>
          <w:bCs/>
          <w:sz w:val="18"/>
          <w:szCs w:val="18"/>
        </w:rPr>
        <w:t>P</w:t>
      </w:r>
      <w:r>
        <w:rPr>
          <w:b/>
          <w:bCs/>
          <w:sz w:val="18"/>
          <w:szCs w:val="18"/>
        </w:rPr>
        <w:t>ohľadávky</w:t>
      </w:r>
    </w:p>
    <w:p>
      <w:pPr>
        <w:pStyle w:val="style2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5"/>
        <w:gridCol w:w="2385"/>
      </w:tblGrid>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b/>
                <w:bCs/>
              </w:rPr>
            </w:pPr>
            <w:r>
              <w:rPr>
                <w:b/>
                <w:bCs/>
              </w:rPr>
              <w:t>bežné účtovné obdobie</w:t>
            </w:r>
          </w:p>
        </w:tc>
        <w:tc>
          <w:tcPr>
            <w:tcW w:type="dxa" w:w="2385"/>
            <w:tcBorders>
              <w:top w:val="nil"/>
              <w:left w:val="nil"/>
              <w:bottom w:val="nil"/>
              <w:right w:val="nil"/>
            </w:tcBorders>
            <w:shd w:fill="auto" w:val="clear"/>
            <w:vAlign w:val="center"/>
          </w:tcPr>
          <w:p>
            <w:pPr>
              <w:pStyle w:val="style4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b/>
                <w:bCs/>
              </w:rPr>
            </w:pPr>
            <w:r>
              <w:rPr>
                <w:b/>
                <w:bCs/>
              </w:rPr>
              <w:t>obdobie</w:t>
            </w:r>
          </w:p>
        </w:tc>
        <w:tc>
          <w:tcPr>
            <w:tcW w:type="dxa" w:w="2385"/>
            <w:tcBorders>
              <w:top w:val="nil"/>
              <w:left w:val="nil"/>
              <w:bottom w:val="nil"/>
              <w:right w:val="nil"/>
            </w:tcBorders>
            <w:shd w:fill="auto" w:val="clear"/>
            <w:vAlign w:val="center"/>
          </w:tcPr>
          <w:p>
            <w:pPr>
              <w:pStyle w:val="style44"/>
              <w:rPr>
                <w:b/>
                <w:bCs/>
              </w:rPr>
            </w:pPr>
            <w:r>
              <w:rPr>
                <w:b/>
                <w:bCs/>
              </w:rPr>
              <w:t>účtovné obdobie</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pPr>
            <w:r>
              <w:rPr/>
              <w:t>Názov položky</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Pohľadávky z obchodného styku</w:t>
            </w:r>
          </w:p>
        </w:tc>
        <w:tc>
          <w:tcPr>
            <w:tcW w:type="dxa" w:w="2385"/>
            <w:tcBorders>
              <w:top w:val="nil"/>
              <w:left w:val="nil"/>
              <w:bottom w:val="nil"/>
              <w:right w:val="nil"/>
            </w:tcBorders>
            <w:shd w:fill="auto" w:val="clear"/>
            <w:vAlign w:val="center"/>
          </w:tcPr>
          <w:p>
            <w:pPr>
              <w:pStyle w:val="style44"/>
              <w:rPr/>
            </w:pPr>
            <w:r>
              <w:rPr/>
              <w:t xml:space="preserve">                   </w:t>
            </w:r>
            <w:r>
              <w:rPr/>
              <w:t>0</w:t>
            </w:r>
          </w:p>
        </w:tc>
        <w:tc>
          <w:tcPr>
            <w:tcW w:type="dxa" w:w="2385"/>
            <w:tcBorders>
              <w:top w:val="nil"/>
              <w:left w:val="nil"/>
              <w:bottom w:val="nil"/>
              <w:right w:val="nil"/>
            </w:tcBorders>
            <w:shd w:fill="auto" w:val="clear"/>
            <w:vAlign w:val="center"/>
          </w:tcPr>
          <w:p>
            <w:pPr>
              <w:pStyle w:val="style44"/>
              <w:rPr/>
            </w:pPr>
            <w:r>
              <w:rPr/>
              <w:t xml:space="preserve">                   </w:t>
            </w:r>
            <w:r>
              <w:rPr/>
              <w:t>0</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Daňové pohľadávky</w:t>
            </w:r>
          </w:p>
        </w:tc>
        <w:tc>
          <w:tcPr>
            <w:tcW w:type="dxa" w:w="2385"/>
            <w:tcBorders>
              <w:top w:val="nil"/>
              <w:left w:val="nil"/>
              <w:bottom w:val="nil"/>
              <w:right w:val="nil"/>
            </w:tcBorders>
            <w:shd w:fill="auto" w:val="clear"/>
            <w:vAlign w:val="center"/>
          </w:tcPr>
          <w:p>
            <w:pPr>
              <w:pStyle w:val="style44"/>
              <w:rPr/>
            </w:pPr>
            <w:r>
              <w:rPr/>
              <w:t xml:space="preserve">                   </w:t>
            </w:r>
            <w:r>
              <w:rPr/>
              <w:t>0</w:t>
            </w:r>
          </w:p>
        </w:tc>
        <w:tc>
          <w:tcPr>
            <w:tcW w:type="dxa" w:w="2385"/>
            <w:tcBorders>
              <w:top w:val="nil"/>
              <w:left w:val="nil"/>
              <w:bottom w:val="nil"/>
              <w:right w:val="nil"/>
            </w:tcBorders>
            <w:shd w:fill="auto" w:val="clear"/>
            <w:vAlign w:val="center"/>
          </w:tcPr>
          <w:p>
            <w:pPr>
              <w:pStyle w:val="style44"/>
              <w:rPr/>
            </w:pPr>
            <w:r>
              <w:rPr/>
              <w:t xml:space="preserve">                   </w:t>
            </w:r>
            <w:r>
              <w:rPr/>
              <w:t>0</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Ostatné pohľadávky</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b/>
                <w:bCs/>
              </w:rPr>
            </w:pPr>
            <w:r>
              <w:rPr>
                <w:b/>
                <w:bCs/>
              </w:rPr>
              <w:t>Pohľadávky spolu:</w:t>
            </w:r>
          </w:p>
        </w:tc>
        <w:tc>
          <w:tcPr>
            <w:tcW w:type="dxa" w:w="2385"/>
            <w:tcBorders>
              <w:top w:val="nil"/>
              <w:left w:val="nil"/>
              <w:bottom w:val="nil"/>
              <w:right w:val="nil"/>
            </w:tcBorders>
            <w:shd w:fill="auto" w:val="clear"/>
            <w:vAlign w:val="center"/>
          </w:tcPr>
          <w:p>
            <w:pPr>
              <w:pStyle w:val="style44"/>
              <w:rPr>
                <w:b/>
                <w:bCs/>
              </w:rPr>
            </w:pPr>
            <w:r>
              <w:rPr>
                <w:b/>
                <w:bCs/>
              </w:rPr>
              <w:t xml:space="preserve">                   </w:t>
            </w:r>
            <w:r>
              <w:rPr>
                <w:b/>
                <w:bCs/>
              </w:rPr>
              <w:t>0</w:t>
            </w:r>
          </w:p>
        </w:tc>
        <w:tc>
          <w:tcPr>
            <w:tcW w:type="dxa" w:w="2385"/>
            <w:tcBorders>
              <w:top w:val="nil"/>
              <w:left w:val="nil"/>
              <w:bottom w:val="nil"/>
              <w:right w:val="nil"/>
            </w:tcBorders>
            <w:shd w:fill="auto" w:val="clear"/>
            <w:vAlign w:val="center"/>
          </w:tcPr>
          <w:p>
            <w:pPr>
              <w:pStyle w:val="style44"/>
              <w:rPr>
                <w:b/>
                <w:bCs/>
              </w:rPr>
            </w:pPr>
            <w:r>
              <w:rPr>
                <w:b/>
                <w:bCs/>
              </w:rPr>
              <w:t xml:space="preserve">                   </w:t>
            </w:r>
            <w:r>
              <w:rPr>
                <w:b/>
                <w:bCs/>
              </w:rPr>
              <w:t>0</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bl>
    <w:p>
      <w:pPr>
        <w:pStyle w:val="style29"/>
        <w:rPr>
          <w:b/>
          <w:bCs/>
          <w:sz w:val="18"/>
          <w:szCs w:val="18"/>
        </w:rPr>
      </w:pPr>
      <w:r>
        <w:rPr>
          <w:b/>
          <w:bCs/>
          <w:sz w:val="18"/>
          <w:szCs w:val="18"/>
        </w:rPr>
      </w:r>
    </w:p>
    <w:p>
      <w:pPr>
        <w:pStyle w:val="style29"/>
        <w:rPr>
          <w:b w:val="false"/>
          <w:bCs w:val="false"/>
          <w:sz w:val="18"/>
          <w:szCs w:val="18"/>
        </w:rPr>
      </w:pPr>
      <w:r>
        <w:rPr>
          <w:b w:val="false"/>
          <w:bCs w:val="false"/>
          <w:sz w:val="18"/>
          <w:szCs w:val="18"/>
        </w:rPr>
        <w:t>Spoločnosť k 31. decembru 2015 nevykazuje žiadne pohľadávky</w:t>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bCs/>
          <w:sz w:val="18"/>
          <w:szCs w:val="18"/>
        </w:rPr>
      </w:pPr>
      <w:r>
        <w:rPr>
          <w:b/>
          <w:bCs/>
          <w:sz w:val="18"/>
          <w:szCs w:val="18"/>
        </w:rPr>
        <w:t>3.  Krátkodobý finančný majetok</w:t>
      </w:r>
    </w:p>
    <w:p>
      <w:pPr>
        <w:pStyle w:val="style2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5"/>
        <w:gridCol w:w="2385"/>
      </w:tblGrid>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b/>
                <w:bCs/>
              </w:rPr>
            </w:pPr>
            <w:r>
              <w:rPr>
                <w:b/>
                <w:bCs/>
              </w:rPr>
              <w:t>bežné účtovné obdobie</w:t>
            </w:r>
          </w:p>
        </w:tc>
        <w:tc>
          <w:tcPr>
            <w:tcW w:type="dxa" w:w="2385"/>
            <w:tcBorders>
              <w:top w:val="nil"/>
              <w:left w:val="nil"/>
              <w:bottom w:val="nil"/>
              <w:right w:val="nil"/>
            </w:tcBorders>
            <w:shd w:fill="auto" w:val="clear"/>
            <w:vAlign w:val="center"/>
          </w:tcPr>
          <w:p>
            <w:pPr>
              <w:pStyle w:val="style4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b/>
                <w:bCs/>
              </w:rPr>
            </w:pPr>
            <w:r>
              <w:rPr>
                <w:b/>
                <w:bCs/>
              </w:rPr>
              <w:t>obdobie</w:t>
            </w:r>
          </w:p>
        </w:tc>
        <w:tc>
          <w:tcPr>
            <w:tcW w:type="dxa" w:w="2385"/>
            <w:tcBorders>
              <w:top w:val="nil"/>
              <w:left w:val="nil"/>
              <w:bottom w:val="nil"/>
              <w:right w:val="nil"/>
            </w:tcBorders>
            <w:shd w:fill="auto" w:val="clear"/>
            <w:vAlign w:val="center"/>
          </w:tcPr>
          <w:p>
            <w:pPr>
              <w:pStyle w:val="style44"/>
              <w:rPr>
                <w:b/>
                <w:bCs/>
              </w:rPr>
            </w:pPr>
            <w:r>
              <w:rPr>
                <w:b/>
                <w:bCs/>
              </w:rPr>
              <w:t>účtovné obdobie</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pPr>
            <w:r>
              <w:rPr/>
              <w:t>Názov položky</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Pokladnica</w:t>
            </w:r>
          </w:p>
        </w:tc>
        <w:tc>
          <w:tcPr>
            <w:tcW w:type="dxa" w:w="2385"/>
            <w:tcBorders>
              <w:top w:val="nil"/>
              <w:left w:val="nil"/>
              <w:bottom w:val="nil"/>
              <w:right w:val="nil"/>
            </w:tcBorders>
            <w:shd w:fill="auto" w:val="clear"/>
            <w:vAlign w:val="center"/>
          </w:tcPr>
          <w:p>
            <w:pPr>
              <w:pStyle w:val="style44"/>
              <w:rPr/>
            </w:pPr>
            <w:r>
              <w:rPr/>
              <w:t xml:space="preserve">              </w:t>
            </w:r>
            <w:r>
              <w:rPr/>
              <w:t>1839,58</w:t>
            </w:r>
          </w:p>
        </w:tc>
        <w:tc>
          <w:tcPr>
            <w:tcW w:type="dxa" w:w="2385"/>
            <w:tcBorders>
              <w:top w:val="nil"/>
              <w:left w:val="nil"/>
              <w:bottom w:val="nil"/>
              <w:right w:val="nil"/>
            </w:tcBorders>
            <w:shd w:fill="auto" w:val="clear"/>
            <w:vAlign w:val="center"/>
          </w:tcPr>
          <w:p>
            <w:pPr>
              <w:pStyle w:val="style44"/>
              <w:rPr/>
            </w:pPr>
            <w:r>
              <w:rPr/>
              <w:t xml:space="preserve">                </w:t>
            </w:r>
            <w:r>
              <w:rPr/>
              <w:t>603,23</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Ceniny</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Bankový účet v mene EUR</w:t>
            </w:r>
          </w:p>
        </w:tc>
        <w:tc>
          <w:tcPr>
            <w:tcW w:type="dxa" w:w="2385"/>
            <w:tcBorders>
              <w:top w:val="nil"/>
              <w:left w:val="nil"/>
              <w:bottom w:val="nil"/>
              <w:right w:val="nil"/>
            </w:tcBorders>
            <w:shd w:fill="auto" w:val="clear"/>
            <w:vAlign w:val="center"/>
          </w:tcPr>
          <w:p>
            <w:pPr>
              <w:pStyle w:val="style44"/>
              <w:rPr/>
            </w:pPr>
            <w:r>
              <w:rPr/>
              <w:t xml:space="preserve">                  </w:t>
            </w:r>
            <w:r>
              <w:rPr/>
              <w:t>39,63</w:t>
            </w:r>
          </w:p>
        </w:tc>
        <w:tc>
          <w:tcPr>
            <w:tcW w:type="dxa" w:w="2385"/>
            <w:tcBorders>
              <w:top w:val="nil"/>
              <w:left w:val="nil"/>
              <w:bottom w:val="nil"/>
              <w:right w:val="nil"/>
            </w:tcBorders>
            <w:shd w:fill="auto" w:val="clear"/>
            <w:vAlign w:val="center"/>
          </w:tcPr>
          <w:p>
            <w:pPr>
              <w:pStyle w:val="style44"/>
              <w:rPr/>
            </w:pPr>
            <w:r>
              <w:rPr/>
              <w:t xml:space="preserve">               </w:t>
            </w:r>
          </w:p>
          <w:p>
            <w:pPr>
              <w:pStyle w:val="style44"/>
              <w:rPr/>
            </w:pPr>
            <w:r>
              <w:rPr/>
              <w:t xml:space="preserve">                </w:t>
            </w:r>
            <w:r>
              <w:rPr/>
              <w:t>466,85</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Bankový účet v mene PLN</w:t>
            </w:r>
          </w:p>
        </w:tc>
        <w:tc>
          <w:tcPr>
            <w:tcW w:type="dxa" w:w="2385"/>
            <w:tcBorders>
              <w:top w:val="nil"/>
              <w:left w:val="nil"/>
              <w:bottom w:val="nil"/>
              <w:right w:val="nil"/>
            </w:tcBorders>
            <w:shd w:fill="auto" w:val="clear"/>
            <w:vAlign w:val="center"/>
          </w:tcPr>
          <w:p>
            <w:pPr>
              <w:pStyle w:val="style44"/>
              <w:rPr/>
            </w:pPr>
            <w:r>
              <w:rPr/>
              <w:t xml:space="preserve">                  </w:t>
            </w:r>
            <w:r>
              <w:rPr/>
              <w:t>-0,52</w:t>
            </w:r>
          </w:p>
        </w:tc>
        <w:tc>
          <w:tcPr>
            <w:tcW w:type="dxa" w:w="2385"/>
            <w:tcBorders>
              <w:top w:val="nil"/>
              <w:left w:val="nil"/>
              <w:bottom w:val="nil"/>
              <w:right w:val="nil"/>
            </w:tcBorders>
            <w:shd w:fill="auto" w:val="clear"/>
            <w:vAlign w:val="center"/>
          </w:tcPr>
          <w:p>
            <w:pPr>
              <w:pStyle w:val="style44"/>
              <w:rPr/>
            </w:pPr>
            <w:r>
              <w:rPr/>
              <w:t xml:space="preserve">                </w:t>
            </w:r>
            <w:r>
              <w:rPr/>
              <w:t>-11,03</w:t>
            </w:r>
          </w:p>
        </w:tc>
      </w:tr>
      <w:tr>
        <w:trPr>
          <w:trHeight w:hRule="atLeast" w:val="300"/>
          <w:cantSplit w:val="false"/>
        </w:trPr>
        <w:tc>
          <w:tcPr>
            <w:tcW w:type="dxa" w:w="2805"/>
            <w:tcBorders>
              <w:top w:val="nil"/>
              <w:left w:val="nil"/>
              <w:bottom w:val="nil"/>
              <w:right w:val="nil"/>
            </w:tcBorders>
            <w:shd w:fill="auto" w:val="clear"/>
            <w:vAlign w:val="center"/>
          </w:tcPr>
          <w:p>
            <w:pPr>
              <w:pStyle w:val="style44"/>
              <w:rPr/>
            </w:pPr>
            <w:r>
              <w:rPr/>
              <w:t>PeyPal</w:t>
            </w:r>
          </w:p>
        </w:tc>
        <w:tc>
          <w:tcPr>
            <w:tcW w:type="dxa" w:w="2385"/>
            <w:tcBorders>
              <w:top w:val="nil"/>
              <w:left w:val="nil"/>
              <w:bottom w:val="nil"/>
              <w:right w:val="nil"/>
            </w:tcBorders>
            <w:shd w:fill="auto" w:val="clear"/>
            <w:vAlign w:val="center"/>
          </w:tcPr>
          <w:p>
            <w:pPr>
              <w:pStyle w:val="style44"/>
              <w:rPr/>
            </w:pPr>
            <w:r>
              <w:rPr/>
              <w:t xml:space="preserve">                  </w:t>
            </w:r>
            <w:r>
              <w:rPr/>
              <w:t>62,62</w:t>
            </w:r>
          </w:p>
        </w:tc>
        <w:tc>
          <w:tcPr>
            <w:tcW w:type="dxa" w:w="2385"/>
            <w:tcBorders>
              <w:top w:val="nil"/>
              <w:left w:val="nil"/>
              <w:bottom w:val="nil"/>
              <w:right w:val="nil"/>
            </w:tcBorders>
            <w:shd w:fill="auto" w:val="clear"/>
            <w:vAlign w:val="center"/>
          </w:tcPr>
          <w:p>
            <w:pPr>
              <w:pStyle w:val="style44"/>
              <w:rPr/>
            </w:pPr>
            <w:r>
              <w:rPr/>
              <w:t xml:space="preserve">                   </w:t>
            </w:r>
            <w:r>
              <w:rPr/>
              <w:t>0</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pPr>
            <w:r>
              <w:rPr/>
              <w:t>Peniaze na ceste</w:t>
            </w:r>
          </w:p>
        </w:tc>
        <w:tc>
          <w:tcPr>
            <w:tcW w:type="dxa" w:w="2385"/>
            <w:tcBorders>
              <w:top w:val="nil"/>
              <w:left w:val="nil"/>
              <w:bottom w:val="nil"/>
              <w:right w:val="nil"/>
            </w:tcBorders>
            <w:shd w:fill="auto" w:val="clear"/>
            <w:vAlign w:val="center"/>
          </w:tcPr>
          <w:p>
            <w:pPr>
              <w:pStyle w:val="style44"/>
              <w:rPr/>
            </w:pPr>
            <w:r>
              <w:rPr/>
              <w:t> </w:t>
            </w:r>
          </w:p>
        </w:tc>
        <w:tc>
          <w:tcPr>
            <w:tcW w:type="dxa" w:w="2385"/>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2805"/>
            <w:tcBorders>
              <w:top w:val="nil"/>
              <w:left w:val="nil"/>
              <w:bottom w:val="nil"/>
              <w:right w:val="nil"/>
            </w:tcBorders>
            <w:shd w:fill="auto" w:val="clear"/>
            <w:vAlign w:val="center"/>
          </w:tcPr>
          <w:p>
            <w:pPr>
              <w:pStyle w:val="style44"/>
              <w:rPr>
                <w:b/>
                <w:bCs/>
              </w:rPr>
            </w:pPr>
            <w:r>
              <w:rPr/>
              <w:t> </w:t>
            </w:r>
            <w:r>
              <w:rPr>
                <w:b/>
                <w:bCs/>
              </w:rPr>
              <w:t>Spolu:</w:t>
            </w:r>
          </w:p>
        </w:tc>
        <w:tc>
          <w:tcPr>
            <w:tcW w:type="dxa" w:w="2385"/>
            <w:tcBorders>
              <w:top w:val="nil"/>
              <w:left w:val="nil"/>
              <w:bottom w:val="nil"/>
              <w:right w:val="nil"/>
            </w:tcBorders>
            <w:shd w:fill="auto" w:val="clear"/>
            <w:vAlign w:val="center"/>
          </w:tcPr>
          <w:p>
            <w:pPr>
              <w:pStyle w:val="style44"/>
              <w:rPr>
                <w:b/>
                <w:bCs/>
              </w:rPr>
            </w:pPr>
            <w:r>
              <w:rPr>
                <w:b/>
                <w:bCs/>
              </w:rPr>
              <w:t xml:space="preserve">               </w:t>
            </w:r>
            <w:r>
              <w:rPr>
                <w:b/>
                <w:bCs/>
              </w:rPr>
              <w:t>1941,31</w:t>
            </w:r>
          </w:p>
        </w:tc>
        <w:tc>
          <w:tcPr>
            <w:tcW w:type="dxa" w:w="2385"/>
            <w:tcBorders>
              <w:top w:val="nil"/>
              <w:left w:val="nil"/>
              <w:bottom w:val="nil"/>
              <w:right w:val="nil"/>
            </w:tcBorders>
            <w:shd w:fill="auto" w:val="clear"/>
            <w:vAlign w:val="center"/>
          </w:tcPr>
          <w:p>
            <w:pPr>
              <w:pStyle w:val="style44"/>
              <w:rPr>
                <w:b/>
                <w:bCs/>
              </w:rPr>
            </w:pPr>
            <w:r>
              <w:rPr>
                <w:b/>
                <w:bCs/>
              </w:rPr>
              <w:t xml:space="preserve">              </w:t>
            </w:r>
            <w:r>
              <w:rPr>
                <w:b/>
                <w:bCs/>
              </w:rPr>
              <w:t>1059,05</w:t>
            </w:r>
          </w:p>
        </w:tc>
      </w:tr>
    </w:tbl>
    <w:p>
      <w:pPr>
        <w:pStyle w:val="style29"/>
        <w:rPr>
          <w:b/>
          <w:bCs/>
          <w:sz w:val="18"/>
          <w:szCs w:val="18"/>
        </w:rPr>
      </w:pPr>
      <w:r>
        <w:rPr>
          <w:b/>
          <w:bCs/>
          <w:sz w:val="18"/>
          <w:szCs w:val="18"/>
        </w:rPr>
      </w:r>
    </w:p>
    <w:p>
      <w:pPr>
        <w:pStyle w:val="style29"/>
        <w:rPr>
          <w:b w:val="false"/>
          <w:bCs w:val="false"/>
          <w:sz w:val="18"/>
          <w:szCs w:val="18"/>
        </w:rPr>
      </w:pPr>
      <w:r>
        <w:rPr>
          <w:b w:val="false"/>
          <w:bCs w:val="false"/>
          <w:sz w:val="18"/>
          <w:szCs w:val="18"/>
        </w:rPr>
        <w:t>Spoločnosť má zriadené účte vo VÚB banke, a.s., Mlinské nivy 1, Bratislava.</w:t>
      </w:r>
    </w:p>
    <w:p>
      <w:pPr>
        <w:pStyle w:val="style29"/>
        <w:rPr>
          <w:b w:val="false"/>
          <w:bCs w:val="false"/>
          <w:sz w:val="18"/>
          <w:szCs w:val="18"/>
        </w:rPr>
      </w:pPr>
      <w:r>
        <w:rPr>
          <w:b w:val="false"/>
          <w:bCs w:val="false"/>
          <w:sz w:val="18"/>
          <w:szCs w:val="18"/>
        </w:rPr>
        <w:t>Spoločnosť má zriadený bežný účet v eur a účet zahraničnej meny v PLN.</w:t>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bCs/>
          <w:sz w:val="18"/>
          <w:szCs w:val="18"/>
        </w:rPr>
      </w:pPr>
      <w:r>
        <w:rPr>
          <w:b/>
          <w:bCs/>
          <w:sz w:val="18"/>
          <w:szCs w:val="18"/>
        </w:rPr>
        <w:t>4.  Informácie o rozdelení účtovného zisku alebo vysporiadanie účtovnej straty.</w:t>
      </w:r>
    </w:p>
    <w:p>
      <w:pPr>
        <w:pStyle w:val="style2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6"/>
        <w:gridCol w:w="3049"/>
      </w:tblGrid>
      <w:tr>
        <w:trPr>
          <w:trHeight w:hRule="atLeast" w:val="315"/>
          <w:cantSplit w:val="false"/>
        </w:trPr>
        <w:tc>
          <w:tcPr>
            <w:tcW w:type="dxa" w:w="4136"/>
            <w:tcBorders>
              <w:top w:val="nil"/>
              <w:left w:val="nil"/>
              <w:bottom w:val="nil"/>
              <w:right w:val="nil"/>
            </w:tcBorders>
            <w:shd w:fill="auto" w:val="clear"/>
            <w:vAlign w:val="center"/>
          </w:tcPr>
          <w:p>
            <w:pPr>
              <w:pStyle w:val="style44"/>
              <w:rPr/>
            </w:pPr>
            <w:r>
              <w:rPr/>
              <w:t>tabuľka č. 1</w:t>
            </w:r>
          </w:p>
        </w:tc>
        <w:tc>
          <w:tcPr>
            <w:tcW w:type="dxa" w:w="3049"/>
            <w:tcBorders>
              <w:top w:val="nil"/>
              <w:left w:val="nil"/>
              <w:bottom w:val="nil"/>
              <w:right w:val="nil"/>
            </w:tcBorders>
            <w:shd w:fill="auto" w:val="clear"/>
            <w:vAlign w:val="center"/>
          </w:tcPr>
          <w:p>
            <w:pPr>
              <w:pStyle w:val="style44"/>
              <w:rPr>
                <w:sz w:val="4"/>
                <w:szCs w:val="4"/>
              </w:rPr>
            </w:pPr>
            <w:r>
              <w:rPr>
                <w:sz w:val="4"/>
                <w:szCs w:val="4"/>
              </w:rPr>
            </w:r>
          </w:p>
        </w:tc>
      </w:tr>
      <w:tr>
        <w:trPr>
          <w:trHeight w:hRule="atLeast" w:val="300"/>
          <w:cantSplit w:val="false"/>
        </w:trPr>
        <w:tc>
          <w:tcPr>
            <w:tcW w:type="dxa" w:w="4136"/>
            <w:tcBorders>
              <w:top w:val="nil"/>
              <w:left w:val="nil"/>
              <w:bottom w:val="nil"/>
              <w:right w:val="nil"/>
            </w:tcBorders>
            <w:shd w:fill="auto" w:val="clear"/>
            <w:vAlign w:val="center"/>
          </w:tcPr>
          <w:p>
            <w:pPr>
              <w:pStyle w:val="style44"/>
              <w:rPr>
                <w:b/>
                <w:bCs/>
              </w:rPr>
            </w:pPr>
            <w:r>
              <w:rPr/>
              <w:t>N</w:t>
            </w:r>
            <w:r>
              <w:rPr>
                <w:b/>
                <w:bCs/>
              </w:rPr>
              <w:t>ázov položky</w:t>
            </w:r>
          </w:p>
        </w:tc>
        <w:tc>
          <w:tcPr>
            <w:tcW w:type="dxa" w:w="3049"/>
            <w:tcBorders>
              <w:top w:val="nil"/>
              <w:left w:val="nil"/>
              <w:bottom w:val="nil"/>
              <w:right w:val="nil"/>
            </w:tcBorders>
            <w:shd w:fill="auto" w:val="clear"/>
            <w:vAlign w:val="center"/>
          </w:tcPr>
          <w:p>
            <w:pPr>
              <w:pStyle w:val="style44"/>
              <w:rPr>
                <w:b/>
                <w:bCs/>
              </w:rPr>
            </w:pPr>
            <w:r>
              <w:rPr>
                <w:b/>
                <w:bCs/>
              </w:rPr>
              <w:t>Bezprostredne predchádzajúce</w:t>
            </w:r>
          </w:p>
        </w:tc>
      </w:tr>
      <w:tr>
        <w:trPr>
          <w:trHeight w:hRule="atLeast" w:val="315"/>
          <w:cantSplit w:val="false"/>
        </w:trPr>
        <w:tc>
          <w:tcPr>
            <w:tcW w:type="dxa" w:w="4136"/>
            <w:tcBorders>
              <w:top w:val="nil"/>
              <w:left w:val="nil"/>
              <w:bottom w:val="nil"/>
              <w:right w:val="nil"/>
            </w:tcBorders>
            <w:shd w:fill="auto" w:val="clear"/>
            <w:vAlign w:val="center"/>
          </w:tcPr>
          <w:p>
            <w:pPr>
              <w:pStyle w:val="style44"/>
              <w:rPr/>
            </w:pPr>
            <w:r>
              <w:rPr/>
              <w:t> </w:t>
            </w:r>
          </w:p>
        </w:tc>
        <w:tc>
          <w:tcPr>
            <w:tcW w:type="dxa" w:w="3049"/>
            <w:tcBorders>
              <w:top w:val="nil"/>
              <w:left w:val="nil"/>
              <w:bottom w:val="nil"/>
              <w:right w:val="nil"/>
            </w:tcBorders>
            <w:shd w:fill="auto" w:val="clear"/>
            <w:vAlign w:val="center"/>
          </w:tcPr>
          <w:p>
            <w:pPr>
              <w:pStyle w:val="style44"/>
              <w:jc w:val="center"/>
              <w:rPr>
                <w:b/>
                <w:bCs/>
              </w:rPr>
            </w:pPr>
            <w:r>
              <w:rPr>
                <w:b/>
                <w:bCs/>
              </w:rPr>
              <w:t>účtovné obdobie</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b/>
                <w:bCs/>
              </w:rPr>
            </w:pPr>
            <w:r>
              <w:rPr>
                <w:b/>
                <w:bCs/>
              </w:rPr>
              <w:t>Účtovný zisk</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 </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Rozdelenie účtovného zisku</w:t>
            </w:r>
          </w:p>
        </w:tc>
        <w:tc>
          <w:tcPr>
            <w:tcW w:type="dxa" w:w="3049"/>
            <w:tcBorders>
              <w:top w:val="nil"/>
              <w:left w:val="nil"/>
              <w:bottom w:val="nil"/>
              <w:right w:val="nil"/>
            </w:tcBorders>
            <w:shd w:fill="auto" w:val="clear"/>
            <w:vAlign w:val="center"/>
          </w:tcPr>
          <w:p>
            <w:pPr>
              <w:pStyle w:val="style44"/>
              <w:jc w:val="center"/>
              <w:rPr>
                <w:b/>
                <w:bCs/>
              </w:rPr>
            </w:pPr>
            <w:r>
              <w:rPr>
                <w:b/>
                <w:bCs/>
              </w:rPr>
              <w:t>Bežné účtovné obdobie</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Prídel do zákonného rezervného fondu</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Prídel do štatutárnych a ostatných fondov</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Prídel do sociálneho fondu</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Prídel na zvýšenie základného imania</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Úhrada straty minulých období</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Prevod do nerozdeleného zisku minulých rokov</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t>Rozdelenie podielu na zisku spoločníkom</w:t>
            </w:r>
          </w:p>
        </w:tc>
        <w:tc>
          <w:tcPr>
            <w:tcW w:type="dxa" w:w="3049"/>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36"/>
            <w:tcBorders>
              <w:top w:val="nil"/>
              <w:left w:val="nil"/>
              <w:bottom w:val="nil"/>
              <w:right w:val="nil"/>
            </w:tcBorders>
            <w:shd w:fill="auto" w:val="clear"/>
            <w:vAlign w:val="center"/>
          </w:tcPr>
          <w:p>
            <w:pPr>
              <w:pStyle w:val="style44"/>
              <w:rPr/>
            </w:pPr>
            <w:r>
              <w:rPr/>
            </w:r>
          </w:p>
        </w:tc>
        <w:tc>
          <w:tcPr>
            <w:tcW w:type="dxa" w:w="3049"/>
            <w:tcBorders>
              <w:top w:val="nil"/>
              <w:left w:val="nil"/>
              <w:bottom w:val="nil"/>
              <w:right w:val="nil"/>
            </w:tcBorders>
            <w:shd w:fill="auto" w:val="clear"/>
            <w:vAlign w:val="center"/>
          </w:tcPr>
          <w:p>
            <w:pPr>
              <w:pStyle w:val="style44"/>
              <w:rPr/>
            </w:pPr>
            <w:r>
              <w:rPr/>
              <w:t xml:space="preserve">                      </w:t>
            </w:r>
          </w:p>
        </w:tc>
      </w:tr>
      <w:tr>
        <w:trPr>
          <w:trHeight w:hRule="atLeast" w:val="315"/>
          <w:cantSplit w:val="false"/>
        </w:trPr>
        <w:tc>
          <w:tcPr>
            <w:tcW w:type="dxa" w:w="4136"/>
            <w:tcBorders>
              <w:top w:val="nil"/>
              <w:left w:val="nil"/>
              <w:bottom w:val="nil"/>
              <w:right w:val="nil"/>
            </w:tcBorders>
            <w:shd w:fill="auto" w:val="clear"/>
            <w:vAlign w:val="center"/>
          </w:tcPr>
          <w:p>
            <w:pPr>
              <w:pStyle w:val="style44"/>
              <w:rPr/>
            </w:pPr>
            <w:r>
              <w:rPr/>
              <w:t>iné</w:t>
            </w:r>
          </w:p>
        </w:tc>
        <w:tc>
          <w:tcPr>
            <w:tcW w:type="dxa" w:w="3049"/>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4136"/>
            <w:tcBorders>
              <w:top w:val="nil"/>
              <w:left w:val="nil"/>
              <w:bottom w:val="nil"/>
              <w:right w:val="nil"/>
            </w:tcBorders>
            <w:shd w:fill="auto" w:val="clear"/>
            <w:vAlign w:val="center"/>
          </w:tcPr>
          <w:p>
            <w:pPr>
              <w:pStyle w:val="style44"/>
              <w:rPr>
                <w:b/>
                <w:bCs/>
              </w:rPr>
            </w:pPr>
            <w:r>
              <w:rPr>
                <w:b/>
                <w:bCs/>
              </w:rPr>
              <w:t>Spolu:</w:t>
            </w:r>
          </w:p>
        </w:tc>
        <w:tc>
          <w:tcPr>
            <w:tcW w:type="dxa" w:w="3049"/>
            <w:tcBorders>
              <w:top w:val="nil"/>
              <w:left w:val="nil"/>
              <w:bottom w:val="nil"/>
              <w:right w:val="nil"/>
            </w:tcBorders>
            <w:shd w:fill="auto" w:val="clear"/>
            <w:vAlign w:val="center"/>
          </w:tcPr>
          <w:p>
            <w:pPr>
              <w:pStyle w:val="style44"/>
              <w:rPr/>
            </w:pPr>
            <w:r>
              <w:rPr/>
              <w:t xml:space="preserve">                      </w:t>
            </w:r>
          </w:p>
        </w:tc>
      </w:tr>
    </w:tbl>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t>Spoločnosť v účtovnom období nevykázala zisk, účtovala iba o odloženej dani.</w:t>
      </w:r>
    </w:p>
    <w:p>
      <w:pPr>
        <w:pStyle w:val="style29"/>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70"/>
        <w:gridCol w:w="3015"/>
      </w:tblGrid>
      <w:tr>
        <w:trPr>
          <w:trHeight w:hRule="atLeast" w:val="315"/>
          <w:cantSplit w:val="false"/>
        </w:trPr>
        <w:tc>
          <w:tcPr>
            <w:tcW w:type="dxa" w:w="4170"/>
            <w:tcBorders>
              <w:top w:val="nil"/>
              <w:left w:val="nil"/>
              <w:bottom w:val="nil"/>
              <w:right w:val="nil"/>
            </w:tcBorders>
            <w:shd w:fill="auto" w:val="clear"/>
            <w:vAlign w:val="center"/>
          </w:tcPr>
          <w:p>
            <w:pPr>
              <w:pStyle w:val="style44"/>
              <w:rPr/>
            </w:pPr>
            <w:r>
              <w:rPr/>
              <w:t>tabuľka č. 2</w:t>
            </w:r>
          </w:p>
        </w:tc>
        <w:tc>
          <w:tcPr>
            <w:tcW w:type="dxa" w:w="3015"/>
            <w:tcBorders>
              <w:top w:val="nil"/>
              <w:left w:val="nil"/>
              <w:bottom w:val="nil"/>
              <w:right w:val="nil"/>
            </w:tcBorders>
            <w:shd w:fill="auto" w:val="clear"/>
            <w:vAlign w:val="center"/>
          </w:tcPr>
          <w:p>
            <w:pPr>
              <w:pStyle w:val="style44"/>
              <w:rPr>
                <w:sz w:val="4"/>
                <w:szCs w:val="4"/>
              </w:rPr>
            </w:pPr>
            <w:r>
              <w:rPr>
                <w:sz w:val="4"/>
                <w:szCs w:val="4"/>
              </w:rPr>
            </w:r>
          </w:p>
        </w:tc>
      </w:tr>
      <w:tr>
        <w:trPr>
          <w:trHeight w:hRule="atLeast" w:val="300"/>
          <w:cantSplit w:val="false"/>
        </w:trPr>
        <w:tc>
          <w:tcPr>
            <w:tcW w:type="dxa" w:w="4170"/>
            <w:tcBorders>
              <w:top w:val="nil"/>
              <w:left w:val="nil"/>
              <w:bottom w:val="nil"/>
              <w:right w:val="nil"/>
            </w:tcBorders>
            <w:shd w:fill="auto" w:val="clear"/>
            <w:vAlign w:val="center"/>
          </w:tcPr>
          <w:p>
            <w:pPr>
              <w:pStyle w:val="style44"/>
              <w:rPr>
                <w:b/>
                <w:bCs/>
              </w:rPr>
            </w:pPr>
            <w:r>
              <w:rPr>
                <w:b/>
                <w:bCs/>
              </w:rPr>
              <w:t>Názov položky</w:t>
            </w:r>
          </w:p>
        </w:tc>
        <w:tc>
          <w:tcPr>
            <w:tcW w:type="dxa" w:w="3015"/>
            <w:tcBorders>
              <w:top w:val="nil"/>
              <w:left w:val="nil"/>
              <w:bottom w:val="nil"/>
              <w:right w:val="nil"/>
            </w:tcBorders>
            <w:shd w:fill="auto" w:val="clear"/>
            <w:vAlign w:val="center"/>
          </w:tcPr>
          <w:p>
            <w:pPr>
              <w:pStyle w:val="style44"/>
              <w:rPr>
                <w:b/>
                <w:bCs/>
              </w:rPr>
            </w:pPr>
            <w:r>
              <w:rPr>
                <w:b/>
                <w:bCs/>
              </w:rPr>
              <w:t>Bezprostredne predchádzajúce</w:t>
            </w:r>
          </w:p>
        </w:tc>
      </w:tr>
      <w:tr>
        <w:trPr>
          <w:trHeight w:hRule="atLeast" w:val="315"/>
          <w:cantSplit w:val="false"/>
        </w:trPr>
        <w:tc>
          <w:tcPr>
            <w:tcW w:type="dxa" w:w="4170"/>
            <w:tcBorders>
              <w:top w:val="nil"/>
              <w:left w:val="nil"/>
              <w:bottom w:val="nil"/>
              <w:right w:val="nil"/>
            </w:tcBorders>
            <w:shd w:fill="auto" w:val="clear"/>
            <w:vAlign w:val="center"/>
          </w:tcPr>
          <w:p>
            <w:pPr>
              <w:pStyle w:val="style44"/>
              <w:rPr/>
            </w:pPr>
            <w:r>
              <w:rPr/>
              <w:t> </w:t>
            </w:r>
          </w:p>
        </w:tc>
        <w:tc>
          <w:tcPr>
            <w:tcW w:type="dxa" w:w="3015"/>
            <w:tcBorders>
              <w:top w:val="nil"/>
              <w:left w:val="nil"/>
              <w:bottom w:val="nil"/>
              <w:right w:val="nil"/>
            </w:tcBorders>
            <w:shd w:fill="auto" w:val="clear"/>
            <w:vAlign w:val="center"/>
          </w:tcPr>
          <w:p>
            <w:pPr>
              <w:pStyle w:val="style44"/>
              <w:jc w:val="center"/>
              <w:rPr>
                <w:b/>
                <w:bCs/>
              </w:rPr>
            </w:pPr>
            <w:r>
              <w:rPr>
                <w:b/>
                <w:bCs/>
              </w:rPr>
              <w:t>účtovné obdobie</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b/>
                <w:bCs/>
              </w:rPr>
            </w:pPr>
            <w:r>
              <w:rPr>
                <w:b/>
                <w:bCs/>
              </w:rPr>
              <w:t>Účtovná strata</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 </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vysporiadanie účtovnej straty</w:t>
            </w:r>
          </w:p>
        </w:tc>
        <w:tc>
          <w:tcPr>
            <w:tcW w:type="dxa" w:w="3015"/>
            <w:tcBorders>
              <w:top w:val="nil"/>
              <w:left w:val="nil"/>
              <w:bottom w:val="nil"/>
              <w:right w:val="nil"/>
            </w:tcBorders>
            <w:shd w:fill="auto" w:val="clear"/>
            <w:vAlign w:val="center"/>
          </w:tcPr>
          <w:p>
            <w:pPr>
              <w:pStyle w:val="style44"/>
              <w:jc w:val="center"/>
              <w:rPr>
                <w:b/>
                <w:bCs/>
              </w:rPr>
            </w:pPr>
            <w:r>
              <w:rPr>
                <w:b/>
                <w:bCs/>
              </w:rPr>
              <w:t>Bežné účtovné obdobie</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Prídel do zákonného rezervného fondu</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Prídel do štatutárnych a ostatných fondov</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Prídel do sociálneho fondu</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Prídel na zvýšenie základného imania</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Úhrada straty minulých období</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Prevod do nerozdeleného zisku minulých rokov</w:t>
            </w:r>
          </w:p>
        </w:tc>
        <w:tc>
          <w:tcPr>
            <w:tcW w:type="dxa" w:w="3015"/>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4170"/>
            <w:tcBorders>
              <w:top w:val="nil"/>
              <w:left w:val="nil"/>
              <w:bottom w:val="nil"/>
              <w:right w:val="nil"/>
            </w:tcBorders>
            <w:shd w:fill="auto" w:val="clear"/>
            <w:vAlign w:val="center"/>
          </w:tcPr>
          <w:p>
            <w:pPr>
              <w:pStyle w:val="style44"/>
              <w:rPr/>
            </w:pPr>
            <w:r>
              <w:rPr/>
              <w:t>Rozdelenie podielu na zisku spoločníkom</w:t>
            </w:r>
          </w:p>
        </w:tc>
        <w:tc>
          <w:tcPr>
            <w:tcW w:type="dxa" w:w="3015"/>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4170"/>
            <w:tcBorders>
              <w:top w:val="nil"/>
              <w:left w:val="nil"/>
              <w:bottom w:val="nil"/>
              <w:right w:val="nil"/>
            </w:tcBorders>
            <w:shd w:fill="auto" w:val="clear"/>
            <w:vAlign w:val="center"/>
          </w:tcPr>
          <w:p>
            <w:pPr>
              <w:pStyle w:val="style44"/>
              <w:rPr/>
            </w:pPr>
            <w:r>
              <w:rPr/>
              <w:t>Daňová licencia</w:t>
            </w:r>
          </w:p>
        </w:tc>
        <w:tc>
          <w:tcPr>
            <w:tcW w:type="dxa" w:w="3015"/>
            <w:tcBorders>
              <w:top w:val="nil"/>
              <w:left w:val="nil"/>
              <w:bottom w:val="nil"/>
              <w:right w:val="nil"/>
            </w:tcBorders>
            <w:shd w:fill="auto" w:val="clear"/>
            <w:vAlign w:val="center"/>
          </w:tcPr>
          <w:p>
            <w:pPr>
              <w:pStyle w:val="style44"/>
              <w:rPr/>
            </w:pPr>
            <w:r>
              <w:rPr/>
              <w:t xml:space="preserve">                         </w:t>
            </w:r>
            <w:r>
              <w:rPr/>
              <w:t>960</w:t>
            </w:r>
          </w:p>
        </w:tc>
      </w:tr>
      <w:tr>
        <w:trPr>
          <w:trHeight w:hRule="atLeast" w:val="315"/>
          <w:cantSplit w:val="false"/>
        </w:trPr>
        <w:tc>
          <w:tcPr>
            <w:tcW w:type="dxa" w:w="4170"/>
            <w:tcBorders>
              <w:top w:val="nil"/>
              <w:left w:val="nil"/>
              <w:bottom w:val="nil"/>
              <w:right w:val="nil"/>
            </w:tcBorders>
            <w:shd w:fill="auto" w:val="clear"/>
            <w:vAlign w:val="center"/>
          </w:tcPr>
          <w:p>
            <w:pPr>
              <w:pStyle w:val="style44"/>
              <w:rPr>
                <w:b/>
                <w:bCs/>
              </w:rPr>
            </w:pPr>
            <w:r>
              <w:rPr>
                <w:b/>
                <w:bCs/>
              </w:rPr>
              <w:t>Spolu:</w:t>
            </w:r>
          </w:p>
        </w:tc>
        <w:tc>
          <w:tcPr>
            <w:tcW w:type="dxa" w:w="3015"/>
            <w:tcBorders>
              <w:top w:val="nil"/>
              <w:left w:val="nil"/>
              <w:bottom w:val="nil"/>
              <w:right w:val="nil"/>
            </w:tcBorders>
            <w:shd w:fill="auto" w:val="clear"/>
            <w:vAlign w:val="center"/>
          </w:tcPr>
          <w:p>
            <w:pPr>
              <w:pStyle w:val="style44"/>
              <w:rPr>
                <w:b/>
                <w:bCs/>
              </w:rPr>
            </w:pPr>
            <w:r>
              <w:rPr/>
              <w:t xml:space="preserve">                        </w:t>
            </w:r>
            <w:r>
              <w:rPr>
                <w:b/>
                <w:bCs/>
              </w:rPr>
              <w:t xml:space="preserve"> </w:t>
            </w:r>
            <w:r>
              <w:rPr>
                <w:b/>
                <w:bCs/>
              </w:rPr>
              <w:t>960</w:t>
            </w:r>
          </w:p>
        </w:tc>
      </w:tr>
    </w:tbl>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t xml:space="preserve">Na základe rozhodnutia Valného zhromaždenia, ktoré sa konalo dňa 30.04.2015 </w:t>
      </w:r>
    </w:p>
    <w:p>
      <w:pPr>
        <w:pStyle w:val="style29"/>
        <w:rPr>
          <w:b w:val="false"/>
          <w:bCs w:val="false"/>
          <w:sz w:val="18"/>
          <w:szCs w:val="18"/>
        </w:rPr>
      </w:pPr>
      <w:r>
        <w:rPr>
          <w:b w:val="false"/>
          <w:bCs w:val="false"/>
          <w:sz w:val="18"/>
          <w:szCs w:val="18"/>
        </w:rPr>
        <w:t xml:space="preserve">spoločnosť preúčtovala daňovú licenciu na účet 429.20 </w:t>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val="false"/>
          <w:bCs w:val="false"/>
          <w:sz w:val="18"/>
          <w:szCs w:val="18"/>
        </w:rPr>
      </w:pPr>
      <w:r>
        <w:rPr>
          <w:b w:val="false"/>
          <w:bCs w:val="false"/>
          <w:sz w:val="18"/>
          <w:szCs w:val="18"/>
        </w:rPr>
      </w:r>
    </w:p>
    <w:p>
      <w:pPr>
        <w:pStyle w:val="style29"/>
        <w:rPr>
          <w:b/>
          <w:bCs/>
          <w:sz w:val="18"/>
          <w:szCs w:val="18"/>
        </w:rPr>
      </w:pPr>
      <w:r>
        <w:rPr>
          <w:b/>
          <w:bCs/>
          <w:sz w:val="18"/>
          <w:szCs w:val="18"/>
        </w:rPr>
        <w:t>5.  Informácie o rezervách</w:t>
      </w:r>
    </w:p>
    <w:p>
      <w:pPr>
        <w:pStyle w:val="style29"/>
        <w:rPr>
          <w:b w:val="false"/>
          <w:bCs w:val="false"/>
          <w:sz w:val="18"/>
          <w:szCs w:val="18"/>
        </w:rPr>
      </w:pPr>
      <w:r>
        <w:rPr>
          <w:b w:val="false"/>
          <w:bCs w:val="false"/>
          <w:sz w:val="18"/>
          <w:szCs w:val="18"/>
        </w:rPr>
        <w:t>Spoločnosť v bežnom účtovnom období nemala povinnosť tvoriť rezervy.</w:t>
      </w:r>
    </w:p>
    <w:p>
      <w:pPr>
        <w:pStyle w:val="style29"/>
        <w:rPr>
          <w:b w:val="false"/>
          <w:bCs w:val="false"/>
          <w:sz w:val="18"/>
          <w:szCs w:val="18"/>
        </w:rPr>
      </w:pPr>
      <w:r>
        <w:rPr>
          <w:b w:val="false"/>
          <w:bCs w:val="false"/>
          <w:sz w:val="18"/>
          <w:szCs w:val="18"/>
        </w:rPr>
      </w:r>
    </w:p>
    <w:p>
      <w:pPr>
        <w:pStyle w:val="style29"/>
        <w:rPr>
          <w:b/>
          <w:bCs/>
          <w:sz w:val="18"/>
          <w:szCs w:val="18"/>
        </w:rPr>
      </w:pPr>
      <w:r>
        <w:rPr>
          <w:b/>
          <w:bCs/>
          <w:sz w:val="18"/>
          <w:szCs w:val="18"/>
        </w:rPr>
        <w:t>6.  Informácie o záväzkoch</w:t>
      </w:r>
    </w:p>
    <w:p>
      <w:pPr>
        <w:pStyle w:val="style29"/>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904"/>
        <w:gridCol w:w="2485"/>
        <w:gridCol w:w="2486"/>
      </w:tblGrid>
      <w:tr>
        <w:trPr>
          <w:trHeight w:hRule="atLeast" w:val="300"/>
          <w:cantSplit w:val="false"/>
        </w:trPr>
        <w:tc>
          <w:tcPr>
            <w:tcW w:type="dxa" w:w="2904"/>
            <w:tcBorders>
              <w:top w:val="nil"/>
              <w:left w:val="nil"/>
              <w:bottom w:val="nil"/>
              <w:right w:val="nil"/>
            </w:tcBorders>
            <w:shd w:fill="auto" w:val="clear"/>
            <w:vAlign w:val="center"/>
          </w:tcPr>
          <w:p>
            <w:pPr>
              <w:pStyle w:val="style44"/>
              <w:rPr>
                <w:b/>
                <w:bCs/>
              </w:rPr>
            </w:pPr>
            <w:r>
              <w:rPr>
                <w:b/>
                <w:bCs/>
              </w:rPr>
              <w:t>Názov položky</w:t>
            </w:r>
          </w:p>
        </w:tc>
        <w:tc>
          <w:tcPr>
            <w:tcW w:type="dxa" w:w="2485"/>
            <w:tcBorders>
              <w:top w:val="nil"/>
              <w:left w:val="nil"/>
              <w:bottom w:val="nil"/>
              <w:right w:val="nil"/>
            </w:tcBorders>
            <w:shd w:fill="auto" w:val="clear"/>
            <w:vAlign w:val="center"/>
          </w:tcPr>
          <w:p>
            <w:pPr>
              <w:pStyle w:val="style44"/>
              <w:jc w:val="center"/>
              <w:rPr>
                <w:b/>
                <w:bCs/>
              </w:rPr>
            </w:pPr>
            <w:r>
              <w:rPr>
                <w:b/>
                <w:bCs/>
              </w:rPr>
              <w:t>Bežné účtovné obdobie</w:t>
            </w:r>
          </w:p>
        </w:tc>
        <w:tc>
          <w:tcPr>
            <w:tcW w:type="dxa" w:w="2486"/>
            <w:tcBorders>
              <w:top w:val="nil"/>
              <w:left w:val="nil"/>
              <w:bottom w:val="nil"/>
              <w:right w:val="nil"/>
            </w:tcBorders>
            <w:shd w:fill="auto" w:val="clear"/>
            <w:vAlign w:val="center"/>
          </w:tcPr>
          <w:p>
            <w:pPr>
              <w:pStyle w:val="style44"/>
              <w:jc w:val="center"/>
              <w:rPr>
                <w:b/>
                <w:bCs/>
              </w:rPr>
            </w:pPr>
            <w:r>
              <w:rPr>
                <w:b/>
                <w:bCs/>
              </w:rPr>
              <w:t>Bezprostredne predchádzajúce</w:t>
            </w:r>
          </w:p>
        </w:tc>
      </w:tr>
      <w:tr>
        <w:trPr>
          <w:trHeight w:hRule="atLeast" w:val="315"/>
          <w:cantSplit w:val="false"/>
        </w:trPr>
        <w:tc>
          <w:tcPr>
            <w:tcW w:type="dxa" w:w="2904"/>
            <w:tcBorders>
              <w:top w:val="nil"/>
              <w:left w:val="nil"/>
              <w:bottom w:val="nil"/>
              <w:right w:val="nil"/>
            </w:tcBorders>
            <w:shd w:fill="auto" w:val="clear"/>
            <w:vAlign w:val="center"/>
          </w:tcPr>
          <w:p>
            <w:pPr>
              <w:pStyle w:val="style44"/>
              <w:rPr/>
            </w:pPr>
            <w:r>
              <w:rPr/>
              <w:t> </w:t>
            </w:r>
          </w:p>
        </w:tc>
        <w:tc>
          <w:tcPr>
            <w:tcW w:type="dxa" w:w="2485"/>
            <w:tcBorders>
              <w:top w:val="nil"/>
              <w:left w:val="nil"/>
              <w:bottom w:val="nil"/>
              <w:right w:val="nil"/>
            </w:tcBorders>
            <w:shd w:fill="auto" w:val="clear"/>
            <w:vAlign w:val="center"/>
          </w:tcPr>
          <w:p>
            <w:pPr>
              <w:pStyle w:val="style44"/>
              <w:jc w:val="center"/>
              <w:rPr>
                <w:b/>
                <w:bCs/>
              </w:rPr>
            </w:pPr>
            <w:r>
              <w:rPr>
                <w:b/>
                <w:bCs/>
              </w:rPr>
              <w:t>účtovné obdobie</w:t>
            </w:r>
          </w:p>
        </w:tc>
        <w:tc>
          <w:tcPr>
            <w:tcW w:type="dxa" w:w="2486"/>
            <w:tcBorders>
              <w:top w:val="nil"/>
              <w:left w:val="nil"/>
              <w:bottom w:val="nil"/>
              <w:right w:val="nil"/>
            </w:tcBorders>
            <w:shd w:fill="auto" w:val="clear"/>
            <w:vAlign w:val="center"/>
          </w:tcPr>
          <w:p>
            <w:pPr>
              <w:pStyle w:val="style44"/>
              <w:jc w:val="center"/>
              <w:rPr>
                <w:b/>
                <w:bCs/>
              </w:rPr>
            </w:pPr>
            <w:r>
              <w:rPr>
                <w:b/>
                <w:bCs/>
              </w:rPr>
              <w:t>účtovné obdobie</w:t>
            </w:r>
          </w:p>
        </w:tc>
      </w:tr>
      <w:tr>
        <w:trPr>
          <w:trHeight w:hRule="atLeast" w:val="300"/>
          <w:cantSplit w:val="false"/>
        </w:trPr>
        <w:tc>
          <w:tcPr>
            <w:tcW w:type="dxa" w:w="2904"/>
            <w:tcBorders>
              <w:top w:val="nil"/>
              <w:left w:val="nil"/>
              <w:bottom w:val="nil"/>
              <w:right w:val="nil"/>
            </w:tcBorders>
            <w:shd w:fill="auto" w:val="clear"/>
            <w:vAlign w:val="center"/>
          </w:tcPr>
          <w:p>
            <w:pPr>
              <w:pStyle w:val="style44"/>
              <w:rPr/>
            </w:pPr>
            <w:r>
              <w:rPr/>
              <w:t>Záväzky z obchodného styku</w:t>
            </w:r>
          </w:p>
        </w:tc>
        <w:tc>
          <w:tcPr>
            <w:tcW w:type="dxa" w:w="2485"/>
            <w:tcBorders>
              <w:top w:val="nil"/>
              <w:left w:val="nil"/>
              <w:bottom w:val="nil"/>
              <w:right w:val="nil"/>
            </w:tcBorders>
            <w:shd w:fill="auto" w:val="clear"/>
            <w:vAlign w:val="center"/>
          </w:tcPr>
          <w:p>
            <w:pPr>
              <w:pStyle w:val="style44"/>
              <w:rPr/>
            </w:pPr>
            <w:r>
              <w:rPr/>
              <w:t> </w:t>
            </w:r>
          </w:p>
        </w:tc>
        <w:tc>
          <w:tcPr>
            <w:tcW w:type="dxa" w:w="2486"/>
            <w:tcBorders>
              <w:top w:val="nil"/>
              <w:left w:val="nil"/>
              <w:bottom w:val="nil"/>
              <w:right w:val="nil"/>
            </w:tcBorders>
            <w:shd w:fill="auto" w:val="clear"/>
            <w:vAlign w:val="center"/>
          </w:tcPr>
          <w:p>
            <w:pPr>
              <w:pStyle w:val="style44"/>
              <w:rPr/>
            </w:pPr>
            <w:r>
              <w:rPr/>
              <w:t> </w:t>
            </w:r>
          </w:p>
        </w:tc>
      </w:tr>
      <w:tr>
        <w:trPr>
          <w:trHeight w:hRule="atLeast" w:val="300"/>
          <w:cantSplit w:val="false"/>
        </w:trPr>
        <w:tc>
          <w:tcPr>
            <w:tcW w:type="dxa" w:w="2904"/>
            <w:tcBorders>
              <w:top w:val="nil"/>
              <w:left w:val="nil"/>
              <w:bottom w:val="nil"/>
              <w:right w:val="nil"/>
            </w:tcBorders>
            <w:shd w:fill="auto" w:val="clear"/>
            <w:vAlign w:val="center"/>
          </w:tcPr>
          <w:p>
            <w:pPr>
              <w:pStyle w:val="style44"/>
              <w:rPr/>
            </w:pPr>
            <w:r>
              <w:rPr/>
              <w:t>Záväzky voči daňovému úradu</w:t>
            </w:r>
          </w:p>
        </w:tc>
        <w:tc>
          <w:tcPr>
            <w:tcW w:type="dxa" w:w="2485"/>
            <w:tcBorders>
              <w:top w:val="nil"/>
              <w:left w:val="nil"/>
              <w:bottom w:val="nil"/>
              <w:right w:val="nil"/>
            </w:tcBorders>
            <w:shd w:fill="auto" w:val="clear"/>
            <w:vAlign w:val="center"/>
          </w:tcPr>
          <w:p>
            <w:pPr>
              <w:pStyle w:val="style44"/>
              <w:rPr>
                <w:sz w:val="16"/>
                <w:szCs w:val="16"/>
              </w:rPr>
            </w:pPr>
            <w:r>
              <w:rPr/>
              <w:t xml:space="preserve">              </w:t>
            </w:r>
            <w:r>
              <w:rPr>
                <w:sz w:val="16"/>
                <w:szCs w:val="16"/>
              </w:rPr>
              <w:t xml:space="preserve"> </w:t>
            </w:r>
            <w:r>
              <w:rPr>
                <w:sz w:val="16"/>
                <w:szCs w:val="16"/>
              </w:rPr>
              <w:t>1039,22</w:t>
            </w:r>
          </w:p>
        </w:tc>
        <w:tc>
          <w:tcPr>
            <w:tcW w:type="dxa" w:w="2486"/>
            <w:tcBorders>
              <w:top w:val="nil"/>
              <w:left w:val="nil"/>
              <w:bottom w:val="nil"/>
              <w:right w:val="nil"/>
            </w:tcBorders>
            <w:shd w:fill="auto" w:val="clear"/>
            <w:vAlign w:val="center"/>
          </w:tcPr>
          <w:p>
            <w:pPr>
              <w:pStyle w:val="style44"/>
              <w:rPr>
                <w:sz w:val="16"/>
                <w:szCs w:val="16"/>
              </w:rPr>
            </w:pPr>
            <w:r>
              <w:rPr/>
              <w:t xml:space="preserve">                 </w:t>
            </w:r>
            <w:r>
              <w:rPr>
                <w:sz w:val="16"/>
                <w:szCs w:val="16"/>
              </w:rPr>
              <w:t xml:space="preserve"> </w:t>
            </w:r>
            <w:r>
              <w:rPr>
                <w:sz w:val="16"/>
                <w:szCs w:val="16"/>
              </w:rPr>
              <w:t>960</w:t>
            </w:r>
          </w:p>
        </w:tc>
      </w:tr>
      <w:tr>
        <w:trPr>
          <w:trHeight w:hRule="atLeast" w:val="315"/>
          <w:cantSplit w:val="false"/>
        </w:trPr>
        <w:tc>
          <w:tcPr>
            <w:tcW w:type="dxa" w:w="2904"/>
            <w:tcBorders>
              <w:top w:val="nil"/>
              <w:left w:val="nil"/>
              <w:bottom w:val="nil"/>
              <w:right w:val="nil"/>
            </w:tcBorders>
            <w:shd w:fill="auto" w:val="clear"/>
            <w:vAlign w:val="center"/>
          </w:tcPr>
          <w:p>
            <w:pPr>
              <w:pStyle w:val="style44"/>
              <w:rPr/>
            </w:pPr>
            <w:r>
              <w:rPr/>
              <w:t>Iné záväzky</w:t>
            </w:r>
          </w:p>
        </w:tc>
        <w:tc>
          <w:tcPr>
            <w:tcW w:type="dxa" w:w="2485"/>
            <w:tcBorders>
              <w:top w:val="nil"/>
              <w:left w:val="nil"/>
              <w:bottom w:val="nil"/>
              <w:right w:val="nil"/>
            </w:tcBorders>
            <w:shd w:fill="auto" w:val="clear"/>
            <w:vAlign w:val="center"/>
          </w:tcPr>
          <w:p>
            <w:pPr>
              <w:pStyle w:val="style44"/>
              <w:rPr/>
            </w:pPr>
            <w:r>
              <w:rPr/>
              <w:t> </w:t>
            </w:r>
          </w:p>
        </w:tc>
        <w:tc>
          <w:tcPr>
            <w:tcW w:type="dxa" w:w="2486"/>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2904"/>
            <w:tcBorders>
              <w:top w:val="nil"/>
              <w:left w:val="nil"/>
              <w:bottom w:val="nil"/>
              <w:right w:val="nil"/>
            </w:tcBorders>
            <w:shd w:fill="auto" w:val="clear"/>
            <w:vAlign w:val="center"/>
          </w:tcPr>
          <w:p>
            <w:pPr>
              <w:pStyle w:val="style44"/>
              <w:rPr>
                <w:b/>
                <w:bCs/>
              </w:rPr>
            </w:pPr>
            <w:r>
              <w:rPr>
                <w:b/>
                <w:bCs/>
              </w:rPr>
              <w:t>Krátkodobé záväzky spolu:</w:t>
            </w:r>
          </w:p>
        </w:tc>
        <w:tc>
          <w:tcPr>
            <w:tcW w:type="dxa" w:w="2485"/>
            <w:tcBorders>
              <w:top w:val="nil"/>
              <w:left w:val="nil"/>
              <w:bottom w:val="nil"/>
              <w:right w:val="nil"/>
            </w:tcBorders>
            <w:shd w:fill="auto" w:val="clear"/>
            <w:vAlign w:val="center"/>
          </w:tcPr>
          <w:p>
            <w:pPr>
              <w:pStyle w:val="style44"/>
              <w:rPr>
                <w:b/>
                <w:bCs/>
                <w:sz w:val="16"/>
                <w:szCs w:val="16"/>
              </w:rPr>
            </w:pPr>
            <w:r>
              <w:rPr/>
              <w:t xml:space="preserve">              </w:t>
            </w:r>
            <w:r>
              <w:rPr>
                <w:b/>
                <w:bCs/>
                <w:sz w:val="16"/>
                <w:szCs w:val="16"/>
              </w:rPr>
              <w:t xml:space="preserve"> </w:t>
            </w:r>
            <w:r>
              <w:rPr>
                <w:b/>
                <w:bCs/>
                <w:sz w:val="16"/>
                <w:szCs w:val="16"/>
              </w:rPr>
              <w:t xml:space="preserve">1039,22 </w:t>
            </w:r>
          </w:p>
        </w:tc>
        <w:tc>
          <w:tcPr>
            <w:tcW w:type="dxa" w:w="2486"/>
            <w:tcBorders>
              <w:top w:val="nil"/>
              <w:left w:val="nil"/>
              <w:bottom w:val="nil"/>
              <w:right w:val="nil"/>
            </w:tcBorders>
            <w:shd w:fill="auto" w:val="clear"/>
            <w:vAlign w:val="center"/>
          </w:tcPr>
          <w:p>
            <w:pPr>
              <w:pStyle w:val="style44"/>
              <w:rPr>
                <w:b/>
                <w:bCs/>
                <w:sz w:val="16"/>
                <w:szCs w:val="16"/>
              </w:rPr>
            </w:pPr>
            <w:r>
              <w:rPr/>
              <w:t xml:space="preserve">                 </w:t>
            </w:r>
            <w:r>
              <w:rPr>
                <w:b/>
                <w:bCs/>
                <w:sz w:val="18"/>
                <w:szCs w:val="18"/>
              </w:rPr>
              <w:t xml:space="preserve"> </w:t>
            </w:r>
            <w:r>
              <w:rPr>
                <w:b/>
                <w:bCs/>
                <w:sz w:val="16"/>
                <w:szCs w:val="16"/>
              </w:rPr>
              <w:t>960</w:t>
            </w:r>
          </w:p>
        </w:tc>
      </w:tr>
      <w:tr>
        <w:trPr>
          <w:trHeight w:hRule="atLeast" w:val="300"/>
          <w:cantSplit w:val="false"/>
        </w:trPr>
        <w:tc>
          <w:tcPr>
            <w:tcW w:type="dxa" w:w="2904"/>
            <w:tcBorders>
              <w:top w:val="nil"/>
              <w:left w:val="nil"/>
              <w:bottom w:val="nil"/>
              <w:right w:val="nil"/>
            </w:tcBorders>
            <w:shd w:fill="auto" w:val="clear"/>
            <w:vAlign w:val="center"/>
          </w:tcPr>
          <w:p>
            <w:pPr>
              <w:pStyle w:val="style44"/>
              <w:rPr/>
            </w:pPr>
            <w:r>
              <w:rPr/>
              <w:t>Záväzky s dobou splatnosti 1-5</w:t>
            </w:r>
          </w:p>
        </w:tc>
        <w:tc>
          <w:tcPr>
            <w:tcW w:type="dxa" w:w="2485"/>
            <w:tcBorders>
              <w:top w:val="nil"/>
              <w:left w:val="nil"/>
              <w:bottom w:val="nil"/>
              <w:right w:val="nil"/>
            </w:tcBorders>
            <w:shd w:fill="auto" w:val="clear"/>
            <w:vAlign w:val="center"/>
          </w:tcPr>
          <w:p>
            <w:pPr>
              <w:pStyle w:val="style44"/>
              <w:rPr/>
            </w:pPr>
            <w:r>
              <w:rPr/>
              <w:t> </w:t>
            </w:r>
          </w:p>
        </w:tc>
        <w:tc>
          <w:tcPr>
            <w:tcW w:type="dxa" w:w="2486"/>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2904"/>
            <w:tcBorders>
              <w:top w:val="nil"/>
              <w:left w:val="nil"/>
              <w:bottom w:val="nil"/>
              <w:right w:val="nil"/>
            </w:tcBorders>
            <w:shd w:fill="auto" w:val="clear"/>
            <w:vAlign w:val="center"/>
          </w:tcPr>
          <w:p>
            <w:pPr>
              <w:pStyle w:val="style44"/>
              <w:rPr/>
            </w:pPr>
            <w:r>
              <w:rPr/>
              <w:t>Záväzky s dobou splatnosti nad 5</w:t>
            </w:r>
          </w:p>
        </w:tc>
        <w:tc>
          <w:tcPr>
            <w:tcW w:type="dxa" w:w="2485"/>
            <w:tcBorders>
              <w:top w:val="nil"/>
              <w:left w:val="nil"/>
              <w:bottom w:val="nil"/>
              <w:right w:val="nil"/>
            </w:tcBorders>
            <w:shd w:fill="auto" w:val="clear"/>
            <w:vAlign w:val="center"/>
          </w:tcPr>
          <w:p>
            <w:pPr>
              <w:pStyle w:val="style44"/>
              <w:rPr/>
            </w:pPr>
            <w:r>
              <w:rPr/>
              <w:t> </w:t>
            </w:r>
          </w:p>
        </w:tc>
        <w:tc>
          <w:tcPr>
            <w:tcW w:type="dxa" w:w="2486"/>
            <w:tcBorders>
              <w:top w:val="nil"/>
              <w:left w:val="nil"/>
              <w:bottom w:val="nil"/>
              <w:right w:val="nil"/>
            </w:tcBorders>
            <w:shd w:fill="auto" w:val="clear"/>
            <w:vAlign w:val="center"/>
          </w:tcPr>
          <w:p>
            <w:pPr>
              <w:pStyle w:val="style44"/>
              <w:rPr/>
            </w:pPr>
            <w:r>
              <w:rPr/>
              <w:t> </w:t>
            </w:r>
          </w:p>
        </w:tc>
      </w:tr>
      <w:tr>
        <w:trPr>
          <w:trHeight w:hRule="atLeast" w:val="315"/>
          <w:cantSplit w:val="false"/>
        </w:trPr>
        <w:tc>
          <w:tcPr>
            <w:tcW w:type="dxa" w:w="2904"/>
            <w:tcBorders>
              <w:top w:val="nil"/>
              <w:left w:val="nil"/>
              <w:bottom w:val="nil"/>
              <w:right w:val="nil"/>
            </w:tcBorders>
            <w:shd w:fill="auto" w:val="clear"/>
            <w:vAlign w:val="center"/>
          </w:tcPr>
          <w:p>
            <w:pPr>
              <w:pStyle w:val="style44"/>
              <w:rPr>
                <w:b/>
                <w:bCs/>
              </w:rPr>
            </w:pPr>
            <w:r>
              <w:rPr>
                <w:b/>
                <w:bCs/>
              </w:rPr>
              <w:t>Záväzky spolu:</w:t>
            </w:r>
          </w:p>
        </w:tc>
        <w:tc>
          <w:tcPr>
            <w:tcW w:type="dxa" w:w="2485"/>
            <w:tcBorders>
              <w:top w:val="nil"/>
              <w:left w:val="nil"/>
              <w:bottom w:val="nil"/>
              <w:right w:val="nil"/>
            </w:tcBorders>
            <w:shd w:fill="auto" w:val="clear"/>
            <w:vAlign w:val="center"/>
          </w:tcPr>
          <w:p>
            <w:pPr>
              <w:pStyle w:val="style44"/>
              <w:rPr>
                <w:b/>
                <w:bCs/>
                <w:sz w:val="16"/>
                <w:szCs w:val="16"/>
              </w:rPr>
            </w:pPr>
            <w:r>
              <w:rPr/>
              <w:t xml:space="preserve">               </w:t>
            </w:r>
            <w:r>
              <w:rPr>
                <w:b/>
                <w:bCs/>
                <w:sz w:val="16"/>
                <w:szCs w:val="16"/>
              </w:rPr>
              <w:t>1039,22</w:t>
            </w:r>
          </w:p>
        </w:tc>
        <w:tc>
          <w:tcPr>
            <w:tcW w:type="dxa" w:w="2486"/>
            <w:tcBorders>
              <w:top w:val="nil"/>
              <w:left w:val="nil"/>
              <w:bottom w:val="nil"/>
              <w:right w:val="nil"/>
            </w:tcBorders>
            <w:shd w:fill="auto" w:val="clear"/>
            <w:vAlign w:val="center"/>
          </w:tcPr>
          <w:p>
            <w:pPr>
              <w:pStyle w:val="style44"/>
              <w:rPr>
                <w:b/>
                <w:bCs/>
                <w:sz w:val="16"/>
                <w:szCs w:val="16"/>
              </w:rPr>
            </w:pPr>
            <w:r>
              <w:rPr/>
              <w:t xml:space="preserve">                  </w:t>
            </w:r>
            <w:r>
              <w:rPr>
                <w:b/>
                <w:bCs/>
                <w:sz w:val="16"/>
                <w:szCs w:val="16"/>
              </w:rPr>
              <w:t>960</w:t>
            </w:r>
          </w:p>
        </w:tc>
      </w:tr>
    </w:tbl>
    <w:p>
      <w:pPr>
        <w:pStyle w:val="style29"/>
        <w:rPr>
          <w:b w:val="false"/>
          <w:bCs w:val="false"/>
          <w:sz w:val="18"/>
          <w:szCs w:val="18"/>
        </w:rPr>
      </w:pPr>
      <w:r>
        <w:rPr>
          <w:b w:val="false"/>
          <w:bCs w:val="false"/>
          <w:sz w:val="18"/>
          <w:szCs w:val="18"/>
        </w:rPr>
      </w:r>
    </w:p>
    <w:p>
      <w:pPr>
        <w:pStyle w:val="style29"/>
        <w:rPr>
          <w:b w:val="false"/>
          <w:bCs w:val="false"/>
          <w:sz w:val="16"/>
          <w:szCs w:val="16"/>
        </w:rPr>
      </w:pPr>
      <w:r>
        <w:rPr>
          <w:b w:val="false"/>
          <w:bCs w:val="false"/>
          <w:sz w:val="16"/>
          <w:szCs w:val="16"/>
        </w:rPr>
        <w:t>Spoločnosť vykazuje za hodnotiace obdobie iba krátkodobé záväzky v lehote splatnosti</w:t>
      </w:r>
    </w:p>
    <w:p>
      <w:pPr>
        <w:pStyle w:val="style29"/>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10"/>
        <w:gridCol w:w="2490"/>
        <w:gridCol w:w="2490"/>
      </w:tblGrid>
      <w:tr>
        <w:trPr>
          <w:trHeight w:hRule="atLeast" w:val="300"/>
          <w:cantSplit w:val="false"/>
        </w:trPr>
        <w:tc>
          <w:tcPr>
            <w:tcW w:type="dxa" w:w="2910"/>
            <w:tcBorders>
              <w:top w:val="nil"/>
              <w:left w:val="nil"/>
              <w:bottom w:val="nil"/>
              <w:right w:val="nil"/>
            </w:tcBorders>
            <w:shd w:fill="auto" w:val="clear"/>
            <w:vAlign w:val="center"/>
          </w:tcPr>
          <w:p>
            <w:pPr>
              <w:pStyle w:val="style44"/>
              <w:rPr>
                <w:b/>
                <w:bCs/>
                <w:sz w:val="16"/>
                <w:szCs w:val="16"/>
              </w:rPr>
            </w:pPr>
            <w:r>
              <w:rPr>
                <w:b/>
                <w:bCs/>
                <w:sz w:val="16"/>
                <w:szCs w:val="16"/>
              </w:rPr>
              <w:t>Názov položky</w:t>
            </w:r>
          </w:p>
        </w:tc>
        <w:tc>
          <w:tcPr>
            <w:tcW w:type="dxa" w:w="2490"/>
            <w:tcBorders>
              <w:top w:val="nil"/>
              <w:left w:val="nil"/>
              <w:bottom w:val="nil"/>
              <w:right w:val="nil"/>
            </w:tcBorders>
            <w:shd w:fill="auto" w:val="clear"/>
            <w:vAlign w:val="center"/>
          </w:tcPr>
          <w:p>
            <w:pPr>
              <w:pStyle w:val="style44"/>
              <w:jc w:val="center"/>
              <w:rPr>
                <w:b/>
                <w:bCs/>
                <w:sz w:val="16"/>
                <w:szCs w:val="16"/>
              </w:rPr>
            </w:pPr>
            <w:r>
              <w:rPr>
                <w:b/>
                <w:bCs/>
                <w:sz w:val="16"/>
                <w:szCs w:val="16"/>
              </w:rPr>
              <w:t>Bežné účtovné obdobie</w:t>
            </w:r>
          </w:p>
        </w:tc>
        <w:tc>
          <w:tcPr>
            <w:tcW w:type="dxa" w:w="2490"/>
            <w:tcBorders>
              <w:top w:val="nil"/>
              <w:left w:val="nil"/>
              <w:bottom w:val="nil"/>
              <w:right w:val="nil"/>
            </w:tcBorders>
            <w:shd w:fill="auto" w:val="clear"/>
            <w:vAlign w:val="center"/>
          </w:tcPr>
          <w:p>
            <w:pPr>
              <w:pStyle w:val="style44"/>
              <w:jc w:val="center"/>
              <w:rPr>
                <w:b/>
                <w:bCs/>
                <w:sz w:val="16"/>
                <w:szCs w:val="16"/>
              </w:rPr>
            </w:pPr>
            <w:r>
              <w:rPr>
                <w:b/>
                <w:bCs/>
                <w:sz w:val="16"/>
                <w:szCs w:val="16"/>
              </w:rPr>
              <w:t>Bezprostredne predchádzajúce</w:t>
            </w:r>
          </w:p>
        </w:tc>
      </w:tr>
      <w:tr>
        <w:trPr>
          <w:trHeight w:hRule="atLeast" w:val="315"/>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jc w:val="center"/>
              <w:rPr>
                <w:b/>
                <w:bCs/>
                <w:sz w:val="16"/>
                <w:szCs w:val="16"/>
              </w:rPr>
            </w:pPr>
            <w:r>
              <w:rPr>
                <w:b/>
                <w:bCs/>
                <w:sz w:val="16"/>
                <w:szCs w:val="16"/>
              </w:rPr>
              <w:t>účtovné obdobie</w:t>
            </w:r>
          </w:p>
        </w:tc>
        <w:tc>
          <w:tcPr>
            <w:tcW w:type="dxa" w:w="2490"/>
            <w:tcBorders>
              <w:top w:val="nil"/>
              <w:left w:val="nil"/>
              <w:bottom w:val="nil"/>
              <w:right w:val="nil"/>
            </w:tcBorders>
            <w:shd w:fill="auto" w:val="clear"/>
            <w:vAlign w:val="center"/>
          </w:tcPr>
          <w:p>
            <w:pPr>
              <w:pStyle w:val="style44"/>
              <w:jc w:val="center"/>
              <w:rPr>
                <w:b/>
                <w:bCs/>
                <w:sz w:val="16"/>
                <w:szCs w:val="16"/>
              </w:rPr>
            </w:pPr>
            <w:r>
              <w:rPr>
                <w:b/>
                <w:bCs/>
                <w:sz w:val="16"/>
                <w:szCs w:val="16"/>
              </w:rPr>
              <w:t>účtovné obdobie</w:t>
            </w:r>
          </w:p>
        </w:tc>
      </w:tr>
      <w:tr>
        <w:trPr>
          <w:trHeight w:hRule="atLeast" w:val="315"/>
          <w:cantSplit w:val="false"/>
        </w:trPr>
        <w:tc>
          <w:tcPr>
            <w:tcW w:type="dxa" w:w="2910"/>
            <w:tcBorders>
              <w:top w:val="nil"/>
              <w:left w:val="nil"/>
              <w:bottom w:val="nil"/>
              <w:right w:val="nil"/>
            </w:tcBorders>
            <w:shd w:fill="auto" w:val="clear"/>
            <w:vAlign w:val="center"/>
          </w:tcPr>
          <w:p>
            <w:pPr>
              <w:pStyle w:val="style44"/>
              <w:rPr>
                <w:b/>
                <w:bCs/>
                <w:sz w:val="16"/>
                <w:szCs w:val="16"/>
              </w:rPr>
            </w:pPr>
            <w:r>
              <w:rPr>
                <w:b/>
                <w:bCs/>
                <w:sz w:val="16"/>
                <w:szCs w:val="16"/>
              </w:rPr>
              <w:t>Krátkodobé pôžičky</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Úroky z pôžičiek</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15"/>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Krátkodobé pôžičky spolu:</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b/>
                <w:bCs/>
                <w:sz w:val="16"/>
                <w:szCs w:val="16"/>
              </w:rPr>
            </w:pPr>
            <w:r>
              <w:rPr>
                <w:b/>
                <w:bCs/>
                <w:sz w:val="16"/>
                <w:szCs w:val="16"/>
              </w:rPr>
              <w:t>Krátkodobé finančné výpomoci</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15"/>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Úroky z finančných výpomocí</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00"/>
          <w:cantSplit w:val="false"/>
        </w:trPr>
        <w:tc>
          <w:tcPr>
            <w:tcW w:type="dxa" w:w="2910"/>
            <w:tcBorders>
              <w:top w:val="nil"/>
              <w:left w:val="nil"/>
              <w:bottom w:val="nil"/>
              <w:right w:val="nil"/>
            </w:tcBorders>
            <w:shd w:fill="auto" w:val="clear"/>
            <w:vAlign w:val="center"/>
          </w:tcPr>
          <w:p>
            <w:pPr>
              <w:pStyle w:val="style44"/>
              <w:rPr>
                <w:b/>
                <w:bCs/>
                <w:sz w:val="16"/>
                <w:szCs w:val="16"/>
              </w:rPr>
            </w:pPr>
            <w:r>
              <w:rPr>
                <w:b/>
                <w:bCs/>
                <w:sz w:val="16"/>
                <w:szCs w:val="16"/>
              </w:rPr>
              <w:t>Krátkodobé výpomoci spolu:</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r>
        <w:trPr>
          <w:trHeight w:hRule="atLeast" w:val="315"/>
          <w:cantSplit w:val="false"/>
        </w:trPr>
        <w:tc>
          <w:tcPr>
            <w:tcW w:type="dxa" w:w="291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c>
          <w:tcPr>
            <w:tcW w:type="dxa" w:w="2490"/>
            <w:tcBorders>
              <w:top w:val="nil"/>
              <w:left w:val="nil"/>
              <w:bottom w:val="nil"/>
              <w:right w:val="nil"/>
            </w:tcBorders>
            <w:shd w:fill="auto" w:val="clear"/>
            <w:vAlign w:val="center"/>
          </w:tcPr>
          <w:p>
            <w:pPr>
              <w:pStyle w:val="style44"/>
              <w:rPr>
                <w:sz w:val="16"/>
                <w:szCs w:val="16"/>
              </w:rPr>
            </w:pPr>
            <w:r>
              <w:rPr>
                <w:sz w:val="16"/>
                <w:szCs w:val="16"/>
              </w:rPr>
              <w:t> </w:t>
            </w:r>
          </w:p>
        </w:tc>
      </w:tr>
    </w:tbl>
    <w:p>
      <w:pPr>
        <w:pStyle w:val="style29"/>
        <w:rPr>
          <w:b w:val="false"/>
          <w:bCs w:val="false"/>
          <w:sz w:val="18"/>
          <w:szCs w:val="18"/>
        </w:rPr>
      </w:pPr>
      <w:r>
        <w:rPr>
          <w:b w:val="false"/>
          <w:bCs w:val="false"/>
          <w:sz w:val="18"/>
          <w:szCs w:val="18"/>
        </w:rPr>
      </w:r>
    </w:p>
    <w:p>
      <w:pPr>
        <w:pStyle w:val="style29"/>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29"/>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2015 spoločnosť dosiahla celkové výnosy vo výške </w:t>
      </w:r>
      <w:r>
        <w:rPr>
          <w:b/>
          <w:bCs/>
          <w:sz w:val="16"/>
          <w:szCs w:val="16"/>
        </w:rPr>
        <w:t>1733,33 €</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w:t>
      </w:r>
      <w:r>
        <w:rPr>
          <w:b w:val="false"/>
          <w:bCs w:val="false"/>
          <w:sz w:val="16"/>
          <w:szCs w:val="16"/>
        </w:rPr>
        <w:t>na to</w:t>
      </w:r>
      <w:r>
        <w:rPr>
          <w:b w:val="false"/>
          <w:bCs w:val="false"/>
          <w:sz w:val="16"/>
          <w:szCs w:val="16"/>
        </w:rPr>
        <w:t xml:space="preserve">,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5"/>
        <w:gridCol w:w="2490"/>
        <w:gridCol w:w="2490"/>
      </w:tblGrid>
      <w:tr>
        <w:trPr>
          <w:trHeight w:hRule="atLeast" w:val="300"/>
          <w:cantSplit w:val="false"/>
        </w:trPr>
        <w:tc>
          <w:tcPr>
            <w:tcW w:type="dxa" w:w="3315"/>
            <w:tcBorders>
              <w:top w:val="nil"/>
              <w:left w:val="nil"/>
              <w:bottom w:val="nil"/>
              <w:right w:val="nil"/>
            </w:tcBorders>
            <w:shd w:fill="auto" w:val="clear"/>
            <w:vAlign w:val="center"/>
          </w:tcPr>
          <w:p>
            <w:pPr>
              <w:pStyle w:val="style44"/>
              <w:rPr>
                <w:b/>
                <w:bCs/>
              </w:rPr>
            </w:pPr>
            <w:r>
              <w:rPr>
                <w:b/>
                <w:bCs/>
              </w:rPr>
              <w:t>Oblasť odbytu</w:t>
            </w:r>
          </w:p>
        </w:tc>
        <w:tc>
          <w:tcPr>
            <w:tcW w:type="dxa" w:w="2490"/>
            <w:tcBorders>
              <w:top w:val="nil"/>
              <w:left w:val="nil"/>
              <w:bottom w:val="nil"/>
              <w:right w:val="nil"/>
            </w:tcBorders>
            <w:shd w:fill="auto" w:val="clear"/>
            <w:vAlign w:val="center"/>
          </w:tcPr>
          <w:p>
            <w:pPr>
              <w:pStyle w:val="style44"/>
              <w:rPr>
                <w:b/>
                <w:bCs/>
              </w:rPr>
            </w:pPr>
            <w:r>
              <w:rPr>
                <w:b/>
                <w:bCs/>
              </w:rPr>
              <w:t>Bežné účtovné obdobie</w:t>
            </w:r>
          </w:p>
        </w:tc>
        <w:tc>
          <w:tcPr>
            <w:tcW w:type="dxa" w:w="2490"/>
            <w:tcBorders>
              <w:top w:val="nil"/>
              <w:left w:val="nil"/>
              <w:bottom w:val="nil"/>
              <w:right w:val="nil"/>
            </w:tcBorders>
            <w:shd w:fill="auto" w:val="clear"/>
            <w:vAlign w:val="center"/>
          </w:tcPr>
          <w:p>
            <w:pPr>
              <w:pStyle w:val="style44"/>
              <w:rPr>
                <w:b/>
                <w:bCs/>
              </w:rPr>
            </w:pPr>
            <w:r>
              <w:rPr>
                <w:b/>
                <w:bCs/>
              </w:rPr>
              <w:t>Bezprostredne predchádzajúce</w:t>
            </w:r>
          </w:p>
        </w:tc>
      </w:tr>
      <w:tr>
        <w:trPr>
          <w:trHeight w:hRule="atLeast" w:val="315"/>
          <w:cantSplit w:val="false"/>
        </w:trPr>
        <w:tc>
          <w:tcPr>
            <w:tcW w:type="dxa" w:w="3315"/>
            <w:tcBorders>
              <w:top w:val="nil"/>
              <w:left w:val="nil"/>
              <w:bottom w:val="nil"/>
              <w:right w:val="nil"/>
            </w:tcBorders>
            <w:shd w:fill="auto" w:val="clear"/>
            <w:vAlign w:val="center"/>
          </w:tcPr>
          <w:p>
            <w:pPr>
              <w:pStyle w:val="style44"/>
              <w:rPr>
                <w:b/>
                <w:bCs/>
              </w:rPr>
            </w:pPr>
            <w:r>
              <w:rPr>
                <w:b/>
                <w:bCs/>
              </w:rPr>
              <w:t> </w:t>
            </w:r>
          </w:p>
        </w:tc>
        <w:tc>
          <w:tcPr>
            <w:tcW w:type="dxa" w:w="2490"/>
            <w:tcBorders>
              <w:top w:val="nil"/>
              <w:left w:val="nil"/>
              <w:bottom w:val="nil"/>
              <w:right w:val="nil"/>
            </w:tcBorders>
            <w:shd w:fill="auto" w:val="clear"/>
            <w:vAlign w:val="center"/>
          </w:tcPr>
          <w:p>
            <w:pPr>
              <w:pStyle w:val="style44"/>
              <w:rPr>
                <w:b/>
                <w:bCs/>
              </w:rPr>
            </w:pPr>
            <w:r>
              <w:rPr>
                <w:b/>
                <w:bCs/>
              </w:rPr>
              <w:t>účtovné obdobie</w:t>
            </w:r>
          </w:p>
        </w:tc>
        <w:tc>
          <w:tcPr>
            <w:tcW w:type="dxa" w:w="2490"/>
            <w:tcBorders>
              <w:top w:val="nil"/>
              <w:left w:val="nil"/>
              <w:bottom w:val="nil"/>
              <w:right w:val="nil"/>
            </w:tcBorders>
            <w:shd w:fill="auto" w:val="clear"/>
            <w:vAlign w:val="center"/>
          </w:tcPr>
          <w:p>
            <w:pPr>
              <w:pStyle w:val="style44"/>
              <w:rPr>
                <w:b/>
                <w:bCs/>
              </w:rPr>
            </w:pPr>
            <w:r>
              <w:rPr>
                <w:b/>
                <w:bCs/>
              </w:rPr>
              <w:t>účtovné obdobie</w:t>
            </w:r>
          </w:p>
        </w:tc>
      </w:tr>
      <w:tr>
        <w:trPr>
          <w:trHeight w:hRule="atLeast" w:val="315"/>
          <w:cantSplit w:val="false"/>
        </w:trPr>
        <w:tc>
          <w:tcPr>
            <w:tcW w:type="dxa" w:w="3315"/>
            <w:tcBorders>
              <w:top w:val="nil"/>
              <w:left w:val="nil"/>
              <w:bottom w:val="nil"/>
              <w:right w:val="nil"/>
            </w:tcBorders>
            <w:shd w:fill="auto" w:val="clear"/>
            <w:vAlign w:val="center"/>
          </w:tcPr>
          <w:p>
            <w:pPr>
              <w:pStyle w:val="style44"/>
              <w:rPr/>
            </w:pPr>
            <w:r>
              <w:rPr/>
              <w:t>Predaj tovaru</w:t>
            </w:r>
          </w:p>
        </w:tc>
        <w:tc>
          <w:tcPr>
            <w:tcW w:type="dxa" w:w="2490"/>
            <w:tcBorders>
              <w:top w:val="nil"/>
              <w:left w:val="nil"/>
              <w:bottom w:val="nil"/>
              <w:right w:val="nil"/>
            </w:tcBorders>
            <w:shd w:fill="auto" w:val="clear"/>
            <w:vAlign w:val="center"/>
          </w:tcPr>
          <w:p>
            <w:pPr>
              <w:pStyle w:val="style44"/>
              <w:jc w:val="center"/>
              <w:rPr>
                <w:sz w:val="16"/>
                <w:szCs w:val="16"/>
              </w:rPr>
            </w:pPr>
            <w:r>
              <w:rPr>
                <w:sz w:val="16"/>
                <w:szCs w:val="16"/>
              </w:rPr>
              <w:t>1733</w:t>
            </w:r>
          </w:p>
        </w:tc>
        <w:tc>
          <w:tcPr>
            <w:tcW w:type="dxa" w:w="2490"/>
            <w:tcBorders>
              <w:top w:val="nil"/>
              <w:left w:val="nil"/>
              <w:bottom w:val="nil"/>
              <w:right w:val="nil"/>
            </w:tcBorders>
            <w:shd w:fill="auto" w:val="clear"/>
            <w:vAlign w:val="center"/>
          </w:tcPr>
          <w:p>
            <w:pPr>
              <w:pStyle w:val="style44"/>
              <w:jc w:val="center"/>
              <w:rPr>
                <w:sz w:val="16"/>
                <w:szCs w:val="16"/>
              </w:rPr>
            </w:pPr>
            <w:r>
              <w:rPr>
                <w:sz w:val="16"/>
                <w:szCs w:val="16"/>
              </w:rPr>
              <w:t>396</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Predaj služieb</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sz w:val="16"/>
                <w:szCs w:val="16"/>
              </w:rPr>
            </w:pPr>
            <w:r>
              <w:rPr>
                <w:sz w:val="16"/>
                <w:szCs w:val="16"/>
              </w:rPr>
              <w:t>24</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Ostatné výnosy z hospod. činnosti</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Ostatné výnosy z finančnej činnosti</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sz w:val="16"/>
                <w:szCs w:val="16"/>
              </w:rPr>
            </w:pPr>
            <w:r>
              <w:rPr>
                <w:sz w:val="16"/>
                <w:szCs w:val="16"/>
              </w:rPr>
              <w:t>20</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Kurzové rozdiely</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pPr>
            <w:r>
              <w:rPr/>
              <w:t> </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Bankové úrokx</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pPr>
            <w:r>
              <w:rPr/>
              <w:t> </w:t>
            </w:r>
          </w:p>
        </w:tc>
      </w:tr>
      <w:tr>
        <w:trPr>
          <w:trHeight w:hRule="atLeast" w:val="300"/>
          <w:cantSplit w:val="false"/>
        </w:trPr>
        <w:tc>
          <w:tcPr>
            <w:tcW w:type="dxa" w:w="3315"/>
            <w:tcBorders>
              <w:top w:val="nil"/>
              <w:left w:val="nil"/>
              <w:bottom w:val="nil"/>
              <w:right w:val="nil"/>
            </w:tcBorders>
            <w:shd w:fill="auto" w:val="clear"/>
            <w:vAlign w:val="center"/>
          </w:tcPr>
          <w:p>
            <w:pPr>
              <w:pStyle w:val="style44"/>
              <w:rPr/>
            </w:pPr>
            <w:r>
              <w:rPr/>
              <w:t>Úroky z omeškania</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pPr>
            <w:r>
              <w:rPr/>
              <w:t> </w:t>
            </w:r>
          </w:p>
        </w:tc>
      </w:tr>
      <w:tr>
        <w:trPr>
          <w:trHeight w:hRule="atLeast" w:val="315"/>
          <w:cantSplit w:val="false"/>
        </w:trPr>
        <w:tc>
          <w:tcPr>
            <w:tcW w:type="dxa" w:w="3315"/>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rPr/>
            </w:pPr>
            <w:r>
              <w:rPr/>
              <w:t> </w:t>
            </w:r>
          </w:p>
        </w:tc>
        <w:tc>
          <w:tcPr>
            <w:tcW w:type="dxa" w:w="2490"/>
            <w:tcBorders>
              <w:top w:val="nil"/>
              <w:left w:val="nil"/>
              <w:bottom w:val="nil"/>
              <w:right w:val="nil"/>
            </w:tcBorders>
            <w:shd w:fill="auto" w:val="clear"/>
            <w:vAlign w:val="center"/>
          </w:tcPr>
          <w:p>
            <w:pPr>
              <w:pStyle w:val="style44"/>
              <w:jc w:val="center"/>
              <w:rPr/>
            </w:pPr>
            <w:r>
              <w:rPr/>
              <w:t> </w:t>
            </w:r>
          </w:p>
        </w:tc>
      </w:tr>
      <w:tr>
        <w:trPr>
          <w:trHeight w:hRule="atLeast" w:val="315"/>
          <w:cantSplit w:val="false"/>
        </w:trPr>
        <w:tc>
          <w:tcPr>
            <w:tcW w:type="dxa" w:w="3315"/>
            <w:tcBorders>
              <w:top w:val="nil"/>
              <w:left w:val="nil"/>
              <w:bottom w:val="nil"/>
              <w:right w:val="nil"/>
            </w:tcBorders>
            <w:shd w:fill="auto" w:val="clear"/>
            <w:vAlign w:val="center"/>
          </w:tcPr>
          <w:p>
            <w:pPr>
              <w:pStyle w:val="style44"/>
              <w:rPr>
                <w:b/>
                <w:bCs/>
                <w:sz w:val="16"/>
                <w:szCs w:val="16"/>
              </w:rPr>
            </w:pPr>
            <w:r>
              <w:rPr>
                <w:b/>
                <w:bCs/>
                <w:sz w:val="16"/>
                <w:szCs w:val="16"/>
              </w:rPr>
              <w:t>Výnosy spolu:</w:t>
            </w:r>
          </w:p>
        </w:tc>
        <w:tc>
          <w:tcPr>
            <w:tcW w:type="dxa" w:w="2490"/>
            <w:tcBorders>
              <w:top w:val="nil"/>
              <w:left w:val="nil"/>
              <w:bottom w:val="nil"/>
              <w:right w:val="nil"/>
            </w:tcBorders>
            <w:shd w:fill="auto" w:val="clear"/>
            <w:vAlign w:val="center"/>
          </w:tcPr>
          <w:p>
            <w:pPr>
              <w:pStyle w:val="style44"/>
              <w:jc w:val="center"/>
              <w:rPr>
                <w:b/>
                <w:bCs/>
                <w:sz w:val="16"/>
                <w:szCs w:val="16"/>
              </w:rPr>
            </w:pPr>
            <w:r>
              <w:rPr>
                <w:b/>
                <w:bCs/>
                <w:sz w:val="16"/>
                <w:szCs w:val="16"/>
              </w:rPr>
              <w:t>1733</w:t>
            </w:r>
          </w:p>
        </w:tc>
        <w:tc>
          <w:tcPr>
            <w:tcW w:type="dxa" w:w="2490"/>
            <w:tcBorders>
              <w:top w:val="nil"/>
              <w:left w:val="nil"/>
              <w:bottom w:val="nil"/>
              <w:right w:val="nil"/>
            </w:tcBorders>
            <w:shd w:fill="auto" w:val="clear"/>
            <w:vAlign w:val="center"/>
          </w:tcPr>
          <w:p>
            <w:pPr>
              <w:pStyle w:val="style44"/>
              <w:jc w:val="center"/>
              <w:rPr>
                <w:b/>
                <w:bCs/>
                <w:sz w:val="18"/>
                <w:szCs w:val="18"/>
              </w:rPr>
            </w:pPr>
            <w:r>
              <w:rPr>
                <w:b/>
                <w:bCs/>
                <w:sz w:val="18"/>
                <w:szCs w:val="18"/>
              </w:rPr>
              <w:t>440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2015 spoločnosť dosiahla celkové náklady vo výške </w:t>
      </w:r>
      <w:r>
        <w:rPr>
          <w:b/>
          <w:bCs/>
          <w:sz w:val="16"/>
          <w:szCs w:val="16"/>
        </w:rPr>
        <w:t>2734,41 €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21"/>
        <w:gridCol w:w="2497"/>
        <w:gridCol w:w="2491"/>
      </w:tblGrid>
      <w:tr>
        <w:trPr>
          <w:trHeight w:hRule="atLeast" w:val="300"/>
          <w:cantSplit w:val="false"/>
        </w:trPr>
        <w:tc>
          <w:tcPr>
            <w:tcW w:type="dxa" w:w="3321"/>
            <w:tcBorders>
              <w:top w:val="nil"/>
              <w:left w:val="nil"/>
              <w:bottom w:val="nil"/>
              <w:right w:val="nil"/>
            </w:tcBorders>
            <w:shd w:fill="auto" w:val="clear"/>
            <w:vAlign w:val="center"/>
          </w:tcPr>
          <w:p>
            <w:pPr>
              <w:pStyle w:val="style44"/>
              <w:rPr>
                <w:b/>
                <w:bCs/>
                <w:sz w:val="16"/>
                <w:szCs w:val="16"/>
              </w:rPr>
            </w:pPr>
            <w:r>
              <w:rPr>
                <w:b/>
                <w:bCs/>
                <w:sz w:val="16"/>
                <w:szCs w:val="16"/>
              </w:rPr>
              <w:t>Názov položky</w:t>
            </w:r>
          </w:p>
        </w:tc>
        <w:tc>
          <w:tcPr>
            <w:tcW w:type="dxa" w:w="2497"/>
            <w:tcBorders>
              <w:top w:val="nil"/>
              <w:left w:val="nil"/>
              <w:bottom w:val="nil"/>
              <w:right w:val="nil"/>
            </w:tcBorders>
            <w:shd w:fill="auto" w:val="clear"/>
            <w:vAlign w:val="center"/>
          </w:tcPr>
          <w:p>
            <w:pPr>
              <w:pStyle w:val="style44"/>
              <w:rPr>
                <w:b/>
                <w:bCs/>
                <w:sz w:val="16"/>
                <w:szCs w:val="16"/>
              </w:rPr>
            </w:pPr>
            <w:r>
              <w:rPr>
                <w:b/>
                <w:bCs/>
                <w:sz w:val="16"/>
                <w:szCs w:val="16"/>
              </w:rPr>
              <w:t>Bežné účtovné obdobie</w:t>
            </w:r>
          </w:p>
        </w:tc>
        <w:tc>
          <w:tcPr>
            <w:tcW w:type="dxa" w:w="2491"/>
            <w:tcBorders>
              <w:top w:val="nil"/>
              <w:left w:val="nil"/>
              <w:bottom w:val="nil"/>
              <w:right w:val="nil"/>
            </w:tcBorders>
            <w:shd w:fill="auto" w:val="clear"/>
            <w:vAlign w:val="center"/>
          </w:tcPr>
          <w:p>
            <w:pPr>
              <w:pStyle w:val="style44"/>
              <w:rPr>
                <w:b/>
                <w:bCs/>
                <w:sz w:val="16"/>
                <w:szCs w:val="16"/>
              </w:rPr>
            </w:pPr>
            <w:r>
              <w:rPr>
                <w:b/>
                <w:bCs/>
                <w:sz w:val="16"/>
                <w:szCs w:val="16"/>
              </w:rPr>
              <w:t>Bezprostredne predchádzajúce</w:t>
            </w:r>
          </w:p>
        </w:tc>
      </w:tr>
      <w:tr>
        <w:trPr>
          <w:trHeight w:hRule="atLeast" w:val="315"/>
          <w:cantSplit w:val="false"/>
        </w:trPr>
        <w:tc>
          <w:tcPr>
            <w:tcW w:type="dxa" w:w="3321"/>
            <w:tcBorders>
              <w:top w:val="nil"/>
              <w:left w:val="nil"/>
              <w:bottom w:val="nil"/>
              <w:right w:val="nil"/>
            </w:tcBorders>
            <w:shd w:fill="auto" w:val="clear"/>
            <w:vAlign w:val="center"/>
          </w:tcPr>
          <w:p>
            <w:pPr>
              <w:pStyle w:val="style44"/>
              <w:rPr>
                <w:b/>
                <w:bCs/>
                <w:sz w:val="16"/>
                <w:szCs w:val="16"/>
              </w:rPr>
            </w:pPr>
            <w:r>
              <w:rPr>
                <w:b/>
                <w:bCs/>
                <w:sz w:val="16"/>
                <w:szCs w:val="16"/>
              </w:rPr>
              <w:t> </w:t>
            </w:r>
          </w:p>
        </w:tc>
        <w:tc>
          <w:tcPr>
            <w:tcW w:type="dxa" w:w="2497"/>
            <w:tcBorders>
              <w:top w:val="nil"/>
              <w:left w:val="nil"/>
              <w:bottom w:val="nil"/>
              <w:right w:val="nil"/>
            </w:tcBorders>
            <w:shd w:fill="auto" w:val="clear"/>
            <w:vAlign w:val="center"/>
          </w:tcPr>
          <w:p>
            <w:pPr>
              <w:pStyle w:val="style44"/>
              <w:rPr>
                <w:b/>
                <w:bCs/>
                <w:sz w:val="16"/>
                <w:szCs w:val="16"/>
              </w:rPr>
            </w:pPr>
            <w:r>
              <w:rPr>
                <w:b/>
                <w:bCs/>
                <w:sz w:val="16"/>
                <w:szCs w:val="16"/>
              </w:rPr>
              <w:t>účtovné obdobie</w:t>
            </w:r>
          </w:p>
        </w:tc>
        <w:tc>
          <w:tcPr>
            <w:tcW w:type="dxa" w:w="2491"/>
            <w:tcBorders>
              <w:top w:val="nil"/>
              <w:left w:val="nil"/>
              <w:bottom w:val="nil"/>
              <w:right w:val="nil"/>
            </w:tcBorders>
            <w:shd w:fill="auto" w:val="clear"/>
            <w:vAlign w:val="center"/>
          </w:tcPr>
          <w:p>
            <w:pPr>
              <w:pStyle w:val="style44"/>
              <w:rPr>
                <w:b/>
                <w:bCs/>
                <w:sz w:val="16"/>
                <w:szCs w:val="16"/>
              </w:rPr>
            </w:pPr>
            <w:r>
              <w:rPr>
                <w:b/>
                <w:bCs/>
                <w:sz w:val="16"/>
                <w:szCs w:val="16"/>
              </w:rPr>
              <w:t>účtovné obdobie</w:t>
            </w:r>
          </w:p>
        </w:tc>
      </w:tr>
      <w:tr>
        <w:trPr>
          <w:trHeight w:hRule="atLeast" w:val="315"/>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Spotreba materiálu</w:t>
            </w:r>
          </w:p>
        </w:tc>
        <w:tc>
          <w:tcPr>
            <w:tcW w:type="dxa" w:w="2497"/>
            <w:tcBorders>
              <w:top w:val="nil"/>
              <w:left w:val="nil"/>
              <w:bottom w:val="nil"/>
              <w:right w:val="nil"/>
            </w:tcBorders>
            <w:shd w:fill="auto" w:val="clear"/>
            <w:vAlign w:val="center"/>
          </w:tcPr>
          <w:p>
            <w:pPr>
              <w:pStyle w:val="style44"/>
              <w:rPr/>
            </w:pPr>
            <w:r>
              <w:rPr/>
              <w:t> </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377</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Spotreba PHM</w:t>
            </w:r>
          </w:p>
        </w:tc>
        <w:tc>
          <w:tcPr>
            <w:tcW w:type="dxa" w:w="2497"/>
            <w:tcBorders>
              <w:top w:val="nil"/>
              <w:left w:val="nil"/>
              <w:bottom w:val="nil"/>
              <w:right w:val="nil"/>
            </w:tcBorders>
            <w:shd w:fill="auto" w:val="clear"/>
            <w:vAlign w:val="center"/>
          </w:tcPr>
          <w:p>
            <w:pPr>
              <w:pStyle w:val="style44"/>
              <w:rPr/>
            </w:pPr>
            <w:r>
              <w:rPr/>
              <w:t> </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Spotreba energií</w:t>
            </w:r>
          </w:p>
        </w:tc>
        <w:tc>
          <w:tcPr>
            <w:tcW w:type="dxa" w:w="2497"/>
            <w:tcBorders>
              <w:top w:val="nil"/>
              <w:left w:val="nil"/>
              <w:bottom w:val="nil"/>
              <w:right w:val="nil"/>
            </w:tcBorders>
            <w:shd w:fill="auto" w:val="clear"/>
            <w:vAlign w:val="center"/>
          </w:tcPr>
          <w:p>
            <w:pPr>
              <w:pStyle w:val="style44"/>
              <w:rPr/>
            </w:pPr>
            <w:r>
              <w:rPr/>
              <w:t> </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Predaný tovar</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1337</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351</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Ostatné služby</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272</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78</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Prevádzkové náklady</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40</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Debetný úrok</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1</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Kurzové straty</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1</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33</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Bankové poplatky</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123</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200</w:t>
            </w:r>
          </w:p>
        </w:tc>
      </w:tr>
      <w:tr>
        <w:trPr>
          <w:trHeight w:hRule="atLeast" w:val="300"/>
          <w:cantSplit w:val="false"/>
        </w:trPr>
        <w:tc>
          <w:tcPr>
            <w:tcW w:type="dxa" w:w="3321"/>
            <w:tcBorders>
              <w:top w:val="nil"/>
              <w:left w:val="nil"/>
              <w:bottom w:val="nil"/>
              <w:right w:val="nil"/>
            </w:tcBorders>
            <w:shd w:fill="auto" w:val="clear"/>
            <w:vAlign w:val="center"/>
          </w:tcPr>
          <w:p>
            <w:pPr>
              <w:pStyle w:val="style44"/>
              <w:rPr>
                <w:sz w:val="16"/>
                <w:szCs w:val="16"/>
              </w:rPr>
            </w:pPr>
            <w:r>
              <w:rPr>
                <w:sz w:val="16"/>
                <w:szCs w:val="16"/>
              </w:rPr>
              <w:t>Daňová licencia</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960</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960</w:t>
            </w:r>
          </w:p>
        </w:tc>
      </w:tr>
      <w:tr>
        <w:trPr>
          <w:trHeight w:hRule="atLeast" w:val="315"/>
          <w:cantSplit w:val="false"/>
        </w:trPr>
        <w:tc>
          <w:tcPr>
            <w:tcW w:type="dxa" w:w="3321"/>
            <w:tcBorders>
              <w:top w:val="nil"/>
              <w:left w:val="nil"/>
              <w:bottom w:val="nil"/>
              <w:right w:val="nil"/>
            </w:tcBorders>
            <w:shd w:fill="auto" w:val="clear"/>
            <w:vAlign w:val="center"/>
          </w:tcPr>
          <w:p>
            <w:pPr>
              <w:pStyle w:val="style44"/>
              <w:rPr/>
            </w:pPr>
            <w:r>
              <w:rPr/>
              <w:t> </w:t>
            </w:r>
          </w:p>
        </w:tc>
        <w:tc>
          <w:tcPr>
            <w:tcW w:type="dxa" w:w="2497"/>
            <w:tcBorders>
              <w:top w:val="nil"/>
              <w:left w:val="nil"/>
              <w:bottom w:val="nil"/>
              <w:right w:val="nil"/>
            </w:tcBorders>
            <w:shd w:fill="auto" w:val="clear"/>
            <w:vAlign w:val="center"/>
          </w:tcPr>
          <w:p>
            <w:pPr>
              <w:pStyle w:val="style44"/>
              <w:jc w:val="center"/>
              <w:rPr>
                <w:sz w:val="18"/>
                <w:szCs w:val="18"/>
              </w:rPr>
            </w:pPr>
            <w:r>
              <w:rPr>
                <w:sz w:val="18"/>
                <w:szCs w:val="18"/>
              </w:rPr>
              <w:t> </w:t>
            </w:r>
          </w:p>
        </w:tc>
        <w:tc>
          <w:tcPr>
            <w:tcW w:type="dxa" w:w="2491"/>
            <w:tcBorders>
              <w:top w:val="nil"/>
              <w:left w:val="nil"/>
              <w:bottom w:val="nil"/>
              <w:right w:val="nil"/>
            </w:tcBorders>
            <w:shd w:fill="auto" w:val="clear"/>
            <w:vAlign w:val="center"/>
          </w:tcPr>
          <w:p>
            <w:pPr>
              <w:pStyle w:val="style44"/>
              <w:jc w:val="center"/>
              <w:rPr>
                <w:sz w:val="16"/>
                <w:szCs w:val="16"/>
              </w:rPr>
            </w:pPr>
            <w:r>
              <w:rPr>
                <w:sz w:val="16"/>
                <w:szCs w:val="16"/>
              </w:rPr>
              <w:t> </w:t>
            </w:r>
          </w:p>
        </w:tc>
      </w:tr>
      <w:tr>
        <w:trPr>
          <w:trHeight w:hRule="atLeast" w:val="315"/>
          <w:cantSplit w:val="false"/>
        </w:trPr>
        <w:tc>
          <w:tcPr>
            <w:tcW w:type="dxa" w:w="3321"/>
            <w:tcBorders>
              <w:top w:val="nil"/>
              <w:left w:val="nil"/>
              <w:bottom w:val="nil"/>
              <w:right w:val="nil"/>
            </w:tcBorders>
            <w:shd w:fill="auto" w:val="clear"/>
            <w:vAlign w:val="center"/>
          </w:tcPr>
          <w:p>
            <w:pPr>
              <w:pStyle w:val="style44"/>
              <w:rPr>
                <w:b/>
                <w:bCs/>
                <w:sz w:val="16"/>
                <w:szCs w:val="16"/>
              </w:rPr>
            </w:pPr>
            <w:r>
              <w:rPr>
                <w:b/>
                <w:bCs/>
                <w:sz w:val="16"/>
                <w:szCs w:val="16"/>
              </w:rPr>
              <w:t>Náklady spolu:</w:t>
            </w:r>
          </w:p>
        </w:tc>
        <w:tc>
          <w:tcPr>
            <w:tcW w:type="dxa" w:w="2497"/>
            <w:tcBorders>
              <w:top w:val="nil"/>
              <w:left w:val="nil"/>
              <w:bottom w:val="nil"/>
              <w:right w:val="nil"/>
            </w:tcBorders>
            <w:shd w:fill="auto" w:val="clear"/>
            <w:vAlign w:val="center"/>
          </w:tcPr>
          <w:p>
            <w:pPr>
              <w:pStyle w:val="style44"/>
              <w:jc w:val="center"/>
              <w:rPr>
                <w:b/>
                <w:bCs/>
                <w:sz w:val="18"/>
                <w:szCs w:val="18"/>
              </w:rPr>
            </w:pPr>
            <w:r>
              <w:rPr>
                <w:b/>
                <w:bCs/>
                <w:sz w:val="18"/>
                <w:szCs w:val="18"/>
              </w:rPr>
              <w:t>2734</w:t>
            </w:r>
          </w:p>
        </w:tc>
        <w:tc>
          <w:tcPr>
            <w:tcW w:type="dxa" w:w="2491"/>
            <w:tcBorders>
              <w:top w:val="nil"/>
              <w:left w:val="nil"/>
              <w:bottom w:val="nil"/>
              <w:right w:val="nil"/>
            </w:tcBorders>
            <w:shd w:fill="auto" w:val="clear"/>
            <w:vAlign w:val="center"/>
          </w:tcPr>
          <w:p>
            <w:pPr>
              <w:pStyle w:val="style44"/>
              <w:jc w:val="center"/>
              <w:rPr>
                <w:b/>
                <w:bCs/>
                <w:sz w:val="16"/>
                <w:szCs w:val="16"/>
              </w:rPr>
            </w:pPr>
            <w:r>
              <w:rPr>
                <w:b/>
                <w:bCs/>
                <w:sz w:val="16"/>
                <w:szCs w:val="16"/>
              </w:rPr>
              <w:t>1999</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Cs w:val="28"/>
        </w:rPr>
      </w:pPr>
      <w:r>
        <w:rPr>
          <w:rFonts w:cs="Arial"/>
          <w:b/>
          <w:bCs/>
          <w:iCs/>
          <w:szCs w:val="28"/>
        </w:rPr>
      </w:r>
    </w:p>
    <w:p>
      <w:pPr>
        <w:pStyle w:val="style0"/>
        <w:jc w:val="left"/>
        <w:rPr>
          <w:rFonts w:ascii="Calibri" w:cs="Arial" w:eastAsia="Times New Roman" w:hAnsi="Calibri"/>
          <w:b w:val="false"/>
          <w:bCs w:val="false"/>
          <w:iCs/>
          <w:color w:val="000000"/>
          <w:sz w:val="16"/>
          <w:szCs w:val="16"/>
        </w:rPr>
      </w:pPr>
      <w:r>
        <w:rPr>
          <w:rFonts w:cs="Arial"/>
          <w:b w:val="false"/>
          <w:bCs w:val="false"/>
          <w:iCs/>
          <w:sz w:val="16"/>
          <w:szCs w:val="16"/>
        </w:rPr>
        <w:t>Spoločnosť v bežnom účtovnom období vykázala celkovú stratu vo výške 41 €. Do nákladov spoločnosť účtovala daňovú licenciu v čiastke 960 €.</w:t>
      </w:r>
      <w:r>
        <w:rPr>
          <w:rFonts w:ascii="Calibri" w:cs="Arial" w:eastAsia="Times New Roman" w:hAnsi="Calibri"/>
          <w:b w:val="false"/>
          <w:bCs w:val="false"/>
          <w:iCs/>
          <w:color w:val="000000"/>
          <w:sz w:val="16"/>
          <w:szCs w:val="16"/>
        </w:rPr>
        <w:t>abuľka č. 1</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8"/>
        <w:gridCol w:w="886"/>
        <w:gridCol w:w="1035"/>
        <w:gridCol w:w="797"/>
        <w:gridCol w:w="925"/>
        <w:gridCol w:w="1134"/>
      </w:tblGrid>
      <w:tr>
        <w:trPr>
          <w:cantSplit w:val="false"/>
        </w:trPr>
        <w:tc>
          <w:tcPr>
            <w:tcW w:type="dxa" w:w="4298"/>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6"/>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5"/>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7"/>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5"/>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3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8"/>
            <w:vMerge w:val="continue"/>
            <w:tcBorders>
              <w:top w:color="00000A" w:space="0" w:sz="8" w:val="single"/>
              <w:left w:val="nil"/>
              <w:bottom w:val="nil"/>
              <w:right w:val="nil"/>
            </w:tcBorders>
            <w:shd w:fill="auto"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6"/>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w:t>
            </w:r>
            <w:r>
              <w:rPr>
                <w:rFonts w:cs="Times New Roman" w:eastAsia="Times New Roman"/>
                <w:b/>
                <w:bCs/>
                <w:i/>
                <w:iCs/>
                <w:color w:val="00000A"/>
                <w:sz w:val="20"/>
                <w:szCs w:val="20"/>
                <w:lang w:eastAsia="sk-SK"/>
              </w:rPr>
              <w:t>5</w:t>
            </w:r>
          </w:p>
        </w:tc>
        <w:tc>
          <w:tcPr>
            <w:tcW w:type="dxa" w:w="1035"/>
            <w:vMerge w:val="continue"/>
            <w:tcBorders>
              <w:top w:color="00000A" w:space="0" w:sz="8" w:val="single"/>
              <w:left w:val="nil"/>
              <w:bottom w:val="nil"/>
              <w:right w:val="nil"/>
            </w:tcBorders>
            <w:shd w:fill="auto"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7"/>
            <w:vMerge w:val="continue"/>
            <w:tcBorders>
              <w:top w:color="00000A" w:space="0" w:sz="8" w:val="single"/>
              <w:left w:val="nil"/>
              <w:bottom w:val="nil"/>
              <w:right w:val="nil"/>
            </w:tcBorders>
            <w:shd w:fill="auto"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5"/>
            <w:vMerge w:val="continue"/>
            <w:tcBorders>
              <w:top w:color="00000A" w:space="0" w:sz="8" w:val="single"/>
              <w:left w:val="nil"/>
              <w:bottom w:val="nil"/>
              <w:right w:val="nil"/>
            </w:tcBorders>
            <w:shd w:fill="auto"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3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w:t>
            </w:r>
            <w:r>
              <w:rPr>
                <w:rFonts w:cs="Times New Roman" w:eastAsia="Times New Roman"/>
                <w:b/>
                <w:bCs/>
                <w:i/>
                <w:iCs/>
                <w:color w:val="00000A"/>
                <w:sz w:val="20"/>
                <w:szCs w:val="20"/>
                <w:lang w:eastAsia="sk-SK"/>
              </w:rPr>
              <w:t>5</w:t>
            </w:r>
          </w:p>
        </w:tc>
      </w:tr>
      <w:tr>
        <w:trPr>
          <w:cantSplit w:val="false"/>
        </w:trPr>
        <w:tc>
          <w:tcPr>
            <w:tcW w:type="dxa" w:w="4298"/>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5000</w:t>
            </w:r>
          </w:p>
        </w:tc>
        <w:tc>
          <w:tcPr>
            <w:tcW w:type="dxa" w:w="1035"/>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5000</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2420</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1559</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3979</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w:t>
            </w:r>
            <w:r>
              <w:rPr>
                <w:rFonts w:cs="Times New Roman" w:eastAsia="Times New Roman"/>
                <w:color w:val="00000A"/>
                <w:sz w:val="20"/>
                <w:szCs w:val="20"/>
                <w:lang w:eastAsia="sk-SK"/>
              </w:rPr>
              <w:t>41</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w:t>
            </w:r>
            <w:r>
              <w:rPr>
                <w:rFonts w:cs="Times New Roman" w:eastAsia="Times New Roman"/>
                <w:color w:val="00000A"/>
                <w:sz w:val="20"/>
                <w:szCs w:val="20"/>
                <w:lang w:eastAsia="sk-SK"/>
              </w:rPr>
              <w:t>41</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8"/>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6"/>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5"/>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5"/>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4"/>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bl>
    <w:p>
      <w:pPr>
        <w:pStyle w:val="style0"/>
        <w:keepNext/>
        <w:pageBreakBefore/>
        <w:widowControl/>
        <w:suppressAutoHyphens w:val="true"/>
        <w:ind w:hanging="0" w:left="11" w:right="0"/>
        <w:jc w:val="both"/>
        <w:rPr/>
      </w:pPr>
      <w:r>
        <w:rPr/>
      </w:r>
    </w:p>
    <w:p>
      <w:pPr>
        <w:pStyle w:val="style0"/>
        <w:widowControl/>
        <w:suppressAutoHyphens w:val="true"/>
        <w:ind w:hanging="0" w:left="11" w:right="0"/>
        <w:jc w:val="both"/>
        <w:rPr>
          <w:sz w:val="22"/>
          <w:szCs w:val="22"/>
        </w:rPr>
      </w:pPr>
      <w:r>
        <w:rPr>
          <w:sz w:val="22"/>
          <w:szCs w:val="22"/>
        </w:rPr>
      </w:r>
    </w:p>
    <w:p>
      <w:pPr>
        <w:pStyle w:val="style0"/>
        <w:widowControl/>
        <w:suppressAutoHyphens w:val="true"/>
        <w:ind w:hanging="0" w:left="11" w:right="0"/>
        <w:jc w:val="both"/>
        <w:rPr>
          <w:sz w:val="22"/>
          <w:szCs w:val="22"/>
        </w:rPr>
      </w:pPr>
      <w:r>
        <w:rPr>
          <w:sz w:val="22"/>
          <w:szCs w:val="22"/>
        </w:rPr>
      </w:r>
    </w:p>
    <w:p>
      <w:pPr>
        <w:pStyle w:val="style0"/>
        <w:widowControl/>
        <w:suppressAutoHyphens w:val="true"/>
        <w:ind w:hanging="0" w:left="11" w:right="0"/>
        <w:jc w:val="both"/>
        <w:rPr>
          <w:sz w:val="21"/>
          <w:szCs w:val="21"/>
        </w:rPr>
      </w:pPr>
      <w:r>
        <w:rPr>
          <w:sz w:val="21"/>
          <w:szCs w:val="21"/>
        </w:rPr>
        <w:t>Po 31. decembri 2015 až do dňa zostavenia účtovnej závierky nenastali také udalosti, ktoré by významnýmspôsobom ovplyvňovali aktíva, pasíva alebo výsledok hospodárenia spoločnosti, okrem tých, ktoré sú uvedené vyššie a ktoré sú výsledkom bežnej činnosti.</w:t>
      </w:r>
    </w:p>
    <w:p>
      <w:pPr>
        <w:pStyle w:val="style0"/>
        <w:widowControl/>
        <w:suppressAutoHyphens w:val="true"/>
        <w:ind w:hanging="0" w:left="11" w:right="0"/>
        <w:jc w:val="both"/>
        <w:rPr>
          <w:sz w:val="21"/>
          <w:szCs w:val="21"/>
        </w:rPr>
      </w:pPr>
      <w:r>
        <w:rPr>
          <w:sz w:val="21"/>
          <w:szCs w:val="21"/>
        </w:rPr>
      </w:r>
    </w:p>
    <w:p>
      <w:pPr>
        <w:pStyle w:val="style0"/>
        <w:widowControl/>
        <w:suppressAutoHyphens w:val="true"/>
        <w:ind w:hanging="0" w:left="11" w:right="0"/>
        <w:jc w:val="both"/>
        <w:rPr>
          <w:sz w:val="21"/>
          <w:szCs w:val="21"/>
        </w:rPr>
      </w:pPr>
      <w:r>
        <w:rPr>
          <w:sz w:val="21"/>
          <w:szCs w:val="21"/>
        </w:rPr>
      </w:r>
    </w:p>
    <w:p>
      <w:pPr>
        <w:pStyle w:val="style0"/>
        <w:widowControl/>
        <w:suppressAutoHyphens w:val="true"/>
        <w:ind w:hanging="0" w:left="11" w:right="0"/>
        <w:jc w:val="both"/>
        <w:rPr>
          <w:sz w:val="21"/>
          <w:szCs w:val="21"/>
        </w:rPr>
      </w:pPr>
      <w:r>
        <w:rPr>
          <w:sz w:val="21"/>
          <w:szCs w:val="21"/>
        </w:rPr>
        <w:t>V Nižnej dňa 20.03.2016</w:t>
      </w:r>
    </w:p>
    <w:p>
      <w:pPr>
        <w:pStyle w:val="style0"/>
        <w:widowControl/>
        <w:suppressAutoHyphens w:val="true"/>
        <w:ind w:hanging="0" w:left="11" w:right="0"/>
        <w:jc w:val="both"/>
        <w:rPr>
          <w:sz w:val="21"/>
          <w:szCs w:val="21"/>
        </w:rPr>
      </w:pPr>
      <w:r>
        <w:rPr>
          <w:sz w:val="21"/>
          <w:szCs w:val="21"/>
        </w:rPr>
      </w:r>
    </w:p>
    <w:p>
      <w:pPr>
        <w:pStyle w:val="style0"/>
        <w:widowControl/>
        <w:suppressAutoHyphens w:val="true"/>
        <w:ind w:hanging="0" w:left="11" w:right="0"/>
        <w:jc w:val="both"/>
        <w:rPr>
          <w:sz w:val="21"/>
          <w:szCs w:val="21"/>
        </w:rPr>
      </w:pPr>
      <w:r>
        <w:rPr>
          <w:sz w:val="21"/>
          <w:szCs w:val="21"/>
        </w:rPr>
      </w:r>
    </w:p>
    <w:p>
      <w:pPr>
        <w:pStyle w:val="style0"/>
        <w:widowControl/>
        <w:suppressAutoHyphens w:val="true"/>
        <w:ind w:hanging="0" w:left="11" w:right="0"/>
        <w:jc w:val="both"/>
        <w:rPr>
          <w:sz w:val="21"/>
          <w:szCs w:val="21"/>
        </w:rPr>
      </w:pPr>
      <w:r>
        <w:rPr>
          <w:sz w:val="21"/>
          <w:szCs w:val="21"/>
        </w:rPr>
        <w:t>Ing.  Veronika Ferulíková</w:t>
      </w:r>
    </w:p>
    <w:p>
      <w:pPr>
        <w:pStyle w:val="style0"/>
        <w:rPr/>
      </w:pPr>
      <w:r>
        <w:rPr/>
      </w:r>
    </w:p>
    <w:p>
      <w:pPr>
        <w:pStyle w:val="style0"/>
        <w:rPr/>
      </w:pPr>
      <w:r>
        <w:rPr/>
      </w:r>
    </w:p>
    <w:p>
      <w:pPr>
        <w:pStyle w:val="style0"/>
        <w:rPr>
          <w:i/>
          <w:color w:val="FF0000"/>
          <w:lang w:eastAsia="sk-SK"/>
        </w:rPr>
      </w:pPr>
      <w:r>
        <w:rPr>
          <w:i/>
          <w:color w:val="FF0000"/>
          <w:lang w:eastAsia="sk-SK"/>
        </w:rPr>
      </w:r>
    </w:p>
    <w:p>
      <w:pPr>
        <w:pStyle w:val="style0"/>
        <w:jc w:val="left"/>
        <w:rPr>
          <w:rFonts w:cs="Arial"/>
          <w:bCs/>
          <w:szCs w:val="26"/>
          <w:u w:val="single"/>
        </w:rPr>
      </w:pPr>
      <w:r>
        <w:rPr>
          <w:rFonts w:cs="Arial"/>
          <w:bCs/>
          <w:szCs w:val="26"/>
          <w:u w:val="single"/>
        </w:rPr>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28466" w:linePitch="360"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33"/>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4">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95"/>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paragraph">
    <w:name w:val="Nadpis"/>
    <w:basedOn w:val="style0"/>
    <w:next w:val="style29"/>
    <w:pPr>
      <w:keepNext/>
      <w:spacing w:after="120" w:before="240"/>
      <w:contextualSpacing w:val="false"/>
    </w:pPr>
    <w:rPr>
      <w:rFonts w:ascii="Arial" w:cs="Mangal" w:eastAsia="Microsoft YaHei" w:hAnsi="Arial"/>
      <w:sz w:val="28"/>
      <w:szCs w:val="28"/>
    </w:rPr>
  </w:style>
  <w:style w:styleId="style29" w:type="paragraph">
    <w:name w:val="Telo textu"/>
    <w:basedOn w:val="style0"/>
    <w:next w:val="style29"/>
    <w:pPr>
      <w:spacing w:after="120" w:before="0"/>
      <w:contextualSpacing w:val="false"/>
    </w:pPr>
    <w:rPr>
      <w:sz w:val="24"/>
      <w:lang w:eastAsia="sk-SK" w:val="cs-CZ"/>
    </w:rPr>
  </w:style>
  <w:style w:styleId="style30" w:type="paragraph">
    <w:name w:val="Zoznam"/>
    <w:basedOn w:val="style29"/>
    <w:next w:val="style30"/>
    <w:pPr/>
    <w:rPr>
      <w:rFonts w:cs="Mangal"/>
    </w:rPr>
  </w:style>
  <w:style w:styleId="style31" w:type="paragraph">
    <w:name w:val="Popis"/>
    <w:basedOn w:val="style0"/>
    <w:next w:val="style31"/>
    <w:pPr>
      <w:suppressLineNumbers/>
      <w:spacing w:after="120" w:before="120"/>
      <w:contextualSpacing w:val="false"/>
    </w:pPr>
    <w:rPr>
      <w:rFonts w:cs="Mangal"/>
      <w:i/>
      <w:iCs/>
      <w:sz w:val="24"/>
      <w:szCs w:val="24"/>
    </w:rPr>
  </w:style>
  <w:style w:styleId="style32" w:type="paragraph">
    <w:name w:val="Index"/>
    <w:basedOn w:val="style0"/>
    <w:next w:val="style32"/>
    <w:pPr>
      <w:suppressLineNumbers/>
    </w:pPr>
    <w:rPr>
      <w:rFonts w:cs="Mangal"/>
    </w:rPr>
  </w:style>
  <w:style w:styleId="style33" w:type="paragraph">
    <w:name w:val="Hlavička"/>
    <w:basedOn w:val="style0"/>
    <w:next w:val="style33"/>
    <w:pPr>
      <w:tabs>
        <w:tab w:leader="none" w:pos="4536" w:val="center"/>
        <w:tab w:leader="none" w:pos="9072" w:val="right"/>
      </w:tabs>
    </w:pPr>
    <w:rPr>
      <w:b/>
    </w:rPr>
  </w:style>
  <w:style w:styleId="style34" w:type="paragraph">
    <w:name w:val="Päta"/>
    <w:basedOn w:val="style0"/>
    <w:next w:val="style34"/>
    <w:pPr>
      <w:tabs>
        <w:tab w:leader="none" w:pos="4703" w:val="center"/>
        <w:tab w:leader="none" w:pos="9406" w:val="right"/>
      </w:tabs>
    </w:pPr>
    <w:rPr/>
  </w:style>
  <w:style w:styleId="style35" w:type="paragraph">
    <w:name w:val="Balloon Text"/>
    <w:basedOn w:val="style0"/>
    <w:next w:val="style35"/>
    <w:pPr/>
    <w:rPr>
      <w:rFonts w:ascii="Tahoma" w:cs="Tahoma" w:hAnsi="Tahoma"/>
      <w:sz w:val="16"/>
      <w:szCs w:val="16"/>
    </w:rPr>
  </w:style>
  <w:style w:styleId="style36" w:type="paragraph">
    <w:name w:val="annotation text"/>
    <w:basedOn w:val="style0"/>
    <w:next w:val="style36"/>
    <w:pPr/>
    <w:rPr>
      <w:sz w:val="20"/>
    </w:rPr>
  </w:style>
  <w:style w:styleId="style37" w:type="paragraph">
    <w:name w:val="annotation subject"/>
    <w:basedOn w:val="style36"/>
    <w:next w:val="style37"/>
    <w:pPr/>
    <w:rPr>
      <w:b/>
      <w:bCs/>
    </w:rPr>
  </w:style>
  <w:style w:styleId="style38" w:type="paragraph">
    <w:name w:val="table header"/>
    <w:basedOn w:val="style0"/>
    <w:next w:val="style38"/>
    <w:pPr>
      <w:jc w:val="center"/>
    </w:pPr>
    <w:rPr>
      <w:rFonts w:ascii="Times New Roman Bold" w:hAnsi="Times New Roman Bold"/>
      <w:b/>
      <w:i/>
      <w:sz w:val="20"/>
      <w:lang w:eastAsia="sk-SK"/>
    </w:rPr>
  </w:style>
  <w:style w:styleId="style39" w:type="paragraph">
    <w:name w:val="Revision"/>
    <w:next w:val="style39"/>
    <w:pPr>
      <w:widowControl/>
      <w:suppressAutoHyphens w:val="true"/>
    </w:pPr>
    <w:rPr>
      <w:rFonts w:ascii="Verdana" w:cs="Times New Roman" w:eastAsia="Times New Roman" w:hAnsi="Verdana"/>
      <w:color w:val="00000A"/>
      <w:sz w:val="17"/>
      <w:szCs w:val="20"/>
      <w:lang w:bidi="ar-SA" w:eastAsia="en-US" w:val="sk-SK"/>
    </w:rPr>
  </w:style>
  <w:style w:styleId="style40" w:type="paragraph">
    <w:name w:val="List Paragraph"/>
    <w:basedOn w:val="style0"/>
    <w:next w:val="style40"/>
    <w:pPr>
      <w:ind w:hanging="0" w:left="708" w:right="0"/>
    </w:pPr>
    <w:rPr/>
  </w:style>
  <w:style w:styleId="style41" w:type="paragraph">
    <w:name w:val="Citácie"/>
    <w:basedOn w:val="style0"/>
    <w:next w:val="style41"/>
    <w:pPr/>
    <w:rPr/>
  </w:style>
  <w:style w:styleId="style42" w:type="paragraph">
    <w:name w:val="Názov"/>
    <w:basedOn w:val="style28"/>
    <w:next w:val="style42"/>
    <w:pPr/>
    <w:rPr/>
  </w:style>
  <w:style w:styleId="style43" w:type="paragraph">
    <w:name w:val="Podnázov"/>
    <w:basedOn w:val="style28"/>
    <w:next w:val="style43"/>
    <w:pPr/>
    <w:rPr/>
  </w:style>
  <w:style w:styleId="style44" w:type="paragraph">
    <w:name w:val="Obsah tabuľky"/>
    <w:basedOn w:val="style0"/>
    <w:next w:val="style44"/>
    <w:pPr/>
    <w:rPr/>
  </w:style>
  <w:style w:styleId="style45" w:type="paragraph">
    <w:name w:val="Nadpis tabuľky"/>
    <w:basedOn w:val="style44"/>
    <w:next w:val="style45"/>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2016-03-21T07:07:02Z</cp:lastPrinted>
  <dcterms:modified xsi:type="dcterms:W3CDTF">2016-01-20T15:48:00Z</dcterms:modified>
  <cp:revision>13</cp:revision>
  <dc:title>Návod na použitie:</dc:title>
</cp:coreProperties>
</file>