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r.o.</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TOMMI Košice, spol. s r.o. (ďalej len Spoločnosť), bola založená zakladateľskou zmluvou vo forme notárskej zápisnice  dňa  7.októbra 1998 a do obchodného registra bola zapísaná 18. decembra 1998 (Obchodný register Okresného súdu Košice  I v Košiciach, oddiel s.r.o.,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EA362C">
        <w:t>5</w:t>
      </w:r>
      <w:r>
        <w:t xml:space="preserve"> bol 0, (v roku 201</w:t>
      </w:r>
      <w:r w:rsidR="00EA362C">
        <w:t>4</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EA362C">
        <w:t>5</w:t>
      </w:r>
      <w:r>
        <w:t xml:space="preserve"> je zostavená ako riadna účtovná závierka podľa § 17 ods. 6 zákona NR SR č. 431/2002 Z. z. o účtovníctve, za účtovné obdobie od 1. januára 201</w:t>
      </w:r>
      <w:r w:rsidR="00EA362C">
        <w:t>5</w:t>
      </w:r>
      <w:r>
        <w:t xml:space="preserve"> do 31. decembra 201</w:t>
      </w:r>
      <w:r w:rsidR="00EA362C">
        <w:t>5</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EA362C">
        <w:t>4</w:t>
      </w:r>
      <w:r>
        <w:t xml:space="preserve">,  t.j. za predchádzajúce účtovné obdobie, bola schválená rozhodnutím spoločníkov  Spoločnosti nahradzujúceho  konanie valného zhromaždenia dňa. </w:t>
      </w:r>
      <w:r w:rsidR="00EA362C">
        <w:t>25</w:t>
      </w:r>
      <w:r>
        <w:t>.3.201</w:t>
      </w:r>
      <w:r w:rsidR="003F0008">
        <w:t>4</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r>
        <w:t>Spoločnící:</w:t>
      </w:r>
      <w:r>
        <w:tab/>
      </w:r>
      <w:r>
        <w:tab/>
        <w:t>JUDr. František Ševčovič</w:t>
      </w:r>
    </w:p>
    <w:p w:rsidR="00132FA0" w:rsidRDefault="00132FA0" w:rsidP="00132FA0">
      <w:pPr>
        <w:pStyle w:val="Zkladntext"/>
      </w:pPr>
    </w:p>
    <w:p w:rsidR="00132FA0" w:rsidRDefault="00132FA0" w:rsidP="00132FA0">
      <w:pPr>
        <w:pStyle w:val="Zkladntext"/>
      </w:pPr>
      <w:r>
        <w:t>Konatelia :</w:t>
      </w:r>
      <w:r>
        <w:tab/>
      </w:r>
      <w:r>
        <w:tab/>
        <w:t>JUDr. Agáta Ševčovičová</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3F0008">
        <w:t>4</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6pt;height:98.5pt" o:ole="" fillcolor="window">
            <v:imagedata r:id="rId7" o:title=""/>
          </v:shape>
          <o:OLEObject Type="Embed" ProgID="Excel.Sheet.8" ShapeID="_x0000_i1025" DrawAspect="Content" ObjectID="_1519870746"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(goingconcern).</w:t>
      </w:r>
    </w:p>
    <w:p w:rsidR="003C487E" w:rsidRDefault="003C487E">
      <w:pPr>
        <w:pStyle w:val="Zkladntext"/>
        <w:ind w:left="450"/>
      </w:pPr>
    </w:p>
    <w:p w:rsidR="003C487E" w:rsidRDefault="003C487E">
      <w:pPr>
        <w:pStyle w:val="Zkladntext"/>
        <w:ind w:left="450"/>
      </w:pPr>
      <w:r>
        <w:t>Spoločnosť uplatňuje účtovné princípy a postupy účtovania v súlade so zákonom o účtovníctve a postupmi účtovania pre podnikateľov, ktoré platia v Slovenskej republike. Účtovníctvo sa vedie v peňažných jednotkách slovenskej meny, t.j.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Pri oceňovaní majetku a záväzkov sa uplatňuje zásada opatrnosti, t.j.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prepočtu prijatých a poskytnutých preddavkov v cudzej mene na slovenskú menu ku dňu, ku ktorému sa zostavuje účtovná závierka. Táto povinnosť bola novelou zákona o účtovníctve od 1. januára 2008 zrušená (viď bod E.p),</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(t.j. k 31. decembru 2008) prepočítajú na slovenskú menu konverzným kurzom (30,1260), a nie kurzom Národnej banky Slovenska, a účtujú sa s vplyvom na výsledok hospodárenia. (viď bod E.p).</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lastRenderedPageBreak/>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w:t>
      </w:r>
      <w:r>
        <w:lastRenderedPageBreak/>
        <w:t xml:space="preserve">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F875E6">
        <w:t>1</w:t>
      </w:r>
      <w:r w:rsidR="003F0008">
        <w:t>4</w:t>
      </w:r>
      <w:r>
        <w:t xml:space="preserve"> do 31. decembra 20</w:t>
      </w:r>
      <w:r w:rsidR="00F875E6">
        <w:t>1</w:t>
      </w:r>
      <w:r w:rsidR="003F0008">
        <w:t>4</w:t>
      </w:r>
      <w:r w:rsidR="008373F0">
        <w:t xml:space="preserve">je uvedený v tabuľkách na stranách  </w:t>
      </w:r>
      <w:r w:rsidR="00A71117">
        <w:t>18</w:t>
      </w:r>
      <w:r w:rsidR="008373F0">
        <w:t xml:space="preserve"> a </w:t>
      </w:r>
      <w:r w:rsidR="00A71117">
        <w:t>19</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3F0008">
      <w:pPr>
        <w:pStyle w:val="Zkladntext"/>
      </w:pPr>
      <w:r>
        <w:object w:dxaOrig="8194" w:dyaOrig="1185">
          <v:shape id="_x0000_i1026" type="#_x0000_t75" style="width:410.7pt;height:59.35pt" o:ole="" fillcolor="window">
            <v:imagedata r:id="rId9" o:title=""/>
          </v:shape>
          <o:OLEObject Type="Embed" ProgID="Excel.Sheet.8" ShapeID="_x0000_i1026" DrawAspect="Content" ObjectID="_1519870747" r:id="rId10"/>
        </w:object>
      </w:r>
    </w:p>
    <w:p w:rsidR="000211C6" w:rsidRDefault="000211C6">
      <w:pPr>
        <w:pStyle w:val="Zkladntext"/>
        <w:ind w:left="0"/>
        <w:rPr>
          <w:sz w:val="16"/>
        </w:rPr>
      </w:pPr>
    </w:p>
    <w:p w:rsidR="003C487E" w:rsidRDefault="003C487E">
      <w:pPr>
        <w:pStyle w:val="Zkladntext"/>
        <w:ind w:left="0"/>
      </w:pP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F875E6">
        <w:t>1</w:t>
      </w:r>
      <w:r w:rsidR="00A71117">
        <w:t>5</w:t>
      </w:r>
      <w:r>
        <w:t xml:space="preserve"> žiadne majetkové účasti v iných spoločnostiach.</w:t>
      </w:r>
    </w:p>
    <w:p w:rsidR="000211C6" w:rsidRDefault="000211C6">
      <w:bookmarkStart w:id="5" w:name="_Toc530739903"/>
    </w:p>
    <w:p w:rsidR="00A71117" w:rsidRDefault="00A71117">
      <w:r w:rsidRPr="00A71117">
        <w:rPr>
          <w:noProof/>
          <w:lang w:eastAsia="sk-SK"/>
        </w:rPr>
        <w:drawing>
          <wp:inline distT="0" distB="0" distL="0" distR="0">
            <wp:extent cx="5850255" cy="4207128"/>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0255" cy="4207128"/>
                    </a:xfrm>
                    <a:prstGeom prst="rect">
                      <a:avLst/>
                    </a:prstGeom>
                    <a:noFill/>
                    <a:ln>
                      <a:noFill/>
                    </a:ln>
                  </pic:spPr>
                </pic:pic>
              </a:graphicData>
            </a:graphic>
          </wp:inline>
        </w:drawing>
      </w:r>
    </w:p>
    <w:p w:rsidR="00A71117" w:rsidRDefault="00A71117"/>
    <w:p w:rsidR="008373F0" w:rsidRDefault="009B49A0">
      <w:r w:rsidRPr="009B49A0">
        <w:rPr>
          <w:noProof/>
          <w:lang w:eastAsia="sk-SK"/>
        </w:rPr>
        <w:drawing>
          <wp:inline distT="0" distB="0" distL="0" distR="0">
            <wp:extent cx="5850255" cy="4207128"/>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0255" cy="4207128"/>
                    </a:xfrm>
                    <a:prstGeom prst="rect">
                      <a:avLst/>
                    </a:prstGeom>
                    <a:noFill/>
                    <a:ln>
                      <a:noFill/>
                    </a:ln>
                  </pic:spPr>
                </pic:pic>
              </a:graphicData>
            </a:graphic>
          </wp:inline>
        </w:drawing>
      </w:r>
    </w:p>
    <w:p w:rsidR="008373F0" w:rsidRDefault="008373F0"/>
    <w:p w:rsidR="001079E9" w:rsidRDefault="001079E9"/>
    <w:p w:rsidR="008373F0" w:rsidRDefault="008373F0"/>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EA362C">
        <w:t xml:space="preserve">5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6" w:name="_MON_1456837965"/>
    <w:bookmarkStart w:id="7" w:name="_MON_1456579734"/>
    <w:bookmarkStart w:id="8" w:name="_MON_1456578734"/>
    <w:bookmarkEnd w:id="6"/>
    <w:bookmarkEnd w:id="7"/>
    <w:bookmarkEnd w:id="8"/>
    <w:p w:rsidR="003C487E" w:rsidRDefault="00A71117">
      <w:pPr>
        <w:pStyle w:val="Zkladntext"/>
      </w:pPr>
      <w:r>
        <w:object w:dxaOrig="8723" w:dyaOrig="1445">
          <v:shape id="_x0000_i1027" type="#_x0000_t75" style="width:436.6pt;height:71.4pt" o:ole="" fillcolor="window">
            <v:imagedata r:id="rId13" o:title=""/>
          </v:shape>
          <o:OLEObject Type="Embed" ProgID="Excel.Sheet.8" ShapeID="_x0000_i1027" DrawAspect="Content" ObjectID="_1519870748" r:id="rId14"/>
        </w:object>
      </w:r>
    </w:p>
    <w:p w:rsidR="003C487E" w:rsidRDefault="003C487E">
      <w:pPr>
        <w:pStyle w:val="Zkladntext"/>
      </w:pPr>
    </w:p>
    <w:p w:rsidR="003C487E" w:rsidRDefault="00310182">
      <w:pPr>
        <w:pStyle w:val="Zkladntext"/>
      </w:pPr>
      <w:r>
        <w:t>Spoločnosť k 31.12.201</w:t>
      </w:r>
      <w:r w:rsidR="00EA362C">
        <w:t>5</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865"/>
    <w:bookmarkStart w:id="11" w:name="_MON_1456579913"/>
    <w:bookmarkStart w:id="12" w:name="_MON_1456579832"/>
    <w:bookmarkEnd w:id="10"/>
    <w:bookmarkEnd w:id="11"/>
    <w:bookmarkEnd w:id="12"/>
    <w:p w:rsidR="00E1496A" w:rsidRDefault="00A71117">
      <w:pPr>
        <w:pStyle w:val="Zkladntext"/>
      </w:pPr>
      <w:r>
        <w:object w:dxaOrig="8723" w:dyaOrig="1911">
          <v:shape id="_x0000_i1028" type="#_x0000_t75" style="width:436.6pt;height:96.2pt" o:ole="" fillcolor="window">
            <v:imagedata r:id="rId15" o:title=""/>
          </v:shape>
          <o:OLEObject Type="Embed" ProgID="Excel.Sheet.8" ShapeID="_x0000_i1028" DrawAspect="Content" ObjectID="_1519870749" r:id="rId16"/>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89151851"/>
    <w:bookmarkStart w:id="15" w:name="_MON_1456583195"/>
    <w:bookmarkEnd w:id="14"/>
    <w:bookmarkEnd w:id="15"/>
    <w:p w:rsidR="003C487E" w:rsidRDefault="00A71117">
      <w:pPr>
        <w:pStyle w:val="Zkladntext"/>
      </w:pPr>
      <w:r>
        <w:object w:dxaOrig="8723" w:dyaOrig="1896">
          <v:shape id="_x0000_i1029" type="#_x0000_t75" style="width:436.6pt;height:93.9pt" o:ole="" fillcolor="window">
            <v:imagedata r:id="rId17" o:title=""/>
          </v:shape>
          <o:OLEObject Type="Embed" ProgID="Excel.Sheet.8" ShapeID="_x0000_i1029" DrawAspect="Content" ObjectID="_1519870750" r:id="rId18"/>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6"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6"/>
    </w:p>
    <w:p w:rsidR="003C487E" w:rsidRDefault="003C487E"/>
    <w:p w:rsidR="003C487E" w:rsidRDefault="00755F84">
      <w:pPr>
        <w:ind w:left="360"/>
        <w:rPr>
          <w:sz w:val="18"/>
        </w:rPr>
      </w:pPr>
      <w:r>
        <w:rPr>
          <w:sz w:val="18"/>
        </w:rPr>
        <w:t>Spoločnosť k 31.12.201</w:t>
      </w:r>
      <w:r w:rsidR="00EA362C">
        <w:rPr>
          <w:sz w:val="18"/>
        </w:rPr>
        <w:t>5</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7" w:name="_MON_1456584295"/>
    <w:bookmarkStart w:id="18" w:name="_MON_1456584400"/>
    <w:bookmarkStart w:id="19" w:name="_MON_1456584279"/>
    <w:bookmarkEnd w:id="17"/>
    <w:bookmarkEnd w:id="18"/>
    <w:bookmarkEnd w:id="19"/>
    <w:p w:rsidR="003C487E" w:rsidRDefault="00A71117">
      <w:pPr>
        <w:pStyle w:val="Zkladntext"/>
        <w:tabs>
          <w:tab w:val="left" w:pos="2835"/>
        </w:tabs>
      </w:pPr>
      <w:r>
        <w:object w:dxaOrig="8678" w:dyaOrig="2405">
          <v:shape id="_x0000_i1030" type="#_x0000_t75" style="width:436.6pt;height:119.8pt" o:ole="" fillcolor="window">
            <v:imagedata r:id="rId19" o:title=""/>
          </v:shape>
          <o:OLEObject Type="Embed" ProgID="Excel.Sheet.8" ShapeID="_x0000_i1030" DrawAspect="Content" ObjectID="_1519870751" r:id="rId20"/>
        </w:object>
      </w:r>
    </w:p>
    <w:p w:rsidR="003C487E" w:rsidRDefault="003C487E">
      <w:pPr>
        <w:pStyle w:val="Zkladntext"/>
        <w:tabs>
          <w:tab w:val="left" w:pos="2835"/>
        </w:tabs>
      </w:pPr>
    </w:p>
    <w:p w:rsidR="003C487E" w:rsidRDefault="003C487E">
      <w:pPr>
        <w:pStyle w:val="Nadpis2"/>
      </w:pPr>
      <w:bookmarkStart w:id="20" w:name="_Toc530739911"/>
      <w:r>
        <w:t>Sociálny fond</w:t>
      </w:r>
      <w:bookmarkEnd w:id="20"/>
    </w:p>
    <w:p w:rsidR="003C487E" w:rsidRDefault="003C487E">
      <w:pPr>
        <w:pStyle w:val="Zkladntext"/>
      </w:pPr>
    </w:p>
    <w:p w:rsidR="003C487E" w:rsidRDefault="00755F84">
      <w:pPr>
        <w:pStyle w:val="Zkladntext"/>
      </w:pPr>
      <w:r>
        <w:t>Spoločnosť k 31.12.201</w:t>
      </w:r>
      <w:r w:rsidR="00EA362C">
        <w:t>5</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1" w:name="_Toc530739912"/>
      <w:r>
        <w:t>Bankové úvery</w:t>
      </w:r>
      <w:bookmarkEnd w:id="21"/>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2" w:name="_MON_1456584624"/>
    <w:bookmarkStart w:id="23" w:name="_MON_1456584589"/>
    <w:bookmarkEnd w:id="22"/>
    <w:bookmarkEnd w:id="23"/>
    <w:p w:rsidR="003C487E" w:rsidRDefault="00EA362C">
      <w:pPr>
        <w:pStyle w:val="Zkladntext"/>
      </w:pPr>
      <w:r>
        <w:object w:dxaOrig="8741" w:dyaOrig="1645">
          <v:shape id="_x0000_i1031" type="#_x0000_t75" style="width:437.75pt;height:82.35pt" o:ole="" fillcolor="window">
            <v:imagedata r:id="rId21" o:title=""/>
          </v:shape>
          <o:OLEObject Type="Embed" ProgID="Excel.Sheet.8" ShapeID="_x0000_i1031" DrawAspect="Content" ObjectID="_1519870752" r:id="rId22"/>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4" w:name="_Toc530739913"/>
      <w:r>
        <w:t>Časové rozlíšenie</w:t>
      </w:r>
      <w:bookmarkEnd w:id="2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006DB9" w:rsidRPr="00006DB9" w:rsidRDefault="00006DB9" w:rsidP="00006DB9">
      <w:bookmarkStart w:id="25" w:name="_Toc530739914"/>
    </w:p>
    <w:p w:rsidR="003C487E" w:rsidRDefault="003C487E">
      <w:pPr>
        <w:pStyle w:val="Nadpis2"/>
        <w:numPr>
          <w:ilvl w:val="0"/>
          <w:numId w:val="6"/>
        </w:numPr>
      </w:pPr>
      <w:r>
        <w:t>Tržby za vlastné výkony a tovar</w:t>
      </w:r>
      <w:bookmarkEnd w:id="25"/>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26" w:name="_MON_1456584841"/>
    <w:bookmarkEnd w:id="26"/>
    <w:p w:rsidR="003C487E" w:rsidRDefault="00A71117">
      <w:pPr>
        <w:pStyle w:val="Zkladntext"/>
      </w:pPr>
      <w:r>
        <w:object w:dxaOrig="8597" w:dyaOrig="965">
          <v:shape id="_x0000_i1032" type="#_x0000_t75" style="width:434.3pt;height:47.8pt" o:ole="" fillcolor="window">
            <v:imagedata r:id="rId23" o:title=""/>
          </v:shape>
          <o:OLEObject Type="Embed" ProgID="Excel.Sheet.8" ShapeID="_x0000_i1032" DrawAspect="Content" ObjectID="_1519870753" r:id="rId24"/>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EA362C">
        <w:t>5</w:t>
      </w:r>
      <w:r>
        <w:t xml:space="preserve"> vykázala ostatné výnosy z hospodárskej činnosti.</w:t>
      </w:r>
    </w:p>
    <w:p w:rsidR="0011016F" w:rsidRDefault="0011016F">
      <w:pPr>
        <w:ind w:left="360"/>
      </w:pPr>
    </w:p>
    <w:bookmarkStart w:id="27" w:name="_MON_1488745866"/>
    <w:bookmarkEnd w:id="27"/>
    <w:p w:rsidR="009D3968" w:rsidRDefault="00A71117">
      <w:pPr>
        <w:ind w:left="360"/>
      </w:pPr>
      <w:r>
        <w:object w:dxaOrig="8597" w:dyaOrig="965">
          <v:shape id="_x0000_i1033" type="#_x0000_t75" style="width:434.3pt;height:47.8pt" o:ole="" fillcolor="window">
            <v:imagedata r:id="rId25" o:title=""/>
          </v:shape>
          <o:OLEObject Type="Embed" ProgID="Excel.Sheet.8" ShapeID="_x0000_i1033" DrawAspect="Content" ObjectID="_1519870754" r:id="rId26"/>
        </w:objec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201</w:t>
      </w:r>
      <w:r w:rsidR="00EA362C">
        <w:t xml:space="preserve">5 </w:t>
      </w:r>
      <w:r w:rsidR="003C487E">
        <w:t>kurzov</w:t>
      </w:r>
      <w:r>
        <w:t>é</w:t>
      </w:r>
      <w:r w:rsidR="003C487E">
        <w:t xml:space="preserve"> zisk</w:t>
      </w:r>
      <w:r>
        <w:t>y.</w:t>
      </w:r>
    </w:p>
    <w:p w:rsidR="003C487E" w:rsidRDefault="003C487E">
      <w:pPr>
        <w:pStyle w:val="Zkladntext"/>
      </w:pPr>
    </w:p>
    <w:p w:rsidR="003C487E" w:rsidRDefault="003C487E">
      <w:bookmarkStart w:id="28" w:name="_Toc530739918"/>
    </w:p>
    <w:p w:rsidR="003C487E" w:rsidRDefault="003C487E">
      <w:pPr>
        <w:pStyle w:val="Nadpis2"/>
      </w:pPr>
      <w:r>
        <w:t>Mimoriadne výnosy</w:t>
      </w:r>
      <w:bookmarkEnd w:id="28"/>
    </w:p>
    <w:p w:rsidR="003C487E" w:rsidRDefault="003C487E">
      <w:pPr>
        <w:pStyle w:val="Zkladntext"/>
      </w:pPr>
    </w:p>
    <w:p w:rsidR="003C487E" w:rsidRDefault="008706E5" w:rsidP="008706E5">
      <w:pPr>
        <w:pStyle w:val="Zkladntext"/>
      </w:pPr>
      <w:r>
        <w:t>Spoločnosť nevykázala v roku 201</w:t>
      </w:r>
      <w:r w:rsidR="00EA362C">
        <w:t>5</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9" w:name="_MON_1456585106"/>
    <w:bookmarkEnd w:id="29"/>
    <w:p w:rsidR="003C487E" w:rsidRDefault="00A71117">
      <w:pPr>
        <w:pStyle w:val="Zkladntext"/>
      </w:pPr>
      <w:r>
        <w:object w:dxaOrig="8709" w:dyaOrig="965">
          <v:shape id="_x0000_i1034" type="#_x0000_t75" style="width:435.45pt;height:47.8pt" o:ole="" fillcolor="window">
            <v:imagedata r:id="rId27" o:title=""/>
          </v:shape>
          <o:OLEObject Type="Embed" ProgID="Excel.Sheet.8" ShapeID="_x0000_i1034" DrawAspect="Content" ObjectID="_1519870755" r:id="rId28"/>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0" w:name="_MON_1456585148"/>
    <w:bookmarkEnd w:id="30"/>
    <w:p w:rsidR="003C487E" w:rsidRDefault="00A71117">
      <w:pPr>
        <w:pStyle w:val="Nadpis2"/>
        <w:numPr>
          <w:ilvl w:val="0"/>
          <w:numId w:val="0"/>
        </w:numPr>
        <w:ind w:left="426"/>
      </w:pPr>
      <w:r>
        <w:object w:dxaOrig="8709" w:dyaOrig="965">
          <v:shape id="_x0000_i1035" type="#_x0000_t75" style="width:435.45pt;height:47.8pt" o:ole="" fillcolor="window">
            <v:imagedata r:id="rId29" o:title=""/>
          </v:shape>
          <o:OLEObject Type="Embed" ProgID="Excel.Sheet.8" ShapeID="_x0000_i1035" DrawAspect="Content" ObjectID="_1519870756" r:id="rId30"/>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Nadpis2"/>
      </w:pPr>
      <w:r>
        <w:t>Kurzové straty</w:t>
      </w:r>
    </w:p>
    <w:p w:rsidR="003C487E" w:rsidRDefault="003C487E">
      <w:pPr>
        <w:pStyle w:val="Zkladntext"/>
      </w:pPr>
    </w:p>
    <w:p w:rsidR="008706E5" w:rsidRDefault="008706E5" w:rsidP="008706E5">
      <w:pPr>
        <w:pStyle w:val="Zkladntext"/>
      </w:pPr>
      <w:r>
        <w:t>Spoločnosť nevykázala v roku 201</w:t>
      </w:r>
      <w:r w:rsidR="00EA362C">
        <w:t>5</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31" w:name="_Toc530739917"/>
      <w:r>
        <w:t>Mimoriadne náklady</w:t>
      </w:r>
      <w:bookmarkEnd w:id="3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2" w:name="_MON_1488746025"/>
    <w:bookmarkEnd w:id="32"/>
    <w:p w:rsidR="003C487E" w:rsidRDefault="00EA362C">
      <w:pPr>
        <w:pStyle w:val="Zkladntext"/>
      </w:pPr>
      <w:r>
        <w:object w:dxaOrig="8708" w:dyaOrig="1441">
          <v:shape id="_x0000_i1036" type="#_x0000_t75" style="width:435.45pt;height:71.4pt" o:ole="" fillcolor="window">
            <v:imagedata r:id="rId31" o:title=""/>
          </v:shape>
          <o:OLEObject Type="Embed" ProgID="Excel.Sheet.8" ShapeID="_x0000_i1036" DrawAspect="Content" ObjectID="_1519870757" r:id="rId32"/>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3" w:name="_MON_1456585300"/>
    <w:bookmarkEnd w:id="33"/>
    <w:p w:rsidR="003C487E" w:rsidRDefault="00A71117">
      <w:pPr>
        <w:pStyle w:val="Zkladntext"/>
      </w:pPr>
      <w:r>
        <w:object w:dxaOrig="8628" w:dyaOrig="4049">
          <v:shape id="_x0000_i1037" type="#_x0000_t75" style="width:436.6pt;height:202.2pt" o:ole="" fillcolor="window">
            <v:imagedata r:id="rId33" o:title=""/>
          </v:shape>
          <o:OLEObject Type="Embed" ProgID="Excel.Sheet.8" ShapeID="_x0000_i1037" DrawAspect="Content" ObjectID="_1519870758" r:id="rId34"/>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4" w:name="_Toc530739920"/>
      <w:r>
        <w:t>Najatý majetok</w:t>
      </w:r>
      <w:bookmarkEnd w:id="34"/>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lastRenderedPageBreak/>
        <w:t>Informácie o iných aktívach a iných pasívach</w:t>
      </w:r>
    </w:p>
    <w:p w:rsidR="003C487E" w:rsidRDefault="003C487E">
      <w:pPr>
        <w:pStyle w:val="Zkladntext"/>
        <w:ind w:left="0"/>
      </w:pPr>
    </w:p>
    <w:p w:rsidR="003C487E" w:rsidRDefault="003C487E">
      <w:pPr>
        <w:pStyle w:val="Nadpis2"/>
        <w:numPr>
          <w:ilvl w:val="0"/>
          <w:numId w:val="8"/>
        </w:numPr>
      </w:pPr>
      <w:bookmarkStart w:id="35" w:name="_Toc530739921"/>
      <w:r>
        <w:t>Podmienené záväzky</w:t>
      </w:r>
      <w:bookmarkEnd w:id="35"/>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6" w:name="_Toc530739922"/>
      <w:r>
        <w:t>Ostatné finančné povinnosti</w:t>
      </w:r>
      <w:bookmarkEnd w:id="36"/>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7" w:name="_Toc530739923"/>
      <w:r>
        <w:t>Informácie o príjmoch a výhodách členov štatutárnych orgánov, dozorných orgánov</w:t>
      </w:r>
      <w:bookmarkEnd w:id="37"/>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8" w:name="_Toc530739924"/>
      <w:r>
        <w:t>Informácie o ekonomických vzťahoch účtovnej jednotky a spriaznených osôb</w:t>
      </w:r>
      <w:bookmarkEnd w:id="38"/>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9" w:name="_Toc530739925"/>
      <w:r>
        <w:t>Informácie o skutočnostiach, ktoré nastali po dni, ku ktorému sa zostavuje účtovná závierka, do dňa zostavenia účtovnej závierky</w:t>
      </w:r>
      <w:bookmarkEnd w:id="39"/>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0" w:name="_Toc530739907"/>
      <w:r>
        <w:t>Informácie o Vlastnom imaní</w:t>
      </w:r>
      <w:bookmarkEnd w:id="40"/>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41" w:name="_MON_1456585654"/>
    <w:bookmarkStart w:id="42" w:name="_MON_1456585626"/>
    <w:bookmarkEnd w:id="41"/>
    <w:bookmarkEnd w:id="42"/>
    <w:p w:rsidR="003C487E" w:rsidRDefault="00CB381D">
      <w:pPr>
        <w:pStyle w:val="Zkladntext"/>
      </w:pPr>
      <w:r>
        <w:object w:dxaOrig="8680" w:dyaOrig="4298">
          <v:shape id="_x0000_i1038" type="#_x0000_t75" style="width:433.15pt;height:214.85pt" o:ole="" fillcolor="window">
            <v:imagedata r:id="rId35" o:title=""/>
          </v:shape>
          <o:OLEObject Type="Embed" ProgID="Excel.Sheet.8" ShapeID="_x0000_i1038" DrawAspect="Content" ObjectID="_1519870759" r:id="rId36"/>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A71117" w:rsidRDefault="00A71117">
      <w:pPr>
        <w:pStyle w:val="Zkladntext"/>
        <w:ind w:left="0"/>
      </w:pPr>
    </w:p>
    <w:p w:rsidR="003C487E" w:rsidRDefault="003C487E">
      <w:pPr>
        <w:pStyle w:val="Zkladntext"/>
      </w:pPr>
      <w:r>
        <w:lastRenderedPageBreak/>
        <w:t>Prehľad o pohybe vlastného imania za predchádzajúce obdobie je uvedený v nasledujúcej tabuľke:</w:t>
      </w:r>
    </w:p>
    <w:p w:rsidR="003C487E" w:rsidRDefault="003C487E">
      <w:pPr>
        <w:pStyle w:val="Zkladntext"/>
      </w:pPr>
    </w:p>
    <w:bookmarkStart w:id="43" w:name="_MON_1456585920"/>
    <w:bookmarkStart w:id="44" w:name="_MON_1456585900"/>
    <w:bookmarkEnd w:id="43"/>
    <w:bookmarkEnd w:id="44"/>
    <w:p w:rsidR="003C487E" w:rsidRDefault="00EA362C" w:rsidP="00C41948">
      <w:pPr>
        <w:pStyle w:val="Zkladntext"/>
      </w:pPr>
      <w:r>
        <w:object w:dxaOrig="8680" w:dyaOrig="4298">
          <v:shape id="_x0000_i1039" type="#_x0000_t75" style="width:433.15pt;height:214.85pt" o:ole="" fillcolor="window">
            <v:imagedata r:id="rId37" o:title=""/>
          </v:shape>
          <o:OLEObject Type="Embed" ProgID="Excel.Sheet.8" ShapeID="_x0000_i1039" DrawAspect="Content" ObjectID="_1519870760" r:id="rId38"/>
        </w:object>
      </w:r>
    </w:p>
    <w:p w:rsidR="003C487E" w:rsidRDefault="003C487E">
      <w:pPr>
        <w:pStyle w:val="Zkladntext"/>
      </w:pPr>
      <w:r>
        <w:t>Účtovn</w:t>
      </w:r>
      <w:r w:rsidR="00741B76">
        <w:t xml:space="preserve">ý </w:t>
      </w:r>
      <w:r w:rsidR="00CB381D">
        <w:t>strata</w:t>
      </w:r>
      <w:r w:rsidR="00741B76">
        <w:t xml:space="preserve"> za </w:t>
      </w:r>
      <w:r>
        <w:t xml:space="preserve"> rok 20</w:t>
      </w:r>
      <w:r w:rsidR="00F97AB7">
        <w:t>1</w:t>
      </w:r>
      <w:r w:rsidR="00CB381D">
        <w:t>4</w:t>
      </w:r>
      <w:r>
        <w:t xml:space="preserve"> vo výške </w:t>
      </w:r>
      <w:r w:rsidR="00CB381D">
        <w:t>13 651</w:t>
      </w:r>
      <w:r>
        <w:t xml:space="preserve"> EUR bol</w:t>
      </w:r>
      <w:r w:rsidR="00CB381D">
        <w:t>a preúčtovaná</w:t>
      </w:r>
      <w:r>
        <w:t>na ne</w:t>
      </w:r>
      <w:r w:rsidR="005D6658">
        <w:t>rozdelen</w:t>
      </w:r>
      <w:r w:rsidR="00CB381D">
        <w:t>ústratu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362C57">
        <w:t>1</w:t>
      </w:r>
      <w:r w:rsidR="00CB381D">
        <w:t>5</w:t>
      </w:r>
      <w:r>
        <w:t xml:space="preserve"> vo výške  </w:t>
      </w:r>
      <w:r w:rsidR="005D6658">
        <w:t>-1</w:t>
      </w:r>
      <w:r w:rsidR="00CB381D">
        <w:t>2941</w:t>
      </w:r>
      <w:r>
        <w:t xml:space="preserve"> EUR rozhodnú spoločníci.</w:t>
      </w:r>
    </w:p>
    <w:p w:rsidR="003C487E" w:rsidRDefault="003C487E">
      <w:pPr>
        <w:pStyle w:val="Zkladntext"/>
        <w:ind w:left="0"/>
      </w:pPr>
    </w:p>
    <w:p w:rsidR="006333E1" w:rsidRDefault="006333E1" w:rsidP="006333E1">
      <w:pPr>
        <w:pStyle w:val="Nadpis1"/>
      </w:pPr>
      <w:r>
        <w:t>Prehľad peňažných tokov k 31. decembru 201</w:t>
      </w:r>
      <w:r w:rsidR="00CB381D">
        <w:t>5</w:t>
      </w:r>
    </w:p>
    <w:tbl>
      <w:tblPr>
        <w:tblW w:w="9072" w:type="dxa"/>
        <w:tblInd w:w="70" w:type="dxa"/>
        <w:tblCellMar>
          <w:left w:w="70" w:type="dxa"/>
          <w:right w:w="70" w:type="dxa"/>
        </w:tblCellMar>
        <w:tblLook w:val="04A0"/>
      </w:tblPr>
      <w:tblGrid>
        <w:gridCol w:w="950"/>
        <w:gridCol w:w="5487"/>
        <w:gridCol w:w="291"/>
        <w:gridCol w:w="1531"/>
        <w:gridCol w:w="815"/>
      </w:tblGrid>
      <w:tr w:rsidR="00333C0D" w:rsidRPr="00333C0D" w:rsidTr="00333C0D">
        <w:trPr>
          <w:trHeight w:val="255"/>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Príloha č.2</w:t>
            </w: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single" w:sz="8" w:space="0" w:color="auto"/>
              <w:left w:val="single" w:sz="8" w:space="0" w:color="auto"/>
              <w:bottom w:val="nil"/>
              <w:right w:val="single" w:sz="8"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Prehľad peňažných tokov s použitím</w:t>
            </w: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lang w:eastAsia="sk-SK"/>
              </w:rPr>
            </w:pPr>
          </w:p>
          <w:tbl>
            <w:tblPr>
              <w:tblW w:w="0" w:type="auto"/>
              <w:tblCellSpacing w:w="0" w:type="dxa"/>
              <w:tblCellMar>
                <w:left w:w="0" w:type="dxa"/>
                <w:right w:w="0" w:type="dxa"/>
              </w:tblCellMar>
              <w:tblLook w:val="04A0"/>
            </w:tblPr>
            <w:tblGrid>
              <w:gridCol w:w="880"/>
            </w:tblGrid>
            <w:tr w:rsidR="00333C0D" w:rsidRPr="00333C0D">
              <w:trPr>
                <w:trHeight w:val="240"/>
                <w:tblCellSpacing w:w="0" w:type="dxa"/>
              </w:trPr>
              <w:tc>
                <w:tcPr>
                  <w:tcW w:w="880"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b/>
                      <w:bCs/>
                      <w:sz w:val="18"/>
                      <w:szCs w:val="18"/>
                      <w:lang w:eastAsia="sk-SK"/>
                    </w:rPr>
                  </w:pPr>
                </w:p>
              </w:tc>
            </w:tr>
          </w:tbl>
          <w:p w:rsidR="00333C0D" w:rsidRPr="00333C0D" w:rsidRDefault="00333C0D" w:rsidP="00333C0D">
            <w:pPr>
              <w:rPr>
                <w:rFonts w:ascii="Arial CE" w:hAnsi="Arial CE" w:cs="Arial CE"/>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single" w:sz="8" w:space="0" w:color="auto"/>
              <w:bottom w:val="nil"/>
              <w:right w:val="single" w:sz="8"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nepriamej metódy za TOMMI Košice spol. s r.o.</w:t>
            </w: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b/>
                <w:bCs/>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55"/>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single" w:sz="8" w:space="0" w:color="auto"/>
              <w:bottom w:val="single" w:sz="8" w:space="0" w:color="auto"/>
              <w:right w:val="single" w:sz="8"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(CASH FLOW STATEMENTS) rok 2015</w:t>
            </w: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b/>
                <w:bCs/>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b/>
                <w:bCs/>
                <w:sz w:val="18"/>
                <w:szCs w:val="18"/>
                <w:lang w:eastAsia="sk-SK"/>
              </w:rPr>
            </w:pP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b/>
                <w:bCs/>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70"/>
        </w:trPr>
        <w:tc>
          <w:tcPr>
            <w:tcW w:w="950"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lang w:eastAsia="sk-SK"/>
              </w:rPr>
            </w:pPr>
          </w:p>
        </w:tc>
        <w:tc>
          <w:tcPr>
            <w:tcW w:w="5487"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jc w:val="right"/>
              <w:rPr>
                <w:rFonts w:ascii="Arial CE" w:hAnsi="Arial CE" w:cs="Arial CE"/>
                <w:sz w:val="18"/>
                <w:szCs w:val="18"/>
                <w:lang w:eastAsia="sk-SK"/>
              </w:rPr>
            </w:pPr>
            <w:r w:rsidRPr="00333C0D">
              <w:rPr>
                <w:rFonts w:ascii="Arial CE" w:hAnsi="Arial CE" w:cs="Arial CE"/>
                <w:sz w:val="18"/>
                <w:szCs w:val="18"/>
                <w:lang w:eastAsia="sk-SK"/>
              </w:rPr>
              <w:t>v EUR</w:t>
            </w:r>
          </w:p>
        </w:tc>
      </w:tr>
      <w:tr w:rsidR="00333C0D" w:rsidRPr="00333C0D" w:rsidTr="00333C0D">
        <w:trPr>
          <w:trHeight w:val="240"/>
        </w:trPr>
        <w:tc>
          <w:tcPr>
            <w:tcW w:w="950" w:type="dxa"/>
            <w:tcBorders>
              <w:top w:val="single" w:sz="8" w:space="0" w:color="auto"/>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Ozn.</w:t>
            </w:r>
          </w:p>
        </w:tc>
        <w:tc>
          <w:tcPr>
            <w:tcW w:w="5487" w:type="dxa"/>
            <w:tcBorders>
              <w:top w:val="single" w:sz="8" w:space="0" w:color="auto"/>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Názov položky</w:t>
            </w:r>
          </w:p>
        </w:tc>
        <w:tc>
          <w:tcPr>
            <w:tcW w:w="289" w:type="dxa"/>
            <w:tcBorders>
              <w:top w:val="single" w:sz="8" w:space="0" w:color="auto"/>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č.</w:t>
            </w:r>
          </w:p>
        </w:tc>
        <w:tc>
          <w:tcPr>
            <w:tcW w:w="1531" w:type="dxa"/>
            <w:tcBorders>
              <w:top w:val="single" w:sz="8" w:space="0" w:color="auto"/>
              <w:left w:val="nil"/>
              <w:bottom w:val="single" w:sz="4" w:space="0" w:color="auto"/>
              <w:right w:val="single" w:sz="4" w:space="0" w:color="auto"/>
            </w:tcBorders>
            <w:shd w:val="clear" w:color="000000" w:fill="C0C0C0"/>
            <w:noWrap/>
            <w:vAlign w:val="bottom"/>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 xml:space="preserve">  Účtovné obdobie</w:t>
            </w:r>
          </w:p>
        </w:tc>
        <w:tc>
          <w:tcPr>
            <w:tcW w:w="815" w:type="dxa"/>
            <w:tcBorders>
              <w:top w:val="single" w:sz="8" w:space="0" w:color="auto"/>
              <w:left w:val="nil"/>
              <w:bottom w:val="single" w:sz="4" w:space="0" w:color="auto"/>
              <w:right w:val="single" w:sz="8" w:space="0" w:color="auto"/>
            </w:tcBorders>
            <w:shd w:val="clear" w:color="000000" w:fill="C0C0C0"/>
            <w:noWrap/>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5487"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r.</w:t>
            </w:r>
          </w:p>
        </w:tc>
        <w:tc>
          <w:tcPr>
            <w:tcW w:w="1531"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bežné</w:t>
            </w:r>
          </w:p>
        </w:tc>
        <w:tc>
          <w:tcPr>
            <w:tcW w:w="815" w:type="dxa"/>
            <w:tcBorders>
              <w:top w:val="nil"/>
              <w:left w:val="nil"/>
              <w:bottom w:val="single" w:sz="8" w:space="0" w:color="auto"/>
              <w:right w:val="single" w:sz="8"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minulé</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Peňažné toky z hospodárskych činností</w:t>
            </w:r>
          </w:p>
        </w:tc>
        <w:tc>
          <w:tcPr>
            <w:tcW w:w="289"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Z/S</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Výsledok hospodárenia za bežné účtovné obdobie</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-11 981</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-12691</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A.1.</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Nepeňažné operácie A.1.1. až A.1.13.</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13 962</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14528</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A.1.1.</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Odpisy dlhodob. nehmot. a hmotného majetku</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14 529</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14529</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Zost. cena dlhodob. majetku účtovaná pri vyradení do nákladov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Odpis opravnej položky k nadobudnutému majetku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A.1.4.</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Zmena stavu dlhodobých rezerv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A.1.5.</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opravných položiek</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A.1.6.</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položiek časového rozlíšenia nákladov a výnosov</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-566</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A.1.7.</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Dividendy a iné podiely na zisku účtované do výnosov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A.1.8.</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Úroky účtované do výnosov</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A.1.9.</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Úroky účtované do nákladov</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51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A.1.10.</w:t>
            </w:r>
          </w:p>
        </w:tc>
        <w:tc>
          <w:tcPr>
            <w:tcW w:w="5487" w:type="dxa"/>
            <w:tcBorders>
              <w:top w:val="nil"/>
              <w:left w:val="nil"/>
              <w:bottom w:val="single" w:sz="4" w:space="0" w:color="auto"/>
              <w:right w:val="nil"/>
            </w:tcBorders>
            <w:shd w:val="clear" w:color="auto" w:fill="auto"/>
            <w:hideMark/>
          </w:tcPr>
          <w:p w:rsidR="00333C0D" w:rsidRPr="00333C0D" w:rsidRDefault="00333C0D" w:rsidP="00333C0D">
            <w:pPr>
              <w:rPr>
                <w:rFonts w:ascii="Arial CE" w:hAnsi="Arial CE" w:cs="Arial CE"/>
                <w:lang w:eastAsia="sk-SK"/>
              </w:rPr>
            </w:pPr>
            <w:r w:rsidRPr="00333C0D">
              <w:rPr>
                <w:rFonts w:ascii="Arial CE" w:hAnsi="Arial CE" w:cs="Arial CE"/>
                <w:lang w:eastAsia="sk-SK"/>
              </w:rPr>
              <w:t>Kurzový zisk vyčíslený k peňaž. prostriedkom a peňaž. ekvivalentom ku dňu zostavenia úč.závierky</w:t>
            </w:r>
          </w:p>
        </w:tc>
        <w:tc>
          <w:tcPr>
            <w:tcW w:w="289" w:type="dxa"/>
            <w:tcBorders>
              <w:top w:val="nil"/>
              <w:left w:val="single" w:sz="4"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A.1.11.</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Kurzová strata vyčíslená k peňaž. prostriedkom a peňaž. ekvivalentom ku dňu zostavenia úč.závierky</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A.1.12.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Výsledok z predaja dlhodobého majetku, s výnimkou toho, ktorý sa považuje za peňažné ekvivalenty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0C0C0"/>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lastRenderedPageBreak/>
              <w:t>A.1.13.</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Ostatné položky nepeňažného charakteru, vplývajúce na výsledok hospodárenia z bežnej činnosti, s výnimkou tých, ktoré sa musia uvádzať samostatne</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8"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A.2.</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Vplyv zmien stavu pracovného kapitálu, s výnimkou položiek, ktoré sú súčasťou peňažných prostriedkov a peňažných ekvivalentov</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-304</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2127</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A.2.1.</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pohľadávok z prevádzkovej činnosti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35</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175</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A.2.2.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záväzkov z prevádzkovej činnosti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-339</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1952</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A.2.3.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zásob</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A.2.4.</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Zmena stavu krátkodobého finančného majetku, s výnimkou toho, ktorý je súčasťou peň.prostriedkov a peň. ekvivalentov</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8"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Peňažný tok vytvorený v prevádzkových činnostiach, s výnimkou príjmov a výdavkov, kt. sa musia uvádzať na samostatných riadkoch (súčet Z/S + A.1. + A.2.)</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1 677</w:t>
            </w:r>
          </w:p>
        </w:tc>
        <w:tc>
          <w:tcPr>
            <w:tcW w:w="815" w:type="dxa"/>
            <w:tcBorders>
              <w:top w:val="nil"/>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3 964</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Prijaté úroky s výnimkou tých, ktoré sa začlenia do investičných činností</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1</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A.4.</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zaplatené úroky, s výnimkou tých, ktoré sa začlenia do finančných činností</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A.5.</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dividend a iných podielov na zisku, s výnimkou tých, ktoré sa začlenia do investičných činností (665)</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A.6.</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vyplatené dividendy a iné podiely na zisku, s výnimkou tých, ktoré sa začlenia do finančných činností</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Peňažný tok vytvorený v prevádzkových činnostiach pred peňažným tokom dane z príjmov účtovnej jednotky a peňažným tokom z mimoriadnej činnosti (+/-) (súčet Z/S + A.1. až A.6.)</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1 678</w:t>
            </w:r>
          </w:p>
        </w:tc>
        <w:tc>
          <w:tcPr>
            <w:tcW w:w="815" w:type="dxa"/>
            <w:tcBorders>
              <w:top w:val="single" w:sz="8" w:space="0" w:color="auto"/>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3 965</w:t>
            </w:r>
          </w:p>
        </w:tc>
      </w:tr>
      <w:tr w:rsidR="00333C0D" w:rsidRPr="00333C0D" w:rsidTr="00333C0D">
        <w:trPr>
          <w:trHeight w:val="96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A.7.</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daň z príjmov účtovnej jednotky (vrátane výdavkov na úhradu dodatočných vyrubení a príjmu z vrátení preplatku), s výnimkou tých, kt. sa špecificky začlenia do investičných alebo finančných činností)</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-960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-960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A.8.</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mimoriadneho charakteru vzťahujúce sa k prevádzkovej činnosti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A.9.</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mimoriadneho charakteru vzťahujúce sa k prevádzkovej činnosti</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A***</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Čistý peňažný tok z prevádzkových činností (+/-) (súčet Z/S + A.1. až A.9.)</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718</w:t>
            </w:r>
          </w:p>
        </w:tc>
        <w:tc>
          <w:tcPr>
            <w:tcW w:w="815" w:type="dxa"/>
            <w:tcBorders>
              <w:top w:val="single" w:sz="8" w:space="0" w:color="auto"/>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3 005</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B.</w:t>
            </w:r>
          </w:p>
        </w:tc>
        <w:tc>
          <w:tcPr>
            <w:tcW w:w="5487" w:type="dxa"/>
            <w:tcBorders>
              <w:top w:val="nil"/>
              <w:left w:val="nil"/>
              <w:bottom w:val="single" w:sz="8" w:space="0" w:color="auto"/>
              <w:right w:val="single" w:sz="4" w:space="0" w:color="auto"/>
            </w:tcBorders>
            <w:shd w:val="clear" w:color="000000" w:fill="CCFFCC"/>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Peňažné toky z investičných činností (IČ)</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x</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obstaranie dlhodobého nehmotného majetku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single" w:sz="4" w:space="0" w:color="auto"/>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B.2.</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obstaranie dlhodobého hmotného majetku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96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B.3.</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obstaranie dlhodobých cenn. papierov a podielov v iných účt. jed., s výnimkou cenn. papierov,  ktoré sa považujú za peň. ekvivalenty a cenn. papierov určených na predaj alebo obchodovanie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B.4.</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predaja dlhodobého nehmotného majetku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B.5.</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predaja dlhodobého hmotného majetku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96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B.6.</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predaja dlhodobých cenn. papierov a podielov v iných účt. jed., s výnimkou cenn. papierov,  ktoré sa považujú za peň. ekvivalenty a cenn. papierov určených na predaj alebo obchodovanie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B.7.</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dlhodobé pôžičky poskytnuté účtovnou jednotkou inej účtovnej jednotke v konsolid. celku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B.8.</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zo splácania dlhodobých pôžičiek poskytnutých účtovnou jednotkou inej účtovnej jednotke v konsolidovanom celku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lastRenderedPageBreak/>
              <w:t>B.9.</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dlhodobé pôžičky poskytnuté účtovnou jednotkou tretím osobám, s výnimkou dlhodobých pôžičiek poskytovaných  inej účtovnej jednotke v konsolid. celku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B.10.</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zo splácania dlhodobých pôžičiek poskytnuté účtovnou jednotkou tretím osobám, s výnimkou dlhodobých pôžičiek poskytovaných inej účtovnej jednotke v konsolid. celku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B.11.</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nájmu súboru hnut. a nehnut. majetku používaného a odpisovaného nájomcom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Prijaté úroky s výnimkou tých, ktoré sa začlenia do prevádzkových činností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dividend a iných podielov na zisku, s výnimkou tých, ktoré sa začlenia do prevádzkových činností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B.14.</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súvisiace s derivátmi, s výnimkou prípadov, keď sú určené na predaj alebo obchodovanie s nimi alebo ak sa tieto výdavky považujú za finančnú činnosť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B.15.</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súvisiace s derivátmi, s výnimkou prípadov, keď sú určené na predaj alebo obchodovanie s nimi alebo ak sa tieto príjmy považujú za finančnú činnosť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B.16.</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daň z príjmov, ak je ich možné začleniť do investič. činností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B.17.</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mimoriadneho charakteru vzťahujúce sa na investičnú činnosť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B.18.</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mimoriadneho charakteru vzťahujúce sa na investičnú činnosť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B.19.</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Ostatné príjmy vzťahujúce sa na investičnú činnosť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1</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B.20.</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Ostatné výdavky vzťahujúce sa na investičnú činnosť (-)</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B</w:t>
            </w:r>
          </w:p>
        </w:tc>
        <w:tc>
          <w:tcPr>
            <w:tcW w:w="5487" w:type="dxa"/>
            <w:tcBorders>
              <w:top w:val="nil"/>
              <w:left w:val="nil"/>
              <w:bottom w:val="single" w:sz="8" w:space="0" w:color="auto"/>
              <w:right w:val="single" w:sz="4" w:space="0" w:color="auto"/>
            </w:tcBorders>
            <w:shd w:val="clear" w:color="000000" w:fill="CCFFCC"/>
            <w:vAlign w:val="bottom"/>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Čisté peňažné toky z investičnej činnosti (súčet B 1 až B 20)</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c>
          <w:tcPr>
            <w:tcW w:w="815" w:type="dxa"/>
            <w:tcBorders>
              <w:top w:val="single" w:sz="8" w:space="0" w:color="auto"/>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C.</w:t>
            </w:r>
          </w:p>
        </w:tc>
        <w:tc>
          <w:tcPr>
            <w:tcW w:w="5487" w:type="dxa"/>
            <w:tcBorders>
              <w:top w:val="nil"/>
              <w:left w:val="nil"/>
              <w:bottom w:val="single" w:sz="8" w:space="0" w:color="auto"/>
              <w:right w:val="single" w:sz="4" w:space="0" w:color="auto"/>
            </w:tcBorders>
            <w:shd w:val="clear" w:color="000000" w:fill="CCFFCC"/>
            <w:vAlign w:val="bottom"/>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Peňažné toky z finančných činností (FČ)</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x</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x</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x</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C.1.</w:t>
            </w:r>
          </w:p>
        </w:tc>
        <w:tc>
          <w:tcPr>
            <w:tcW w:w="5487" w:type="dxa"/>
            <w:tcBorders>
              <w:top w:val="nil"/>
              <w:left w:val="nil"/>
              <w:bottom w:val="single" w:sz="8" w:space="0" w:color="auto"/>
              <w:right w:val="single" w:sz="4" w:space="0" w:color="auto"/>
            </w:tcBorders>
            <w:shd w:val="clear" w:color="000000" w:fill="CCFFCC"/>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Peňažné toky vyplývajúce z vlastného imania (súčet C.1.1. až C.1.8.)</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C.1.1.</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upísaných akcií a obchodných podielov (z D 353)</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rôznych ďaľších vkladov do vlastného imania majiteľmi účtovnej jednotky</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Prijaté peňažné dary a dotácie do vlastného imania (z D 413)</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C.1.4.</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úhrady straty spoločníkmi (D 354)</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C.1.5.</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obstaranie alebo spätné odkúpenie vlastných akcií a vlastných obchodných podielov (z MD 365, 379)</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C.1.6.</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spojené so znížením fondov zahrňovaných do vlastného imania</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C.1.7.</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vyplatenie podielu na vlastnom imaní (vyrovnacie podiely spoločníkov, členov a iné úhrady zo zníženia vlastného imania) (z MD 365)</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C.1.8.</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z rôznych ďaľších dôvodov, ktoré súvisia so znížením vlastného imania</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8"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95"/>
        </w:trPr>
        <w:tc>
          <w:tcPr>
            <w:tcW w:w="950" w:type="dxa"/>
            <w:tcBorders>
              <w:top w:val="nil"/>
              <w:left w:val="single" w:sz="8" w:space="0" w:color="auto"/>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C.2.</w:t>
            </w:r>
          </w:p>
        </w:tc>
        <w:tc>
          <w:tcPr>
            <w:tcW w:w="5487" w:type="dxa"/>
            <w:tcBorders>
              <w:top w:val="nil"/>
              <w:left w:val="nil"/>
              <w:bottom w:val="single" w:sz="8" w:space="0" w:color="auto"/>
              <w:right w:val="single" w:sz="4" w:space="0" w:color="auto"/>
            </w:tcBorders>
            <w:shd w:val="clear" w:color="000000" w:fill="CCFFCC"/>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Peňažné toky v oblasti dlhodobých a krátkodobých záväzkov z finančných činností (súčet C.2.1. až C.2.10.)</w:t>
            </w:r>
          </w:p>
        </w:tc>
        <w:tc>
          <w:tcPr>
            <w:tcW w:w="289"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single" w:sz="4" w:space="0" w:color="auto"/>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C.2.1.</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Príjmy z emisie dlhových cenných papierov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single" w:sz="8" w:space="0" w:color="auto"/>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C.2.2.</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splácanie záväzkov z emitovaných dlhových cenných papierov</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C.2.3.</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úverov, ktoré účt. jednotke poskytla fin. inštitúcia, s výnimkou úverov na zabezpečenie hlavnej zárob. činnosti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C.2.4.</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splácanie úverov, ktoré poskytla fin. inštitúcia, s výnim. úverov na zabezpečenie hlavnej zárob. činnosti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C.2.5.</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prijatých pôžičiek</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lastRenderedPageBreak/>
              <w:t>C.2.6.</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splácanie pôžičiek</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C.2.7.</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nájomcu na úhradu záväzkov z používania majetku, ktorý je predmetom zmluvy o kúpe prenajatej veci</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C.2.8.</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nájomcu na úhradu záväzkov za prenáj. súboru hnut. a nehnut.majetku, používaného a odpisovaného nájomcom</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20"/>
        </w:trPr>
        <w:tc>
          <w:tcPr>
            <w:tcW w:w="950" w:type="dxa"/>
            <w:tcBorders>
              <w:top w:val="nil"/>
              <w:left w:val="single" w:sz="8" w:space="0" w:color="auto"/>
              <w:bottom w:val="single" w:sz="4"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C.2.9.</w:t>
            </w:r>
          </w:p>
        </w:tc>
        <w:tc>
          <w:tcPr>
            <w:tcW w:w="5487" w:type="dxa"/>
            <w:tcBorders>
              <w:top w:val="nil"/>
              <w:left w:val="nil"/>
              <w:bottom w:val="single" w:sz="4"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z ostatných dlh. a krát. záväzkov vyplývajúcich z fin.činn.účt.jednotky, s výnimkou tých, ktoré sa musia uvádzať samostatne</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0C0C0"/>
            <w:noWrap/>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C.2.10.</w:t>
            </w:r>
          </w:p>
        </w:tc>
        <w:tc>
          <w:tcPr>
            <w:tcW w:w="5487" w:type="dxa"/>
            <w:tcBorders>
              <w:top w:val="nil"/>
              <w:left w:val="nil"/>
              <w:bottom w:val="single" w:sz="8" w:space="0" w:color="auto"/>
              <w:right w:val="single" w:sz="4" w:space="0" w:color="auto"/>
            </w:tcBorders>
            <w:shd w:val="clear" w:color="auto" w:fill="auto"/>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splác. ost. dlh. a krát. záväz. vyplývajúcich z fin.činn.účt.jednotky, s výnimkou tých, ktoré sa musia uvádzať samostatne</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8"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C.3.</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zaplatené úroky okrem tých, ktoré sa začlenia do hosp. činností</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C.4.</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vyplat. dividendy a iné podiely na zisku, okrem začl. v hosp.činn.</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C.5.</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súvisiace s derivátmi, okrem určených na predaj al. obchodovanie s nimi, alebo ak sa považujú za invest. činnosť</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C.6.</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súvisiace s derivátmi, okrem určených na predaj alebo obchod. s nimi, alebo ak sa považujú za invest. činnosť</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C.7.</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Výdavky na daň z príjmov, ak je ju možné začleniť do finančných činností</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C.8.</w:t>
            </w:r>
          </w:p>
        </w:tc>
        <w:tc>
          <w:tcPr>
            <w:tcW w:w="5487" w:type="dxa"/>
            <w:tcBorders>
              <w:top w:val="nil"/>
              <w:left w:val="nil"/>
              <w:bottom w:val="single" w:sz="4"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Príjmy mimoriadneho charakteru vzťahujúce sa k FČ</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55"/>
        </w:trPr>
        <w:tc>
          <w:tcPr>
            <w:tcW w:w="950" w:type="dxa"/>
            <w:tcBorders>
              <w:top w:val="nil"/>
              <w:left w:val="single" w:sz="8" w:space="0" w:color="auto"/>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C.9.</w:t>
            </w:r>
          </w:p>
        </w:tc>
        <w:tc>
          <w:tcPr>
            <w:tcW w:w="5487" w:type="dxa"/>
            <w:tcBorders>
              <w:top w:val="nil"/>
              <w:left w:val="nil"/>
              <w:bottom w:val="single" w:sz="8" w:space="0" w:color="auto"/>
              <w:right w:val="single" w:sz="4" w:space="0" w:color="auto"/>
            </w:tcBorders>
            <w:shd w:val="clear" w:color="auto" w:fill="auto"/>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Výdaje mimoriadneho charakteru vzťahujúce sa k FČ</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auto" w:fill="auto"/>
            <w:noWrap/>
            <w:vAlign w:val="bottom"/>
            <w:hideMark/>
          </w:tcPr>
          <w:p w:rsidR="00333C0D" w:rsidRPr="00333C0D" w:rsidRDefault="00333C0D" w:rsidP="00333C0D">
            <w:pPr>
              <w:jc w:val="center"/>
              <w:rPr>
                <w:rFonts w:ascii="Arial CE" w:hAnsi="Arial CE" w:cs="Arial CE"/>
                <w:sz w:val="16"/>
                <w:szCs w:val="16"/>
                <w:lang w:eastAsia="sk-SK"/>
              </w:rPr>
            </w:pPr>
            <w:r w:rsidRPr="00333C0D">
              <w:rPr>
                <w:rFonts w:ascii="Arial CE" w:hAnsi="Arial CE" w:cs="Arial CE"/>
                <w:sz w:val="16"/>
                <w:szCs w:val="16"/>
                <w:lang w:eastAsia="sk-SK"/>
              </w:rPr>
              <w:t>0</w:t>
            </w:r>
          </w:p>
        </w:tc>
      </w:tr>
      <w:tr w:rsidR="00333C0D" w:rsidRPr="00333C0D" w:rsidTr="00333C0D">
        <w:trPr>
          <w:trHeight w:val="240"/>
        </w:trPr>
        <w:tc>
          <w:tcPr>
            <w:tcW w:w="950" w:type="dxa"/>
            <w:tcBorders>
              <w:top w:val="nil"/>
              <w:left w:val="single" w:sz="8" w:space="0" w:color="auto"/>
              <w:bottom w:val="single" w:sz="4"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C***</w:t>
            </w:r>
          </w:p>
        </w:tc>
        <w:tc>
          <w:tcPr>
            <w:tcW w:w="5487" w:type="dxa"/>
            <w:tcBorders>
              <w:top w:val="nil"/>
              <w:left w:val="nil"/>
              <w:bottom w:val="single" w:sz="4"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Čistý peňažný tok z finančných činností (súčet C.1.  až C.9.)</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single" w:sz="8" w:space="0" w:color="auto"/>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D.</w:t>
            </w:r>
          </w:p>
        </w:tc>
        <w:tc>
          <w:tcPr>
            <w:tcW w:w="5487" w:type="dxa"/>
            <w:tcBorders>
              <w:top w:val="nil"/>
              <w:left w:val="nil"/>
              <w:bottom w:val="single" w:sz="4"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Čisté zvýšenie, resp. zníženie peňažných prostriedkov (+,-)  (súčet A*** + B*** + C*** )</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717</w:t>
            </w:r>
          </w:p>
        </w:tc>
        <w:tc>
          <w:tcPr>
            <w:tcW w:w="815" w:type="dxa"/>
            <w:tcBorders>
              <w:top w:val="nil"/>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3 006</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E.</w:t>
            </w:r>
          </w:p>
        </w:tc>
        <w:tc>
          <w:tcPr>
            <w:tcW w:w="5487" w:type="dxa"/>
            <w:tcBorders>
              <w:top w:val="nil"/>
              <w:left w:val="nil"/>
              <w:bottom w:val="single" w:sz="4"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Stav peňažných prostriedkov a peňaž. ekvivalentov na začiatku účt. obdobia</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14 019</w:t>
            </w:r>
          </w:p>
        </w:tc>
        <w:tc>
          <w:tcPr>
            <w:tcW w:w="815" w:type="dxa"/>
            <w:tcBorders>
              <w:top w:val="nil"/>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11 013</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F.</w:t>
            </w:r>
          </w:p>
        </w:tc>
        <w:tc>
          <w:tcPr>
            <w:tcW w:w="5487" w:type="dxa"/>
            <w:tcBorders>
              <w:top w:val="nil"/>
              <w:left w:val="nil"/>
              <w:bottom w:val="single" w:sz="4"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Stav peňažných prostriedkov a peňaž. ekvivalentov na konci účt. obd. pred zohľad. kurz.rozd. ku dňu úč.závierky</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14 736</w:t>
            </w:r>
          </w:p>
        </w:tc>
        <w:tc>
          <w:tcPr>
            <w:tcW w:w="815" w:type="dxa"/>
            <w:tcBorders>
              <w:top w:val="nil"/>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14 019</w:t>
            </w:r>
          </w:p>
        </w:tc>
      </w:tr>
      <w:tr w:rsidR="00333C0D" w:rsidRPr="00333C0D" w:rsidTr="00333C0D">
        <w:trPr>
          <w:trHeight w:val="480"/>
        </w:trPr>
        <w:tc>
          <w:tcPr>
            <w:tcW w:w="950" w:type="dxa"/>
            <w:tcBorders>
              <w:top w:val="nil"/>
              <w:left w:val="single" w:sz="8" w:space="0" w:color="auto"/>
              <w:bottom w:val="single" w:sz="4"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G.</w:t>
            </w:r>
          </w:p>
        </w:tc>
        <w:tc>
          <w:tcPr>
            <w:tcW w:w="5487" w:type="dxa"/>
            <w:tcBorders>
              <w:top w:val="nil"/>
              <w:left w:val="nil"/>
              <w:bottom w:val="single" w:sz="4"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Kurzové rozdiely vyčíslené k peňaž. prostriedkom a peňaž. ekvivalentom ku dňu zostavenia úč.závierky</w:t>
            </w:r>
          </w:p>
        </w:tc>
        <w:tc>
          <w:tcPr>
            <w:tcW w:w="289" w:type="dxa"/>
            <w:tcBorders>
              <w:top w:val="nil"/>
              <w:left w:val="nil"/>
              <w:bottom w:val="single" w:sz="4"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4"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c>
          <w:tcPr>
            <w:tcW w:w="815" w:type="dxa"/>
            <w:tcBorders>
              <w:top w:val="nil"/>
              <w:left w:val="nil"/>
              <w:bottom w:val="single" w:sz="4"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0</w:t>
            </w:r>
          </w:p>
        </w:tc>
      </w:tr>
      <w:tr w:rsidR="00333C0D" w:rsidRPr="00333C0D" w:rsidTr="00333C0D">
        <w:trPr>
          <w:trHeight w:val="735"/>
        </w:trPr>
        <w:tc>
          <w:tcPr>
            <w:tcW w:w="950" w:type="dxa"/>
            <w:tcBorders>
              <w:top w:val="nil"/>
              <w:left w:val="single" w:sz="8" w:space="0" w:color="auto"/>
              <w:bottom w:val="single" w:sz="8" w:space="0" w:color="auto"/>
              <w:right w:val="single" w:sz="4" w:space="0" w:color="auto"/>
            </w:tcBorders>
            <w:shd w:val="clear" w:color="000000" w:fill="CCFFCC"/>
            <w:noWrap/>
            <w:hideMark/>
          </w:tcPr>
          <w:p w:rsidR="00333C0D" w:rsidRPr="00333C0D" w:rsidRDefault="00333C0D" w:rsidP="00333C0D">
            <w:pPr>
              <w:jc w:val="center"/>
              <w:rPr>
                <w:rFonts w:ascii="Arial CE" w:hAnsi="Arial CE" w:cs="Arial CE"/>
                <w:b/>
                <w:bCs/>
                <w:sz w:val="18"/>
                <w:szCs w:val="18"/>
                <w:lang w:eastAsia="sk-SK"/>
              </w:rPr>
            </w:pPr>
            <w:r w:rsidRPr="00333C0D">
              <w:rPr>
                <w:rFonts w:ascii="Arial CE" w:hAnsi="Arial CE" w:cs="Arial CE"/>
                <w:b/>
                <w:bCs/>
                <w:sz w:val="18"/>
                <w:szCs w:val="18"/>
                <w:lang w:eastAsia="sk-SK"/>
              </w:rPr>
              <w:t>H.</w:t>
            </w:r>
          </w:p>
        </w:tc>
        <w:tc>
          <w:tcPr>
            <w:tcW w:w="5487" w:type="dxa"/>
            <w:tcBorders>
              <w:top w:val="nil"/>
              <w:left w:val="nil"/>
              <w:bottom w:val="single" w:sz="8" w:space="0" w:color="auto"/>
              <w:right w:val="single" w:sz="4" w:space="0" w:color="auto"/>
            </w:tcBorders>
            <w:shd w:val="clear" w:color="000000" w:fill="CCFFCC"/>
            <w:hideMark/>
          </w:tcPr>
          <w:p w:rsidR="00333C0D" w:rsidRPr="00333C0D" w:rsidRDefault="00333C0D" w:rsidP="00333C0D">
            <w:pPr>
              <w:rPr>
                <w:rFonts w:ascii="Arial CE" w:hAnsi="Arial CE" w:cs="Arial CE"/>
                <w:b/>
                <w:bCs/>
                <w:sz w:val="18"/>
                <w:szCs w:val="18"/>
                <w:lang w:eastAsia="sk-SK"/>
              </w:rPr>
            </w:pPr>
            <w:r w:rsidRPr="00333C0D">
              <w:rPr>
                <w:rFonts w:ascii="Arial CE" w:hAnsi="Arial CE" w:cs="Arial CE"/>
                <w:b/>
                <w:bCs/>
                <w:sz w:val="18"/>
                <w:szCs w:val="18"/>
                <w:lang w:eastAsia="sk-SK"/>
              </w:rPr>
              <w:t xml:space="preserve">Zostatok peňažných prostriedkov a peňaž. ekvivalent. na konci účt. obd., upravený o kurz.rozdiely vyčíslené ku dňu, ku ktorému sa zost. úč. závierka </w:t>
            </w:r>
          </w:p>
        </w:tc>
        <w:tc>
          <w:tcPr>
            <w:tcW w:w="289" w:type="dxa"/>
            <w:tcBorders>
              <w:top w:val="nil"/>
              <w:left w:val="nil"/>
              <w:bottom w:val="single" w:sz="8" w:space="0" w:color="auto"/>
              <w:right w:val="single" w:sz="4" w:space="0" w:color="auto"/>
            </w:tcBorders>
            <w:shd w:val="clear" w:color="000000" w:fill="C0C0C0"/>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 </w:t>
            </w:r>
          </w:p>
        </w:tc>
        <w:tc>
          <w:tcPr>
            <w:tcW w:w="1531" w:type="dxa"/>
            <w:tcBorders>
              <w:top w:val="nil"/>
              <w:left w:val="nil"/>
              <w:bottom w:val="single" w:sz="8" w:space="0" w:color="auto"/>
              <w:right w:val="single" w:sz="4" w:space="0" w:color="auto"/>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14 736</w:t>
            </w:r>
          </w:p>
        </w:tc>
        <w:tc>
          <w:tcPr>
            <w:tcW w:w="815" w:type="dxa"/>
            <w:tcBorders>
              <w:top w:val="nil"/>
              <w:left w:val="nil"/>
              <w:bottom w:val="single" w:sz="8" w:space="0" w:color="auto"/>
              <w:right w:val="single" w:sz="8" w:space="0" w:color="auto"/>
            </w:tcBorders>
            <w:shd w:val="clear" w:color="000000" w:fill="CCFFCC"/>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14 019</w:t>
            </w: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r w:rsidRPr="00333C0D">
              <w:rPr>
                <w:rFonts w:ascii="Arial CE" w:hAnsi="Arial CE" w:cs="Arial CE"/>
                <w:sz w:val="18"/>
                <w:szCs w:val="18"/>
                <w:lang w:eastAsia="sk-SK"/>
              </w:rPr>
              <w:t>V</w:t>
            </w:r>
          </w:p>
        </w:tc>
        <w:tc>
          <w:tcPr>
            <w:tcW w:w="5487" w:type="dxa"/>
            <w:tcBorders>
              <w:top w:val="nil"/>
              <w:left w:val="nil"/>
              <w:bottom w:val="nil"/>
              <w:right w:val="nil"/>
            </w:tcBorders>
            <w:shd w:val="clear" w:color="auto" w:fill="auto"/>
            <w:noWrap/>
            <w:vAlign w:val="bottom"/>
            <w:hideMark/>
          </w:tcPr>
          <w:p w:rsidR="00333C0D" w:rsidRPr="00333C0D" w:rsidRDefault="00333C0D" w:rsidP="00BF4CD7">
            <w:pPr>
              <w:rPr>
                <w:rFonts w:ascii="Arial CE" w:hAnsi="Arial CE" w:cs="Arial CE"/>
                <w:sz w:val="18"/>
                <w:szCs w:val="18"/>
                <w:lang w:eastAsia="sk-SK"/>
              </w:rPr>
            </w:pPr>
            <w:r w:rsidRPr="00333C0D">
              <w:rPr>
                <w:rFonts w:ascii="Arial CE" w:hAnsi="Arial CE" w:cs="Arial CE"/>
                <w:sz w:val="18"/>
                <w:szCs w:val="18"/>
                <w:lang w:eastAsia="sk-SK"/>
              </w:rPr>
              <w:t xml:space="preserve">           Košiciach dňa </w:t>
            </w:r>
            <w:r w:rsidR="00BF4CD7">
              <w:rPr>
                <w:rFonts w:ascii="Arial CE" w:hAnsi="Arial CE" w:cs="Arial CE"/>
                <w:sz w:val="18"/>
                <w:szCs w:val="18"/>
                <w:lang w:eastAsia="sk-SK"/>
              </w:rPr>
              <w:t>22</w:t>
            </w:r>
            <w:r w:rsidRPr="00333C0D">
              <w:rPr>
                <w:rFonts w:ascii="Arial CE" w:hAnsi="Arial CE" w:cs="Arial CE"/>
                <w:sz w:val="18"/>
                <w:szCs w:val="18"/>
                <w:lang w:eastAsia="sk-SK"/>
              </w:rPr>
              <w:t>.3.201</w:t>
            </w:r>
            <w:r w:rsidR="00BF4CD7">
              <w:rPr>
                <w:rFonts w:ascii="Arial CE" w:hAnsi="Arial CE" w:cs="Arial CE"/>
                <w:sz w:val="18"/>
                <w:szCs w:val="18"/>
                <w:lang w:eastAsia="sk-SK"/>
              </w:rPr>
              <w:t>6</w:t>
            </w:r>
            <w:r w:rsidRPr="00333C0D">
              <w:rPr>
                <w:rFonts w:ascii="Arial CE" w:hAnsi="Arial CE" w:cs="Arial CE"/>
                <w:sz w:val="18"/>
                <w:szCs w:val="18"/>
                <w:lang w:eastAsia="sk-SK"/>
              </w:rPr>
              <w:t xml:space="preserve">                  </w:t>
            </w: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1531"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c>
          <w:tcPr>
            <w:tcW w:w="815"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p>
        </w:tc>
      </w:tr>
      <w:tr w:rsidR="00333C0D" w:rsidRPr="00333C0D" w:rsidTr="00333C0D">
        <w:trPr>
          <w:trHeight w:val="240"/>
        </w:trPr>
        <w:tc>
          <w:tcPr>
            <w:tcW w:w="950"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5487" w:type="dxa"/>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 xml:space="preserve">                                                                       Podpisštatut.orgánu</w:t>
            </w:r>
          </w:p>
        </w:tc>
        <w:tc>
          <w:tcPr>
            <w:tcW w:w="289" w:type="dxa"/>
            <w:tcBorders>
              <w:top w:val="nil"/>
              <w:left w:val="nil"/>
              <w:bottom w:val="nil"/>
              <w:right w:val="nil"/>
            </w:tcBorders>
            <w:shd w:val="clear" w:color="auto" w:fill="auto"/>
            <w:noWrap/>
            <w:vAlign w:val="bottom"/>
            <w:hideMark/>
          </w:tcPr>
          <w:p w:rsidR="00333C0D" w:rsidRPr="00333C0D" w:rsidRDefault="00333C0D" w:rsidP="00333C0D">
            <w:pPr>
              <w:jc w:val="center"/>
              <w:rPr>
                <w:rFonts w:ascii="Arial CE" w:hAnsi="Arial CE" w:cs="Arial CE"/>
                <w:sz w:val="18"/>
                <w:szCs w:val="18"/>
                <w:lang w:eastAsia="sk-SK"/>
              </w:rPr>
            </w:pPr>
          </w:p>
        </w:tc>
        <w:tc>
          <w:tcPr>
            <w:tcW w:w="2346" w:type="dxa"/>
            <w:gridSpan w:val="2"/>
            <w:tcBorders>
              <w:top w:val="nil"/>
              <w:left w:val="nil"/>
              <w:bottom w:val="nil"/>
              <w:right w:val="nil"/>
            </w:tcBorders>
            <w:shd w:val="clear" w:color="auto" w:fill="auto"/>
            <w:noWrap/>
            <w:vAlign w:val="bottom"/>
            <w:hideMark/>
          </w:tcPr>
          <w:p w:rsidR="00333C0D" w:rsidRPr="00333C0D" w:rsidRDefault="00333C0D" w:rsidP="00333C0D">
            <w:pPr>
              <w:rPr>
                <w:rFonts w:ascii="Arial CE" w:hAnsi="Arial CE" w:cs="Arial CE"/>
                <w:sz w:val="18"/>
                <w:szCs w:val="18"/>
                <w:lang w:eastAsia="sk-SK"/>
              </w:rPr>
            </w:pPr>
            <w:r w:rsidRPr="00333C0D">
              <w:rPr>
                <w:rFonts w:ascii="Arial CE" w:hAnsi="Arial CE" w:cs="Arial CE"/>
                <w:sz w:val="18"/>
                <w:szCs w:val="18"/>
                <w:lang w:eastAsia="sk-SK"/>
              </w:rPr>
              <w:t>……………………..</w:t>
            </w:r>
          </w:p>
        </w:tc>
      </w:tr>
    </w:tbl>
    <w:p w:rsidR="00C41948" w:rsidRDefault="00C41948" w:rsidP="00333C0D">
      <w:pPr>
        <w:ind w:left="360"/>
      </w:pPr>
      <w:bookmarkStart w:id="45" w:name="_GoBack"/>
      <w:bookmarkEnd w:id="45"/>
    </w:p>
    <w:p w:rsidR="006333E1" w:rsidRDefault="006333E1">
      <w:pPr>
        <w:pStyle w:val="Zkladntext"/>
        <w:ind w:left="0"/>
      </w:pPr>
    </w:p>
    <w:p w:rsidR="003C487E" w:rsidRDefault="003C487E">
      <w:pPr>
        <w:pStyle w:val="Zkladntext"/>
        <w:rPr>
          <w:b/>
        </w:rPr>
      </w:pPr>
      <w:r>
        <w:rPr>
          <w:b/>
        </w:rPr>
        <w:t>Peňažné prostriedky</w:t>
      </w:r>
    </w:p>
    <w:p w:rsidR="003C487E" w:rsidRDefault="003C487E">
      <w:pPr>
        <w:pStyle w:val="Zkladntext"/>
        <w:rPr>
          <w:b/>
        </w:rPr>
      </w:pPr>
    </w:p>
    <w:p w:rsidR="003C487E" w:rsidRDefault="003C487E">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C487E" w:rsidRDefault="003C487E">
      <w:pPr>
        <w:pStyle w:val="Zkladntext"/>
      </w:pPr>
    </w:p>
    <w:p w:rsidR="003C487E" w:rsidRDefault="003C487E">
      <w:pPr>
        <w:pStyle w:val="Zkladntext"/>
        <w:rPr>
          <w:b/>
        </w:rPr>
      </w:pPr>
      <w:r>
        <w:rPr>
          <w:b/>
        </w:rPr>
        <w:t>Peňažné ekvivalenty</w:t>
      </w:r>
    </w:p>
    <w:p w:rsidR="003C487E" w:rsidRDefault="003C487E">
      <w:pPr>
        <w:pStyle w:val="Zkladntext"/>
      </w:pPr>
    </w:p>
    <w:p w:rsidR="003C487E" w:rsidRDefault="003C487E">
      <w:pPr>
        <w:pStyle w:val="Zkladntext"/>
      </w:pPr>
      <w:r>
        <w:t>Peňažnými ekvivalentmi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C487E" w:rsidRDefault="003C487E">
      <w:pPr>
        <w:pStyle w:val="Zkladntext"/>
        <w:ind w:left="0"/>
      </w:pPr>
    </w:p>
    <w:p w:rsidR="003C487E" w:rsidRDefault="003C487E">
      <w:pPr>
        <w:pStyle w:val="Zkladntext"/>
        <w:tabs>
          <w:tab w:val="center" w:pos="1985"/>
          <w:tab w:val="center" w:pos="7655"/>
        </w:tabs>
        <w:ind w:left="0"/>
      </w:pPr>
    </w:p>
    <w:sectPr w:rsidR="003C487E" w:rsidSect="00D20CF6">
      <w:headerReference w:type="default" r:id="rId39"/>
      <w:footerReference w:type="default" r:id="rId40"/>
      <w:pgSz w:w="11907" w:h="16840" w:code="9"/>
      <w:pgMar w:top="1702" w:right="1021" w:bottom="357" w:left="1673" w:header="675" w:footer="408" w:gutter="0"/>
      <w:pgNumType w:start="13"/>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71D0" w:rsidRDefault="004E71D0">
      <w:r>
        <w:separator/>
      </w:r>
    </w:p>
  </w:endnote>
  <w:endnote w:type="continuationSeparator" w:id="1">
    <w:p w:rsidR="004E71D0" w:rsidRDefault="004E71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362C" w:rsidRDefault="00EA362C">
    <w:pPr>
      <w:autoSpaceDE w:val="0"/>
      <w:autoSpaceDN w:val="0"/>
      <w:adjustRightInd w:val="0"/>
      <w:rPr>
        <w:lang w:val="en-US"/>
      </w:rPr>
    </w:pPr>
  </w:p>
  <w:p w:rsidR="00EA362C" w:rsidRDefault="00EA362C">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sidR="00021E09">
      <w:rPr>
        <w:rStyle w:val="slostrany"/>
        <w:b/>
      </w:rPr>
      <w:fldChar w:fldCharType="begin"/>
    </w:r>
    <w:r>
      <w:rPr>
        <w:rStyle w:val="slostrany"/>
        <w:b/>
      </w:rPr>
      <w:instrText xml:space="preserve"> PAGE </w:instrText>
    </w:r>
    <w:r w:rsidR="00021E09">
      <w:rPr>
        <w:rStyle w:val="slostrany"/>
        <w:b/>
      </w:rPr>
      <w:fldChar w:fldCharType="separate"/>
    </w:r>
    <w:r w:rsidR="00BF4CD7">
      <w:rPr>
        <w:rStyle w:val="slostrany"/>
        <w:b/>
        <w:noProof/>
      </w:rPr>
      <w:t>26</w:t>
    </w:r>
    <w:r w:rsidR="00021E09">
      <w:rPr>
        <w:rStyle w:val="slostrany"/>
        <w:b/>
      </w:rPr>
      <w:fldChar w:fldCharType="end"/>
    </w:r>
  </w:p>
  <w:p w:rsidR="00EA362C" w:rsidRDefault="00EA362C">
    <w:pPr>
      <w:autoSpaceDE w:val="0"/>
      <w:autoSpaceDN w:val="0"/>
      <w:adjustRightInd w:val="0"/>
    </w:pPr>
  </w:p>
  <w:p w:rsidR="00EA362C" w:rsidRDefault="00EA362C">
    <w:pPr>
      <w:pStyle w:val="Pta"/>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71D0" w:rsidRDefault="004E71D0">
      <w:r>
        <w:separator/>
      </w:r>
    </w:p>
  </w:footnote>
  <w:footnote w:type="continuationSeparator" w:id="1">
    <w:p w:rsidR="004E71D0" w:rsidRDefault="004E71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362C" w:rsidRDefault="00EA362C">
    <w:pPr>
      <w:pStyle w:val="Hlavika"/>
      <w:rPr>
        <w:sz w:val="18"/>
      </w:rPr>
    </w:pPr>
    <w:r>
      <w:rPr>
        <w:sz w:val="18"/>
      </w:rPr>
      <w:t>TOMMI Košice, spol. s r.o.</w:t>
    </w:r>
  </w:p>
  <w:p w:rsidR="00EA362C" w:rsidRDefault="00EA362C">
    <w:pPr>
      <w:pStyle w:val="Hlavika"/>
      <w:pBdr>
        <w:bottom w:val="single" w:sz="4" w:space="1" w:color="auto"/>
      </w:pBdr>
    </w:pPr>
    <w:r>
      <w:rPr>
        <w:sz w:val="18"/>
      </w:rPr>
      <w:t>Poznámky k účtovnej závierke k 31. decembru 2015</w:t>
    </w:r>
  </w:p>
  <w:p w:rsidR="00EA362C" w:rsidRDefault="00EA362C">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EA362C" w:rsidTr="00B67CC7">
      <w:trPr>
        <w:trHeight w:val="299"/>
      </w:trPr>
      <w:tc>
        <w:tcPr>
          <w:tcW w:w="2127" w:type="dxa"/>
          <w:vAlign w:val="center"/>
        </w:tcPr>
        <w:p w:rsidR="00EA362C" w:rsidRPr="00DD1CC9" w:rsidRDefault="00EA362C" w:rsidP="00B67CC7">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EA362C" w:rsidRPr="00DD1CC9" w:rsidRDefault="00EA362C"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EA362C" w:rsidRDefault="00EA362C" w:rsidP="00B67CC7">
          <w:pPr>
            <w:pStyle w:val="Hlavika"/>
            <w:tabs>
              <w:tab w:val="center" w:pos="4253"/>
              <w:tab w:val="right" w:pos="9214"/>
            </w:tabs>
            <w:jc w:val="center"/>
            <w:rPr>
              <w:sz w:val="22"/>
            </w:rPr>
          </w:pPr>
          <w:r>
            <w:rPr>
              <w:sz w:val="22"/>
            </w:rPr>
            <w:t>2</w:t>
          </w:r>
        </w:p>
      </w:tc>
      <w:tc>
        <w:tcPr>
          <w:tcW w:w="283" w:type="dxa"/>
          <w:vAlign w:val="center"/>
        </w:tcPr>
        <w:p w:rsidR="00EA362C" w:rsidRDefault="00EA362C" w:rsidP="00132FA0">
          <w:pPr>
            <w:pStyle w:val="Hlavika"/>
            <w:tabs>
              <w:tab w:val="center" w:pos="4253"/>
              <w:tab w:val="right" w:pos="9214"/>
            </w:tabs>
            <w:jc w:val="center"/>
            <w:rPr>
              <w:sz w:val="22"/>
            </w:rPr>
          </w:pPr>
          <w:r>
            <w:rPr>
              <w:sz w:val="22"/>
            </w:rPr>
            <w:t>0</w:t>
          </w:r>
        </w:p>
      </w:tc>
      <w:tc>
        <w:tcPr>
          <w:tcW w:w="284" w:type="dxa"/>
          <w:vAlign w:val="center"/>
        </w:tcPr>
        <w:p w:rsidR="00EA362C" w:rsidRDefault="00EA362C" w:rsidP="00132FA0">
          <w:pPr>
            <w:pStyle w:val="Hlavika"/>
            <w:tabs>
              <w:tab w:val="center" w:pos="4253"/>
              <w:tab w:val="right" w:pos="9214"/>
            </w:tabs>
            <w:jc w:val="center"/>
            <w:rPr>
              <w:sz w:val="22"/>
            </w:rPr>
          </w:pPr>
          <w:r>
            <w:rPr>
              <w:sz w:val="22"/>
            </w:rPr>
            <w:t>2</w:t>
          </w:r>
        </w:p>
      </w:tc>
      <w:tc>
        <w:tcPr>
          <w:tcW w:w="283" w:type="dxa"/>
          <w:vAlign w:val="center"/>
        </w:tcPr>
        <w:p w:rsidR="00EA362C" w:rsidRDefault="00EA362C" w:rsidP="00B67CC7">
          <w:pPr>
            <w:pStyle w:val="Hlavika"/>
            <w:tabs>
              <w:tab w:val="center" w:pos="4253"/>
              <w:tab w:val="right" w:pos="9214"/>
            </w:tabs>
            <w:jc w:val="center"/>
            <w:rPr>
              <w:sz w:val="22"/>
            </w:rPr>
          </w:pPr>
          <w:r>
            <w:rPr>
              <w:sz w:val="22"/>
            </w:rPr>
            <w:t>0</w:t>
          </w:r>
        </w:p>
      </w:tc>
      <w:tc>
        <w:tcPr>
          <w:tcW w:w="284" w:type="dxa"/>
          <w:vAlign w:val="center"/>
        </w:tcPr>
        <w:p w:rsidR="00EA362C" w:rsidRDefault="00EA362C" w:rsidP="00B67CC7">
          <w:pPr>
            <w:pStyle w:val="Hlavika"/>
            <w:tabs>
              <w:tab w:val="center" w:pos="4253"/>
              <w:tab w:val="right" w:pos="9214"/>
            </w:tabs>
            <w:jc w:val="center"/>
            <w:rPr>
              <w:sz w:val="22"/>
            </w:rPr>
          </w:pPr>
          <w:r>
            <w:rPr>
              <w:sz w:val="22"/>
            </w:rPr>
            <w:t>0</w:t>
          </w:r>
        </w:p>
      </w:tc>
      <w:tc>
        <w:tcPr>
          <w:tcW w:w="283" w:type="dxa"/>
          <w:vAlign w:val="center"/>
        </w:tcPr>
        <w:p w:rsidR="00EA362C" w:rsidRDefault="00EA362C" w:rsidP="00B67CC7">
          <w:pPr>
            <w:pStyle w:val="Hlavika"/>
            <w:tabs>
              <w:tab w:val="center" w:pos="4253"/>
              <w:tab w:val="right" w:pos="9214"/>
            </w:tabs>
            <w:jc w:val="center"/>
            <w:rPr>
              <w:sz w:val="22"/>
            </w:rPr>
          </w:pPr>
          <w:r>
            <w:rPr>
              <w:sz w:val="22"/>
            </w:rPr>
            <w:t>5</w:t>
          </w:r>
        </w:p>
      </w:tc>
      <w:tc>
        <w:tcPr>
          <w:tcW w:w="284" w:type="dxa"/>
          <w:vAlign w:val="center"/>
        </w:tcPr>
        <w:p w:rsidR="00EA362C" w:rsidRDefault="00EA362C" w:rsidP="00B67CC7">
          <w:pPr>
            <w:pStyle w:val="Hlavika"/>
            <w:tabs>
              <w:tab w:val="center" w:pos="4253"/>
              <w:tab w:val="right" w:pos="9214"/>
            </w:tabs>
            <w:jc w:val="center"/>
            <w:rPr>
              <w:sz w:val="22"/>
            </w:rPr>
          </w:pPr>
          <w:r>
            <w:rPr>
              <w:sz w:val="22"/>
            </w:rPr>
            <w:t>8</w:t>
          </w:r>
        </w:p>
      </w:tc>
      <w:tc>
        <w:tcPr>
          <w:tcW w:w="283" w:type="dxa"/>
          <w:vAlign w:val="center"/>
        </w:tcPr>
        <w:p w:rsidR="00EA362C" w:rsidRDefault="00EA362C" w:rsidP="00132FA0">
          <w:pPr>
            <w:pStyle w:val="Hlavika"/>
            <w:tabs>
              <w:tab w:val="center" w:pos="4253"/>
              <w:tab w:val="right" w:pos="9214"/>
            </w:tabs>
            <w:jc w:val="center"/>
            <w:rPr>
              <w:sz w:val="22"/>
            </w:rPr>
          </w:pPr>
          <w:r>
            <w:rPr>
              <w:sz w:val="22"/>
            </w:rPr>
            <w:t>4</w:t>
          </w:r>
        </w:p>
      </w:tc>
      <w:tc>
        <w:tcPr>
          <w:tcW w:w="284" w:type="dxa"/>
          <w:vAlign w:val="center"/>
        </w:tcPr>
        <w:p w:rsidR="00EA362C" w:rsidRDefault="00EA362C" w:rsidP="00B67CC7">
          <w:pPr>
            <w:pStyle w:val="Hlavika"/>
            <w:tabs>
              <w:tab w:val="center" w:pos="4253"/>
              <w:tab w:val="right" w:pos="9214"/>
            </w:tabs>
            <w:jc w:val="center"/>
            <w:rPr>
              <w:sz w:val="22"/>
            </w:rPr>
          </w:pPr>
          <w:r>
            <w:rPr>
              <w:sz w:val="22"/>
            </w:rPr>
            <w:t>9</w:t>
          </w:r>
        </w:p>
      </w:tc>
      <w:tc>
        <w:tcPr>
          <w:tcW w:w="283" w:type="dxa"/>
          <w:vAlign w:val="center"/>
        </w:tcPr>
        <w:p w:rsidR="00EA362C" w:rsidRDefault="00EA362C" w:rsidP="00B67CC7">
          <w:pPr>
            <w:pStyle w:val="Hlavika"/>
            <w:tabs>
              <w:tab w:val="center" w:pos="4253"/>
              <w:tab w:val="right" w:pos="9214"/>
            </w:tabs>
            <w:jc w:val="center"/>
            <w:rPr>
              <w:sz w:val="22"/>
            </w:rPr>
          </w:pPr>
          <w:r>
            <w:rPr>
              <w:sz w:val="22"/>
            </w:rPr>
            <w:t>1</w:t>
          </w:r>
        </w:p>
      </w:tc>
    </w:tr>
  </w:tbl>
  <w:p w:rsidR="00EA362C" w:rsidRDefault="00EA362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attachedTemplate r:id="rId1"/>
  <w:stylePaneFormatFilter w:val="3F01"/>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3554"/>
  </w:hdrShapeDefaults>
  <w:footnotePr>
    <w:footnote w:id="0"/>
    <w:footnote w:id="1"/>
  </w:footnotePr>
  <w:endnotePr>
    <w:endnote w:id="0"/>
    <w:endnote w:id="1"/>
  </w:endnotePr>
  <w:compat/>
  <w:rsids>
    <w:rsidRoot w:val="00F875E6"/>
    <w:rsid w:val="000027BB"/>
    <w:rsid w:val="00006DB9"/>
    <w:rsid w:val="00011506"/>
    <w:rsid w:val="000211C6"/>
    <w:rsid w:val="00021E09"/>
    <w:rsid w:val="00034FDF"/>
    <w:rsid w:val="000B67C9"/>
    <w:rsid w:val="000E28A8"/>
    <w:rsid w:val="001079E9"/>
    <w:rsid w:val="0011016F"/>
    <w:rsid w:val="00131D7D"/>
    <w:rsid w:val="00132FA0"/>
    <w:rsid w:val="00136D66"/>
    <w:rsid w:val="0014267A"/>
    <w:rsid w:val="001C3D0A"/>
    <w:rsid w:val="00222532"/>
    <w:rsid w:val="002762C8"/>
    <w:rsid w:val="002F58F7"/>
    <w:rsid w:val="00310182"/>
    <w:rsid w:val="00333C0D"/>
    <w:rsid w:val="00340C9B"/>
    <w:rsid w:val="00341B8D"/>
    <w:rsid w:val="00362C57"/>
    <w:rsid w:val="0039165A"/>
    <w:rsid w:val="00395900"/>
    <w:rsid w:val="003B2AD0"/>
    <w:rsid w:val="003C487E"/>
    <w:rsid w:val="003E4457"/>
    <w:rsid w:val="003F0008"/>
    <w:rsid w:val="00405356"/>
    <w:rsid w:val="00411D01"/>
    <w:rsid w:val="00432901"/>
    <w:rsid w:val="0044121F"/>
    <w:rsid w:val="00444A01"/>
    <w:rsid w:val="0049562B"/>
    <w:rsid w:val="004E71D0"/>
    <w:rsid w:val="00564A4C"/>
    <w:rsid w:val="005A054F"/>
    <w:rsid w:val="005A2D44"/>
    <w:rsid w:val="005B581A"/>
    <w:rsid w:val="005D6658"/>
    <w:rsid w:val="006049EA"/>
    <w:rsid w:val="006333E1"/>
    <w:rsid w:val="0063682D"/>
    <w:rsid w:val="00693C47"/>
    <w:rsid w:val="006C4146"/>
    <w:rsid w:val="006D4702"/>
    <w:rsid w:val="006E07D8"/>
    <w:rsid w:val="006F2733"/>
    <w:rsid w:val="00701533"/>
    <w:rsid w:val="0070719B"/>
    <w:rsid w:val="00741B76"/>
    <w:rsid w:val="00755F84"/>
    <w:rsid w:val="00783ADE"/>
    <w:rsid w:val="0079227F"/>
    <w:rsid w:val="007C2CD5"/>
    <w:rsid w:val="008373F0"/>
    <w:rsid w:val="008706E5"/>
    <w:rsid w:val="008B7665"/>
    <w:rsid w:val="0094437D"/>
    <w:rsid w:val="00946EDE"/>
    <w:rsid w:val="009B49A0"/>
    <w:rsid w:val="009D3968"/>
    <w:rsid w:val="00A00935"/>
    <w:rsid w:val="00A170E9"/>
    <w:rsid w:val="00A21353"/>
    <w:rsid w:val="00A2291A"/>
    <w:rsid w:val="00A4754E"/>
    <w:rsid w:val="00A66691"/>
    <w:rsid w:val="00A67BF8"/>
    <w:rsid w:val="00A71117"/>
    <w:rsid w:val="00AB032D"/>
    <w:rsid w:val="00B058F5"/>
    <w:rsid w:val="00B505FA"/>
    <w:rsid w:val="00B67CC7"/>
    <w:rsid w:val="00B73626"/>
    <w:rsid w:val="00BF291A"/>
    <w:rsid w:val="00BF4CD7"/>
    <w:rsid w:val="00C41948"/>
    <w:rsid w:val="00C5363E"/>
    <w:rsid w:val="00C61072"/>
    <w:rsid w:val="00C61596"/>
    <w:rsid w:val="00C62EC7"/>
    <w:rsid w:val="00CB381D"/>
    <w:rsid w:val="00CC3A29"/>
    <w:rsid w:val="00CD3553"/>
    <w:rsid w:val="00CE7DE8"/>
    <w:rsid w:val="00D13F84"/>
    <w:rsid w:val="00D16769"/>
    <w:rsid w:val="00D20CF6"/>
    <w:rsid w:val="00D43170"/>
    <w:rsid w:val="00D60367"/>
    <w:rsid w:val="00D64343"/>
    <w:rsid w:val="00DD6A92"/>
    <w:rsid w:val="00E0195B"/>
    <w:rsid w:val="00E102E1"/>
    <w:rsid w:val="00E1496A"/>
    <w:rsid w:val="00E7452B"/>
    <w:rsid w:val="00E87E8A"/>
    <w:rsid w:val="00EA362C"/>
    <w:rsid w:val="00EC2A88"/>
    <w:rsid w:val="00ED3518"/>
    <w:rsid w:val="00EE417A"/>
    <w:rsid w:val="00F5001A"/>
    <w:rsid w:val="00F875E6"/>
    <w:rsid w:val="00F97AB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115271">
      <w:bodyDiv w:val="1"/>
      <w:marLeft w:val="0"/>
      <w:marRight w:val="0"/>
      <w:marTop w:val="0"/>
      <w:marBottom w:val="0"/>
      <w:divBdr>
        <w:top w:val="none" w:sz="0" w:space="0" w:color="auto"/>
        <w:left w:val="none" w:sz="0" w:space="0" w:color="auto"/>
        <w:bottom w:val="none" w:sz="0" w:space="0" w:color="auto"/>
        <w:right w:val="none" w:sz="0" w:space="0" w:color="auto"/>
      </w:divBdr>
    </w:div>
    <w:div w:id="171458538">
      <w:bodyDiv w:val="1"/>
      <w:marLeft w:val="0"/>
      <w:marRight w:val="0"/>
      <w:marTop w:val="0"/>
      <w:marBottom w:val="0"/>
      <w:divBdr>
        <w:top w:val="none" w:sz="0" w:space="0" w:color="auto"/>
        <w:left w:val="none" w:sz="0" w:space="0" w:color="auto"/>
        <w:bottom w:val="none" w:sz="0" w:space="0" w:color="auto"/>
        <w:right w:val="none" w:sz="0" w:space="0" w:color="auto"/>
      </w:divBdr>
    </w:div>
    <w:div w:id="311059125">
      <w:bodyDiv w:val="1"/>
      <w:marLeft w:val="0"/>
      <w:marRight w:val="0"/>
      <w:marTop w:val="0"/>
      <w:marBottom w:val="0"/>
      <w:divBdr>
        <w:top w:val="none" w:sz="0" w:space="0" w:color="auto"/>
        <w:left w:val="none" w:sz="0" w:space="0" w:color="auto"/>
        <w:bottom w:val="none" w:sz="0" w:space="0" w:color="auto"/>
        <w:right w:val="none" w:sz="0" w:space="0" w:color="auto"/>
      </w:divBdr>
    </w:div>
    <w:div w:id="380329404">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786394985">
      <w:bodyDiv w:val="1"/>
      <w:marLeft w:val="0"/>
      <w:marRight w:val="0"/>
      <w:marTop w:val="0"/>
      <w:marBottom w:val="0"/>
      <w:divBdr>
        <w:top w:val="none" w:sz="0" w:space="0" w:color="auto"/>
        <w:left w:val="none" w:sz="0" w:space="0" w:color="auto"/>
        <w:bottom w:val="none" w:sz="0" w:space="0" w:color="auto"/>
        <w:right w:val="none" w:sz="0" w:space="0" w:color="auto"/>
      </w:divBdr>
    </w:div>
    <w:div w:id="826483298">
      <w:bodyDiv w:val="1"/>
      <w:marLeft w:val="0"/>
      <w:marRight w:val="0"/>
      <w:marTop w:val="0"/>
      <w:marBottom w:val="0"/>
      <w:divBdr>
        <w:top w:val="none" w:sz="0" w:space="0" w:color="auto"/>
        <w:left w:val="none" w:sz="0" w:space="0" w:color="auto"/>
        <w:bottom w:val="none" w:sz="0" w:space="0" w:color="auto"/>
        <w:right w:val="none" w:sz="0" w:space="0" w:color="auto"/>
      </w:divBdr>
    </w:div>
    <w:div w:id="869999239">
      <w:bodyDiv w:val="1"/>
      <w:marLeft w:val="0"/>
      <w:marRight w:val="0"/>
      <w:marTop w:val="0"/>
      <w:marBottom w:val="0"/>
      <w:divBdr>
        <w:top w:val="none" w:sz="0" w:space="0" w:color="auto"/>
        <w:left w:val="none" w:sz="0" w:space="0" w:color="auto"/>
        <w:bottom w:val="none" w:sz="0" w:space="0" w:color="auto"/>
        <w:right w:val="none" w:sz="0" w:space="0" w:color="auto"/>
      </w:divBdr>
    </w:div>
    <w:div w:id="891884710">
      <w:bodyDiv w:val="1"/>
      <w:marLeft w:val="0"/>
      <w:marRight w:val="0"/>
      <w:marTop w:val="0"/>
      <w:marBottom w:val="0"/>
      <w:divBdr>
        <w:top w:val="none" w:sz="0" w:space="0" w:color="auto"/>
        <w:left w:val="none" w:sz="0" w:space="0" w:color="auto"/>
        <w:bottom w:val="none" w:sz="0" w:space="0" w:color="auto"/>
        <w:right w:val="none" w:sz="0" w:space="0" w:color="auto"/>
      </w:divBdr>
    </w:div>
    <w:div w:id="904149441">
      <w:bodyDiv w:val="1"/>
      <w:marLeft w:val="0"/>
      <w:marRight w:val="0"/>
      <w:marTop w:val="0"/>
      <w:marBottom w:val="0"/>
      <w:divBdr>
        <w:top w:val="none" w:sz="0" w:space="0" w:color="auto"/>
        <w:left w:val="none" w:sz="0" w:space="0" w:color="auto"/>
        <w:bottom w:val="none" w:sz="0" w:space="0" w:color="auto"/>
        <w:right w:val="none" w:sz="0" w:space="0" w:color="auto"/>
      </w:divBdr>
    </w:div>
    <w:div w:id="926156304">
      <w:bodyDiv w:val="1"/>
      <w:marLeft w:val="0"/>
      <w:marRight w:val="0"/>
      <w:marTop w:val="0"/>
      <w:marBottom w:val="0"/>
      <w:divBdr>
        <w:top w:val="none" w:sz="0" w:space="0" w:color="auto"/>
        <w:left w:val="none" w:sz="0" w:space="0" w:color="auto"/>
        <w:bottom w:val="none" w:sz="0" w:space="0" w:color="auto"/>
        <w:right w:val="none" w:sz="0" w:space="0" w:color="auto"/>
      </w:divBdr>
    </w:div>
    <w:div w:id="1032340316">
      <w:bodyDiv w:val="1"/>
      <w:marLeft w:val="0"/>
      <w:marRight w:val="0"/>
      <w:marTop w:val="0"/>
      <w:marBottom w:val="0"/>
      <w:divBdr>
        <w:top w:val="none" w:sz="0" w:space="0" w:color="auto"/>
        <w:left w:val="none" w:sz="0" w:space="0" w:color="auto"/>
        <w:bottom w:val="none" w:sz="0" w:space="0" w:color="auto"/>
        <w:right w:val="none" w:sz="0" w:space="0" w:color="auto"/>
      </w:divBdr>
    </w:div>
    <w:div w:id="1086462133">
      <w:bodyDiv w:val="1"/>
      <w:marLeft w:val="0"/>
      <w:marRight w:val="0"/>
      <w:marTop w:val="0"/>
      <w:marBottom w:val="0"/>
      <w:divBdr>
        <w:top w:val="none" w:sz="0" w:space="0" w:color="auto"/>
        <w:left w:val="none" w:sz="0" w:space="0" w:color="auto"/>
        <w:bottom w:val="none" w:sz="0" w:space="0" w:color="auto"/>
        <w:right w:val="none" w:sz="0" w:space="0" w:color="auto"/>
      </w:divBdr>
    </w:div>
    <w:div w:id="1112281565">
      <w:bodyDiv w:val="1"/>
      <w:marLeft w:val="0"/>
      <w:marRight w:val="0"/>
      <w:marTop w:val="0"/>
      <w:marBottom w:val="0"/>
      <w:divBdr>
        <w:top w:val="none" w:sz="0" w:space="0" w:color="auto"/>
        <w:left w:val="none" w:sz="0" w:space="0" w:color="auto"/>
        <w:bottom w:val="none" w:sz="0" w:space="0" w:color="auto"/>
        <w:right w:val="none" w:sz="0" w:space="0" w:color="auto"/>
      </w:divBdr>
    </w:div>
    <w:div w:id="1302033048">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 w:id="1460105691">
      <w:bodyDiv w:val="1"/>
      <w:marLeft w:val="0"/>
      <w:marRight w:val="0"/>
      <w:marTop w:val="0"/>
      <w:marBottom w:val="0"/>
      <w:divBdr>
        <w:top w:val="none" w:sz="0" w:space="0" w:color="auto"/>
        <w:left w:val="none" w:sz="0" w:space="0" w:color="auto"/>
        <w:bottom w:val="none" w:sz="0" w:space="0" w:color="auto"/>
        <w:right w:val="none" w:sz="0" w:space="0" w:color="auto"/>
      </w:divBdr>
    </w:div>
    <w:div w:id="1494905593">
      <w:bodyDiv w:val="1"/>
      <w:marLeft w:val="0"/>
      <w:marRight w:val="0"/>
      <w:marTop w:val="0"/>
      <w:marBottom w:val="0"/>
      <w:divBdr>
        <w:top w:val="none" w:sz="0" w:space="0" w:color="auto"/>
        <w:left w:val="none" w:sz="0" w:space="0" w:color="auto"/>
        <w:bottom w:val="none" w:sz="0" w:space="0" w:color="auto"/>
        <w:right w:val="none" w:sz="0" w:space="0" w:color="auto"/>
      </w:divBdr>
    </w:div>
    <w:div w:id="2107459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1.xls"/><Relationship Id="rId13" Type="http://schemas.openxmlformats.org/officeDocument/2006/relationships/image" Target="media/image5.emf"/><Relationship Id="rId18" Type="http://schemas.openxmlformats.org/officeDocument/2006/relationships/oleObject" Target="embeddings/Pracovn__h_rok_programu_Microsoft_Office_Excel_97-20035.xls"/><Relationship Id="rId26" Type="http://schemas.openxmlformats.org/officeDocument/2006/relationships/oleObject" Target="embeddings/Pracovn__h_rok_programu_Microsoft_Office_Excel_97-20039.xls"/><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9.emf"/><Relationship Id="rId34" Type="http://schemas.openxmlformats.org/officeDocument/2006/relationships/oleObject" Target="embeddings/Pracovn__h_rok_programu_Microsoft_Office_Excel_97-200313.xls"/><Relationship Id="rId42"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oleObject" Target="embeddings/Pracovn__h_rok_programu_Microsoft_Office_Excel_97-200315.xls"/><Relationship Id="rId2" Type="http://schemas.openxmlformats.org/officeDocument/2006/relationships/styles" Target="styles.xml"/><Relationship Id="rId16" Type="http://schemas.openxmlformats.org/officeDocument/2006/relationships/oleObject" Target="embeddings/Pracovn__h_rok_programu_Microsoft_Office_Excel_97-20034.xls"/><Relationship Id="rId20" Type="http://schemas.openxmlformats.org/officeDocument/2006/relationships/oleObject" Target="embeddings/Pracovn__h_rok_programu_Microsoft_Office_Excel_97-20036.xls"/><Relationship Id="rId29" Type="http://schemas.openxmlformats.org/officeDocument/2006/relationships/image" Target="media/image13.em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8.xls"/><Relationship Id="rId32" Type="http://schemas.openxmlformats.org/officeDocument/2006/relationships/oleObject" Target="embeddings/Pracovn__h_rok_programu_Microsoft_Office_Excel_97-200312.xls"/><Relationship Id="rId37" Type="http://schemas.openxmlformats.org/officeDocument/2006/relationships/image" Target="media/image17.emf"/><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oleObject" Target="embeddings/Pracovn__h_rok_programu_Microsoft_Office_Excel_97-200310.xls"/><Relationship Id="rId36" Type="http://schemas.openxmlformats.org/officeDocument/2006/relationships/oleObject" Target="embeddings/Pracovn__h_rok_programu_Microsoft_Office_Excel_97-200314.xls"/><Relationship Id="rId10" Type="http://schemas.openxmlformats.org/officeDocument/2006/relationships/oleObject" Target="embeddings/Pracovn__h_rok_programu_Microsoft_Office_Excel_97-20032.xls"/><Relationship Id="rId19" Type="http://schemas.openxmlformats.org/officeDocument/2006/relationships/image" Target="media/image8.emf"/><Relationship Id="rId31" Type="http://schemas.openxmlformats.org/officeDocument/2006/relationships/image" Target="media/image14.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3.xls"/><Relationship Id="rId22" Type="http://schemas.openxmlformats.org/officeDocument/2006/relationships/oleObject" Target="embeddings/Pracovn__h_rok_programu_Microsoft_Office_Excel_97-20037.xls"/><Relationship Id="rId27" Type="http://schemas.openxmlformats.org/officeDocument/2006/relationships/image" Target="media/image12.emf"/><Relationship Id="rId30" Type="http://schemas.openxmlformats.org/officeDocument/2006/relationships/oleObject" Target="embeddings/Pracovn__h_rok_programu_Microsoft_Office_Excel_97-200311.xls"/><Relationship Id="rId35" Type="http://schemas.openxmlformats.org/officeDocument/2006/relationships/image" Target="media/image16.emf"/><Relationship Id="rId43" Type="http://schemas.microsoft.com/office/2007/relationships/stylesWithEffects" Target="stylesWithEffects.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332</TotalTime>
  <Pages>1</Pages>
  <Words>4070</Words>
  <Characters>23199</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27215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Riaditel</cp:lastModifiedBy>
  <cp:revision>33</cp:revision>
  <cp:lastPrinted>2016-03-19T04:32:00Z</cp:lastPrinted>
  <dcterms:created xsi:type="dcterms:W3CDTF">2014-03-19T06:20:00Z</dcterms:created>
  <dcterms:modified xsi:type="dcterms:W3CDTF">2016-03-19T04:32:00Z</dcterms:modified>
</cp:coreProperties>
</file>