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D26121" w:rsidRDefault="00D26121" w:rsidP="00D26121">
      <w:pPr>
        <w:pStyle w:val="odstavec"/>
        <w:rPr>
          <w:rStyle w:val="ra"/>
        </w:rPr>
      </w:pPr>
      <w:r>
        <w:rPr>
          <w:szCs w:val="20"/>
        </w:rPr>
        <w:t xml:space="preserve">KMS </w:t>
      </w:r>
      <w:proofErr w:type="spellStart"/>
      <w:r>
        <w:rPr>
          <w:szCs w:val="20"/>
        </w:rPr>
        <w:t>Ventures</w:t>
      </w:r>
      <w:proofErr w:type="spellEnd"/>
      <w:r>
        <w:rPr>
          <w:szCs w:val="20"/>
        </w:rPr>
        <w:t>,</w:t>
      </w:r>
      <w:r>
        <w:rPr>
          <w:rStyle w:val="ra"/>
        </w:rPr>
        <w:t xml:space="preserve"> s.r.o. </w:t>
      </w:r>
    </w:p>
    <w:p w:rsidR="00D26121" w:rsidRDefault="00D26121" w:rsidP="00D26121">
      <w:pPr>
        <w:pStyle w:val="odstavec"/>
        <w:rPr>
          <w:rStyle w:val="ra"/>
        </w:rPr>
      </w:pPr>
      <w:r>
        <w:rPr>
          <w:rStyle w:val="ra"/>
        </w:rPr>
        <w:t>Vajnorská 137</w:t>
      </w:r>
      <w:r>
        <w:br/>
      </w:r>
      <w:r>
        <w:rPr>
          <w:rStyle w:val="ra"/>
        </w:rPr>
        <w:t>Bratislava 831 04</w:t>
      </w:r>
    </w:p>
    <w:p w:rsidR="00D26121" w:rsidRDefault="00D26121" w:rsidP="00D26121">
      <w:pPr>
        <w:pStyle w:val="odstavec"/>
        <w:rPr>
          <w:rStyle w:val="ra"/>
        </w:rPr>
      </w:pPr>
    </w:p>
    <w:p w:rsidR="00D26121" w:rsidRPr="0090211C" w:rsidRDefault="00D26121" w:rsidP="00D26121">
      <w:pPr>
        <w:pStyle w:val="odstavec"/>
      </w:pPr>
      <w:r w:rsidRPr="0090211C">
        <w:t xml:space="preserve">Spoločnosť </w:t>
      </w:r>
      <w:r>
        <w:rPr>
          <w:rStyle w:val="ra"/>
        </w:rPr>
        <w:t xml:space="preserve">KMS </w:t>
      </w:r>
      <w:proofErr w:type="spellStart"/>
      <w:r>
        <w:rPr>
          <w:rStyle w:val="ra"/>
        </w:rPr>
        <w:t>Ventures</w:t>
      </w:r>
      <w:proofErr w:type="spellEnd"/>
      <w:r>
        <w:rPr>
          <w:rStyle w:val="ra"/>
        </w:rPr>
        <w:t xml:space="preserve">, s.r.o. </w:t>
      </w:r>
      <w:r w:rsidRPr="0090211C">
        <w:t>(ďalej len „Spoločnos</w:t>
      </w:r>
      <w:r>
        <w:t>ť“) bola založená 16. októbra 2014</w:t>
      </w:r>
      <w:r w:rsidRPr="0090211C">
        <w:t xml:space="preserve"> a do obchodn</w:t>
      </w:r>
      <w:r w:rsidRPr="0090211C">
        <w:t>é</w:t>
      </w:r>
      <w:r w:rsidRPr="0090211C">
        <w:t xml:space="preserve">ho registra bola zapísaná </w:t>
      </w:r>
      <w:r>
        <w:t>5. decembra 2014</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101532/B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tbl>
      <w:tblPr>
        <w:tblW w:w="4526" w:type="pct"/>
        <w:tblCellSpacing w:w="15" w:type="dxa"/>
        <w:tblCellMar>
          <w:top w:w="15" w:type="dxa"/>
          <w:left w:w="15" w:type="dxa"/>
          <w:bottom w:w="15" w:type="dxa"/>
          <w:right w:w="15" w:type="dxa"/>
        </w:tblCellMar>
        <w:tblLook w:val="00A0" w:firstRow="1" w:lastRow="0" w:firstColumn="1" w:lastColumn="0" w:noHBand="0" w:noVBand="0"/>
      </w:tblPr>
      <w:tblGrid>
        <w:gridCol w:w="8551"/>
      </w:tblGrid>
      <w:tr w:rsidR="00D26121" w:rsidRPr="00F556E4" w:rsidTr="00A629B7">
        <w:trPr>
          <w:tblCellSpacing w:w="15" w:type="dxa"/>
        </w:trPr>
        <w:tc>
          <w:tcPr>
            <w:tcW w:w="4965" w:type="pct"/>
          </w:tcPr>
          <w:p w:rsidR="00D26121" w:rsidRPr="00F556E4" w:rsidRDefault="00D26121" w:rsidP="00A629B7">
            <w:pPr>
              <w:ind w:right="-5747"/>
            </w:pPr>
            <w:r w:rsidRPr="00F556E4">
              <w:t>činnosť podnikateľských, organizačných a ekonomických poradcov</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F556E4" w:rsidTr="00A629B7">
        <w:trPr>
          <w:tblCellSpacing w:w="15" w:type="dxa"/>
        </w:trPr>
        <w:tc>
          <w:tcPr>
            <w:tcW w:w="3350" w:type="pct"/>
            <w:vAlign w:val="center"/>
          </w:tcPr>
          <w:p w:rsidR="00D26121" w:rsidRPr="00F556E4" w:rsidRDefault="00D26121" w:rsidP="00A629B7">
            <w:r w:rsidRPr="00F556E4">
              <w:t xml:space="preserve">sprostredkovateľská činnosť v oblasti obchodu </w:t>
            </w:r>
          </w:p>
        </w:tc>
        <w:tc>
          <w:tcPr>
            <w:tcW w:w="1650" w:type="pct"/>
          </w:tcPr>
          <w:p w:rsidR="00D26121" w:rsidRPr="00F556E4" w:rsidRDefault="00D26121" w:rsidP="00A629B7">
            <w:r w:rsidRPr="00F556E4">
              <w:t xml:space="preserve">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F556E4" w:rsidTr="00A629B7">
        <w:trPr>
          <w:tblCellSpacing w:w="15" w:type="dxa"/>
        </w:trPr>
        <w:tc>
          <w:tcPr>
            <w:tcW w:w="3350" w:type="pct"/>
            <w:vAlign w:val="center"/>
          </w:tcPr>
          <w:p w:rsidR="00D26121" w:rsidRPr="00F556E4" w:rsidRDefault="00D26121" w:rsidP="00A629B7">
            <w:r w:rsidRPr="00F556E4">
              <w:t>sprostredkovateľská činnosť v oblasti služieb</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141FD9" w:rsidTr="00A629B7">
        <w:trPr>
          <w:tblCellSpacing w:w="15" w:type="dxa"/>
        </w:trPr>
        <w:tc>
          <w:tcPr>
            <w:tcW w:w="3350" w:type="pct"/>
            <w:vAlign w:val="center"/>
          </w:tcPr>
          <w:p w:rsidR="00D26121" w:rsidRPr="00141FD9" w:rsidRDefault="00D26121" w:rsidP="00A629B7">
            <w:r>
              <w:t>vedenie účtovníctva</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82"/>
        <w:gridCol w:w="3132"/>
      </w:tblGrid>
      <w:tr w:rsidR="00D26121" w:rsidRPr="00141FD9" w:rsidTr="00A629B7">
        <w:trPr>
          <w:tblCellSpacing w:w="15" w:type="dxa"/>
        </w:trPr>
        <w:tc>
          <w:tcPr>
            <w:tcW w:w="3571" w:type="pct"/>
            <w:vAlign w:val="center"/>
          </w:tcPr>
          <w:p w:rsidR="00D26121" w:rsidRPr="00F556E4" w:rsidRDefault="00D26121" w:rsidP="00A629B7">
            <w:pPr>
              <w:ind w:right="-2550"/>
            </w:pPr>
            <w:r w:rsidRPr="00F556E4">
              <w:t>počítačové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141FD9" w:rsidTr="00A629B7">
        <w:trPr>
          <w:tblCellSpacing w:w="15" w:type="dxa"/>
        </w:trPr>
        <w:tc>
          <w:tcPr>
            <w:tcW w:w="3350" w:type="pct"/>
            <w:vAlign w:val="center"/>
          </w:tcPr>
          <w:p w:rsidR="00D26121" w:rsidRPr="00141FD9" w:rsidRDefault="00D26121" w:rsidP="00A629B7">
            <w:r w:rsidRPr="00141FD9">
              <w:t>organizovan</w:t>
            </w:r>
            <w:r>
              <w:t xml:space="preserve">ie </w:t>
            </w:r>
            <w:r w:rsidRPr="00141FD9">
              <w:t xml:space="preserve">kultúrnych a iných spoločenských podujatí </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9676" w:type="pct"/>
        <w:tblCellSpacing w:w="15" w:type="dxa"/>
        <w:tblCellMar>
          <w:top w:w="15" w:type="dxa"/>
          <w:left w:w="15" w:type="dxa"/>
          <w:bottom w:w="15" w:type="dxa"/>
          <w:right w:w="15" w:type="dxa"/>
        </w:tblCellMar>
        <w:tblLook w:val="00A0" w:firstRow="1" w:lastRow="0" w:firstColumn="1" w:lastColumn="0" w:noHBand="0" w:noVBand="0"/>
      </w:tblPr>
      <w:tblGrid>
        <w:gridCol w:w="8834"/>
        <w:gridCol w:w="6317"/>
        <w:gridCol w:w="3129"/>
      </w:tblGrid>
      <w:tr w:rsidR="00D26121" w:rsidRPr="00F556E4" w:rsidTr="00A629B7">
        <w:trPr>
          <w:tblCellSpacing w:w="15" w:type="dxa"/>
        </w:trPr>
        <w:tc>
          <w:tcPr>
            <w:tcW w:w="2404" w:type="pct"/>
            <w:vAlign w:val="center"/>
          </w:tcPr>
          <w:p w:rsidR="00D26121" w:rsidRDefault="00D26121" w:rsidP="00A629B7">
            <w:pPr>
              <w:ind w:right="-2265"/>
            </w:pPr>
            <w:r w:rsidRPr="00F556E4">
              <w:t>kúpa tovaru na účely jeho predaja konečnému spotrebiteľovi (maloobchod) alebo na účely</w:t>
            </w:r>
          </w:p>
          <w:p w:rsidR="00D26121" w:rsidRPr="00F556E4" w:rsidRDefault="00D26121" w:rsidP="00A629B7">
            <w:pPr>
              <w:ind w:right="-2265"/>
            </w:pPr>
            <w:r w:rsidRPr="00F556E4">
              <w:t xml:space="preserve"> jeho predaja iným prevádzkovateľom živností (veľkoobchod) </w:t>
            </w:r>
          </w:p>
        </w:tc>
        <w:tc>
          <w:tcPr>
            <w:tcW w:w="1720" w:type="pct"/>
            <w:vAlign w:val="center"/>
          </w:tcPr>
          <w:p w:rsidR="00D26121" w:rsidRPr="00F556E4" w:rsidRDefault="00D26121" w:rsidP="00A629B7"/>
          <w:p w:rsidR="00D26121" w:rsidRPr="00F556E4" w:rsidRDefault="00D26121" w:rsidP="00A629B7"/>
        </w:tc>
        <w:tc>
          <w:tcPr>
            <w:tcW w:w="843" w:type="pct"/>
          </w:tcPr>
          <w:p w:rsidR="00D26121" w:rsidRPr="00F556E4" w:rsidRDefault="00D26121" w:rsidP="00A629B7">
            <w:r w:rsidRPr="00F556E4">
              <w:t>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F556E4" w:rsidTr="00A629B7">
        <w:trPr>
          <w:tblCellSpacing w:w="15" w:type="dxa"/>
        </w:trPr>
        <w:tc>
          <w:tcPr>
            <w:tcW w:w="3350" w:type="pct"/>
            <w:vAlign w:val="center"/>
          </w:tcPr>
          <w:p w:rsidR="00D26121" w:rsidRPr="00F556E4" w:rsidRDefault="00D26121" w:rsidP="00A629B7">
            <w:r w:rsidRPr="00F556E4">
              <w:t>administratívne služby</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8342" w:type="pct"/>
        <w:tblCellSpacing w:w="15" w:type="dxa"/>
        <w:tblCellMar>
          <w:top w:w="15" w:type="dxa"/>
          <w:left w:w="15" w:type="dxa"/>
          <w:bottom w:w="15" w:type="dxa"/>
          <w:right w:w="15" w:type="dxa"/>
        </w:tblCellMar>
        <w:tblLook w:val="00A0" w:firstRow="1" w:lastRow="0" w:firstColumn="1" w:lastColumn="0" w:noHBand="0" w:noVBand="0"/>
      </w:tblPr>
      <w:tblGrid>
        <w:gridCol w:w="6315"/>
        <w:gridCol w:w="6315"/>
        <w:gridCol w:w="3130"/>
      </w:tblGrid>
      <w:tr w:rsidR="00D26121" w:rsidRPr="00141FD9" w:rsidTr="00A629B7">
        <w:trPr>
          <w:tblCellSpacing w:w="15" w:type="dxa"/>
        </w:trPr>
        <w:tc>
          <w:tcPr>
            <w:tcW w:w="1989" w:type="pct"/>
            <w:vAlign w:val="center"/>
          </w:tcPr>
          <w:p w:rsidR="00D26121" w:rsidRPr="00F556E4" w:rsidRDefault="00D26121" w:rsidP="00A629B7">
            <w:pPr>
              <w:ind w:right="-2550"/>
            </w:pPr>
            <w:r w:rsidRPr="00F556E4">
              <w:t>prenájom hnuteľných vecí</w:t>
            </w:r>
          </w:p>
        </w:tc>
        <w:tc>
          <w:tcPr>
            <w:tcW w:w="1994" w:type="pct"/>
            <w:vAlign w:val="center"/>
          </w:tcPr>
          <w:p w:rsidR="00D26121" w:rsidRPr="00141FD9" w:rsidRDefault="00D26121" w:rsidP="00A629B7"/>
        </w:tc>
        <w:tc>
          <w:tcPr>
            <w:tcW w:w="979"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82"/>
        <w:gridCol w:w="3132"/>
      </w:tblGrid>
      <w:tr w:rsidR="00D26121" w:rsidRPr="00141FD9" w:rsidTr="00A629B7">
        <w:trPr>
          <w:tblCellSpacing w:w="15" w:type="dxa"/>
        </w:trPr>
        <w:tc>
          <w:tcPr>
            <w:tcW w:w="3571" w:type="pct"/>
            <w:vAlign w:val="center"/>
          </w:tcPr>
          <w:p w:rsidR="00D26121" w:rsidRPr="00F556E4" w:rsidRDefault="00D26121" w:rsidP="00A629B7">
            <w:pPr>
              <w:ind w:right="-2550"/>
            </w:pPr>
            <w:r>
              <w:t>reklamné a marketingové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314"/>
        <w:gridCol w:w="3132"/>
      </w:tblGrid>
      <w:tr w:rsidR="00D26121" w:rsidRPr="00141FD9" w:rsidTr="00A629B7">
        <w:trPr>
          <w:tblCellSpacing w:w="15" w:type="dxa"/>
        </w:trPr>
        <w:tc>
          <w:tcPr>
            <w:tcW w:w="3350" w:type="pct"/>
            <w:vAlign w:val="center"/>
          </w:tcPr>
          <w:p w:rsidR="00D26121" w:rsidRPr="00141FD9" w:rsidRDefault="00D26121" w:rsidP="00A629B7">
            <w:r>
              <w:t>vydavateľská činnosť</w:t>
            </w:r>
          </w:p>
        </w:tc>
        <w:tc>
          <w:tcPr>
            <w:tcW w:w="1650" w:type="pct"/>
          </w:tcPr>
          <w:p w:rsidR="00D26121" w:rsidRPr="00141FD9" w:rsidRDefault="00D26121" w:rsidP="00A629B7">
            <w:r w:rsidRPr="00141FD9">
              <w:t xml:space="preserve">  </w:t>
            </w:r>
          </w:p>
        </w:tc>
      </w:tr>
    </w:tbl>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w:t>
      </w:r>
      <w:r w:rsidRPr="0090211C">
        <w:t>o</w:t>
      </w:r>
      <w:r w:rsidRPr="0090211C">
        <w:t>bie sú uvedené v nasledujúcom prehľade:</w:t>
      </w:r>
      <w:r>
        <w:t>[]</w:t>
      </w:r>
    </w:p>
    <w:p w:rsidR="00D26121" w:rsidRPr="0090211C" w:rsidRDefault="00D26121" w:rsidP="00D26121">
      <w:pPr>
        <w:pStyle w:val="odstavec"/>
      </w:pPr>
    </w:p>
    <w:bookmarkStart w:id="0" w:name="_MON_1516791550"/>
    <w:bookmarkEnd w:id="0"/>
    <w:p w:rsidR="00B9155B" w:rsidRPr="0090211C" w:rsidRDefault="0081053D" w:rsidP="00D26121">
      <w:pPr>
        <w:pStyle w:val="odstavec"/>
      </w:pPr>
      <w:r w:rsidRPr="0090211C">
        <w:object w:dxaOrig="803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2pt;height:71.25pt" o:ole="">
            <v:imagedata r:id="rId8" o:title=""/>
          </v:shape>
          <o:OLEObject Type="Embed" ProgID="Excel.Sheet.12" ShapeID="_x0000_i1025" DrawAspect="Content" ObjectID="_1520064860" r:id="rId9"/>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9929DB">
        <w:t>2015</w:t>
      </w:r>
      <w:r>
        <w:t xml:space="preserve"> je zostavená podľa </w:t>
      </w:r>
      <w:r w:rsidR="0081053D">
        <w:rPr>
          <w:b/>
        </w:rPr>
        <w:t>opatrenia MF/15</w:t>
      </w:r>
      <w:r w:rsidR="0081053D" w:rsidRPr="00C0408E">
        <w:rPr>
          <w:b/>
        </w:rPr>
        <w:t xml:space="preserve">464/2013 – 74 pre </w:t>
      </w:r>
      <w:proofErr w:type="spellStart"/>
      <w:r w:rsidR="0081053D" w:rsidRPr="00C0408E">
        <w:rPr>
          <w:b/>
        </w:rPr>
        <w:t>mikro</w:t>
      </w:r>
      <w:proofErr w:type="spellEnd"/>
      <w:r w:rsidR="0081053D" w:rsidRPr="00C0408E">
        <w:rPr>
          <w:b/>
        </w:rPr>
        <w:t xml:space="preserve"> účtovné jednotky</w:t>
      </w:r>
      <w:r w:rsidR="0081053D">
        <w:rPr>
          <w:b/>
        </w:rPr>
        <w:t xml:space="preserve"> doplnené opatrením MF/18008/2014 - 74</w:t>
      </w:r>
      <w:r w:rsidRPr="00C0408E">
        <w:rPr>
          <w:b/>
        </w:rPr>
        <w:t>,</w:t>
      </w:r>
      <w:r w:rsidRPr="0090211C">
        <w:t xml:space="preserve"> riadna účtovná závierka podľa § 17 ods. 6 zákona NR SR č. 431/2002 Z. z. o účtovníctve (ďalej len „zákon o účtovníctve“) za účtovné o</w:t>
      </w:r>
      <w:r w:rsidRPr="0090211C">
        <w:t>b</w:t>
      </w:r>
      <w:r w:rsidRPr="0090211C">
        <w:t xml:space="preserve">dobie od 1. januára </w:t>
      </w:r>
      <w:r w:rsidR="009929DB">
        <w:t>2015</w:t>
      </w:r>
      <w:r w:rsidRPr="0090211C">
        <w:t xml:space="preserve"> do 31. decembra </w:t>
      </w:r>
      <w:r w:rsidR="009929DB">
        <w:t>2015</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lastRenderedPageBreak/>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D26121" w:rsidP="004669A2">
      <w:pPr>
        <w:pStyle w:val="odstavec"/>
      </w:pPr>
      <w:r>
        <w:t xml:space="preserve">Konateľ: </w:t>
      </w:r>
      <w:r>
        <w:tab/>
        <w:t xml:space="preserve">Ing. Michal </w:t>
      </w:r>
      <w:proofErr w:type="spellStart"/>
      <w:r>
        <w:t>Kviečinský</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9929DB">
        <w:rPr>
          <w:iCs/>
        </w:rPr>
        <w:t>2015</w:t>
      </w:r>
      <w:r w:rsidRPr="0090211C">
        <w:t>:</w:t>
      </w:r>
    </w:p>
    <w:bookmarkStart w:id="1" w:name="_MON_1487428686"/>
    <w:bookmarkEnd w:id="1"/>
    <w:p w:rsidR="00B9155B" w:rsidRPr="0090211C" w:rsidRDefault="00D26121"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10" o:title=""/>
          </v:shape>
          <o:OLEObject Type="Embed" ProgID="Excel.Sheet.12" ShapeID="_x0000_i1026" DrawAspect="Content" ObjectID="_1520064861" r:id="rId11"/>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Default="00B9155B" w:rsidP="004669A2">
      <w:pPr>
        <w:pStyle w:val="odstavec"/>
        <w:rPr>
          <w:b/>
        </w:rPr>
      </w:pPr>
      <w:r w:rsidRPr="00C0408E">
        <w:rPr>
          <w:b/>
        </w:rPr>
        <w:t xml:space="preserve">Účtovná závierka bola zostavená v zmysle </w:t>
      </w:r>
      <w:r w:rsidR="0081053D">
        <w:rPr>
          <w:b/>
        </w:rPr>
        <w:t>opatrenia MF/15</w:t>
      </w:r>
      <w:r w:rsidR="0081053D" w:rsidRPr="00C0408E">
        <w:rPr>
          <w:b/>
        </w:rPr>
        <w:t xml:space="preserve">464/2013 – 74 pre </w:t>
      </w:r>
      <w:proofErr w:type="spellStart"/>
      <w:r w:rsidR="0081053D" w:rsidRPr="00C0408E">
        <w:rPr>
          <w:b/>
        </w:rPr>
        <w:t>mikro</w:t>
      </w:r>
      <w:proofErr w:type="spellEnd"/>
      <w:r w:rsidR="0081053D" w:rsidRPr="00C0408E">
        <w:rPr>
          <w:b/>
        </w:rPr>
        <w:t xml:space="preserve"> účtovné jedno</w:t>
      </w:r>
      <w:r w:rsidR="0081053D" w:rsidRPr="00C0408E">
        <w:rPr>
          <w:b/>
        </w:rPr>
        <w:t>t</w:t>
      </w:r>
      <w:r w:rsidR="0081053D" w:rsidRPr="00C0408E">
        <w:rPr>
          <w:b/>
        </w:rPr>
        <w:t>ky</w:t>
      </w:r>
      <w:r w:rsidR="0081053D">
        <w:rPr>
          <w:b/>
        </w:rPr>
        <w:t xml:space="preserve"> doplnené opatrením MF/18008/2014 – 74</w:t>
      </w:r>
    </w:p>
    <w:p w:rsidR="0081053D" w:rsidRPr="0090211C" w:rsidRDefault="0081053D"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w:t>
      </w:r>
      <w:r>
        <w:t>a</w:t>
      </w:r>
      <w:r>
        <w:t>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w:t>
      </w:r>
      <w:r>
        <w:t>k</w:t>
      </w:r>
      <w:r>
        <w:t>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lastRenderedPageBreak/>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w:t>
      </w:r>
      <w:r w:rsidRPr="0090211C">
        <w:t>e</w:t>
      </w:r>
      <w:r w:rsidRPr="0090211C">
        <w:t>bované zásoby. Spoločnosť účtuje o zásobách spôsobom A tak, ako to definujú postupy účtovania. Úb</w:t>
      </w:r>
      <w:r w:rsidRPr="0090211C">
        <w:t>y</w:t>
      </w:r>
      <w:r w:rsidRPr="0090211C">
        <w:t>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w:t>
      </w:r>
      <w:r w:rsidRPr="0090211C">
        <w:t>d</w:t>
      </w:r>
      <w:r w:rsidRPr="0090211C">
        <w:t>stavuje rozdiel medzi menovitou a súčasnou hodnotou pohľadávky. Súčasná hodnota pohľadávky sa poč</w:t>
      </w:r>
      <w:r w:rsidRPr="0090211C">
        <w:t>í</w:t>
      </w:r>
      <w:r w:rsidRPr="0090211C">
        <w:t>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w:t>
      </w:r>
      <w:r w:rsidRPr="0090211C">
        <w:t>d</w:t>
      </w:r>
      <w:r w:rsidRPr="0090211C">
        <w:t>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Tvorba rezervy sa účtuje na vecne príslušný nákladový účet, ku ktorému záväzok prislúcha. Použitie r</w:t>
      </w:r>
      <w:r w:rsidRPr="0090211C">
        <w:t>e</w:t>
      </w:r>
      <w:r w:rsidRPr="0090211C">
        <w:t>zervy sa účtuje na ťarchu vecne príslušného účtu rezerv so súvzťažným zápisom v prospech vecne pr</w:t>
      </w:r>
      <w:r w:rsidRPr="0090211C">
        <w:t>í</w:t>
      </w:r>
      <w:r w:rsidRPr="0090211C">
        <w:t xml:space="preserve">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9107A4" w:rsidRDefault="009107A4" w:rsidP="004669A2">
      <w:pPr>
        <w:pStyle w:val="odstavec"/>
      </w:pPr>
    </w:p>
    <w:p w:rsidR="009107A4" w:rsidRDefault="009107A4" w:rsidP="004669A2">
      <w:pPr>
        <w:pStyle w:val="odstavec"/>
      </w:pPr>
    </w:p>
    <w:p w:rsidR="009107A4" w:rsidRDefault="009107A4" w:rsidP="004669A2">
      <w:pPr>
        <w:pStyle w:val="odstavec"/>
      </w:pPr>
    </w:p>
    <w:p w:rsidR="009107A4" w:rsidRDefault="009107A4"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w:t>
      </w:r>
      <w:r w:rsidRPr="0090211C">
        <w:t>z</w:t>
      </w:r>
      <w:r w:rsidRPr="0090211C">
        <w:t>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Daň z príjmov sa účtuje do nákladov Spoločnosti v období vzniku daňovej povinnosti a v priloženom výk</w:t>
      </w:r>
      <w:r w:rsidRPr="0090211C">
        <w:t>a</w:t>
      </w:r>
      <w:r w:rsidRPr="0090211C">
        <w:t>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w:t>
      </w:r>
      <w:r w:rsidRPr="0090211C">
        <w:t>j</w:t>
      </w:r>
      <w:r w:rsidRPr="0090211C">
        <w:t>mov, ktoré Spoločnosť uhradila v priebehu roka. V prípade, že uhradené preddavky na daň z príjmu v priebehu roka sú vyššie ako daňová povinnosť za tento rok, Spoločnosť vykazuje výslednú daňovú pohľ</w:t>
      </w:r>
      <w:r w:rsidRPr="0090211C">
        <w:t>a</w:t>
      </w:r>
      <w:r w:rsidRPr="0090211C">
        <w:t xml:space="preserve">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w:t>
      </w:r>
      <w:r w:rsidRPr="00C0408E">
        <w:t>a</w:t>
      </w:r>
      <w:r w:rsidRPr="00C0408E">
        <w:t>nie zásady vecnej a časovej súvislosti s účtovným obdobím len ak ide o významné sumy. O nevýzna</w:t>
      </w:r>
      <w:r w:rsidRPr="00C0408E">
        <w:t>m</w:t>
      </w:r>
      <w:r w:rsidRPr="00C0408E">
        <w:t>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Výnosy z predaja výrobkov sa vykazujú v momente prenosu rizika a vlastníctva výrobku, obvykle po d</w:t>
      </w:r>
      <w:r w:rsidRPr="0090211C">
        <w:t>o</w:t>
      </w:r>
      <w:r w:rsidRPr="0090211C">
        <w:t>dávke. Ak sa Spoločnosť zaviaže dopraviť výrobky na určité miesto, výnosy sa vykazujú v momente dor</w:t>
      </w:r>
      <w:r w:rsidRPr="0090211C">
        <w:t>u</w:t>
      </w:r>
      <w:r w:rsidRPr="0090211C">
        <w:t xml:space="preserve">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Výnosy sa vykazujú po odpočítaní dane z pridanej hodnoty, zliav a zrážok (rabaty, bonusy, skontá, dobr</w:t>
      </w:r>
      <w:r w:rsidRPr="0090211C">
        <w:t>o</w:t>
      </w:r>
      <w:r w:rsidRPr="0090211C">
        <w:t>pisy a pod.). Výnosy sa vykazujú v reálnej hodnote. Výnosové úroky sa účtujú na základe časového rozl</w:t>
      </w:r>
      <w:r w:rsidRPr="0090211C">
        <w:t>í</w:t>
      </w:r>
      <w:r w:rsidRPr="0090211C">
        <w:t xml:space="preserve">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w:t>
      </w:r>
      <w:r w:rsidRPr="0090211C">
        <w:t>e</w:t>
      </w:r>
      <w:r w:rsidRPr="0090211C">
        <w:t>denými v bežnom účtovnom období. Zmena v prezentácii porovnateľných údajov nemala dopad na celk</w:t>
      </w:r>
      <w:r w:rsidRPr="0090211C">
        <w:t>o</w:t>
      </w:r>
      <w:r w:rsidRPr="0090211C">
        <w:t>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lastRenderedPageBreak/>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w:t>
      </w:r>
      <w:r w:rsidRPr="00A800F9">
        <w:rPr>
          <w:b w:val="0"/>
        </w:rPr>
        <w:t>e</w:t>
      </w:r>
      <w:r w:rsidRPr="00A800F9">
        <w:rPr>
          <w:b w:val="0"/>
        </w:rPr>
        <w:t>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428796"/>
    <w:bookmarkEnd w:id="13"/>
    <w:p w:rsidR="00B9155B" w:rsidRPr="00307046" w:rsidRDefault="0081053D" w:rsidP="00520F9A">
      <w:pPr>
        <w:pStyle w:val="Zkladntext"/>
      </w:pPr>
      <w:r w:rsidRPr="0090211C">
        <w:object w:dxaOrig="9409" w:dyaOrig="5899">
          <v:shape id="_x0000_i1027" type="#_x0000_t75" style="width:484.5pt;height:312.75pt" o:ole="">
            <v:imagedata r:id="rId12" o:title=""/>
          </v:shape>
          <o:OLEObject Type="Embed" ProgID="Excel.Sheet.12" ShapeID="_x0000_i1027" DrawAspect="Content" ObjectID="_1520064862" r:id="rId13"/>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w:t>
      </w:r>
      <w:r>
        <w:t>č</w:t>
      </w:r>
      <w:r>
        <w:t>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členom štatutárneho orgánu sú </w:t>
      </w:r>
      <w:r w:rsidR="009107A4">
        <w:t xml:space="preserve">nula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w:t>
      </w:r>
      <w:r w:rsidRPr="0090211C">
        <w:rPr>
          <w:rFonts w:cs="Arial"/>
        </w:rPr>
        <w:t>e</w:t>
      </w:r>
      <w:r w:rsidRPr="0090211C">
        <w:rPr>
          <w:rFonts w:cs="Arial"/>
        </w:rPr>
        <w:t>ná v nasledujúcej tabuľke:</w:t>
      </w:r>
    </w:p>
    <w:p w:rsidR="00B9155B" w:rsidRPr="0090211C" w:rsidRDefault="00B9155B" w:rsidP="004669A2">
      <w:pPr>
        <w:pStyle w:val="odstavec"/>
      </w:pPr>
    </w:p>
    <w:bookmarkStart w:id="25" w:name="_MON_1487428860"/>
    <w:bookmarkEnd w:id="25"/>
    <w:p w:rsidR="00B9155B" w:rsidRPr="0090211C" w:rsidRDefault="009929DB" w:rsidP="00343772">
      <w:pPr>
        <w:tabs>
          <w:tab w:val="left" w:pos="555"/>
        </w:tabs>
        <w:ind w:left="284"/>
        <w:rPr>
          <w:rFonts w:ascii="Arial" w:hAnsi="Arial" w:cs="Arial"/>
          <w:sz w:val="20"/>
          <w:szCs w:val="20"/>
        </w:rPr>
      </w:pPr>
      <w:r w:rsidRPr="0090211C">
        <w:rPr>
          <w:rFonts w:ascii="Arial" w:hAnsi="Arial" w:cs="Arial"/>
          <w:sz w:val="20"/>
          <w:szCs w:val="20"/>
        </w:rPr>
        <w:object w:dxaOrig="8870" w:dyaOrig="2392">
          <v:shape id="_x0000_i1031" type="#_x0000_t75" style="width:443.25pt;height:116.25pt" o:ole="">
            <v:imagedata r:id="rId14" o:title=""/>
          </v:shape>
          <o:OLEObject Type="Embed" ProgID="Excel.Sheet.12" ShapeID="_x0000_i1031" DrawAspect="Content" ObjectID="_1520064863" r:id="rId15"/>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w:t>
      </w:r>
      <w:r>
        <w:t>o</w:t>
      </w:r>
      <w:r>
        <w:t xml:space="preserve">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81053D">
        <w:t>5</w:t>
      </w:r>
      <w:r w:rsidRPr="0090211C">
        <w:t xml:space="preserve"> neevidovala záväzky z objed</w:t>
      </w:r>
      <w:r w:rsidR="009929DB">
        <w:t xml:space="preserve">návok </w:t>
      </w:r>
      <w:proofErr w:type="spellStart"/>
      <w:r w:rsidR="009929DB">
        <w:t>zazmluvnených</w:t>
      </w:r>
      <w:proofErr w:type="spellEnd"/>
      <w:r w:rsidR="009929DB">
        <w:t xml:space="preserve"> v roku 2015</w:t>
      </w:r>
      <w:r>
        <w:t xml:space="preserve"> </w:t>
      </w:r>
      <w:r w:rsidRPr="0090211C">
        <w:t>s očakáva</w:t>
      </w:r>
      <w:r w:rsidR="009929DB">
        <w:t>ným termínom dodania v roku 2016</w:t>
      </w:r>
      <w:bookmarkStart w:id="31" w:name="_GoBack"/>
      <w:bookmarkEnd w:id="31"/>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w:t>
      </w:r>
      <w:r w:rsidRPr="0090211C">
        <w:t>a</w:t>
      </w:r>
      <w:r w:rsidRPr="0090211C">
        <w:t>xou, existuje neistota v tom, ako ich budú daňové orgány aplikovať. Mieru tejto neistoty nie je možné kva</w:t>
      </w:r>
      <w:r w:rsidRPr="0090211C">
        <w:t>n</w:t>
      </w:r>
      <w:r w:rsidRPr="0090211C">
        <w:t>tifikovať a zanikne až potom, keď budú k dispozícii právne precedensy príp. oficiálne interpretácie príslu</w:t>
      </w:r>
      <w:r w:rsidRPr="0090211C">
        <w:t>š</w:t>
      </w:r>
      <w:r w:rsidRPr="0090211C">
        <w:t>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w:t>
      </w:r>
      <w:r w:rsidRPr="0090211C">
        <w:t>R</w:t>
      </w:r>
      <w:r w:rsidRPr="0090211C">
        <w:t>KA, DO DŇA JEJ ZOSTAVENIA</w:t>
      </w:r>
    </w:p>
    <w:p w:rsidR="00B9155B" w:rsidRPr="0090211C" w:rsidRDefault="00B9155B" w:rsidP="004669A2">
      <w:pPr>
        <w:pStyle w:val="odstavec"/>
      </w:pPr>
      <w:r w:rsidRPr="0090211C">
        <w:t xml:space="preserve">Po 31. decembri </w:t>
      </w:r>
      <w:r>
        <w:rPr>
          <w:iCs/>
        </w:rPr>
        <w:t>201</w:t>
      </w:r>
      <w:r w:rsidR="0081053D">
        <w:rPr>
          <w:iCs/>
        </w:rPr>
        <w:t>5</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81053D">
        <w:t xml:space="preserve"> v účtovnej závierke za rok 2015</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w:t>
      </w:r>
      <w:proofErr w:type="spellStart"/>
      <w:r w:rsidRPr="0090211C">
        <w:t>cash</w:t>
      </w:r>
      <w:proofErr w:type="spellEnd"/>
      <w:r w:rsidRPr="0090211C">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w:t>
      </w:r>
      <w:r w:rsidRPr="0090211C">
        <w:t>č</w:t>
      </w:r>
      <w:r w:rsidRPr="0090211C">
        <w:t xml:space="preserve">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w:t>
      </w:r>
      <w:proofErr w:type="spellStart"/>
      <w:r w:rsidRPr="0090211C">
        <w:t>cash</w:t>
      </w:r>
      <w:proofErr w:type="spellEnd"/>
      <w:r w:rsidRPr="0090211C">
        <w:t xml:space="preserve"> </w:t>
      </w:r>
      <w:proofErr w:type="spellStart"/>
      <w:r w:rsidRPr="0090211C">
        <w:t>equivalents</w:t>
      </w:r>
      <w:proofErr w:type="spellEnd"/>
      <w:r w:rsidRPr="0090211C">
        <w:t>) sa rozumie krátkodobý finančný majetok, ktorý je zam</w:t>
      </w:r>
      <w:r w:rsidRPr="0090211C">
        <w:t>e</w:t>
      </w:r>
      <w:r w:rsidRPr="0090211C">
        <w:t>niteľný za vopred známu sumu peňažných prostriedkov, pri ktorom nie je riziko výraznej zmeny jeho ho</w:t>
      </w:r>
      <w:r w:rsidRPr="0090211C">
        <w:t>d</w:t>
      </w:r>
      <w:r w:rsidRPr="0090211C">
        <w:t>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w:t>
      </w:r>
      <w:r w:rsidRPr="0090211C">
        <w:t>a</w:t>
      </w:r>
      <w:r w:rsidRPr="0090211C">
        <w:t>cov odo dňa, ku ktorému sa zostavuje účtovná závierka.</w:t>
      </w:r>
    </w:p>
    <w:sectPr w:rsidR="00B9155B" w:rsidRPr="0090211C" w:rsidSect="00F239B4">
      <w:headerReference w:type="default" r:id="rId16"/>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155B" w:rsidRDefault="00B9155B">
      <w:r>
        <w:separator/>
      </w:r>
    </w:p>
  </w:endnote>
  <w:endnote w:type="continuationSeparator" w:id="0">
    <w:p w:rsidR="00B9155B" w:rsidRDefault="00B915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155B" w:rsidRDefault="00B9155B">
      <w:r>
        <w:separator/>
      </w:r>
    </w:p>
  </w:footnote>
  <w:footnote w:type="continuationSeparator" w:id="0">
    <w:p w:rsidR="00B9155B" w:rsidRDefault="00B915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81053D">
      <w:rPr>
        <w:rFonts w:ascii="Arial" w:hAnsi="Arial" w:cs="Arial"/>
        <w:sz w:val="18"/>
        <w:szCs w:val="18"/>
      </w:rPr>
      <w:t>IČO:7948191</w:t>
    </w:r>
    <w:r>
      <w:rPr>
        <w:rFonts w:ascii="Arial" w:hAnsi="Arial" w:cs="Arial"/>
        <w:sz w:val="18"/>
        <w:szCs w:val="18"/>
      </w:rPr>
      <w:t xml:space="preserve">        </w:t>
    </w:r>
    <w:proofErr w:type="spellStart"/>
    <w:r>
      <w:rPr>
        <w:rFonts w:ascii="Arial" w:hAnsi="Arial" w:cs="Arial"/>
        <w:sz w:val="18"/>
        <w:szCs w:val="18"/>
      </w:rPr>
      <w:t>Dič</w:t>
    </w:r>
    <w:proofErr w:type="spellEnd"/>
    <w:r w:rsidR="0081053D">
      <w:rPr>
        <w:rFonts w:ascii="Arial" w:hAnsi="Arial" w:cs="Arial"/>
        <w:sz w:val="18"/>
        <w:szCs w:val="18"/>
      </w:rPr>
      <w:t>: 2024170676</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53D"/>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29DB"/>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07E41"/>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1724</Words>
  <Characters>10642</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2</cp:revision>
  <cp:lastPrinted>2016-02-12T13:21:00Z</cp:lastPrinted>
  <dcterms:created xsi:type="dcterms:W3CDTF">2016-03-21T10:28:00Z</dcterms:created>
  <dcterms:modified xsi:type="dcterms:W3CDTF">2016-03-21T10:28:00Z</dcterms:modified>
</cp:coreProperties>
</file>