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77069C">
      <w:pPr>
        <w:pStyle w:val="odstavec"/>
      </w:pPr>
    </w:p>
    <w:p w:rsidR="0077069C" w:rsidRDefault="0077069C" w:rsidP="0077069C">
      <w:pPr>
        <w:pStyle w:val="odstavec"/>
        <w:rPr>
          <w:rStyle w:val="ra"/>
        </w:rPr>
      </w:pPr>
      <w:r>
        <w:rPr>
          <w:rStyle w:val="ra"/>
        </w:rPr>
        <w:t>ELEM CONSULTING SPOL. S R.O.</w:t>
      </w:r>
    </w:p>
    <w:p w:rsidR="0077069C" w:rsidRDefault="0077069C" w:rsidP="0077069C">
      <w:pPr>
        <w:pStyle w:val="odstavec"/>
        <w:rPr>
          <w:rStyle w:val="ra"/>
        </w:rPr>
      </w:pPr>
      <w:proofErr w:type="spellStart"/>
      <w:r>
        <w:rPr>
          <w:rStyle w:val="ra"/>
        </w:rPr>
        <w:t>Blagoevova</w:t>
      </w:r>
      <w:proofErr w:type="spellEnd"/>
      <w:r>
        <w:rPr>
          <w:rStyle w:val="ra"/>
        </w:rPr>
        <w:t xml:space="preserve"> 16</w:t>
      </w:r>
    </w:p>
    <w:p w:rsidR="0077069C" w:rsidRDefault="0077069C" w:rsidP="0077069C">
      <w:pPr>
        <w:pStyle w:val="odstavec"/>
        <w:rPr>
          <w:rStyle w:val="ra"/>
        </w:rPr>
      </w:pPr>
      <w:r>
        <w:rPr>
          <w:rStyle w:val="ra"/>
        </w:rPr>
        <w:t>Bratislava 851 04</w:t>
      </w:r>
    </w:p>
    <w:p w:rsidR="00D26121" w:rsidRDefault="00D26121" w:rsidP="0077069C">
      <w:pPr>
        <w:pStyle w:val="odstavec"/>
        <w:rPr>
          <w:rStyle w:val="ra"/>
        </w:rPr>
      </w:pPr>
    </w:p>
    <w:p w:rsidR="0077069C" w:rsidRPr="0090211C" w:rsidRDefault="0077069C" w:rsidP="0077069C">
      <w:pPr>
        <w:pStyle w:val="odstavec"/>
      </w:pPr>
      <w:r>
        <w:t xml:space="preserve"> </w:t>
      </w:r>
      <w:r w:rsidRPr="0090211C">
        <w:t xml:space="preserve">Spoločnosť </w:t>
      </w:r>
      <w:proofErr w:type="spellStart"/>
      <w:r>
        <w:rPr>
          <w:rStyle w:val="ra"/>
        </w:rPr>
        <w:t>elem</w:t>
      </w:r>
      <w:proofErr w:type="spellEnd"/>
      <w:r>
        <w:rPr>
          <w:rStyle w:val="ra"/>
        </w:rPr>
        <w:t xml:space="preserve"> </w:t>
      </w:r>
      <w:proofErr w:type="spellStart"/>
      <w:r>
        <w:rPr>
          <w:rStyle w:val="ra"/>
        </w:rPr>
        <w:t>consulting</w:t>
      </w:r>
      <w:proofErr w:type="spellEnd"/>
      <w:r>
        <w:rPr>
          <w:rStyle w:val="ra"/>
        </w:rPr>
        <w:t xml:space="preserve"> spol.  s r. o. </w:t>
      </w:r>
      <w:r w:rsidRPr="0090211C">
        <w:t xml:space="preserve"> (ďalej len „Spoločnos</w:t>
      </w:r>
      <w:r>
        <w:t xml:space="preserve">ť“) bola založená 07. </w:t>
      </w:r>
      <w:proofErr w:type="spellStart"/>
      <w:r>
        <w:t>oktobra</w:t>
      </w:r>
      <w:proofErr w:type="spellEnd"/>
      <w:r>
        <w:t xml:space="preserve"> 2006 a d</w:t>
      </w:r>
      <w:r w:rsidRPr="0090211C">
        <w:t>o</w:t>
      </w:r>
      <w:r>
        <w:t xml:space="preserve"> o</w:t>
      </w:r>
      <w:r w:rsidRPr="0090211C">
        <w:t xml:space="preserve">bchodného registra bola zapísaná </w:t>
      </w:r>
      <w:r>
        <w:t>7..10.2006</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42650/B</w:t>
      </w:r>
      <w:r w:rsidRPr="0090211C">
        <w:t>).</w:t>
      </w:r>
    </w:p>
    <w:p w:rsidR="00D26121" w:rsidRPr="0090211C" w:rsidRDefault="00D26121" w:rsidP="0077069C">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p w:rsidR="005D685D" w:rsidRDefault="0077069C" w:rsidP="0077069C">
      <w:pPr>
        <w:pStyle w:val="odstavec"/>
        <w:tabs>
          <w:tab w:val="clear" w:pos="0"/>
          <w:tab w:val="num" w:pos="624"/>
          <w:tab w:val="left" w:pos="709"/>
        </w:tabs>
        <w:ind w:left="624" w:hanging="360"/>
        <w:rPr>
          <w:rStyle w:val="ra"/>
        </w:rPr>
      </w:pPr>
      <w:r>
        <w:rPr>
          <w:rStyle w:val="ra"/>
        </w:rPr>
        <w:t xml:space="preserve">organizovanie kultúrnych, spoločenských podujatí, konferencií, festivalov a výstav v rozsahu voľnej </w:t>
      </w:r>
    </w:p>
    <w:p w:rsidR="0077069C" w:rsidRDefault="0077069C" w:rsidP="0077069C">
      <w:pPr>
        <w:pStyle w:val="odstavec"/>
        <w:tabs>
          <w:tab w:val="clear" w:pos="0"/>
          <w:tab w:val="num" w:pos="624"/>
          <w:tab w:val="left" w:pos="709"/>
        </w:tabs>
        <w:ind w:left="624" w:hanging="360"/>
      </w:pPr>
      <w:r>
        <w:rPr>
          <w:rStyle w:val="ra"/>
        </w:rPr>
        <w:t>ži</w:t>
      </w:r>
      <w:r>
        <w:rPr>
          <w:rStyle w:val="ra"/>
        </w:rPr>
        <w:t>v</w:t>
      </w:r>
      <w:r>
        <w:rPr>
          <w:rStyle w:val="ra"/>
        </w:rPr>
        <w:t>nosti</w:t>
      </w:r>
    </w:p>
    <w:p w:rsidR="0077069C" w:rsidRDefault="0077069C" w:rsidP="0077069C">
      <w:pPr>
        <w:pStyle w:val="odstavec"/>
        <w:tabs>
          <w:tab w:val="clear" w:pos="0"/>
          <w:tab w:val="num" w:pos="624"/>
          <w:tab w:val="left" w:pos="709"/>
        </w:tabs>
        <w:ind w:left="624" w:hanging="360"/>
      </w:pPr>
      <w:r>
        <w:t xml:space="preserve">sprostredkovateľská činnosť v oblasti služieb </w:t>
      </w:r>
    </w:p>
    <w:p w:rsidR="0077069C" w:rsidRDefault="0077069C" w:rsidP="0077069C">
      <w:pPr>
        <w:pStyle w:val="odstavec"/>
        <w:tabs>
          <w:tab w:val="clear" w:pos="0"/>
          <w:tab w:val="num" w:pos="624"/>
          <w:tab w:val="left" w:pos="709"/>
        </w:tabs>
        <w:ind w:left="624" w:hanging="360"/>
      </w:pPr>
      <w:r>
        <w:t xml:space="preserve">činnosť podnikateľských, organizačných a ekonomických poradcov </w:t>
      </w:r>
    </w:p>
    <w:p w:rsidR="0077069C" w:rsidRDefault="0077069C" w:rsidP="0077069C">
      <w:pPr>
        <w:pStyle w:val="odstavec"/>
        <w:tabs>
          <w:tab w:val="clear" w:pos="0"/>
          <w:tab w:val="num" w:pos="624"/>
          <w:tab w:val="left" w:pos="709"/>
        </w:tabs>
        <w:ind w:left="624" w:hanging="360"/>
      </w:pPr>
      <w:r>
        <w:rPr>
          <w:rStyle w:val="ra"/>
        </w:rPr>
        <w:t xml:space="preserve">podnikateľské poradenstvo v rozsahu voľnej živnosti </w:t>
      </w:r>
    </w:p>
    <w:p w:rsidR="0077069C" w:rsidRDefault="0077069C" w:rsidP="0077069C">
      <w:pPr>
        <w:pStyle w:val="odstavec"/>
        <w:tabs>
          <w:tab w:val="clear" w:pos="0"/>
          <w:tab w:val="num" w:pos="624"/>
          <w:tab w:val="left" w:pos="709"/>
        </w:tabs>
        <w:ind w:left="624" w:hanging="360"/>
      </w:pPr>
      <w:r>
        <w:rPr>
          <w:rStyle w:val="ra"/>
        </w:rPr>
        <w:t xml:space="preserve">technicko-organizačné zabezpečenie vzdelávacích podujatí v rozsahu voľnej živnosti </w:t>
      </w:r>
      <w:r>
        <w:t xml:space="preserve">  </w:t>
      </w:r>
    </w:p>
    <w:p w:rsidR="005D685D" w:rsidRDefault="0077069C" w:rsidP="0077069C">
      <w:pPr>
        <w:pStyle w:val="odstavec"/>
        <w:tabs>
          <w:tab w:val="clear" w:pos="0"/>
          <w:tab w:val="num" w:pos="624"/>
          <w:tab w:val="left" w:pos="709"/>
        </w:tabs>
        <w:ind w:left="624" w:hanging="360"/>
        <w:rPr>
          <w:rStyle w:val="ra"/>
        </w:rPr>
      </w:pPr>
      <w:r>
        <w:rPr>
          <w:rStyle w:val="ra"/>
        </w:rPr>
        <w:t>predaj na priamu konzumáciu nealkoholických a priemyselne vyrábanýc</w:t>
      </w:r>
      <w:r w:rsidR="005D685D">
        <w:rPr>
          <w:rStyle w:val="ra"/>
        </w:rPr>
        <w:t xml:space="preserve">h mliečnych nápojov, </w:t>
      </w:r>
    </w:p>
    <w:p w:rsidR="0077069C" w:rsidRDefault="005D685D" w:rsidP="0077069C">
      <w:pPr>
        <w:pStyle w:val="odstavec"/>
        <w:tabs>
          <w:tab w:val="clear" w:pos="0"/>
          <w:tab w:val="num" w:pos="624"/>
          <w:tab w:val="left" w:pos="709"/>
        </w:tabs>
        <w:ind w:left="624" w:hanging="360"/>
        <w:rPr>
          <w:rStyle w:val="ra"/>
        </w:rPr>
      </w:pPr>
      <w:proofErr w:type="spellStart"/>
      <w:r>
        <w:rPr>
          <w:rStyle w:val="ra"/>
        </w:rPr>
        <w:t>koktailov,</w:t>
      </w:r>
      <w:r w:rsidR="0077069C">
        <w:rPr>
          <w:rStyle w:val="ra"/>
        </w:rPr>
        <w:t>piva</w:t>
      </w:r>
      <w:proofErr w:type="spellEnd"/>
      <w:r w:rsidR="0077069C">
        <w:rPr>
          <w:rStyle w:val="ra"/>
        </w:rPr>
        <w:t>, vína a destilátov</w:t>
      </w:r>
    </w:p>
    <w:p w:rsidR="0077069C" w:rsidRDefault="0077069C" w:rsidP="0077069C">
      <w:pPr>
        <w:pStyle w:val="odstavec"/>
        <w:tabs>
          <w:tab w:val="clear" w:pos="0"/>
          <w:tab w:val="num" w:pos="624"/>
          <w:tab w:val="left" w:pos="709"/>
        </w:tabs>
        <w:ind w:left="624" w:hanging="360"/>
        <w:rPr>
          <w:rStyle w:val="ra"/>
        </w:rPr>
      </w:pPr>
      <w:r>
        <w:rPr>
          <w:rStyle w:val="ra"/>
        </w:rPr>
        <w:t>pohostinská činnosť</w:t>
      </w:r>
    </w:p>
    <w:p w:rsidR="0077069C" w:rsidRDefault="0077069C" w:rsidP="0077069C">
      <w:pPr>
        <w:pStyle w:val="odstavec"/>
        <w:tabs>
          <w:tab w:val="clear" w:pos="0"/>
          <w:tab w:val="num" w:pos="624"/>
          <w:tab w:val="left" w:pos="709"/>
        </w:tabs>
        <w:ind w:left="624" w:hanging="360"/>
        <w:rPr>
          <w:rStyle w:val="ra"/>
        </w:rPr>
      </w:pPr>
      <w:r>
        <w:rPr>
          <w:rStyle w:val="ra"/>
        </w:rPr>
        <w:t>organizovanie a zabezpečovanie školení, kurzov, seminárov v rozsahu voľnej živnosti</w:t>
      </w:r>
    </w:p>
    <w:p w:rsidR="0077069C" w:rsidRDefault="0077069C" w:rsidP="0077069C">
      <w:pPr>
        <w:pStyle w:val="odstavec"/>
        <w:tabs>
          <w:tab w:val="clear" w:pos="0"/>
          <w:tab w:val="num" w:pos="624"/>
          <w:tab w:val="left" w:pos="709"/>
        </w:tabs>
        <w:ind w:left="624" w:hanging="360"/>
        <w:rPr>
          <w:rStyle w:val="ra"/>
        </w:rPr>
      </w:pPr>
      <w:r>
        <w:rPr>
          <w:rStyle w:val="ra"/>
        </w:rPr>
        <w:t>vydavateľská činnosť v rozsahu voľnej živnosti</w:t>
      </w:r>
    </w:p>
    <w:p w:rsidR="0077069C" w:rsidRDefault="0077069C" w:rsidP="0077069C">
      <w:pPr>
        <w:pStyle w:val="odstavec"/>
        <w:tabs>
          <w:tab w:val="clear" w:pos="0"/>
          <w:tab w:val="num" w:pos="624"/>
          <w:tab w:val="left" w:pos="709"/>
        </w:tabs>
        <w:ind w:left="624" w:hanging="360"/>
        <w:rPr>
          <w:rStyle w:val="ra"/>
        </w:rPr>
      </w:pPr>
      <w:r>
        <w:rPr>
          <w:rStyle w:val="ra"/>
        </w:rPr>
        <w:t>reklamná a propagačná činnosť</w:t>
      </w:r>
    </w:p>
    <w:p w:rsidR="0077069C" w:rsidRDefault="0077069C" w:rsidP="0077069C">
      <w:pPr>
        <w:pStyle w:val="odstavec"/>
        <w:tabs>
          <w:tab w:val="clear" w:pos="0"/>
          <w:tab w:val="num" w:pos="624"/>
          <w:tab w:val="left" w:pos="709"/>
        </w:tabs>
        <w:ind w:left="624" w:hanging="360"/>
      </w:pP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77069C">
      <w:pPr>
        <w:pStyle w:val="odstavec"/>
      </w:pPr>
      <w:r w:rsidRPr="0090211C">
        <w:t>Spoločnosť nie je neobmedzene ručiacim spoločníkom v iných účtovných jednotkách.</w:t>
      </w:r>
    </w:p>
    <w:p w:rsidR="00D26121" w:rsidRPr="0090211C" w:rsidRDefault="00D26121" w:rsidP="0077069C">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77069C">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77069C">
      <w:pPr>
        <w:pStyle w:val="odstavec"/>
      </w:pPr>
    </w:p>
    <w:bookmarkStart w:id="0" w:name="_MON_1489216035"/>
    <w:bookmarkEnd w:id="0"/>
    <w:p w:rsidR="00B9155B" w:rsidRPr="0090211C" w:rsidRDefault="005D685D" w:rsidP="0077069C">
      <w:pPr>
        <w:pStyle w:val="odstavec"/>
      </w:pPr>
      <w:r w:rsidRPr="0090211C">
        <w:object w:dxaOrig="803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02pt;height:71.25pt" o:ole="">
            <v:imagedata r:id="rId8" o:title=""/>
          </v:shape>
          <o:OLEObject Type="Embed" ProgID="Excel.Sheet.12" ShapeID="_x0000_i1031" DrawAspect="Content" ObjectID="_1520075518" r:id="rId9"/>
        </w:object>
      </w:r>
    </w:p>
    <w:p w:rsidR="00B9155B" w:rsidRPr="0090211C" w:rsidRDefault="00B9155B" w:rsidP="0077069C">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77069C">
      <w:pPr>
        <w:pStyle w:val="odstavec"/>
      </w:pPr>
      <w:r w:rsidRPr="0090211C">
        <w:t xml:space="preserve">Účtovná závierka Spoločnosti k 31. decembru </w:t>
      </w:r>
      <w:r w:rsidR="005D685D">
        <w:t>2015</w:t>
      </w:r>
      <w:r>
        <w:t xml:space="preserve"> je zostavená podľa </w:t>
      </w:r>
      <w:r w:rsidRPr="00C0408E">
        <w:rPr>
          <w:b/>
        </w:rPr>
        <w:t>opatrenia MF/1</w:t>
      </w:r>
      <w:r w:rsidR="005D685D">
        <w:rPr>
          <w:b/>
        </w:rPr>
        <w:t>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t>201</w:t>
      </w:r>
      <w:r w:rsidR="005D685D">
        <w:t>5</w:t>
      </w:r>
      <w:r w:rsidRPr="0090211C">
        <w:t xml:space="preserve"> do 31. decembra </w:t>
      </w:r>
      <w:r w:rsidR="005D685D">
        <w:t>2015</w:t>
      </w:r>
      <w:r w:rsidRPr="0090211C">
        <w:t>.</w:t>
      </w:r>
    </w:p>
    <w:p w:rsidR="00D26121" w:rsidRDefault="00D26121" w:rsidP="00AD11E7">
      <w:pPr>
        <w:tabs>
          <w:tab w:val="left" w:pos="555"/>
        </w:tabs>
        <w:ind w:left="284"/>
        <w:jc w:val="both"/>
        <w:rPr>
          <w:rFonts w:ascii="Arial" w:hAnsi="Arial" w:cs="Arial"/>
          <w:sz w:val="20"/>
          <w:szCs w:val="20"/>
        </w:rPr>
      </w:pPr>
    </w:p>
    <w:p w:rsidR="005D685D" w:rsidRPr="0090211C" w:rsidRDefault="005D685D"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77069C" w:rsidP="0077069C">
      <w:pPr>
        <w:pStyle w:val="odstavec"/>
      </w:pPr>
      <w:r>
        <w:t xml:space="preserve">Konateľ: </w:t>
      </w:r>
      <w:r>
        <w:tab/>
        <w:t xml:space="preserve">PhDr. Ľubica </w:t>
      </w:r>
      <w:proofErr w:type="spellStart"/>
      <w:r>
        <w:t>Mižíčková</w:t>
      </w:r>
      <w:proofErr w:type="spellEnd"/>
    </w:p>
    <w:p w:rsidR="00B9155B" w:rsidRPr="0090211C" w:rsidRDefault="00B9155B" w:rsidP="0077069C">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77069C">
      <w:pPr>
        <w:pStyle w:val="odstavec"/>
      </w:pPr>
      <w:r w:rsidRPr="0090211C">
        <w:t xml:space="preserve">Štruktúra spoločníkov Spoločnosti k 31. decembru </w:t>
      </w:r>
      <w:r>
        <w:rPr>
          <w:iCs/>
        </w:rPr>
        <w:t>201</w:t>
      </w:r>
      <w:r w:rsidR="005D685D">
        <w:rPr>
          <w:iCs/>
        </w:rPr>
        <w:t>5</w:t>
      </w:r>
      <w:r w:rsidRPr="0090211C">
        <w:t>:</w:t>
      </w:r>
    </w:p>
    <w:bookmarkStart w:id="1" w:name="_MON_1487428686"/>
    <w:bookmarkEnd w:id="1"/>
    <w:p w:rsidR="00B9155B" w:rsidRPr="0090211C" w:rsidRDefault="0077069C" w:rsidP="00CD2E1A">
      <w:pPr>
        <w:tabs>
          <w:tab w:val="left" w:pos="555"/>
        </w:tabs>
        <w:ind w:left="284"/>
        <w:rPr>
          <w:rFonts w:ascii="Arial" w:hAnsi="Arial" w:cs="Arial"/>
          <w:sz w:val="20"/>
          <w:szCs w:val="20"/>
        </w:rPr>
      </w:pPr>
      <w:r w:rsidRPr="0090211C">
        <w:rPr>
          <w:rFonts w:ascii="Arial" w:hAnsi="Arial" w:cs="Arial"/>
          <w:sz w:val="20"/>
          <w:szCs w:val="20"/>
        </w:rPr>
        <w:object w:dxaOrig="9919" w:dyaOrig="2723">
          <v:shape id="_x0000_i1026" type="#_x0000_t75" style="width:476.25pt;height:130.5pt" o:ole="">
            <v:imagedata r:id="rId10" o:title=""/>
          </v:shape>
          <o:OLEObject Type="Embed" ProgID="Excel.Sheet.12" ShapeID="_x0000_i1026" DrawAspect="Content" ObjectID="_1520075519" r:id="rId11"/>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77069C">
      <w:pPr>
        <w:pStyle w:val="odstavec"/>
      </w:pPr>
      <w:r>
        <w:t>Spoločnosť nie je konsolidovaná, lebo nemá materskú spoločnosť.</w:t>
      </w:r>
    </w:p>
    <w:p w:rsidR="00B9155B" w:rsidRPr="0090211C" w:rsidRDefault="00B9155B" w:rsidP="0077069C">
      <w:pPr>
        <w:pStyle w:val="odstavec"/>
      </w:pPr>
    </w:p>
    <w:p w:rsidR="00B9155B" w:rsidRPr="0090211C" w:rsidRDefault="00B9155B" w:rsidP="0077069C">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77069C">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77069C">
      <w:pPr>
        <w:pStyle w:val="odstavec"/>
      </w:pPr>
    </w:p>
    <w:p w:rsidR="00B9155B" w:rsidRPr="0090211C" w:rsidRDefault="00B9155B" w:rsidP="0077069C">
      <w:pPr>
        <w:pStyle w:val="odstavec"/>
      </w:pPr>
      <w:r w:rsidRPr="0090211C">
        <w:t>Peňažné údaje v účtovnej závierke sú uvedené v celých EUR, pokiaľ nie je určené inak.</w:t>
      </w:r>
    </w:p>
    <w:p w:rsidR="00B9155B" w:rsidRDefault="00B9155B" w:rsidP="0077069C">
      <w:pPr>
        <w:pStyle w:val="odstavec"/>
      </w:pPr>
      <w:r w:rsidRPr="0090211C">
        <w:t xml:space="preserve">Účtovné metódy a všeobecné účtovné zásady Spoločnosť aplikovala konzistentne s predchádzajúcim účtovným obdobím. </w:t>
      </w:r>
    </w:p>
    <w:p w:rsidR="00B9155B" w:rsidRDefault="00B9155B" w:rsidP="0077069C">
      <w:pPr>
        <w:pStyle w:val="odstavec"/>
      </w:pPr>
    </w:p>
    <w:p w:rsidR="00B9155B" w:rsidRPr="00C0408E" w:rsidRDefault="00B9155B" w:rsidP="0077069C">
      <w:pPr>
        <w:pStyle w:val="odstavec"/>
      </w:pPr>
      <w:r w:rsidRPr="00C0408E">
        <w:t xml:space="preserve">Účtovná závierka bola zostavená v zmysle opatrenia MF/14464/2013 – 74 pre </w:t>
      </w:r>
      <w:proofErr w:type="spellStart"/>
      <w:r w:rsidRPr="00C0408E">
        <w:t>mikro</w:t>
      </w:r>
      <w:proofErr w:type="spellEnd"/>
      <w:r w:rsidRPr="00C0408E">
        <w:t xml:space="preserve"> účtovné jednotky,</w:t>
      </w:r>
    </w:p>
    <w:p w:rsidR="00B9155B" w:rsidRPr="0090211C" w:rsidRDefault="00B9155B" w:rsidP="0077069C">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77069C">
      <w:pPr>
        <w:pStyle w:val="odstavec"/>
      </w:pPr>
      <w:r>
        <w:t xml:space="preserve">Dlhodobý majetok nakupovaný sa oceňuje obstarávacou cenou, ktorá zahŕňa cenu obstarania a náklady súvisiace s obstaraním (clo, prepravu, montáž, poistné a pod.). </w:t>
      </w:r>
    </w:p>
    <w:p w:rsidR="00B9155B" w:rsidRDefault="00B9155B" w:rsidP="0077069C">
      <w:pPr>
        <w:pStyle w:val="odstavec"/>
      </w:pPr>
    </w:p>
    <w:p w:rsidR="00B9155B" w:rsidRDefault="00B9155B" w:rsidP="0077069C">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77069C">
      <w:pPr>
        <w:pStyle w:val="odstavec"/>
      </w:pPr>
    </w:p>
    <w:p w:rsidR="00B9155B" w:rsidRDefault="00B9155B" w:rsidP="0077069C">
      <w:pPr>
        <w:pStyle w:val="odstavec"/>
      </w:pPr>
      <w:r>
        <w:t>Súčasťou obstarávacej ceny dlhodobého nehmotného majetku nie sú úroky z cudzích zdrojov, ktoré vznikli do momentu zaradenia dlhodobého nehmotného majetku do používania.</w:t>
      </w:r>
    </w:p>
    <w:p w:rsidR="00B9155B" w:rsidRDefault="00B9155B" w:rsidP="0077069C">
      <w:pPr>
        <w:pStyle w:val="odstavec"/>
      </w:pPr>
    </w:p>
    <w:p w:rsidR="00B9155B" w:rsidRDefault="00B9155B" w:rsidP="0077069C">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77069C">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77069C">
            <w:pPr>
              <w:pStyle w:val="odstavec"/>
            </w:pPr>
          </w:p>
        </w:tc>
        <w:tc>
          <w:tcPr>
            <w:tcW w:w="1985" w:type="dxa"/>
          </w:tcPr>
          <w:p w:rsidR="00B9155B" w:rsidRDefault="00B9155B" w:rsidP="0077069C">
            <w:pPr>
              <w:pStyle w:val="odstavec"/>
            </w:pPr>
            <w:r>
              <w:t>Predpokladaná</w:t>
            </w:r>
          </w:p>
        </w:tc>
        <w:tc>
          <w:tcPr>
            <w:tcW w:w="141" w:type="dxa"/>
          </w:tcPr>
          <w:p w:rsidR="00B9155B" w:rsidRDefault="00B9155B" w:rsidP="0077069C">
            <w:pPr>
              <w:pStyle w:val="odstavec"/>
            </w:pPr>
          </w:p>
        </w:tc>
        <w:tc>
          <w:tcPr>
            <w:tcW w:w="1701" w:type="dxa"/>
          </w:tcPr>
          <w:p w:rsidR="00B9155B" w:rsidRDefault="00B9155B" w:rsidP="0077069C">
            <w:pPr>
              <w:pStyle w:val="odstavec"/>
            </w:pPr>
            <w:r>
              <w:t>Metóda</w:t>
            </w:r>
          </w:p>
        </w:tc>
        <w:tc>
          <w:tcPr>
            <w:tcW w:w="142" w:type="dxa"/>
          </w:tcPr>
          <w:p w:rsidR="00B9155B" w:rsidRDefault="00B9155B" w:rsidP="0077069C">
            <w:pPr>
              <w:pStyle w:val="odstavec"/>
            </w:pPr>
          </w:p>
        </w:tc>
        <w:tc>
          <w:tcPr>
            <w:tcW w:w="1701" w:type="dxa"/>
          </w:tcPr>
          <w:p w:rsidR="00B9155B" w:rsidRDefault="00B9155B" w:rsidP="0077069C">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77069C">
            <w:pPr>
              <w:pStyle w:val="odstavec"/>
            </w:pPr>
          </w:p>
        </w:tc>
        <w:tc>
          <w:tcPr>
            <w:tcW w:w="142" w:type="dxa"/>
            <w:tcBorders>
              <w:bottom w:val="single" w:sz="4" w:space="0" w:color="auto"/>
            </w:tcBorders>
          </w:tcPr>
          <w:p w:rsidR="00B9155B" w:rsidRDefault="00B9155B" w:rsidP="0077069C">
            <w:pPr>
              <w:pStyle w:val="odstavec"/>
            </w:pPr>
          </w:p>
        </w:tc>
        <w:tc>
          <w:tcPr>
            <w:tcW w:w="1985" w:type="dxa"/>
            <w:tcBorders>
              <w:bottom w:val="single" w:sz="4" w:space="0" w:color="auto"/>
            </w:tcBorders>
          </w:tcPr>
          <w:p w:rsidR="00B9155B" w:rsidRDefault="00B9155B" w:rsidP="0077069C">
            <w:pPr>
              <w:pStyle w:val="odstavec"/>
            </w:pPr>
            <w:r>
              <w:t>doba používania v rokoch</w:t>
            </w:r>
          </w:p>
        </w:tc>
        <w:tc>
          <w:tcPr>
            <w:tcW w:w="141" w:type="dxa"/>
            <w:tcBorders>
              <w:bottom w:val="single" w:sz="4" w:space="0" w:color="auto"/>
            </w:tcBorders>
          </w:tcPr>
          <w:p w:rsidR="00B9155B" w:rsidRDefault="00B9155B" w:rsidP="0077069C">
            <w:pPr>
              <w:pStyle w:val="odstavec"/>
            </w:pPr>
          </w:p>
        </w:tc>
        <w:tc>
          <w:tcPr>
            <w:tcW w:w="1701" w:type="dxa"/>
            <w:tcBorders>
              <w:bottom w:val="single" w:sz="4" w:space="0" w:color="auto"/>
            </w:tcBorders>
          </w:tcPr>
          <w:p w:rsidR="00B9155B" w:rsidRDefault="00B9155B" w:rsidP="0077069C">
            <w:pPr>
              <w:pStyle w:val="odstavec"/>
            </w:pPr>
            <w:r>
              <w:t>odpisovania</w:t>
            </w:r>
          </w:p>
        </w:tc>
        <w:tc>
          <w:tcPr>
            <w:tcW w:w="142" w:type="dxa"/>
            <w:tcBorders>
              <w:bottom w:val="single" w:sz="4" w:space="0" w:color="auto"/>
            </w:tcBorders>
          </w:tcPr>
          <w:p w:rsidR="00B9155B" w:rsidRDefault="00B9155B" w:rsidP="0077069C">
            <w:pPr>
              <w:pStyle w:val="odstavec"/>
            </w:pPr>
          </w:p>
        </w:tc>
        <w:tc>
          <w:tcPr>
            <w:tcW w:w="1701" w:type="dxa"/>
            <w:tcBorders>
              <w:bottom w:val="single" w:sz="4" w:space="0" w:color="auto"/>
            </w:tcBorders>
          </w:tcPr>
          <w:p w:rsidR="00B9155B" w:rsidRDefault="00B9155B" w:rsidP="0077069C">
            <w:pPr>
              <w:pStyle w:val="odstavec"/>
            </w:pPr>
            <w:r>
              <w:t>sadzba v %</w:t>
            </w:r>
          </w:p>
        </w:tc>
      </w:tr>
      <w:tr w:rsidR="00B9155B" w:rsidTr="00D436A8">
        <w:trPr>
          <w:trHeight w:val="250"/>
        </w:trPr>
        <w:tc>
          <w:tcPr>
            <w:tcW w:w="3118" w:type="dxa"/>
            <w:gridSpan w:val="2"/>
          </w:tcPr>
          <w:p w:rsidR="00B9155B" w:rsidRDefault="00B9155B" w:rsidP="0077069C">
            <w:pPr>
              <w:pStyle w:val="odstavec"/>
            </w:pPr>
            <w:r>
              <w:t>Stroje, prístroje a zariadenia</w:t>
            </w:r>
          </w:p>
        </w:tc>
        <w:tc>
          <w:tcPr>
            <w:tcW w:w="1985" w:type="dxa"/>
          </w:tcPr>
          <w:p w:rsidR="00B9155B" w:rsidRDefault="00B9155B" w:rsidP="0077069C">
            <w:pPr>
              <w:pStyle w:val="odstavec"/>
            </w:pPr>
            <w:r>
              <w:t>8 až 12</w:t>
            </w:r>
          </w:p>
        </w:tc>
        <w:tc>
          <w:tcPr>
            <w:tcW w:w="141" w:type="dxa"/>
          </w:tcPr>
          <w:p w:rsidR="00B9155B" w:rsidRDefault="00B9155B" w:rsidP="0077069C">
            <w:pPr>
              <w:pStyle w:val="odstavec"/>
            </w:pPr>
          </w:p>
        </w:tc>
        <w:tc>
          <w:tcPr>
            <w:tcW w:w="1701" w:type="dxa"/>
          </w:tcPr>
          <w:p w:rsidR="00B9155B" w:rsidRDefault="00B9155B" w:rsidP="0077069C">
            <w:pPr>
              <w:pStyle w:val="odstavec"/>
            </w:pPr>
            <w:r>
              <w:t>lineárna</w:t>
            </w:r>
          </w:p>
        </w:tc>
        <w:tc>
          <w:tcPr>
            <w:tcW w:w="142" w:type="dxa"/>
          </w:tcPr>
          <w:p w:rsidR="00B9155B" w:rsidRDefault="00B9155B" w:rsidP="0077069C">
            <w:pPr>
              <w:pStyle w:val="odstavec"/>
            </w:pPr>
          </w:p>
        </w:tc>
        <w:tc>
          <w:tcPr>
            <w:tcW w:w="1701" w:type="dxa"/>
          </w:tcPr>
          <w:p w:rsidR="00B9155B" w:rsidRDefault="00B9155B" w:rsidP="0077069C">
            <w:pPr>
              <w:pStyle w:val="odstavec"/>
            </w:pPr>
            <w:r>
              <w:t>8,3 až 12,5</w:t>
            </w:r>
          </w:p>
        </w:tc>
      </w:tr>
      <w:tr w:rsidR="00B9155B" w:rsidTr="00D436A8">
        <w:trPr>
          <w:trHeight w:val="250"/>
        </w:trPr>
        <w:tc>
          <w:tcPr>
            <w:tcW w:w="3118" w:type="dxa"/>
            <w:gridSpan w:val="2"/>
          </w:tcPr>
          <w:p w:rsidR="00B9155B" w:rsidRDefault="00B9155B" w:rsidP="0077069C">
            <w:pPr>
              <w:pStyle w:val="odstavec"/>
            </w:pPr>
            <w:r>
              <w:t>Dopravné prostriedky</w:t>
            </w:r>
          </w:p>
        </w:tc>
        <w:tc>
          <w:tcPr>
            <w:tcW w:w="1985" w:type="dxa"/>
          </w:tcPr>
          <w:p w:rsidR="00B9155B" w:rsidRDefault="00B9155B" w:rsidP="0077069C">
            <w:pPr>
              <w:pStyle w:val="odstavec"/>
            </w:pPr>
            <w:r>
              <w:t>4 až 6</w:t>
            </w:r>
          </w:p>
        </w:tc>
        <w:tc>
          <w:tcPr>
            <w:tcW w:w="141" w:type="dxa"/>
          </w:tcPr>
          <w:p w:rsidR="00B9155B" w:rsidRDefault="00B9155B" w:rsidP="0077069C">
            <w:pPr>
              <w:pStyle w:val="odstavec"/>
            </w:pPr>
          </w:p>
        </w:tc>
        <w:tc>
          <w:tcPr>
            <w:tcW w:w="1701" w:type="dxa"/>
          </w:tcPr>
          <w:p w:rsidR="00B9155B" w:rsidRDefault="00B9155B" w:rsidP="0077069C">
            <w:pPr>
              <w:pStyle w:val="odstavec"/>
            </w:pPr>
            <w:r>
              <w:t>degresívna</w:t>
            </w:r>
          </w:p>
        </w:tc>
        <w:tc>
          <w:tcPr>
            <w:tcW w:w="142" w:type="dxa"/>
          </w:tcPr>
          <w:p w:rsidR="00B9155B" w:rsidRDefault="00B9155B" w:rsidP="0077069C">
            <w:pPr>
              <w:pStyle w:val="odstavec"/>
            </w:pPr>
          </w:p>
        </w:tc>
        <w:tc>
          <w:tcPr>
            <w:tcW w:w="1701" w:type="dxa"/>
          </w:tcPr>
          <w:p w:rsidR="00B9155B" w:rsidRDefault="00B9155B" w:rsidP="0077069C">
            <w:pPr>
              <w:pStyle w:val="odstavec"/>
            </w:pPr>
            <w:r>
              <w:t>16 až 30</w:t>
            </w:r>
          </w:p>
        </w:tc>
      </w:tr>
      <w:tr w:rsidR="00B9155B" w:rsidTr="00D436A8">
        <w:trPr>
          <w:trHeight w:val="250"/>
        </w:trPr>
        <w:tc>
          <w:tcPr>
            <w:tcW w:w="3118" w:type="dxa"/>
            <w:gridSpan w:val="2"/>
          </w:tcPr>
          <w:p w:rsidR="00B9155B" w:rsidRDefault="00B9155B" w:rsidP="0077069C">
            <w:pPr>
              <w:pStyle w:val="odstavec"/>
            </w:pPr>
            <w:r>
              <w:t>Drobný dlhodobý hmotný majetok</w:t>
            </w:r>
          </w:p>
        </w:tc>
        <w:tc>
          <w:tcPr>
            <w:tcW w:w="1985" w:type="dxa"/>
          </w:tcPr>
          <w:p w:rsidR="00B9155B" w:rsidRDefault="00B9155B" w:rsidP="0077069C">
            <w:pPr>
              <w:pStyle w:val="odstavec"/>
            </w:pPr>
            <w:r>
              <w:t>rôzna</w:t>
            </w:r>
          </w:p>
        </w:tc>
        <w:tc>
          <w:tcPr>
            <w:tcW w:w="141" w:type="dxa"/>
          </w:tcPr>
          <w:p w:rsidR="00B9155B" w:rsidRDefault="00B9155B" w:rsidP="0077069C">
            <w:pPr>
              <w:pStyle w:val="odstavec"/>
            </w:pPr>
          </w:p>
        </w:tc>
        <w:tc>
          <w:tcPr>
            <w:tcW w:w="1701" w:type="dxa"/>
          </w:tcPr>
          <w:p w:rsidR="00B9155B" w:rsidRDefault="00B9155B" w:rsidP="0077069C">
            <w:pPr>
              <w:pStyle w:val="odstavec"/>
            </w:pPr>
            <w:r>
              <w:t>jednorazový odpis</w:t>
            </w:r>
          </w:p>
        </w:tc>
        <w:tc>
          <w:tcPr>
            <w:tcW w:w="142" w:type="dxa"/>
          </w:tcPr>
          <w:p w:rsidR="00B9155B" w:rsidRDefault="00B9155B" w:rsidP="0077069C">
            <w:pPr>
              <w:pStyle w:val="odstavec"/>
            </w:pPr>
          </w:p>
        </w:tc>
        <w:tc>
          <w:tcPr>
            <w:tcW w:w="1701" w:type="dxa"/>
          </w:tcPr>
          <w:p w:rsidR="00B9155B" w:rsidRDefault="00B9155B" w:rsidP="0077069C">
            <w:pPr>
              <w:pStyle w:val="odstavec"/>
            </w:pPr>
            <w:r>
              <w:t>100</w:t>
            </w:r>
          </w:p>
        </w:tc>
      </w:tr>
      <w:tr w:rsidR="00B9155B" w:rsidTr="00D436A8">
        <w:trPr>
          <w:trHeight w:val="250"/>
        </w:trPr>
        <w:tc>
          <w:tcPr>
            <w:tcW w:w="3118" w:type="dxa"/>
            <w:gridSpan w:val="2"/>
          </w:tcPr>
          <w:p w:rsidR="00B9155B" w:rsidRDefault="00B9155B" w:rsidP="0077069C">
            <w:pPr>
              <w:pStyle w:val="odstavec"/>
            </w:pPr>
          </w:p>
        </w:tc>
        <w:tc>
          <w:tcPr>
            <w:tcW w:w="1985" w:type="dxa"/>
          </w:tcPr>
          <w:p w:rsidR="00B9155B" w:rsidRDefault="00B9155B" w:rsidP="0077069C">
            <w:pPr>
              <w:pStyle w:val="odstavec"/>
            </w:pPr>
          </w:p>
        </w:tc>
        <w:tc>
          <w:tcPr>
            <w:tcW w:w="141" w:type="dxa"/>
          </w:tcPr>
          <w:p w:rsidR="00B9155B" w:rsidRDefault="00B9155B" w:rsidP="0077069C">
            <w:pPr>
              <w:pStyle w:val="odstavec"/>
            </w:pPr>
          </w:p>
        </w:tc>
        <w:tc>
          <w:tcPr>
            <w:tcW w:w="1701" w:type="dxa"/>
          </w:tcPr>
          <w:p w:rsidR="00B9155B" w:rsidRDefault="00B9155B" w:rsidP="0077069C">
            <w:pPr>
              <w:pStyle w:val="odstavec"/>
            </w:pPr>
          </w:p>
        </w:tc>
        <w:tc>
          <w:tcPr>
            <w:tcW w:w="142" w:type="dxa"/>
          </w:tcPr>
          <w:p w:rsidR="00B9155B" w:rsidRDefault="00B9155B" w:rsidP="0077069C">
            <w:pPr>
              <w:pStyle w:val="odstavec"/>
            </w:pPr>
          </w:p>
        </w:tc>
        <w:tc>
          <w:tcPr>
            <w:tcW w:w="1701" w:type="dxa"/>
          </w:tcPr>
          <w:p w:rsidR="00B9155B" w:rsidRDefault="00B9155B" w:rsidP="0077069C">
            <w:pPr>
              <w:pStyle w:val="odstavec"/>
            </w:pPr>
          </w:p>
        </w:tc>
      </w:tr>
    </w:tbl>
    <w:p w:rsidR="00B9155B" w:rsidRDefault="00B9155B" w:rsidP="004B1258">
      <w:pPr>
        <w:pStyle w:val="Pismenka"/>
        <w:tabs>
          <w:tab w:val="clear" w:pos="426"/>
        </w:tabs>
        <w:ind w:left="0" w:firstLine="0"/>
      </w:pPr>
    </w:p>
    <w:p w:rsidR="0077069C" w:rsidRDefault="0077069C" w:rsidP="004B1258">
      <w:pPr>
        <w:pStyle w:val="Pismenka"/>
        <w:tabs>
          <w:tab w:val="clear" w:pos="426"/>
        </w:tabs>
        <w:ind w:left="0" w:firstLine="0"/>
      </w:pPr>
    </w:p>
    <w:p w:rsidR="0077069C" w:rsidRDefault="0077069C"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w:t>
      </w:r>
      <w:r w:rsidRPr="0090211C">
        <w:t>a</w:t>
      </w:r>
      <w:r w:rsidRPr="0090211C">
        <w:t>né zásoby. Spoločnosť účtuje o zásobách spôsobom A tak, ako to definujú postupy účtovania. Úbytok zásob sa účtuje v skutočnej cene.</w:t>
      </w:r>
    </w:p>
    <w:p w:rsidR="00B9155B" w:rsidRPr="0090211C" w:rsidRDefault="00B9155B" w:rsidP="0077069C">
      <w:pPr>
        <w:pStyle w:val="odstavec"/>
      </w:pPr>
    </w:p>
    <w:p w:rsidR="00B9155B" w:rsidRPr="0090211C" w:rsidRDefault="00B9155B" w:rsidP="0077069C">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77069C">
      <w:pPr>
        <w:pStyle w:val="odstavec"/>
      </w:pPr>
    </w:p>
    <w:p w:rsidR="00B9155B" w:rsidRPr="0090211C" w:rsidRDefault="00B9155B" w:rsidP="0077069C">
      <w:pPr>
        <w:pStyle w:val="odstavec"/>
      </w:pPr>
      <w:r w:rsidRPr="0090211C">
        <w:t>Ak je zostatková doba splatnosti pohľadávky dlhšia než jeden rok, vytvára sa opravná položka, ktorá pre</w:t>
      </w:r>
      <w:r w:rsidRPr="0090211C">
        <w:t>d</w:t>
      </w:r>
      <w:r w:rsidRPr="0090211C">
        <w:t>stavuje rozdiel medzi menovitou a súčasnou hodnotou pohľadávky. Súčasná hodnota pohľadávky sa poč</w:t>
      </w:r>
      <w:r w:rsidRPr="0090211C">
        <w:t>í</w:t>
      </w:r>
      <w:r w:rsidRPr="0090211C">
        <w:t>ta ako súčet súčinov budúcich peňažných príjmov a príslušných diskontných faktorov.</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Finančné účty tvorí peňažná hotovosť a zostatky na bankových účtoch.</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77069C">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Opravné položky sa tvoria na základe zásady opatrnosti, ak je opodstatnené predpokladať, že došlo k zníženiu hodnoty majetku oproti jeho oceneniu v účtovníctve. Opravná položka sa účtuje v sume opo</w:t>
      </w:r>
      <w:r w:rsidRPr="0090211C">
        <w:t>d</w:t>
      </w:r>
      <w:r w:rsidRPr="0090211C">
        <w:t>statneného predpokladu zníženia hodnoty majetku oproti jeho oceneniu v účtovníctve.</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77069C">
      <w:pPr>
        <w:pStyle w:val="odstavec"/>
      </w:pPr>
    </w:p>
    <w:p w:rsidR="00B9155B" w:rsidRPr="0090211C" w:rsidRDefault="00B9155B" w:rsidP="0077069C">
      <w:pPr>
        <w:pStyle w:val="odstavec"/>
      </w:pPr>
      <w:r w:rsidRPr="0090211C">
        <w:t>Tvorba rezervy sa účtuje na vecne príslušný nákladový účet, ku ktorému záväzok prislúcha. Použitie reze</w:t>
      </w:r>
      <w:r w:rsidRPr="0090211C">
        <w:t>r</w:t>
      </w:r>
      <w:r w:rsidRPr="0090211C">
        <w:t>vy sa účtuje na ťarchu vecne príslušného účtu rezerv so súvzťažným zápisom v prospech vecne príslu</w:t>
      </w:r>
      <w:r w:rsidRPr="0090211C">
        <w:t>š</w:t>
      </w:r>
      <w:r w:rsidRPr="0090211C">
        <w:t>ného účtu záväzkov. Rozpustenie nepotrebnej rezervy alebo jej časti sa účtuje opačným účtovným záp</w:t>
      </w:r>
      <w:r w:rsidRPr="0090211C">
        <w:t>i</w:t>
      </w:r>
      <w:r w:rsidRPr="0090211C">
        <w:t xml:space="preserve">som ako sa účtovala tvorba rezervy. </w:t>
      </w:r>
    </w:p>
    <w:p w:rsidR="00B9155B" w:rsidRPr="0090211C" w:rsidRDefault="00B9155B" w:rsidP="0077069C">
      <w:pPr>
        <w:pStyle w:val="odstavec"/>
      </w:pPr>
    </w:p>
    <w:p w:rsidR="00B9155B" w:rsidRDefault="00B9155B" w:rsidP="0077069C">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77069C">
      <w:pPr>
        <w:pStyle w:val="odstavec"/>
      </w:pPr>
    </w:p>
    <w:p w:rsidR="009107A4" w:rsidRDefault="009107A4" w:rsidP="0077069C">
      <w:pPr>
        <w:pStyle w:val="odstavec"/>
      </w:pPr>
    </w:p>
    <w:p w:rsidR="009107A4" w:rsidRDefault="009107A4"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w:t>
      </w:r>
      <w:r w:rsidRPr="0090211C">
        <w:t>z</w:t>
      </w:r>
      <w:r w:rsidRPr="0090211C">
        <w:t>ky v účtovníctve a v účtovnej závierke v tomto zistenom ocenení.</w:t>
      </w:r>
    </w:p>
    <w:p w:rsidR="00B9155B" w:rsidRDefault="00B9155B" w:rsidP="0077069C">
      <w:pPr>
        <w:pStyle w:val="odstavec"/>
      </w:pPr>
    </w:p>
    <w:p w:rsidR="005D685D" w:rsidRPr="0090211C" w:rsidRDefault="005D685D"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Daň z príjmov sa účtuje do nákladov Spoločnosti v období vzniku daňovej povinnosti a v priloženom výkaze ziskov a strát Spoločnosti je vypočítaná zo základu vyplývajúceho z hospodárskeho výsledku pred zdan</w:t>
      </w:r>
      <w:r w:rsidRPr="0090211C">
        <w:t>e</w:t>
      </w:r>
      <w:r w:rsidRPr="0090211C">
        <w:t>ním, ktorý bol upravený o pripočítateľné a odpočítateľné položky z titulu trvalých a dočasných úprav daň</w:t>
      </w:r>
      <w:r w:rsidRPr="0090211C">
        <w:t>o</w:t>
      </w:r>
      <w:r w:rsidRPr="0090211C">
        <w:t xml:space="preserve">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77069C">
      <w:pPr>
        <w:pStyle w:val="odstavec"/>
      </w:pPr>
      <w:r w:rsidRPr="00C0408E">
        <w:t>V zmysle opatrenia MF/15464/2013 – 74  ÚJ neúčtuje o odloženej dani</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Výnosy z predaja výrobkov sa vykazujú v momente prenosu rizika a vlastníctva výrobku, obvykle po d</w:t>
      </w:r>
      <w:r w:rsidRPr="0090211C">
        <w:t>o</w:t>
      </w:r>
      <w:r w:rsidRPr="0090211C">
        <w:t>dávke. Ak sa Spoločnosť zaviaže dopraviť výrobky na určité miesto, výnosy sa vykazujú v momente dor</w:t>
      </w:r>
      <w:r w:rsidRPr="0090211C">
        <w:t>u</w:t>
      </w:r>
      <w:r w:rsidRPr="0090211C">
        <w:t xml:space="preserve">čenia výrobku do cieľového miesta. </w:t>
      </w:r>
    </w:p>
    <w:p w:rsidR="00B9155B" w:rsidRPr="0090211C" w:rsidRDefault="00B9155B" w:rsidP="0077069C">
      <w:pPr>
        <w:pStyle w:val="odstavec"/>
      </w:pPr>
    </w:p>
    <w:p w:rsidR="00B9155B" w:rsidRPr="0090211C" w:rsidRDefault="00B9155B" w:rsidP="0077069C">
      <w:pPr>
        <w:pStyle w:val="odstavec"/>
      </w:pPr>
      <w:r w:rsidRPr="0090211C">
        <w:t xml:space="preserve">Výnosy z predaja služieb sa vykazujú v účtovnom období, v ktorom boli služby poskytnuté. </w:t>
      </w:r>
    </w:p>
    <w:p w:rsidR="00B9155B" w:rsidRPr="0090211C" w:rsidRDefault="00B9155B" w:rsidP="0077069C">
      <w:pPr>
        <w:pStyle w:val="odstavec"/>
      </w:pPr>
    </w:p>
    <w:p w:rsidR="00B9155B" w:rsidRPr="0090211C" w:rsidRDefault="00B9155B" w:rsidP="0077069C">
      <w:pPr>
        <w:pStyle w:val="odstavec"/>
      </w:pPr>
      <w:r w:rsidRPr="0090211C">
        <w:t>Výnosy sa vykazujú po odpočítaní dane z pridanej hodnoty, zliav a zrážok (rabaty, bonusy, skontá, dobr</w:t>
      </w:r>
      <w:r w:rsidRPr="0090211C">
        <w:t>o</w:t>
      </w:r>
      <w:r w:rsidRPr="0090211C">
        <w:t>pisy a pod.). Výnosy sa vykazujú v reálnej hodnote. Výnosové úroky sa účtujú na základe časového rozl</w:t>
      </w:r>
      <w:r w:rsidRPr="0090211C">
        <w:t>í</w:t>
      </w:r>
      <w:r w:rsidRPr="0090211C">
        <w:t xml:space="preserve">šenia metódou efektívnej úrokovej miery. Výnosy z dividend sa zaúčtujú v čase vzniku práva Spoločnosti na prijatie platby. </w:t>
      </w:r>
    </w:p>
    <w:p w:rsidR="00B9155B" w:rsidRPr="0090211C" w:rsidRDefault="00B9155B" w:rsidP="0077069C">
      <w:pPr>
        <w:pStyle w:val="odstavec"/>
      </w:pPr>
      <w:r w:rsidRPr="0090211C">
        <w:t>.</w:t>
      </w:r>
    </w:p>
    <w:p w:rsidR="00B9155B" w:rsidRPr="0090211C" w:rsidRDefault="00B9155B" w:rsidP="0077069C">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77069C">
      <w:pPr>
        <w:pStyle w:val="odstavec"/>
      </w:pPr>
      <w:r w:rsidRPr="0090211C">
        <w:t>Niektoré údaje za predošlé účtovné obdobie boli pozmenené pre ich lepšiu porovnateľnosť s údajmi uv</w:t>
      </w:r>
      <w:r w:rsidRPr="0090211C">
        <w:t>e</w:t>
      </w:r>
      <w:r w:rsidRPr="0090211C">
        <w:t>denými v bežnom účtovnom období. Zmena v prezentácii porovnateľných údajov nemala dopad na celk</w:t>
      </w:r>
      <w:r w:rsidRPr="0090211C">
        <w:t>o</w:t>
      </w:r>
      <w:r w:rsidRPr="0090211C">
        <w:t>vú výšku aktív, vlastného imania a výsledku hospodárenia v predchádzajúcom období.</w:t>
      </w:r>
    </w:p>
    <w:p w:rsidR="00B9155B" w:rsidRDefault="00B9155B" w:rsidP="0077069C">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77069C">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77069C">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77069C">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77069C">
      <w:pPr>
        <w:pStyle w:val="odstavec"/>
      </w:pPr>
      <w:r>
        <w:t>d)     Finančné prostriedky spoločnosti neboli použité na súkromné účely štatutárnym orgánom spol.</w:t>
      </w:r>
    </w:p>
    <w:p w:rsidR="00B9155B" w:rsidRDefault="00B9155B" w:rsidP="0077069C">
      <w:pPr>
        <w:pStyle w:val="odstavec"/>
      </w:pPr>
    </w:p>
    <w:p w:rsidR="00B9155B" w:rsidRDefault="00B9155B" w:rsidP="0077069C">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w:t>
      </w:r>
      <w:r w:rsidRPr="00A800F9">
        <w:rPr>
          <w:b w:val="0"/>
        </w:rPr>
        <w:t>e</w:t>
      </w:r>
      <w:r w:rsidRPr="00A800F9">
        <w:rPr>
          <w:b w:val="0"/>
        </w:rPr>
        <w:t>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428796"/>
    <w:bookmarkEnd w:id="13"/>
    <w:p w:rsidR="00B9155B" w:rsidRPr="00307046" w:rsidRDefault="005D685D" w:rsidP="00520F9A">
      <w:pPr>
        <w:pStyle w:val="Zkladntext"/>
      </w:pPr>
      <w:r w:rsidRPr="0090211C">
        <w:object w:dxaOrig="9409" w:dyaOrig="5899">
          <v:shape id="_x0000_i1036" type="#_x0000_t75" style="width:484.5pt;height:312.75pt" o:ole="">
            <v:imagedata r:id="rId12" o:title=""/>
          </v:shape>
          <o:OLEObject Type="Embed" ProgID="Excel.Sheet.12" ShapeID="_x0000_i1036" DrawAspect="Content" ObjectID="_1520075520" r:id="rId13"/>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77069C">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77069C">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77069C">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77069C">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členom štatutárneho orgánu sú </w:t>
      </w:r>
      <w:r w:rsidR="009107A4">
        <w:t xml:space="preserve">nula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w:t>
      </w:r>
      <w:r w:rsidRPr="0090211C">
        <w:rPr>
          <w:rFonts w:cs="Arial"/>
        </w:rPr>
        <w:t>e</w:t>
      </w:r>
      <w:r w:rsidRPr="0090211C">
        <w:rPr>
          <w:rFonts w:cs="Arial"/>
        </w:rPr>
        <w:t>ná v nasledujúcej tabuľke:</w:t>
      </w:r>
    </w:p>
    <w:p w:rsidR="00B9155B" w:rsidRPr="0090211C" w:rsidRDefault="00B9155B" w:rsidP="0077069C">
      <w:pPr>
        <w:pStyle w:val="odstavec"/>
      </w:pPr>
    </w:p>
    <w:p w:rsidR="00B9155B" w:rsidRPr="0090211C" w:rsidRDefault="00D65A1B" w:rsidP="00343772">
      <w:pPr>
        <w:tabs>
          <w:tab w:val="left" w:pos="555"/>
        </w:tabs>
        <w:ind w:left="284"/>
        <w:rPr>
          <w:rFonts w:ascii="Arial" w:hAnsi="Arial" w:cs="Arial"/>
          <w:sz w:val="20"/>
          <w:szCs w:val="20"/>
        </w:rPr>
      </w:pPr>
      <w:r>
        <w:rPr>
          <w:rFonts w:ascii="Arial" w:hAnsi="Arial" w:cs="Arial"/>
          <w:noProof/>
          <w:sz w:val="20"/>
          <w:szCs w:val="20"/>
        </w:rPr>
        <w:pict>
          <v:shape id="_x0000_s1030" type="#_x0000_t75" style="position:absolute;left:0;text-align:left;margin-left:0;margin-top:0;width:350.35pt;height:84.8pt;z-index:251660288;mso-position-horizontal:left;mso-position-horizontal-relative:text;mso-position-vertical-relative:text">
            <v:imagedata r:id="rId14" o:title=""/>
            <w10:wrap type="square" side="right"/>
          </v:shape>
          <o:OLEObject Type="Embed" ProgID="Excel.Sheet.12" ShapeID="_x0000_s1030" DrawAspect="Content" ObjectID="_1520075521" r:id="rId15"/>
        </w:pict>
      </w:r>
      <w:r w:rsidR="0077069C">
        <w:rPr>
          <w:rFonts w:ascii="Arial" w:hAnsi="Arial" w:cs="Arial"/>
          <w:sz w:val="20"/>
          <w:szCs w:val="20"/>
        </w:rPr>
        <w:br w:type="textWrapping" w:clear="all"/>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77069C">
      <w:pPr>
        <w:pStyle w:val="odstavec"/>
      </w:pPr>
      <w:r w:rsidRPr="0090211C">
        <w:t xml:space="preserve">Tržby za vlastné výkony </w:t>
      </w:r>
      <w:r>
        <w:t>vyplývajú z hlavných činností spoločnosti zapísaných v obchodnom registri. Sp</w:t>
      </w:r>
      <w:r>
        <w:t>o</w:t>
      </w:r>
      <w:r>
        <w:t xml:space="preserve">ločnosť nemala žiadne mimoriadne </w:t>
      </w:r>
      <w:proofErr w:type="spellStart"/>
      <w:r>
        <w:t>jednorázové</w:t>
      </w:r>
      <w:proofErr w:type="spellEnd"/>
      <w:r>
        <w:t xml:space="preserve"> významné výnosy.  </w:t>
      </w:r>
    </w:p>
    <w:p w:rsidR="00B9155B" w:rsidRPr="0090211C" w:rsidRDefault="00B9155B" w:rsidP="0077069C">
      <w:pPr>
        <w:pStyle w:val="odstavec"/>
      </w:pPr>
    </w:p>
    <w:p w:rsidR="00B9155B" w:rsidRPr="0090211C" w:rsidRDefault="00B9155B" w:rsidP="006129A5">
      <w:pPr>
        <w:tabs>
          <w:tab w:val="left" w:pos="555"/>
        </w:tabs>
        <w:ind w:left="284"/>
        <w:rPr>
          <w:rFonts w:ascii="Arial" w:hAnsi="Arial" w:cs="Arial"/>
          <w:sz w:val="20"/>
          <w:szCs w:val="20"/>
        </w:rPr>
      </w:pPr>
      <w:bookmarkStart w:id="25" w:name="_MON_1389795776"/>
      <w:bookmarkStart w:id="26" w:name="_MON_1390228034"/>
      <w:bookmarkStart w:id="27" w:name="_MON_1387279563"/>
      <w:bookmarkStart w:id="28" w:name="_MON_1390724080"/>
      <w:bookmarkStart w:id="29" w:name="_MON_1390127106"/>
      <w:bookmarkEnd w:id="25"/>
      <w:bookmarkEnd w:id="26"/>
      <w:bookmarkEnd w:id="27"/>
      <w:bookmarkEnd w:id="28"/>
      <w:bookmarkEnd w:id="29"/>
    </w:p>
    <w:p w:rsidR="00B9155B" w:rsidRPr="0090211C" w:rsidRDefault="00B9155B" w:rsidP="00B55B35">
      <w:pPr>
        <w:pStyle w:val="Nadpis1"/>
      </w:pPr>
      <w:r w:rsidRPr="0090211C">
        <w:t>ÚDAJE NA PODSÚVAHOVÝCH ÚČTOCH</w:t>
      </w:r>
    </w:p>
    <w:p w:rsidR="00B9155B" w:rsidRPr="0090211C" w:rsidRDefault="00B9155B" w:rsidP="0077069C">
      <w:pPr>
        <w:pStyle w:val="odstavec"/>
      </w:pPr>
      <w:r w:rsidRPr="0090211C">
        <w:t>Spoločnosť k 31. decembru 201</w:t>
      </w:r>
      <w:r w:rsidR="005D685D">
        <w:t>5</w:t>
      </w:r>
      <w:r w:rsidRPr="0090211C">
        <w:t xml:space="preserve"> neevidovala záväzky z objed</w:t>
      </w:r>
      <w:r w:rsidR="005D685D">
        <w:t xml:space="preserve">návok </w:t>
      </w:r>
      <w:proofErr w:type="spellStart"/>
      <w:r w:rsidR="005D685D">
        <w:t>zazmluvnených</w:t>
      </w:r>
      <w:proofErr w:type="spellEnd"/>
      <w:r w:rsidR="005D685D">
        <w:t xml:space="preserve"> v roku 2015</w:t>
      </w:r>
      <w:r>
        <w:t xml:space="preserve"> </w:t>
      </w:r>
      <w:r w:rsidRPr="0090211C">
        <w:t>s očakáva</w:t>
      </w:r>
      <w:r w:rsidR="005D685D">
        <w:t>ným termínom dodania v roku 2016</w:t>
      </w:r>
      <w:r w:rsidRPr="0090211C">
        <w:t>.</w:t>
      </w:r>
    </w:p>
    <w:p w:rsidR="00B9155B" w:rsidRPr="0090211C" w:rsidRDefault="00B9155B" w:rsidP="0077069C">
      <w:pPr>
        <w:pStyle w:val="odstavec"/>
      </w:pPr>
    </w:p>
    <w:p w:rsidR="00B9155B" w:rsidRPr="0090211C" w:rsidRDefault="00B9155B" w:rsidP="0077069C">
      <w:pPr>
        <w:pStyle w:val="odstavec"/>
      </w:pPr>
      <w:r w:rsidRPr="0090211C">
        <w:t>Vzhľadom na to, že mnohé oblasti slovenského daňového práva doteraz neboli dostatočne overené pr</w:t>
      </w:r>
      <w:r w:rsidRPr="0090211C">
        <w:t>a</w:t>
      </w:r>
      <w:r w:rsidRPr="0090211C">
        <w:t>xou, existuje neistota v tom, ako ich budú daňové orgány aplikovať. Mieru tejto neistoty nie je možné kva</w:t>
      </w:r>
      <w:r w:rsidRPr="0090211C">
        <w:t>n</w:t>
      </w:r>
      <w:r w:rsidRPr="0090211C">
        <w:t>tifikovať a zanikne až potom, keď budú k dispozícii právne precedensy príp. oficiálne interpretácie príslu</w:t>
      </w:r>
      <w:r w:rsidRPr="0090211C">
        <w:t>š</w:t>
      </w:r>
      <w:r w:rsidRPr="0090211C">
        <w:t>ných orgánov. Vedenie Spoločnosti si nie je vedomé žiadnych okolností, v dôsledku ktorých by jej vznikol v budúcnosti významný náklad.</w:t>
      </w:r>
    </w:p>
    <w:p w:rsidR="00B9155B" w:rsidRPr="0090211C" w:rsidRDefault="00B9155B" w:rsidP="0077069C">
      <w:pPr>
        <w:pStyle w:val="odstavec"/>
      </w:pPr>
    </w:p>
    <w:p w:rsidR="00B9155B" w:rsidRPr="0090211C" w:rsidRDefault="00B9155B" w:rsidP="000B03C6">
      <w:pPr>
        <w:pStyle w:val="Nadpis1"/>
      </w:pPr>
      <w:r w:rsidRPr="0090211C">
        <w:t>SKUTOČNOSTI, KTORÉ NASTALI PO DNI, KU KTORÉMU SA ZOSTAVUJE ÚČTOVNÁ ZÁVIE</w:t>
      </w:r>
      <w:r w:rsidRPr="0090211C">
        <w:t>R</w:t>
      </w:r>
      <w:r w:rsidRPr="0090211C">
        <w:t>KA, DO DŇA JEJ ZOSTAVENIA</w:t>
      </w:r>
    </w:p>
    <w:p w:rsidR="00B9155B" w:rsidRPr="0090211C" w:rsidRDefault="00B9155B" w:rsidP="0077069C">
      <w:pPr>
        <w:pStyle w:val="odstavec"/>
      </w:pPr>
      <w:r w:rsidRPr="0090211C">
        <w:t xml:space="preserve">Po 31. decembri </w:t>
      </w:r>
      <w:r w:rsidR="005D685D">
        <w:rPr>
          <w:iCs/>
        </w:rPr>
        <w:t>2015</w:t>
      </w:r>
      <w:r w:rsidRPr="0090211C">
        <w:rPr>
          <w:iCs/>
        </w:rPr>
        <w:t xml:space="preserve"> </w:t>
      </w:r>
      <w:r w:rsidRPr="0090211C">
        <w:t>nenast</w:t>
      </w:r>
      <w:bookmarkStart w:id="30" w:name="_GoBack"/>
      <w:bookmarkEnd w:id="30"/>
      <w:r w:rsidRPr="0090211C">
        <w:t>ali</w:t>
      </w:r>
      <w:r w:rsidRPr="0090211C">
        <w:rPr>
          <w:color w:val="FF0000"/>
        </w:rPr>
        <w:t xml:space="preserve"> </w:t>
      </w:r>
      <w:r w:rsidRPr="0090211C">
        <w:t>také udalosti, ktoré by si vyžadovali zverejnenie alebo vykázanie</w:t>
      </w:r>
      <w:r>
        <w:t xml:space="preserve"> v účtovnej závierke za rok 201</w:t>
      </w:r>
      <w:r w:rsidR="005D685D">
        <w:t>5</w:t>
      </w:r>
      <w:r w:rsidRPr="0090211C">
        <w:t>.</w:t>
      </w:r>
    </w:p>
    <w:p w:rsidR="00B9155B" w:rsidRPr="0090211C" w:rsidRDefault="00B9155B" w:rsidP="0077069C">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77069C">
      <w:pPr>
        <w:pStyle w:val="odstavec"/>
      </w:pPr>
    </w:p>
    <w:p w:rsidR="00B9155B" w:rsidRPr="0090211C" w:rsidRDefault="00B9155B" w:rsidP="0077069C">
      <w:pPr>
        <w:pStyle w:val="odstavec"/>
      </w:pPr>
      <w:r w:rsidRPr="0090211C">
        <w:t xml:space="preserve">Peňažnými prostriedkami (angl. </w:t>
      </w:r>
      <w:proofErr w:type="spellStart"/>
      <w:r w:rsidRPr="0090211C">
        <w:t>cash</w:t>
      </w:r>
      <w:proofErr w:type="spellEnd"/>
      <w:r w:rsidRPr="0090211C">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w:t>
      </w:r>
      <w:r w:rsidRPr="0090211C">
        <w:t>č</w:t>
      </w:r>
      <w:r w:rsidRPr="0090211C">
        <w:t xml:space="preserve">tami. </w:t>
      </w:r>
    </w:p>
    <w:p w:rsidR="00B9155B" w:rsidRPr="0090211C" w:rsidRDefault="00B9155B" w:rsidP="0077069C">
      <w:pPr>
        <w:pStyle w:val="odstavec"/>
      </w:pPr>
    </w:p>
    <w:p w:rsidR="00B9155B" w:rsidRPr="0090211C" w:rsidRDefault="00B9155B" w:rsidP="0077069C">
      <w:pPr>
        <w:pStyle w:val="odstavec"/>
      </w:pPr>
      <w:r w:rsidRPr="0090211C">
        <w:t>Peňažné ekvivalenty</w:t>
      </w:r>
    </w:p>
    <w:p w:rsidR="00B9155B" w:rsidRPr="0090211C" w:rsidRDefault="00B9155B" w:rsidP="0077069C">
      <w:pPr>
        <w:pStyle w:val="odstavec"/>
      </w:pPr>
    </w:p>
    <w:p w:rsidR="00B9155B" w:rsidRPr="0090211C" w:rsidRDefault="00B9155B" w:rsidP="0077069C">
      <w:pPr>
        <w:pStyle w:val="odstavec"/>
      </w:pPr>
      <w:r w:rsidRPr="0090211C">
        <w:t xml:space="preserve">Peňažnými ekvivalentmi (angl. </w:t>
      </w:r>
      <w:proofErr w:type="spellStart"/>
      <w:r w:rsidRPr="0090211C">
        <w:t>cash</w:t>
      </w:r>
      <w:proofErr w:type="spellEnd"/>
      <w:r w:rsidRPr="0090211C">
        <w:t xml:space="preserve"> </w:t>
      </w:r>
      <w:proofErr w:type="spellStart"/>
      <w:r w:rsidRPr="0090211C">
        <w:t>equivalents</w:t>
      </w:r>
      <w:proofErr w:type="spellEnd"/>
      <w:r w:rsidRPr="0090211C">
        <w:t>) sa rozumie krátkodobý finančný majetok, ktorý je zamen</w:t>
      </w:r>
      <w:r w:rsidRPr="0090211C">
        <w:t>i</w:t>
      </w:r>
      <w:r w:rsidRPr="0090211C">
        <w:t>teľný za vopred známu sumu peňažných prostriedkov, pri ktorom nie je riziko výraznej zmeny jeho hodn</w:t>
      </w:r>
      <w:r w:rsidRPr="0090211C">
        <w:t>o</w:t>
      </w:r>
      <w:r w:rsidRPr="0090211C">
        <w:t>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w:t>
      </w:r>
      <w:r w:rsidRPr="0090211C">
        <w:t>a</w:t>
      </w:r>
      <w:r w:rsidRPr="0090211C">
        <w:t>cov odo dňa, ku ktorému sa zostavuje účtovná závierka.</w:t>
      </w:r>
    </w:p>
    <w:sectPr w:rsidR="00B9155B" w:rsidRPr="0090211C" w:rsidSect="00F239B4">
      <w:headerReference w:type="default" r:id="rId16"/>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155B" w:rsidRDefault="00B9155B">
      <w:r>
        <w:separator/>
      </w:r>
    </w:p>
  </w:endnote>
  <w:endnote w:type="continuationSeparator" w:id="0">
    <w:p w:rsidR="00B9155B" w:rsidRDefault="00B915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155B" w:rsidRDefault="00B9155B">
      <w:r>
        <w:separator/>
      </w:r>
    </w:p>
  </w:footnote>
  <w:footnote w:type="continuationSeparator" w:id="0">
    <w:p w:rsidR="00B9155B" w:rsidRDefault="00B915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D65A1B">
      <w:rPr>
        <w:rFonts w:ascii="Arial" w:hAnsi="Arial" w:cs="Arial"/>
        <w:sz w:val="18"/>
        <w:szCs w:val="18"/>
      </w:rPr>
      <w:t xml:space="preserve">                         IČO 36684392</w:t>
    </w:r>
    <w:r>
      <w:rPr>
        <w:rFonts w:ascii="Arial" w:hAnsi="Arial" w:cs="Arial"/>
        <w:sz w:val="18"/>
        <w:szCs w:val="18"/>
      </w:rPr>
      <w:t xml:space="preserve">               </w:t>
    </w:r>
    <w:proofErr w:type="spellStart"/>
    <w:r>
      <w:rPr>
        <w:rFonts w:ascii="Arial" w:hAnsi="Arial" w:cs="Arial"/>
        <w:sz w:val="18"/>
        <w:szCs w:val="18"/>
      </w:rPr>
      <w:t>Dič</w:t>
    </w:r>
    <w:proofErr w:type="spellEnd"/>
    <w:r w:rsidR="00D26121">
      <w:rPr>
        <w:rFonts w:ascii="Arial" w:hAnsi="Arial" w:cs="Arial"/>
        <w:sz w:val="18"/>
        <w:szCs w:val="18"/>
      </w:rPr>
      <w:t xml:space="preserve">: </w:t>
    </w:r>
    <w:r w:rsidR="0077069C">
      <w:rPr>
        <w:rFonts w:ascii="Arial" w:hAnsi="Arial" w:cs="Arial"/>
        <w:sz w:val="18"/>
        <w:szCs w:val="18"/>
      </w:rPr>
      <w:t>2022264299</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5C1651EC">
      <w:start w:val="1"/>
      <w:numFmt w:val="lowerLetter"/>
      <w:lvlText w:val="%1)"/>
      <w:lvlJc w:val="left"/>
      <w:pPr>
        <w:tabs>
          <w:tab w:val="num" w:pos="425"/>
        </w:tabs>
        <w:ind w:left="425" w:hanging="425"/>
      </w:pPr>
      <w:rPr>
        <w:rFonts w:cs="Times New Roman" w:hint="default"/>
      </w:rPr>
    </w:lvl>
    <w:lvl w:ilvl="1" w:tplc="4F0E556E" w:tentative="1">
      <w:start w:val="1"/>
      <w:numFmt w:val="lowerLetter"/>
      <w:lvlText w:val="%2."/>
      <w:lvlJc w:val="left"/>
      <w:pPr>
        <w:tabs>
          <w:tab w:val="num" w:pos="1440"/>
        </w:tabs>
        <w:ind w:left="1440" w:hanging="360"/>
      </w:pPr>
      <w:rPr>
        <w:rFonts w:cs="Times New Roman"/>
      </w:rPr>
    </w:lvl>
    <w:lvl w:ilvl="2" w:tplc="C8C4BDC4" w:tentative="1">
      <w:start w:val="1"/>
      <w:numFmt w:val="lowerRoman"/>
      <w:lvlText w:val="%3."/>
      <w:lvlJc w:val="right"/>
      <w:pPr>
        <w:tabs>
          <w:tab w:val="num" w:pos="2160"/>
        </w:tabs>
        <w:ind w:left="2160" w:hanging="180"/>
      </w:pPr>
      <w:rPr>
        <w:rFonts w:cs="Times New Roman"/>
      </w:rPr>
    </w:lvl>
    <w:lvl w:ilvl="3" w:tplc="B986BD26" w:tentative="1">
      <w:start w:val="1"/>
      <w:numFmt w:val="decimal"/>
      <w:lvlText w:val="%4."/>
      <w:lvlJc w:val="left"/>
      <w:pPr>
        <w:tabs>
          <w:tab w:val="num" w:pos="2880"/>
        </w:tabs>
        <w:ind w:left="2880" w:hanging="360"/>
      </w:pPr>
      <w:rPr>
        <w:rFonts w:cs="Times New Roman"/>
      </w:rPr>
    </w:lvl>
    <w:lvl w:ilvl="4" w:tplc="DA7C7154" w:tentative="1">
      <w:start w:val="1"/>
      <w:numFmt w:val="lowerLetter"/>
      <w:lvlText w:val="%5."/>
      <w:lvlJc w:val="left"/>
      <w:pPr>
        <w:tabs>
          <w:tab w:val="num" w:pos="3600"/>
        </w:tabs>
        <w:ind w:left="3600" w:hanging="360"/>
      </w:pPr>
      <w:rPr>
        <w:rFonts w:cs="Times New Roman"/>
      </w:rPr>
    </w:lvl>
    <w:lvl w:ilvl="5" w:tplc="FC2A8500" w:tentative="1">
      <w:start w:val="1"/>
      <w:numFmt w:val="lowerRoman"/>
      <w:lvlText w:val="%6."/>
      <w:lvlJc w:val="right"/>
      <w:pPr>
        <w:tabs>
          <w:tab w:val="num" w:pos="4320"/>
        </w:tabs>
        <w:ind w:left="4320" w:hanging="180"/>
      </w:pPr>
      <w:rPr>
        <w:rFonts w:cs="Times New Roman"/>
      </w:rPr>
    </w:lvl>
    <w:lvl w:ilvl="6" w:tplc="D932D5EE" w:tentative="1">
      <w:start w:val="1"/>
      <w:numFmt w:val="decimal"/>
      <w:lvlText w:val="%7."/>
      <w:lvlJc w:val="left"/>
      <w:pPr>
        <w:tabs>
          <w:tab w:val="num" w:pos="5040"/>
        </w:tabs>
        <w:ind w:left="5040" w:hanging="360"/>
      </w:pPr>
      <w:rPr>
        <w:rFonts w:cs="Times New Roman"/>
      </w:rPr>
    </w:lvl>
    <w:lvl w:ilvl="7" w:tplc="98348D2C" w:tentative="1">
      <w:start w:val="1"/>
      <w:numFmt w:val="lowerLetter"/>
      <w:lvlText w:val="%8."/>
      <w:lvlJc w:val="left"/>
      <w:pPr>
        <w:tabs>
          <w:tab w:val="num" w:pos="5760"/>
        </w:tabs>
        <w:ind w:left="5760" w:hanging="360"/>
      </w:pPr>
      <w:rPr>
        <w:rFonts w:cs="Times New Roman"/>
      </w:rPr>
    </w:lvl>
    <w:lvl w:ilvl="8" w:tplc="4E8A5960"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B3DA20FE">
      <w:start w:val="1"/>
      <w:numFmt w:val="decimal"/>
      <w:pStyle w:val="Nadpis8"/>
      <w:lvlText w:val="%1."/>
      <w:lvlJc w:val="left"/>
      <w:pPr>
        <w:tabs>
          <w:tab w:val="num" w:pos="737"/>
        </w:tabs>
        <w:ind w:left="737" w:hanging="737"/>
      </w:pPr>
      <w:rPr>
        <w:rFonts w:cs="Times New Roman" w:hint="default"/>
      </w:rPr>
    </w:lvl>
    <w:lvl w:ilvl="1" w:tplc="235CFEDA" w:tentative="1">
      <w:start w:val="1"/>
      <w:numFmt w:val="lowerLetter"/>
      <w:lvlText w:val="%2."/>
      <w:lvlJc w:val="left"/>
      <w:pPr>
        <w:tabs>
          <w:tab w:val="num" w:pos="1440"/>
        </w:tabs>
        <w:ind w:left="1440" w:hanging="360"/>
      </w:pPr>
      <w:rPr>
        <w:rFonts w:cs="Times New Roman"/>
      </w:rPr>
    </w:lvl>
    <w:lvl w:ilvl="2" w:tplc="ACE0AA86" w:tentative="1">
      <w:start w:val="1"/>
      <w:numFmt w:val="lowerRoman"/>
      <w:lvlText w:val="%3."/>
      <w:lvlJc w:val="right"/>
      <w:pPr>
        <w:tabs>
          <w:tab w:val="num" w:pos="2160"/>
        </w:tabs>
        <w:ind w:left="2160" w:hanging="180"/>
      </w:pPr>
      <w:rPr>
        <w:rFonts w:cs="Times New Roman"/>
      </w:rPr>
    </w:lvl>
    <w:lvl w:ilvl="3" w:tplc="4E2C5EAA" w:tentative="1">
      <w:start w:val="1"/>
      <w:numFmt w:val="decimal"/>
      <w:lvlText w:val="%4."/>
      <w:lvlJc w:val="left"/>
      <w:pPr>
        <w:tabs>
          <w:tab w:val="num" w:pos="2880"/>
        </w:tabs>
        <w:ind w:left="2880" w:hanging="360"/>
      </w:pPr>
      <w:rPr>
        <w:rFonts w:cs="Times New Roman"/>
      </w:rPr>
    </w:lvl>
    <w:lvl w:ilvl="4" w:tplc="163EC3CA" w:tentative="1">
      <w:start w:val="1"/>
      <w:numFmt w:val="lowerLetter"/>
      <w:lvlText w:val="%5."/>
      <w:lvlJc w:val="left"/>
      <w:pPr>
        <w:tabs>
          <w:tab w:val="num" w:pos="3600"/>
        </w:tabs>
        <w:ind w:left="3600" w:hanging="360"/>
      </w:pPr>
      <w:rPr>
        <w:rFonts w:cs="Times New Roman"/>
      </w:rPr>
    </w:lvl>
    <w:lvl w:ilvl="5" w:tplc="9F8C2544" w:tentative="1">
      <w:start w:val="1"/>
      <w:numFmt w:val="lowerRoman"/>
      <w:lvlText w:val="%6."/>
      <w:lvlJc w:val="right"/>
      <w:pPr>
        <w:tabs>
          <w:tab w:val="num" w:pos="4320"/>
        </w:tabs>
        <w:ind w:left="4320" w:hanging="180"/>
      </w:pPr>
      <w:rPr>
        <w:rFonts w:cs="Times New Roman"/>
      </w:rPr>
    </w:lvl>
    <w:lvl w:ilvl="6" w:tplc="1DAE21AC" w:tentative="1">
      <w:start w:val="1"/>
      <w:numFmt w:val="decimal"/>
      <w:lvlText w:val="%7."/>
      <w:lvlJc w:val="left"/>
      <w:pPr>
        <w:tabs>
          <w:tab w:val="num" w:pos="5040"/>
        </w:tabs>
        <w:ind w:left="5040" w:hanging="360"/>
      </w:pPr>
      <w:rPr>
        <w:rFonts w:cs="Times New Roman"/>
      </w:rPr>
    </w:lvl>
    <w:lvl w:ilvl="7" w:tplc="3EAA7AC8" w:tentative="1">
      <w:start w:val="1"/>
      <w:numFmt w:val="lowerLetter"/>
      <w:lvlText w:val="%8."/>
      <w:lvlJc w:val="left"/>
      <w:pPr>
        <w:tabs>
          <w:tab w:val="num" w:pos="5760"/>
        </w:tabs>
        <w:ind w:left="5760" w:hanging="360"/>
      </w:pPr>
      <w:rPr>
        <w:rFonts w:cs="Times New Roman"/>
      </w:rPr>
    </w:lvl>
    <w:lvl w:ilvl="8" w:tplc="C89EFFC4" w:tentative="1">
      <w:start w:val="1"/>
      <w:numFmt w:val="lowerRoman"/>
      <w:lvlText w:val="%9."/>
      <w:lvlJc w:val="right"/>
      <w:pPr>
        <w:tabs>
          <w:tab w:val="num" w:pos="6480"/>
        </w:tabs>
        <w:ind w:left="6480" w:hanging="180"/>
      </w:pPr>
      <w:rPr>
        <w:rFonts w:cs="Times New Roman"/>
      </w:rPr>
    </w:lvl>
  </w:abstractNum>
  <w:abstractNum w:abstractNumId="6">
    <w:nsid w:val="760326C7"/>
    <w:multiLevelType w:val="hybridMultilevel"/>
    <w:tmpl w:val="A3C42076"/>
    <w:lvl w:ilvl="0" w:tplc="8F6EF4FA">
      <w:start w:val="1"/>
      <w:numFmt w:val="decimal"/>
      <w:pStyle w:val="1Heading"/>
      <w:lvlText w:val="%1"/>
      <w:lvlJc w:val="left"/>
      <w:pPr>
        <w:tabs>
          <w:tab w:val="num" w:pos="567"/>
        </w:tabs>
        <w:ind w:left="567" w:hanging="567"/>
      </w:pPr>
      <w:rPr>
        <w:rFonts w:cs="Times New Roman" w:hint="default"/>
      </w:rPr>
    </w:lvl>
    <w:lvl w:ilvl="1" w:tplc="AE98AA30" w:tentative="1">
      <w:start w:val="1"/>
      <w:numFmt w:val="lowerLetter"/>
      <w:lvlText w:val="%2."/>
      <w:lvlJc w:val="left"/>
      <w:pPr>
        <w:tabs>
          <w:tab w:val="num" w:pos="1440"/>
        </w:tabs>
        <w:ind w:left="1440" w:hanging="360"/>
      </w:pPr>
      <w:rPr>
        <w:rFonts w:cs="Times New Roman"/>
      </w:rPr>
    </w:lvl>
    <w:lvl w:ilvl="2" w:tplc="803A9892" w:tentative="1">
      <w:start w:val="1"/>
      <w:numFmt w:val="lowerRoman"/>
      <w:lvlText w:val="%3."/>
      <w:lvlJc w:val="right"/>
      <w:pPr>
        <w:tabs>
          <w:tab w:val="num" w:pos="2160"/>
        </w:tabs>
        <w:ind w:left="2160" w:hanging="180"/>
      </w:pPr>
      <w:rPr>
        <w:rFonts w:cs="Times New Roman"/>
      </w:rPr>
    </w:lvl>
    <w:lvl w:ilvl="3" w:tplc="C0DEA13E" w:tentative="1">
      <w:start w:val="1"/>
      <w:numFmt w:val="decimal"/>
      <w:lvlText w:val="%4."/>
      <w:lvlJc w:val="left"/>
      <w:pPr>
        <w:tabs>
          <w:tab w:val="num" w:pos="2880"/>
        </w:tabs>
        <w:ind w:left="2880" w:hanging="360"/>
      </w:pPr>
      <w:rPr>
        <w:rFonts w:cs="Times New Roman"/>
      </w:rPr>
    </w:lvl>
    <w:lvl w:ilvl="4" w:tplc="669A782C" w:tentative="1">
      <w:start w:val="1"/>
      <w:numFmt w:val="lowerLetter"/>
      <w:lvlText w:val="%5."/>
      <w:lvlJc w:val="left"/>
      <w:pPr>
        <w:tabs>
          <w:tab w:val="num" w:pos="3600"/>
        </w:tabs>
        <w:ind w:left="3600" w:hanging="360"/>
      </w:pPr>
      <w:rPr>
        <w:rFonts w:cs="Times New Roman"/>
      </w:rPr>
    </w:lvl>
    <w:lvl w:ilvl="5" w:tplc="A4B0832A" w:tentative="1">
      <w:start w:val="1"/>
      <w:numFmt w:val="lowerRoman"/>
      <w:lvlText w:val="%6."/>
      <w:lvlJc w:val="right"/>
      <w:pPr>
        <w:tabs>
          <w:tab w:val="num" w:pos="4320"/>
        </w:tabs>
        <w:ind w:left="4320" w:hanging="180"/>
      </w:pPr>
      <w:rPr>
        <w:rFonts w:cs="Times New Roman"/>
      </w:rPr>
    </w:lvl>
    <w:lvl w:ilvl="6" w:tplc="6B668B70" w:tentative="1">
      <w:start w:val="1"/>
      <w:numFmt w:val="decimal"/>
      <w:lvlText w:val="%7."/>
      <w:lvlJc w:val="left"/>
      <w:pPr>
        <w:tabs>
          <w:tab w:val="num" w:pos="5040"/>
        </w:tabs>
        <w:ind w:left="5040" w:hanging="360"/>
      </w:pPr>
      <w:rPr>
        <w:rFonts w:cs="Times New Roman"/>
      </w:rPr>
    </w:lvl>
    <w:lvl w:ilvl="7" w:tplc="ACF6FD60" w:tentative="1">
      <w:start w:val="1"/>
      <w:numFmt w:val="lowerLetter"/>
      <w:lvlText w:val="%8."/>
      <w:lvlJc w:val="left"/>
      <w:pPr>
        <w:tabs>
          <w:tab w:val="num" w:pos="5760"/>
        </w:tabs>
        <w:ind w:left="5760" w:hanging="360"/>
      </w:pPr>
      <w:rPr>
        <w:rFonts w:cs="Times New Roman"/>
      </w:rPr>
    </w:lvl>
    <w:lvl w:ilvl="8" w:tplc="18025C40"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4F73"/>
    <w:rsid w:val="005D6297"/>
    <w:rsid w:val="005D6440"/>
    <w:rsid w:val="005D685D"/>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069C"/>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65A1B"/>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77069C"/>
    <w:pPr>
      <w:tabs>
        <w:tab w:val="left" w:pos="0"/>
      </w:tabs>
      <w:ind w:right="-79" w:hanging="76"/>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77069C"/>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77069C"/>
    <w:pPr>
      <w:tabs>
        <w:tab w:val="left" w:pos="0"/>
      </w:tabs>
      <w:ind w:right="-79" w:hanging="76"/>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77069C"/>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1736</Words>
  <Characters>10656</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2</cp:revision>
  <cp:lastPrinted>2016-03-21T13:24:00Z</cp:lastPrinted>
  <dcterms:created xsi:type="dcterms:W3CDTF">2016-03-21T13:25:00Z</dcterms:created>
  <dcterms:modified xsi:type="dcterms:W3CDTF">2016-03-21T13:25:00Z</dcterms:modified>
</cp:coreProperties>
</file>