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C43" w:rsidRDefault="002B305D" w:rsidP="004A29DD">
      <w:pPr>
        <w:pStyle w:val="Nadpis2"/>
        <w:rPr>
          <w:rFonts w:ascii="Arial" w:hAnsi="Arial" w:cs="Arial"/>
          <w:b/>
          <w:bCs/>
        </w:rPr>
      </w:pPr>
      <w:r>
        <w:t xml:space="preserve">    </w:t>
      </w:r>
      <w:r w:rsidR="00373C43">
        <w:t xml:space="preserve">                                                                                                            </w:t>
      </w:r>
      <w:r w:rsidR="004A29DD">
        <w:t xml:space="preserve">   Poznámky k účtovnej závierke</w:t>
      </w:r>
      <w:r w:rsidR="00373C43">
        <w:rPr>
          <w:rFonts w:ascii="Arial" w:hAnsi="Arial" w:cs="Arial"/>
          <w:b/>
          <w:bCs/>
        </w:rPr>
        <w:t xml:space="preserve"> </w:t>
      </w:r>
    </w:p>
    <w:p w:rsidR="00373C43" w:rsidRDefault="00373C43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bCs/>
        </w:rPr>
        <w:t xml:space="preserve">                                                              </w:t>
      </w:r>
    </w:p>
    <w:p w:rsidR="00373C43" w:rsidRDefault="00373C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</w:rPr>
        <w:t xml:space="preserve">                                                                       </w:t>
      </w:r>
      <w:r>
        <w:rPr>
          <w:rFonts w:ascii="Arial" w:hAnsi="Arial" w:cs="Arial"/>
          <w:b/>
          <w:bCs/>
        </w:rPr>
        <w:t xml:space="preserve"> </w:t>
      </w:r>
    </w:p>
    <w:p w:rsidR="00373C43" w:rsidRDefault="00373C43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Účtovné obdobie: 201</w:t>
      </w:r>
      <w:r w:rsidR="002F70F6">
        <w:rPr>
          <w:rFonts w:ascii="Arial" w:hAnsi="Arial" w:cs="Arial"/>
          <w:b/>
        </w:rPr>
        <w:t>5</w:t>
      </w:r>
      <w:bookmarkStart w:id="0" w:name="_GoBack"/>
      <w:bookmarkEnd w:id="0"/>
    </w:p>
    <w:p w:rsidR="00373C43" w:rsidRDefault="00373C43">
      <w:pPr>
        <w:rPr>
          <w:sz w:val="20"/>
          <w:u w:val="single"/>
        </w:rPr>
      </w:pPr>
    </w:p>
    <w:p w:rsidR="00373C43" w:rsidRDefault="002B305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373C43">
        <w:rPr>
          <w:rFonts w:ascii="Arial" w:hAnsi="Arial" w:cs="Arial"/>
          <w:b/>
          <w:bCs/>
        </w:rPr>
        <w:t>. Priemerný počet zamestnancov počas účtovného obdobia a osobné náklady</w:t>
      </w:r>
    </w:p>
    <w:p w:rsidR="00373C43" w:rsidRDefault="00373C43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5"/>
        <w:gridCol w:w="2711"/>
        <w:gridCol w:w="2816"/>
      </w:tblGrid>
      <w:tr w:rsidR="00373C43">
        <w:trPr>
          <w:cantSplit/>
        </w:trPr>
        <w:tc>
          <w:tcPr>
            <w:tcW w:w="3685" w:type="dxa"/>
            <w:tcBorders>
              <w:right w:val="single" w:sz="4" w:space="0" w:color="auto"/>
            </w:tcBorders>
            <w:shd w:val="clear" w:color="auto" w:fill="FFFFFF"/>
          </w:tcPr>
          <w:p w:rsidR="00373C43" w:rsidRDefault="00373C43">
            <w:pPr>
              <w:pStyle w:val="Nadpis7"/>
              <w:jc w:val="center"/>
              <w:rPr>
                <w:b w:val="0"/>
                <w:bCs w:val="0"/>
              </w:rPr>
            </w:pPr>
            <w:r>
              <w:t>Ukazovateľ</w:t>
            </w:r>
          </w:p>
        </w:tc>
        <w:tc>
          <w:tcPr>
            <w:tcW w:w="2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3C43" w:rsidRDefault="00373C43">
            <w:pPr>
              <w:pStyle w:val="Nadpis7"/>
              <w:jc w:val="center"/>
            </w:pPr>
            <w:r>
              <w:t>Zamestnanci spolu</w:t>
            </w:r>
          </w:p>
        </w:tc>
        <w:tc>
          <w:tcPr>
            <w:tcW w:w="2816" w:type="dxa"/>
            <w:tcBorders>
              <w:left w:val="single" w:sz="4" w:space="0" w:color="auto"/>
            </w:tcBorders>
            <w:shd w:val="clear" w:color="auto" w:fill="FFFFFF"/>
          </w:tcPr>
          <w:p w:rsidR="00373C43" w:rsidRDefault="00373C43">
            <w:pPr>
              <w:pStyle w:val="Nadpis7"/>
              <w:jc w:val="center"/>
            </w:pPr>
            <w:r>
              <w:t>Z toho riadiaci pracovníci</w:t>
            </w:r>
          </w:p>
          <w:p w:rsidR="00373C43" w:rsidRDefault="00373C43"/>
        </w:tc>
      </w:tr>
      <w:tr w:rsidR="00373C43">
        <w:trPr>
          <w:cantSplit/>
        </w:trPr>
        <w:tc>
          <w:tcPr>
            <w:tcW w:w="3685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 Priemerný počet</w:t>
            </w:r>
          </w:p>
        </w:tc>
        <w:tc>
          <w:tcPr>
            <w:tcW w:w="2711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FC4A2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2816" w:type="dxa"/>
            <w:tcBorders>
              <w:left w:val="single" w:sz="4" w:space="0" w:color="auto"/>
            </w:tcBorders>
          </w:tcPr>
          <w:p w:rsidR="00373C43" w:rsidRDefault="0082303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373C43">
        <w:trPr>
          <w:cantSplit/>
        </w:trPr>
        <w:tc>
          <w:tcPr>
            <w:tcW w:w="3685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 Mzdové náklady (521, 522)</w:t>
            </w:r>
          </w:p>
        </w:tc>
        <w:tc>
          <w:tcPr>
            <w:tcW w:w="2711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FC4A2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60336</w:t>
            </w:r>
            <w:r w:rsidR="00823031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2816" w:type="dxa"/>
            <w:tcBorders>
              <w:left w:val="single" w:sz="4" w:space="0" w:color="auto"/>
            </w:tcBorders>
          </w:tcPr>
          <w:p w:rsidR="00373C43" w:rsidRDefault="0082303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373C43" w:rsidTr="00F95D67">
        <w:trPr>
          <w:cantSplit/>
          <w:trHeight w:val="551"/>
        </w:trPr>
        <w:tc>
          <w:tcPr>
            <w:tcW w:w="3685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 Odmeny členom orgánov spol. (523)</w:t>
            </w:r>
          </w:p>
        </w:tc>
        <w:tc>
          <w:tcPr>
            <w:tcW w:w="2711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2816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373C43">
        <w:trPr>
          <w:cantSplit/>
        </w:trPr>
        <w:tc>
          <w:tcPr>
            <w:tcW w:w="3685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 Nákl. na Soc. zabezp. (524,525,526)</w:t>
            </w:r>
          </w:p>
        </w:tc>
        <w:tc>
          <w:tcPr>
            <w:tcW w:w="2711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FC4A2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17780</w:t>
            </w:r>
          </w:p>
        </w:tc>
        <w:tc>
          <w:tcPr>
            <w:tcW w:w="2816" w:type="dxa"/>
            <w:tcBorders>
              <w:left w:val="single" w:sz="4" w:space="0" w:color="auto"/>
            </w:tcBorders>
          </w:tcPr>
          <w:p w:rsidR="00373C43" w:rsidRDefault="0082303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373C43">
        <w:trPr>
          <w:cantSplit/>
        </w:trPr>
        <w:tc>
          <w:tcPr>
            <w:tcW w:w="3685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 Sociálne náklady (527, 528)</w:t>
            </w:r>
          </w:p>
        </w:tc>
        <w:tc>
          <w:tcPr>
            <w:tcW w:w="2711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FC4A2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11874</w:t>
            </w:r>
          </w:p>
        </w:tc>
        <w:tc>
          <w:tcPr>
            <w:tcW w:w="2816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373C43">
        <w:trPr>
          <w:cantSplit/>
        </w:trPr>
        <w:tc>
          <w:tcPr>
            <w:tcW w:w="3685" w:type="dxa"/>
            <w:tcBorders>
              <w:right w:val="single" w:sz="4" w:space="0" w:color="auto"/>
            </w:tcBorders>
          </w:tcPr>
          <w:p w:rsidR="00373C43" w:rsidRDefault="00373C43" w:rsidP="00F95D6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Osobné náklady spolu (súčet </w:t>
            </w:r>
            <w:r w:rsidR="00F95D67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 xml:space="preserve"> až 5) </w:t>
            </w:r>
          </w:p>
        </w:tc>
        <w:tc>
          <w:tcPr>
            <w:tcW w:w="2711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FC4A2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633014</w:t>
            </w:r>
          </w:p>
        </w:tc>
        <w:tc>
          <w:tcPr>
            <w:tcW w:w="2816" w:type="dxa"/>
            <w:tcBorders>
              <w:left w:val="single" w:sz="4" w:space="0" w:color="auto"/>
            </w:tcBorders>
          </w:tcPr>
          <w:p w:rsidR="00373C43" w:rsidRDefault="0082303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</w:tbl>
    <w:p w:rsidR="00373C43" w:rsidRDefault="00373C43">
      <w:pPr>
        <w:rPr>
          <w:rFonts w:ascii="Arial" w:hAnsi="Arial" w:cs="Arial"/>
          <w:b/>
          <w:bCs/>
        </w:rPr>
      </w:pPr>
    </w:p>
    <w:p w:rsidR="00373C43" w:rsidRDefault="00373C43">
      <w:pPr>
        <w:rPr>
          <w:rFonts w:ascii="Arial" w:hAnsi="Arial" w:cs="Arial"/>
          <w:sz w:val="18"/>
        </w:rPr>
      </w:pPr>
    </w:p>
    <w:p w:rsidR="00373C43" w:rsidRDefault="002B305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 w:rsidR="00373C43">
        <w:rPr>
          <w:rFonts w:ascii="Arial" w:hAnsi="Arial" w:cs="Arial"/>
          <w:b/>
          <w:bCs/>
        </w:rPr>
        <w:t>. Prepočet údajov v cudzích menách na euro.</w:t>
      </w:r>
    </w:p>
    <w:p w:rsidR="00373C43" w:rsidRDefault="00373C43">
      <w:pPr>
        <w:rPr>
          <w:rFonts w:ascii="Arial" w:hAnsi="Arial" w:cs="Arial"/>
          <w:b/>
          <w:bCs/>
        </w:rPr>
      </w:pPr>
    </w:p>
    <w:p w:rsidR="00373C43" w:rsidRDefault="00373C43">
      <w:pPr>
        <w:rPr>
          <w:rFonts w:ascii="Arial" w:hAnsi="Arial" w:cs="Arial"/>
          <w:b/>
          <w:bCs/>
          <w:i/>
          <w:iCs/>
          <w:sz w:val="20"/>
        </w:rPr>
      </w:pPr>
      <w:r>
        <w:rPr>
          <w:rFonts w:ascii="Arial" w:hAnsi="Arial" w:cs="Arial"/>
          <w:b/>
          <w:bCs/>
          <w:i/>
          <w:iCs/>
          <w:sz w:val="20"/>
        </w:rPr>
        <w:t xml:space="preserve"> Spôsob uplatnený pri prepočte údajov v cudzích menách na € v okamihu uskutočnenia účtovného prípadu:</w:t>
      </w:r>
    </w:p>
    <w:p w:rsidR="00373C43" w:rsidRDefault="00373C43">
      <w:pPr>
        <w:rPr>
          <w:rFonts w:ascii="Arial" w:hAnsi="Arial" w:cs="Arial"/>
          <w:sz w:val="18"/>
        </w:rPr>
      </w:pPr>
      <w:r>
        <w:rPr>
          <w:rFonts w:ascii="Arial" w:hAnsi="Arial" w:cs="Arial"/>
        </w:rPr>
        <w:t xml:space="preserve">x </w:t>
      </w:r>
      <w:r>
        <w:rPr>
          <w:rFonts w:ascii="Arial" w:hAnsi="Arial" w:cs="Arial"/>
          <w:sz w:val="18"/>
        </w:rPr>
        <w:t xml:space="preserve">Pohľadávky kurzom </w:t>
      </w:r>
    </w:p>
    <w:p w:rsidR="00373C43" w:rsidRDefault="00373C43">
      <w:pPr>
        <w:rPr>
          <w:rFonts w:ascii="Arial" w:hAnsi="Arial" w:cs="Arial"/>
          <w:sz w:val="18"/>
        </w:rPr>
      </w:pPr>
      <w:r>
        <w:rPr>
          <w:rFonts w:ascii="Arial" w:hAnsi="Arial" w:cs="Arial"/>
        </w:rPr>
        <w:t xml:space="preserve">x </w:t>
      </w:r>
      <w:r>
        <w:rPr>
          <w:rFonts w:ascii="Arial" w:hAnsi="Arial" w:cs="Arial"/>
          <w:sz w:val="18"/>
        </w:rPr>
        <w:t>Záväzky  kurzom .</w:t>
      </w:r>
    </w:p>
    <w:p w:rsidR="00373C43" w:rsidRDefault="00373C43">
      <w:pPr>
        <w:rPr>
          <w:rFonts w:ascii="Arial" w:hAnsi="Arial" w:cs="Arial"/>
          <w:sz w:val="18"/>
        </w:rPr>
      </w:pPr>
      <w:r>
        <w:rPr>
          <w:rFonts w:ascii="Arial" w:hAnsi="Arial" w:cs="Arial"/>
        </w:rPr>
        <w:t xml:space="preserve">x </w:t>
      </w:r>
      <w:r>
        <w:rPr>
          <w:rFonts w:ascii="Arial" w:hAnsi="Arial" w:cs="Arial"/>
          <w:sz w:val="18"/>
        </w:rPr>
        <w:t>Peňažné prostriedky na bankových účtoch, pohľadávky z úverov, záväzky z vkladov v bankách alebo v po-</w:t>
      </w:r>
    </w:p>
    <w:p w:rsidR="00373C43" w:rsidRDefault="00373C43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 bočkách zahraničných bánk kurzom .</w:t>
      </w:r>
    </w:p>
    <w:p w:rsidR="00373C43" w:rsidRPr="004A29DD" w:rsidRDefault="00373C43">
      <w:pPr>
        <w:rPr>
          <w:rFonts w:ascii="Arial" w:hAnsi="Arial" w:cs="Arial"/>
          <w:sz w:val="18"/>
        </w:rPr>
      </w:pPr>
      <w:r>
        <w:rPr>
          <w:rFonts w:ascii="Arial" w:hAnsi="Arial" w:cs="Arial"/>
        </w:rPr>
        <w:t xml:space="preserve"> x</w:t>
      </w:r>
      <w:r>
        <w:rPr>
          <w:rFonts w:ascii="Arial" w:hAnsi="Arial" w:cs="Arial"/>
          <w:sz w:val="18"/>
        </w:rPr>
        <w:t>Peňažné prostriedky v hotovosti, ceniny kurzom .</w:t>
      </w:r>
    </w:p>
    <w:p w:rsidR="00373C43" w:rsidRDefault="00373C43">
      <w:pPr>
        <w:rPr>
          <w:rFonts w:ascii="Arial" w:hAnsi="Arial" w:cs="Arial"/>
        </w:rPr>
      </w:pPr>
    </w:p>
    <w:p w:rsidR="00373C43" w:rsidRDefault="00373C43">
      <w:pPr>
        <w:rPr>
          <w:rFonts w:ascii="Arial" w:hAnsi="Arial" w:cs="Arial"/>
          <w:sz w:val="18"/>
          <w:u w:val="single"/>
        </w:rPr>
      </w:pPr>
      <w:r>
        <w:rPr>
          <w:rFonts w:ascii="Arial" w:hAnsi="Arial" w:cs="Arial"/>
        </w:rPr>
        <w:t xml:space="preserve"> </w:t>
      </w:r>
    </w:p>
    <w:p w:rsidR="00373C43" w:rsidRDefault="004A29DD">
      <w:pPr>
        <w:pStyle w:val="Nadpis9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D</w:t>
      </w:r>
      <w:r w:rsidR="00373C43">
        <w:rPr>
          <w:rFonts w:ascii="Arial" w:hAnsi="Arial"/>
          <w:u w:val="single"/>
        </w:rPr>
        <w:t>oplňujúce informácie k súvahe a výkazu ziskov a strát</w:t>
      </w:r>
    </w:p>
    <w:p w:rsidR="00373C43" w:rsidRDefault="00373C43">
      <w:pPr>
        <w:rPr>
          <w:rFonts w:ascii="Arial" w:hAnsi="Arial" w:cs="Arial"/>
        </w:rPr>
      </w:pPr>
    </w:p>
    <w:p w:rsidR="00373C43" w:rsidRDefault="00373C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 Najvýznamnejšie tituly zvýšenia alebo zníženia vlastného imania</w:t>
      </w:r>
    </w:p>
    <w:p w:rsidR="00373C43" w:rsidRDefault="00373C43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48"/>
        <w:gridCol w:w="1934"/>
        <w:gridCol w:w="2025"/>
        <w:gridCol w:w="2105"/>
      </w:tblGrid>
      <w:tr w:rsidR="00373C43"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  <w:shd w:val="clear" w:color="auto" w:fill="FFFFFF"/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3C43" w:rsidRDefault="00373C43">
            <w:pPr>
              <w:ind w:left="335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Stav v minulom </w:t>
            </w:r>
          </w:p>
          <w:p w:rsidR="00373C43" w:rsidRDefault="00373C43">
            <w:pPr>
              <w:ind w:left="335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účtovnom období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3C43" w:rsidRDefault="00373C43">
            <w:pPr>
              <w:ind w:left="245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Stav v bežnom </w:t>
            </w:r>
          </w:p>
          <w:p w:rsidR="00373C43" w:rsidRDefault="00373C43">
            <w:pPr>
              <w:ind w:left="5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účtovnom období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  <w:shd w:val="clear" w:color="auto" w:fill="FFFFFF"/>
          </w:tcPr>
          <w:p w:rsidR="00373C43" w:rsidRDefault="00373C43">
            <w:pPr>
              <w:ind w:left="5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Rozdiel bežné - minulé</w:t>
            </w:r>
          </w:p>
          <w:p w:rsidR="00373C43" w:rsidRDefault="00373C43">
            <w:pPr>
              <w:ind w:left="5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Účtovné obdobie</w:t>
            </w:r>
          </w:p>
        </w:tc>
      </w:tr>
      <w:tr w:rsidR="00373C43" w:rsidTr="00B70B24">
        <w:trPr>
          <w:cantSplit/>
          <w:trHeight w:val="552"/>
        </w:trPr>
        <w:tc>
          <w:tcPr>
            <w:tcW w:w="3148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Vlastné imanie</w:t>
            </w:r>
          </w:p>
          <w:p w:rsidR="00373C43" w:rsidRDefault="00373C4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8"/>
              </w:rPr>
              <w:t>v tom: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FC4A2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8017</w:t>
            </w: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B70B24" w:rsidRDefault="00FC4A29" w:rsidP="00B70B2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17491</w:t>
            </w: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373C43"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8"/>
              </w:rPr>
              <w:t>Základné imanie (411)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B70B24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5000</w:t>
            </w: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B70B24" w:rsidP="00B70B2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5000</w:t>
            </w: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373C43" w:rsidRDefault="004A29D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373C43"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8"/>
              </w:rPr>
              <w:t>Vlastné akcie /-/ (252)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373C43"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8"/>
              </w:rPr>
              <w:t>Emisné ážio (412)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373C43"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8"/>
              </w:rPr>
              <w:t>Ostatné kapitalové fondy (413)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373C43"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Oceňovacie rozdiely (/+,-/414 a 415)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373C43"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Zákonný rezervný fond (421)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FC4A2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115</w:t>
            </w: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FC4A2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115</w:t>
            </w: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373C43"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Nedeliteľný fond (422)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373C43"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Štatutárne a ostatné fondy (423,427,441)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373C43"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Nerozdelený zisk minulých rokov (428)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FC4A2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3819</w:t>
            </w: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FC4A2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3819</w:t>
            </w: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373C43"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Neuhradená strata minulých rokov 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(/-/429)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FC4A2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-173</w:t>
            </w: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FC4A2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-917</w:t>
            </w: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373C43"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HV bežného účtovného obdobia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373C43" w:rsidRDefault="00373C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 Rozdelenie účtovného zisku, prípadne spôsob úhrady straty </w:t>
      </w:r>
    </w:p>
    <w:p w:rsidR="00373C43" w:rsidRDefault="00373C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  </w:t>
      </w:r>
      <w:r w:rsidR="00B70B24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predchádzajúceho účtovného obdobia</w:t>
      </w:r>
    </w:p>
    <w:p w:rsidR="00373C43" w:rsidRDefault="00373C43">
      <w:pPr>
        <w:rPr>
          <w:rFonts w:ascii="Arial" w:hAnsi="Arial" w:cs="Arial"/>
          <w:b/>
          <w:bCs/>
        </w:rPr>
      </w:pPr>
    </w:p>
    <w:p w:rsidR="00373C43" w:rsidRDefault="00373C43">
      <w:pPr>
        <w:rPr>
          <w:rFonts w:ascii="Arial" w:hAnsi="Arial" w:cs="Arial"/>
          <w:b/>
          <w:bCs/>
          <w:i/>
          <w:iCs/>
          <w:sz w:val="20"/>
        </w:rPr>
      </w:pPr>
      <w:r>
        <w:rPr>
          <w:rFonts w:ascii="Arial" w:hAnsi="Arial" w:cs="Arial"/>
          <w:b/>
          <w:bCs/>
          <w:i/>
          <w:iCs/>
          <w:sz w:val="20"/>
        </w:rPr>
        <w:t>a) V bežnom roku podnikateľ rozdelil hospodársky výsledok – účtovný zisk z minulého účtovného obdobia nasledovným spôsobom:</w:t>
      </w:r>
    </w:p>
    <w:p w:rsidR="00373C43" w:rsidRDefault="00373C43">
      <w:pPr>
        <w:rPr>
          <w:rFonts w:ascii="Arial" w:hAnsi="Arial" w:cs="Arial"/>
          <w:b/>
          <w:bCs/>
          <w:i/>
          <w:iCs/>
          <w:sz w:val="20"/>
        </w:rPr>
      </w:pPr>
    </w:p>
    <w:p w:rsidR="00373C43" w:rsidRDefault="00373C43">
      <w:pPr>
        <w:rPr>
          <w:rFonts w:ascii="Arial" w:hAnsi="Arial" w:cs="Arial"/>
          <w:b/>
          <w:bCs/>
          <w:i/>
          <w:iCs/>
          <w:sz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50"/>
        <w:gridCol w:w="3362"/>
      </w:tblGrid>
      <w:tr w:rsidR="00373C43">
        <w:tc>
          <w:tcPr>
            <w:tcW w:w="5850" w:type="dxa"/>
            <w:tcBorders>
              <w:right w:val="single" w:sz="4" w:space="0" w:color="auto"/>
            </w:tcBorders>
            <w:shd w:val="clear" w:color="auto" w:fill="FFFFFF"/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Druh prídelu</w:t>
            </w:r>
          </w:p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362" w:type="dxa"/>
            <w:tcBorders>
              <w:left w:val="single" w:sz="4" w:space="0" w:color="auto"/>
            </w:tcBorders>
            <w:shd w:val="clear" w:color="auto" w:fill="FFFFFF"/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Suma</w:t>
            </w:r>
          </w:p>
        </w:tc>
      </w:tr>
      <w:tr w:rsidR="00373C43">
        <w:tc>
          <w:tcPr>
            <w:tcW w:w="585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Zisk k rozdeleniu z minulého obdobia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z toho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585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Prídel do zákonného rezervného fondu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585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Prídel na zvýšenie základného imania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585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Prídel do štatutárnych fondov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585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Prídel do ostatných fondov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585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Použitie na vyrovnanie neuhradenej straty z minulých rokov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585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Dividendy spoločníkov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585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Nerozdelený zisk minulých rokov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585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Iné rozdelenie zisku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73C43" w:rsidRDefault="00373C43">
      <w:pPr>
        <w:rPr>
          <w:rFonts w:ascii="Arial" w:hAnsi="Arial" w:cs="Arial"/>
        </w:rPr>
      </w:pPr>
    </w:p>
    <w:p w:rsidR="00373C43" w:rsidRDefault="00373C43">
      <w:pPr>
        <w:rPr>
          <w:rFonts w:ascii="Arial" w:hAnsi="Arial" w:cs="Arial"/>
        </w:rPr>
      </w:pPr>
    </w:p>
    <w:p w:rsidR="00373C43" w:rsidRDefault="002B305D">
      <w:pPr>
        <w:rPr>
          <w:rFonts w:ascii="Arial" w:hAnsi="Arial" w:cs="Arial"/>
          <w:b/>
          <w:bCs/>
          <w:i/>
          <w:iCs/>
          <w:sz w:val="20"/>
        </w:rPr>
      </w:pPr>
      <w:r>
        <w:rPr>
          <w:rFonts w:ascii="Arial" w:hAnsi="Arial" w:cs="Arial"/>
          <w:b/>
          <w:bCs/>
          <w:i/>
          <w:iCs/>
          <w:sz w:val="20"/>
        </w:rPr>
        <w:t>b</w:t>
      </w:r>
      <w:r w:rsidR="00373C43">
        <w:rPr>
          <w:rFonts w:ascii="Arial" w:hAnsi="Arial" w:cs="Arial"/>
          <w:b/>
          <w:bCs/>
          <w:i/>
          <w:iCs/>
          <w:sz w:val="20"/>
        </w:rPr>
        <w:t xml:space="preserve"> Podnikateľ rozhodol o úhrade straty z minulého roka týmto spôsobom:</w:t>
      </w:r>
    </w:p>
    <w:p w:rsidR="00373C43" w:rsidRDefault="00373C43">
      <w:pPr>
        <w:rPr>
          <w:rFonts w:ascii="Arial" w:hAnsi="Arial" w:cs="Arial"/>
          <w:b/>
          <w:bCs/>
          <w:i/>
          <w:iCs/>
          <w:sz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570"/>
        <w:gridCol w:w="2642"/>
      </w:tblGrid>
      <w:tr w:rsidR="00373C43">
        <w:tc>
          <w:tcPr>
            <w:tcW w:w="6570" w:type="dxa"/>
            <w:tcBorders>
              <w:right w:val="single" w:sz="4" w:space="0" w:color="auto"/>
            </w:tcBorders>
            <w:shd w:val="clear" w:color="auto" w:fill="FFFFFF"/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Druh úhrady</w:t>
            </w:r>
          </w:p>
        </w:tc>
        <w:tc>
          <w:tcPr>
            <w:tcW w:w="2642" w:type="dxa"/>
            <w:tcBorders>
              <w:left w:val="single" w:sz="4" w:space="0" w:color="auto"/>
            </w:tcBorders>
            <w:shd w:val="clear" w:color="auto" w:fill="FFFFFF"/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Suma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Strata minulého obdobia spolu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v tom</w:t>
            </w: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Úhrada straty z rezervného fondu</w:t>
            </w: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Úhrada straty zo štatutárnych a ostatných fondov</w:t>
            </w: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Úhrada straty spoločníkmi</w:t>
            </w: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Úhrada straty znížením základného imania</w:t>
            </w: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Úhrada straty z nerozdeleného zisku minulých rokov</w:t>
            </w: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Prevod na nerozdelenú stratu minulých rokov</w:t>
            </w: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sz w:val="18"/>
              </w:rPr>
              <w:t xml:space="preserve"> Iná úhrada straty</w:t>
            </w: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</w:tbl>
    <w:p w:rsidR="00373C43" w:rsidRDefault="00373C43">
      <w:pPr>
        <w:rPr>
          <w:rFonts w:ascii="Arial" w:hAnsi="Arial" w:cs="Arial"/>
        </w:rPr>
      </w:pPr>
    </w:p>
    <w:p w:rsidR="00373C43" w:rsidRDefault="00373C43">
      <w:pPr>
        <w:rPr>
          <w:rFonts w:ascii="Arial" w:hAnsi="Arial" w:cs="Arial"/>
        </w:rPr>
      </w:pPr>
    </w:p>
    <w:p w:rsidR="00373C43" w:rsidRDefault="00373C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 Údaje o pohľadávkach a záväzkoch</w:t>
      </w:r>
    </w:p>
    <w:p w:rsidR="00373C43" w:rsidRDefault="00373C43">
      <w:pPr>
        <w:rPr>
          <w:rFonts w:ascii="Arial" w:hAnsi="Arial" w:cs="Arial"/>
          <w:b/>
          <w:bCs/>
        </w:rPr>
      </w:pPr>
    </w:p>
    <w:p w:rsidR="00373C43" w:rsidRDefault="00373C43">
      <w:pPr>
        <w:rPr>
          <w:rFonts w:ascii="Arial" w:hAnsi="Arial" w:cs="Arial"/>
          <w:b/>
          <w:bCs/>
          <w:i/>
          <w:iCs/>
          <w:sz w:val="20"/>
        </w:rPr>
      </w:pPr>
      <w:r>
        <w:rPr>
          <w:rFonts w:ascii="Arial" w:hAnsi="Arial" w:cs="Arial"/>
          <w:b/>
          <w:bCs/>
          <w:i/>
          <w:iCs/>
          <w:sz w:val="20"/>
        </w:rPr>
        <w:t>a) Pohľadávky a záväzky po lehote splatnosti</w:t>
      </w:r>
    </w:p>
    <w:p w:rsidR="00373C43" w:rsidRDefault="00373C43">
      <w:pPr>
        <w:rPr>
          <w:rFonts w:ascii="Arial" w:hAnsi="Arial" w:cs="Arial"/>
          <w:b/>
          <w:bCs/>
          <w:i/>
          <w:iCs/>
          <w:sz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570"/>
        <w:gridCol w:w="2642"/>
      </w:tblGrid>
      <w:tr w:rsidR="00373C43">
        <w:tc>
          <w:tcPr>
            <w:tcW w:w="6570" w:type="dxa"/>
            <w:tcBorders>
              <w:right w:val="single" w:sz="4" w:space="0" w:color="auto"/>
            </w:tcBorders>
            <w:shd w:val="clear" w:color="auto" w:fill="FFFFFF"/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</w:p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Text</w:t>
            </w:r>
          </w:p>
        </w:tc>
        <w:tc>
          <w:tcPr>
            <w:tcW w:w="2642" w:type="dxa"/>
            <w:tcBorders>
              <w:left w:val="single" w:sz="4" w:space="0" w:color="auto"/>
            </w:tcBorders>
            <w:shd w:val="clear" w:color="auto" w:fill="FFFFFF"/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Suma</w:t>
            </w: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Pohľadávky po lehote splatnosti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Záväzky po lehote splatnosti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Ďalšie záväzky (peňažné i nepeňažné) ktoré sa nesledujú v bežnom účtovníctve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73C43" w:rsidRDefault="00373C43">
      <w:pPr>
        <w:rPr>
          <w:rFonts w:ascii="Arial" w:hAnsi="Arial" w:cs="Arial"/>
        </w:rPr>
      </w:pPr>
    </w:p>
    <w:p w:rsidR="00373C43" w:rsidRDefault="00373C43">
      <w:pPr>
        <w:rPr>
          <w:rFonts w:ascii="Arial" w:hAnsi="Arial" w:cs="Arial"/>
          <w:sz w:val="18"/>
          <w:u w:val="single"/>
        </w:rPr>
      </w:pPr>
    </w:p>
    <w:p w:rsidR="00373C43" w:rsidRDefault="00373C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 Výnosy z bežnej činnosti (prevádzkovej + finančnej) podľa hlavných</w:t>
      </w:r>
    </w:p>
    <w:p w:rsidR="00373C43" w:rsidRDefault="00373C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činnosti podniku v členení tuzemsko, zahraničie</w:t>
      </w:r>
    </w:p>
    <w:tbl>
      <w:tblPr>
        <w:tblW w:w="0" w:type="auto"/>
        <w:tblInd w:w="2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2325"/>
        <w:gridCol w:w="2281"/>
      </w:tblGrid>
      <w:tr w:rsidR="00373C43" w:rsidTr="002B305D">
        <w:trPr>
          <w:cantSplit/>
          <w:trHeight w:val="240"/>
        </w:trPr>
        <w:tc>
          <w:tcPr>
            <w:tcW w:w="4394" w:type="dxa"/>
            <w:vMerge w:val="restart"/>
            <w:shd w:val="clear" w:color="auto" w:fill="FFFFFF"/>
          </w:tcPr>
          <w:p w:rsidR="00373C43" w:rsidRDefault="002B305D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Druh výnosu</w:t>
            </w:r>
          </w:p>
        </w:tc>
        <w:tc>
          <w:tcPr>
            <w:tcW w:w="460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73C43" w:rsidRDefault="002B305D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Hodnota  v €</w:t>
            </w:r>
          </w:p>
        </w:tc>
      </w:tr>
      <w:tr w:rsidR="00373C43" w:rsidTr="002B305D">
        <w:trPr>
          <w:cantSplit/>
          <w:trHeight w:val="315"/>
        </w:trPr>
        <w:tc>
          <w:tcPr>
            <w:tcW w:w="4394" w:type="dxa"/>
            <w:vMerge/>
            <w:shd w:val="clear" w:color="auto" w:fill="FFFFFF"/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2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373C43" w:rsidRDefault="002B305D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Tu</w:t>
            </w:r>
            <w:r w:rsidR="00373C43">
              <w:rPr>
                <w:rFonts w:ascii="Arial" w:hAnsi="Arial" w:cs="Arial"/>
                <w:sz w:val="18"/>
              </w:rPr>
              <w:t>zemsko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Zahraničie</w:t>
            </w:r>
          </w:p>
        </w:tc>
      </w:tr>
      <w:tr w:rsidR="00373C43" w:rsidTr="002B305D">
        <w:trPr>
          <w:cantSplit/>
        </w:trPr>
        <w:tc>
          <w:tcPr>
            <w:tcW w:w="4394" w:type="dxa"/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1. Výnosy z bežnej činnosti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 w:rsidTr="002B305D">
        <w:trPr>
          <w:cantSplit/>
        </w:trPr>
        <w:tc>
          <w:tcPr>
            <w:tcW w:w="4394" w:type="dxa"/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lastRenderedPageBreak/>
              <w:t xml:space="preserve">   </w:t>
            </w:r>
            <w:r>
              <w:rPr>
                <w:rFonts w:ascii="Arial" w:hAnsi="Arial" w:cs="Arial"/>
                <w:sz w:val="18"/>
              </w:rPr>
              <w:t>1.1. Tržby za predaj tovaru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373C43" w:rsidRDefault="00FC4A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2152740</w:t>
            </w: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 w:rsidTr="002B305D">
        <w:trPr>
          <w:cantSplit/>
        </w:trPr>
        <w:tc>
          <w:tcPr>
            <w:tcW w:w="4394" w:type="dxa"/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1.2. Tržby za predaj vlastných výrobkov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 w:rsidTr="002B305D">
        <w:trPr>
          <w:cantSplit/>
        </w:trPr>
        <w:tc>
          <w:tcPr>
            <w:tcW w:w="4394" w:type="dxa"/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1.3. Tržby za predaj služby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373C43" w:rsidRDefault="00FC4A29" w:rsidP="00B70B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48957</w:t>
            </w: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 w:rsidTr="00B70B24">
        <w:trPr>
          <w:cantSplit/>
          <w:trHeight w:val="390"/>
        </w:trPr>
        <w:tc>
          <w:tcPr>
            <w:tcW w:w="4394" w:type="dxa"/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1.4. Ostatné prevádzkové výnosy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373C43" w:rsidRDefault="00373C43" w:rsidP="00B70B24">
            <w:pPr>
              <w:rPr>
                <w:rFonts w:ascii="Arial" w:hAnsi="Arial" w:cs="Arial"/>
              </w:rPr>
            </w:pP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 w:rsidTr="002B305D">
        <w:trPr>
          <w:cantSplit/>
        </w:trPr>
        <w:tc>
          <w:tcPr>
            <w:tcW w:w="4394" w:type="dxa"/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1.5. Finančné výnosy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 w:rsidTr="002B305D">
        <w:trPr>
          <w:cantSplit/>
        </w:trPr>
        <w:tc>
          <w:tcPr>
            <w:tcW w:w="4394" w:type="dxa"/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2. Mimoriadne výnosy</w:t>
            </w:r>
            <w:r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  <w:tr w:rsidR="00373C43" w:rsidTr="002B305D">
        <w:trPr>
          <w:cantSplit/>
        </w:trPr>
        <w:tc>
          <w:tcPr>
            <w:tcW w:w="4394" w:type="dxa"/>
          </w:tcPr>
          <w:p w:rsidR="00373C43" w:rsidRDefault="00373C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Výnosy spolu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373C43" w:rsidRDefault="00FC4A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2201697</w:t>
            </w: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73C43" w:rsidRDefault="00373C43">
      <w:pPr>
        <w:rPr>
          <w:rFonts w:ascii="Arial" w:hAnsi="Arial" w:cs="Arial"/>
        </w:rPr>
      </w:pPr>
    </w:p>
    <w:p w:rsidR="00373C43" w:rsidRDefault="00373C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5. Rozdiely medzi hospodárskym výsledkom pred zdanením a hospodárskym</w:t>
      </w:r>
    </w:p>
    <w:p w:rsidR="00373C43" w:rsidRDefault="00373C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výsledkom po zdanení</w:t>
      </w:r>
    </w:p>
    <w:p w:rsidR="00373C43" w:rsidRDefault="00373C43">
      <w:pPr>
        <w:rPr>
          <w:rFonts w:ascii="Arial" w:hAnsi="Arial" w:cs="Arial"/>
          <w:b/>
          <w:bCs/>
        </w:rPr>
      </w:pPr>
    </w:p>
    <w:p w:rsidR="00373C43" w:rsidRDefault="00373C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</w:rPr>
        <w:t xml:space="preserve">    </w:t>
      </w:r>
      <w:r>
        <w:rPr>
          <w:rFonts w:ascii="Arial" w:hAnsi="Arial" w:cs="Arial"/>
          <w:sz w:val="20"/>
          <w:szCs w:val="20"/>
        </w:rPr>
        <w:t>Prehľad jednotlivých položiek, o ktoré sa zvyšuje a znižuje hospodársky výsledok pred zdanením pre účely stanovenia základu dane z príjmov právnických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osôb podľa zákona č. 595/2006 Z. z. o dani z príjmov v znení neskorších predpisov </w:t>
      </w:r>
    </w:p>
    <w:p w:rsidR="00373C43" w:rsidRDefault="00373C43">
      <w:pPr>
        <w:rPr>
          <w:rFonts w:ascii="Arial" w:hAnsi="Arial" w:cs="Arial"/>
          <w:sz w:val="1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750"/>
        <w:gridCol w:w="1260"/>
        <w:gridCol w:w="1202"/>
      </w:tblGrid>
      <w:tr w:rsidR="00373C43">
        <w:tc>
          <w:tcPr>
            <w:tcW w:w="6750" w:type="dxa"/>
            <w:tcBorders>
              <w:right w:val="single" w:sz="4" w:space="0" w:color="auto"/>
            </w:tcBorders>
            <w:shd w:val="clear" w:color="auto" w:fill="FFFFFF"/>
          </w:tcPr>
          <w:p w:rsidR="00373C43" w:rsidRDefault="00373C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t>Text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3C43" w:rsidRDefault="00373C43">
            <w:pPr>
              <w:pStyle w:val="Zkladntext"/>
            </w:pPr>
            <w:r>
              <w:t>Výpočet, príp.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odvolávka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na účet</w:t>
            </w:r>
          </w:p>
        </w:tc>
        <w:tc>
          <w:tcPr>
            <w:tcW w:w="1202" w:type="dxa"/>
            <w:tcBorders>
              <w:left w:val="single" w:sz="4" w:space="0" w:color="auto"/>
            </w:tcBorders>
            <w:shd w:val="clear" w:color="auto" w:fill="FFFFFF"/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Suma</w:t>
            </w:r>
          </w:p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 . €</w:t>
            </w:r>
          </w:p>
        </w:tc>
      </w:tr>
      <w:tr w:rsidR="00373C43">
        <w:tc>
          <w:tcPr>
            <w:tcW w:w="6750" w:type="dxa"/>
            <w:tcBorders>
              <w:right w:val="single" w:sz="4" w:space="0" w:color="auto"/>
            </w:tcBorders>
          </w:tcPr>
          <w:p w:rsidR="00373C43" w:rsidRDefault="00373C43">
            <w:pPr>
              <w:pStyle w:val="Nadpis7"/>
              <w:rPr>
                <w:sz w:val="24"/>
              </w:rPr>
            </w:pPr>
            <w:r>
              <w:rPr>
                <w:sz w:val="24"/>
              </w:rPr>
              <w:t xml:space="preserve">Hospodársky výsledok pred zdanením </w:t>
            </w:r>
          </w:p>
          <w:p w:rsidR="00373C43" w:rsidRDefault="00373C43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FC4A29" w:rsidP="004A29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9474</w:t>
            </w:r>
          </w:p>
        </w:tc>
      </w:tr>
      <w:tr w:rsidR="00373C43">
        <w:tc>
          <w:tcPr>
            <w:tcW w:w="675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+ sumy, ktoré neoprávnene skrátili príjmy vrátane rozdielu podľa §17 odst. 5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zákona a sumy nepeňažných plnení 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c>
          <w:tcPr>
            <w:tcW w:w="675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>
              <w:rPr>
                <w:rFonts w:ascii="Arial" w:hAnsi="Arial" w:cs="Arial"/>
                <w:sz w:val="18"/>
                <w:szCs w:val="18"/>
              </w:rPr>
              <w:t>Sumy podľa § 17 ods. 21 a § 52 ods. 12 zákona prijaté v zdaňovacom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období, za ktoré sa daňové priznanie podáva</w:t>
            </w:r>
            <w:r>
              <w:rPr>
                <w:rFonts w:ascii="Arial" w:hAnsi="Arial" w:cs="Arial"/>
                <w:sz w:val="18"/>
              </w:rPr>
              <w:t xml:space="preserve">   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c>
          <w:tcPr>
            <w:tcW w:w="675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 Výdavky (náklady), ktoré nie sú daňovými výdavkami podľa § 21 zákona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alebo ktoré boli vynaložené v rozpore s § 19 zákona</w:t>
            </w:r>
            <w:r>
              <w:rPr>
                <w:rFonts w:ascii="Arial" w:hAnsi="Arial" w:cs="Arial"/>
                <w:sz w:val="18"/>
              </w:rPr>
              <w:t xml:space="preserve">   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c>
          <w:tcPr>
            <w:tcW w:w="675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 Sumy podľa § 17 ods. 21 a § 19 ods. 4 zákona, ktoré neboli zaplatené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do konca zdaňovacieho obdobia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c>
          <w:tcPr>
            <w:tcW w:w="675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>
              <w:rPr>
                <w:rFonts w:ascii="Arial" w:hAnsi="Arial" w:cs="Arial"/>
                <w:sz w:val="18"/>
                <w:szCs w:val="18"/>
              </w:rPr>
              <w:t>Rozdiel, o ktorý odpisy hmotného majetku uplatnené v účtovníctve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prevyšujú daňové odpisy tohto majetku 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c>
          <w:tcPr>
            <w:tcW w:w="675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>
              <w:rPr>
                <w:rFonts w:ascii="Arial" w:hAnsi="Arial" w:cs="Arial"/>
                <w:sz w:val="18"/>
                <w:szCs w:val="18"/>
              </w:rPr>
              <w:t>Rozdiely z precenenia derivátov a cenných papierov (§ 52. ods. 39 a 44)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a kurzové rozdiely vyplývajúce z uplatnenia § 17 ods. 17 zákona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rPr>
          <w:trHeight w:val="735"/>
        </w:trPr>
        <w:tc>
          <w:tcPr>
            <w:tcW w:w="6750" w:type="dxa"/>
            <w:tcBorders>
              <w:bottom w:val="single" w:sz="4" w:space="0" w:color="auto"/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>
              <w:rPr>
                <w:rFonts w:ascii="Arial" w:hAnsi="Arial" w:cs="Arial"/>
                <w:sz w:val="18"/>
                <w:szCs w:val="18"/>
              </w:rPr>
              <w:t>Úprava (zvýšenie) základu dane v prípade zrušenia daňovníka likvidáciou,</w:t>
            </w:r>
          </w:p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pri vyhlásení konkurzu (§ 17 ods. 8 zákona) alebo zrušenia bez likvidácie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(§ 17 ods. 13 zákona)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</w:p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</w:p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rPr>
          <w:trHeight w:val="645"/>
        </w:trPr>
        <w:tc>
          <w:tcPr>
            <w:tcW w:w="6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>
              <w:rPr>
                <w:rFonts w:ascii="Arial" w:hAnsi="Arial" w:cs="Arial"/>
                <w:sz w:val="18"/>
                <w:szCs w:val="18"/>
              </w:rPr>
              <w:t>Príjmy daňovníkov nezaložených alebo nezriadených na podnikanie (§ 12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ods. 3 zákona), ktoré sú predmetom dane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rPr>
          <w:trHeight w:val="525"/>
        </w:trPr>
        <w:tc>
          <w:tcPr>
            <w:tcW w:w="6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>
              <w:rPr>
                <w:rFonts w:ascii="Arial" w:hAnsi="Arial" w:cs="Arial"/>
                <w:sz w:val="18"/>
                <w:szCs w:val="18"/>
              </w:rPr>
              <w:t>Úhrn obstarávacích cien cenných papierov nezahrňovaných do daňových</w:t>
            </w:r>
          </w:p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výdavkov podľa podmienok § 19 ods. 2 písm. f) zákona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rPr>
          <w:trHeight w:val="285"/>
        </w:trPr>
        <w:tc>
          <w:tcPr>
            <w:tcW w:w="6750" w:type="dxa"/>
            <w:tcBorders>
              <w:top w:val="single" w:sz="4" w:space="0" w:color="auto"/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>
              <w:rPr>
                <w:rFonts w:ascii="Arial" w:hAnsi="Arial" w:cs="Arial"/>
                <w:sz w:val="18"/>
                <w:szCs w:val="18"/>
              </w:rPr>
              <w:t>Obstarávacia cena obchodného podielu a zmenky prevyšujúca príjem</w:t>
            </w:r>
          </w:p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[§ 19 ods. 2 písm. g) zákona]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c>
          <w:tcPr>
            <w:tcW w:w="675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 Spotreba pohonných látok zaúčtovaná v nákladoch presahujúca sumu určenú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na základe spotreby pohonných látok vypočítanej podľa §19 ods.2 písm. l)        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c>
          <w:tcPr>
            <w:tcW w:w="675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 Príspevky združeniam právnických osôb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nad rámec § 19 ods. 3 písm. n) zákona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c>
          <w:tcPr>
            <w:tcW w:w="675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Rozdiel medzi hodnotou alebo cenou obstarania pohľadávky a nižším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príjmom z prijatej úhrady [§ 19 ods. 3 písm. h) zákona]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c>
          <w:tcPr>
            <w:tcW w:w="675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 Odplaty (provízie) za vymáhanie pohľadávky presahujúce príjem z tejto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    pohľadávky [§ 19 ods. 3 písm. p) zákona]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rPr>
          <w:trHeight w:val="555"/>
        </w:trPr>
        <w:tc>
          <w:tcPr>
            <w:tcW w:w="675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+ Výdavky na reprezentáciu s výnimkou reklamných predmetov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podľa § 21 ods. 1 písm. h) zákona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  <w:tr w:rsidR="00373C43">
        <w:tc>
          <w:tcPr>
            <w:tcW w:w="675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>
              <w:rPr>
                <w:rFonts w:ascii="Arial" w:hAnsi="Arial" w:cs="Arial"/>
                <w:sz w:val="18"/>
                <w:szCs w:val="18"/>
              </w:rPr>
              <w:t>Manká a škody presahujúce prijaté náhrady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[§ 21 ods. 2 písm. e) zákona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</w:rPr>
            </w:pPr>
          </w:p>
        </w:tc>
      </w:tr>
    </w:tbl>
    <w:p w:rsidR="00373C43" w:rsidRDefault="00373C43">
      <w:pPr>
        <w:rPr>
          <w:rFonts w:ascii="Arial" w:hAnsi="Arial" w:cs="Arial"/>
          <w:sz w:val="18"/>
        </w:rPr>
      </w:pPr>
    </w:p>
    <w:p w:rsidR="00373C43" w:rsidRDefault="00373C43">
      <w:pPr>
        <w:rPr>
          <w:rFonts w:ascii="Arial" w:hAnsi="Arial" w:cs="Arial"/>
          <w:sz w:val="1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570"/>
        <w:gridCol w:w="1440"/>
        <w:gridCol w:w="1202"/>
      </w:tblGrid>
      <w:tr w:rsidR="00373C43">
        <w:trPr>
          <w:trHeight w:val="615"/>
        </w:trPr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>
              <w:rPr>
                <w:rFonts w:ascii="Arial" w:hAnsi="Arial" w:cs="Arial"/>
                <w:sz w:val="18"/>
                <w:szCs w:val="18"/>
              </w:rPr>
              <w:t>Poskytnuté dary vrátane zostatkovej ceny trvale vyradeného majetku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darovaním [§ 21 ods. 2 písm. f) zákona]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rPr>
          <w:trHeight w:val="660"/>
        </w:trPr>
        <w:tc>
          <w:tcPr>
            <w:tcW w:w="6570" w:type="dxa"/>
            <w:tcBorders>
              <w:bottom w:val="single" w:sz="4" w:space="0" w:color="auto"/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 Tvorba opravných položiek neuznaná za daňový výdavok</w:t>
            </w:r>
          </w:p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[§ 21 ods. 2 písm. j) zákona]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rPr>
          <w:trHeight w:val="660"/>
        </w:trPr>
        <w:tc>
          <w:tcPr>
            <w:tcW w:w="6570" w:type="dxa"/>
            <w:tcBorders>
              <w:top w:val="single" w:sz="4" w:space="0" w:color="auto"/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 Tvorba rezerv neuznaná za daňový výdavok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podľa § 21 ods. 2 písm. j) zákona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 Daňovo neuznané odpisy pri nesplnení podmienok finančného prenájmu</w:t>
            </w:r>
          </w:p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(rozdiel medzi odpismi uplatnenými podľa § 26 ods. 8 zákona a odpismi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podľa § 27 alebo § 28 zákona za celú dobu trvania finančného prenájmu)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>
              <w:rPr>
                <w:rFonts w:ascii="Arial" w:hAnsi="Arial" w:cs="Arial"/>
                <w:sz w:val="18"/>
                <w:szCs w:val="18"/>
              </w:rPr>
              <w:t>Výdavky vynaložené na príjmy oslobodené od dane alebo nezahŕňané</w:t>
            </w:r>
          </w:p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do základu dane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rPr>
          <w:trHeight w:val="330"/>
        </w:trPr>
        <w:tc>
          <w:tcPr>
            <w:tcW w:w="6570" w:type="dxa"/>
            <w:tcBorders>
              <w:bottom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 Ostatné položky, ktoré nie sú daňovými výdavkami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rPr>
          <w:trHeight w:val="465"/>
        </w:trPr>
        <w:tc>
          <w:tcPr>
            <w:tcW w:w="6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Príjmy, ktoré nie sú predmetom dane podľa § 12 ods.7 zákona   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rPr>
          <w:trHeight w:val="705"/>
        </w:trPr>
        <w:tc>
          <w:tcPr>
            <w:tcW w:w="6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-  </w:t>
            </w:r>
            <w:r>
              <w:rPr>
                <w:rFonts w:ascii="Arial" w:hAnsi="Arial" w:cs="Arial"/>
                <w:sz w:val="18"/>
                <w:szCs w:val="18"/>
              </w:rPr>
              <w:t>Príjmy, ktoré nie sú predmetom dane u daňovníkov nezaložených alebo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nezriadených na podnikanie (§ 12 ods. 3 zákona)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</w:p>
          <w:p w:rsidR="00373C43" w:rsidRDefault="00373C43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rPr>
          <w:trHeight w:val="690"/>
        </w:trPr>
        <w:tc>
          <w:tcPr>
            <w:tcW w:w="6570" w:type="dxa"/>
            <w:tcBorders>
              <w:top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Príjmy oslobodené od dane podľa §13 zákona</w:t>
            </w:r>
          </w:p>
          <w:p w:rsidR="00373C43" w:rsidRDefault="00373C43">
            <w:pPr>
              <w:ind w:left="360"/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</w:rPr>
              <w:t>Príjmy nezahrňované do základu dane podľa § 17 ods. 3 písm. a) zákona,</w:t>
            </w:r>
          </w:p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rozdiely z precenenia derivátov a cenných papierov (§ 52 ods. 39 a 44)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a kurzové rozdiely vyplývajúce z uplatnenia § 17 ods. 17 zákona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</w:rPr>
              <w:t>Rozdiel, o ktorý daňové odpisy hmotného majetku prevyšujú odpisy tohto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majetku uplatnené v účtovníctve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</w:rPr>
              <w:t>Sumy podľa § 17 ods.21 zákona, ak neboli prijaté v zdaňovacom období,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za ktoré sa daňové priznanie podáva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</w:rPr>
              <w:t>Sumy podľa § 17 ods.21, § 19 ods 4 a § 52 ods. 12 zákona, ktoré boli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zaplatené v zdaňovacom období 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</w:rPr>
              <w:t>Úprava (zníženie) základu dane v prípade zrušenia daňovníka likvidáciou,</w:t>
            </w:r>
          </w:p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pri vyhlásení konkurzu (§17 ods. 8 zákona) alebo zrušenia bez likvidácie</w:t>
            </w:r>
          </w:p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(§17 ods. 13 zákona) 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rPr>
          <w:trHeight w:val="900"/>
        </w:trPr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pStyle w:val="Nadpis7"/>
              <w:rPr>
                <w:sz w:val="24"/>
              </w:rPr>
            </w:pPr>
          </w:p>
          <w:p w:rsidR="00373C43" w:rsidRDefault="00373C43">
            <w:pPr>
              <w:pStyle w:val="Nadpis7"/>
            </w:pPr>
            <w:r>
              <w:rPr>
                <w:sz w:val="24"/>
              </w:rPr>
              <w:t xml:space="preserve">   Základ dane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FC4A29" w:rsidP="004A29DD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13120</w:t>
            </w: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</w:p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Časť základu dane alebo daňovej straty, vykázanej spoločnosťou,</w:t>
            </w:r>
          </w:p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pripadajúca na komplementárov a na spoločníkov verejnej obchodnej</w:t>
            </w:r>
          </w:p>
          <w:p w:rsidR="00373C43" w:rsidRDefault="00373C4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spoločnosti</w:t>
            </w:r>
          </w:p>
          <w:p w:rsidR="00373C43" w:rsidRDefault="00373C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</w:tr>
      <w:tr w:rsidR="00373C43">
        <w:tc>
          <w:tcPr>
            <w:tcW w:w="6570" w:type="dxa"/>
            <w:tcBorders>
              <w:right w:val="single" w:sz="4" w:space="0" w:color="auto"/>
            </w:tcBorders>
          </w:tcPr>
          <w:p w:rsidR="00373C43" w:rsidRDefault="00373C43">
            <w:pPr>
              <w:pStyle w:val="Nadpis7"/>
              <w:rPr>
                <w:sz w:val="24"/>
              </w:rPr>
            </w:pPr>
            <w:r>
              <w:rPr>
                <w:sz w:val="24"/>
              </w:rPr>
              <w:t xml:space="preserve">  Upravený základ dane</w:t>
            </w:r>
          </w:p>
          <w:p w:rsidR="00373C43" w:rsidRDefault="00373C43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373C43" w:rsidRDefault="00373C4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373C43" w:rsidRDefault="00FC4A29" w:rsidP="004A29D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13120</w:t>
            </w:r>
          </w:p>
        </w:tc>
      </w:tr>
    </w:tbl>
    <w:p w:rsidR="00373C43" w:rsidRDefault="00373C43">
      <w:pPr>
        <w:rPr>
          <w:rFonts w:ascii="Arial" w:hAnsi="Arial" w:cs="Arial"/>
          <w:sz w:val="20"/>
        </w:rPr>
      </w:pPr>
    </w:p>
    <w:p w:rsidR="00FC4A29" w:rsidRDefault="00FC4A2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 Košiciach  9.3.2016                                                                    </w:t>
      </w:r>
      <w:r w:rsidR="002F70F6">
        <w:rPr>
          <w:rFonts w:ascii="Arial" w:hAnsi="Arial" w:cs="Arial"/>
          <w:sz w:val="20"/>
        </w:rPr>
        <w:t>Martin CVIK</w:t>
      </w:r>
    </w:p>
    <w:p w:rsidR="00FC4A29" w:rsidRDefault="00FC4A29">
      <w:pPr>
        <w:rPr>
          <w:rFonts w:ascii="Arial" w:hAnsi="Arial" w:cs="Arial"/>
          <w:sz w:val="20"/>
        </w:rPr>
      </w:pPr>
    </w:p>
    <w:sectPr w:rsidR="00FC4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7BE8"/>
    <w:multiLevelType w:val="hybridMultilevel"/>
    <w:tmpl w:val="8304AF0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217C26"/>
    <w:multiLevelType w:val="hybridMultilevel"/>
    <w:tmpl w:val="3B1ABE5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0AE0C65"/>
    <w:multiLevelType w:val="hybridMultilevel"/>
    <w:tmpl w:val="DD20B594"/>
    <w:lvl w:ilvl="0" w:tplc="993C02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04C4A17"/>
    <w:multiLevelType w:val="hybridMultilevel"/>
    <w:tmpl w:val="3A867A1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C96266E"/>
    <w:multiLevelType w:val="hybridMultilevel"/>
    <w:tmpl w:val="CB18E6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8A96115"/>
    <w:multiLevelType w:val="hybridMultilevel"/>
    <w:tmpl w:val="897E106C"/>
    <w:lvl w:ilvl="0" w:tplc="C4DCE0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BBA71FE"/>
    <w:multiLevelType w:val="hybridMultilevel"/>
    <w:tmpl w:val="E678385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FF356A9"/>
    <w:multiLevelType w:val="hybridMultilevel"/>
    <w:tmpl w:val="8E1062BE"/>
    <w:lvl w:ilvl="0" w:tplc="041B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EE1"/>
    <w:rsid w:val="002502A9"/>
    <w:rsid w:val="002B305D"/>
    <w:rsid w:val="002F70F6"/>
    <w:rsid w:val="00373C43"/>
    <w:rsid w:val="004A29DD"/>
    <w:rsid w:val="004E77A1"/>
    <w:rsid w:val="00823031"/>
    <w:rsid w:val="008D3EE1"/>
    <w:rsid w:val="00AA5B45"/>
    <w:rsid w:val="00B70B24"/>
    <w:rsid w:val="00B81DF8"/>
    <w:rsid w:val="00DC1227"/>
    <w:rsid w:val="00F95D67"/>
    <w:rsid w:val="00FC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jc w:val="center"/>
      <w:outlineLvl w:val="0"/>
    </w:pPr>
    <w:rPr>
      <w:rFonts w:ascii="Arial" w:hAnsi="Arial" w:cs="Arial"/>
      <w:b/>
      <w:bCs/>
      <w:sz w:val="48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0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sz w:val="28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rFonts w:ascii="Arial" w:hAnsi="Arial" w:cs="Arial"/>
      <w:b/>
      <w:bCs/>
      <w:i/>
      <w:iCs/>
      <w:sz w:val="20"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rFonts w:ascii="Lucida Sans" w:hAnsi="Lucida Sans" w:cs="Arial"/>
      <w:b/>
      <w:bCs/>
    </w:r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rFonts w:ascii="Arial" w:hAnsi="Arial" w:cs="Arial"/>
      <w:b/>
      <w:bCs/>
      <w:sz w:val="18"/>
    </w:rPr>
  </w:style>
  <w:style w:type="paragraph" w:styleId="Nadpis7">
    <w:name w:val="heading 7"/>
    <w:basedOn w:val="Normlny"/>
    <w:next w:val="Normlny"/>
    <w:qFormat/>
    <w:pPr>
      <w:keepNext/>
      <w:outlineLvl w:val="6"/>
    </w:pPr>
    <w:rPr>
      <w:rFonts w:ascii="Arial" w:hAnsi="Arial" w:cs="Arial"/>
      <w:b/>
      <w:bCs/>
      <w:sz w:val="18"/>
    </w:rPr>
  </w:style>
  <w:style w:type="paragraph" w:styleId="Nadpis8">
    <w:name w:val="heading 8"/>
    <w:basedOn w:val="Normlny"/>
    <w:next w:val="Normlny"/>
    <w:qFormat/>
    <w:pPr>
      <w:keepNext/>
      <w:outlineLvl w:val="7"/>
    </w:pPr>
    <w:rPr>
      <w:rFonts w:ascii="Lucida Sans" w:hAnsi="Lucida Sans" w:cs="Arial"/>
      <w:b/>
      <w:bCs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rFonts w:ascii="Bookman Old Style" w:hAnsi="Bookman Old Style" w:cs="Arial"/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rPr>
      <w:rFonts w:ascii="Arial" w:hAnsi="Arial" w:cs="Arial"/>
      <w:sz w:val="18"/>
    </w:rPr>
  </w:style>
  <w:style w:type="paragraph" w:styleId="Zkladntext2">
    <w:name w:val="Body Text 2"/>
    <w:basedOn w:val="Normlny"/>
    <w:semiHidden/>
    <w:rPr>
      <w:rFonts w:ascii="Arial" w:hAnsi="Arial" w:cs="Arial"/>
      <w:sz w:val="22"/>
    </w:rPr>
  </w:style>
  <w:style w:type="paragraph" w:styleId="Zkladntext3">
    <w:name w:val="Body Text 3"/>
    <w:basedOn w:val="Normlny"/>
    <w:semiHidden/>
    <w:pPr>
      <w:jc w:val="both"/>
    </w:pPr>
    <w:rPr>
      <w:rFonts w:ascii="Arial" w:hAnsi="Arial" w:cs="Arial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jc w:val="center"/>
      <w:outlineLvl w:val="0"/>
    </w:pPr>
    <w:rPr>
      <w:rFonts w:ascii="Arial" w:hAnsi="Arial" w:cs="Arial"/>
      <w:b/>
      <w:bCs/>
      <w:sz w:val="48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0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sz w:val="28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rFonts w:ascii="Arial" w:hAnsi="Arial" w:cs="Arial"/>
      <w:b/>
      <w:bCs/>
      <w:i/>
      <w:iCs/>
      <w:sz w:val="20"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rFonts w:ascii="Lucida Sans" w:hAnsi="Lucida Sans" w:cs="Arial"/>
      <w:b/>
      <w:bCs/>
    </w:r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rFonts w:ascii="Arial" w:hAnsi="Arial" w:cs="Arial"/>
      <w:b/>
      <w:bCs/>
      <w:sz w:val="18"/>
    </w:rPr>
  </w:style>
  <w:style w:type="paragraph" w:styleId="Nadpis7">
    <w:name w:val="heading 7"/>
    <w:basedOn w:val="Normlny"/>
    <w:next w:val="Normlny"/>
    <w:qFormat/>
    <w:pPr>
      <w:keepNext/>
      <w:outlineLvl w:val="6"/>
    </w:pPr>
    <w:rPr>
      <w:rFonts w:ascii="Arial" w:hAnsi="Arial" w:cs="Arial"/>
      <w:b/>
      <w:bCs/>
      <w:sz w:val="18"/>
    </w:rPr>
  </w:style>
  <w:style w:type="paragraph" w:styleId="Nadpis8">
    <w:name w:val="heading 8"/>
    <w:basedOn w:val="Normlny"/>
    <w:next w:val="Normlny"/>
    <w:qFormat/>
    <w:pPr>
      <w:keepNext/>
      <w:outlineLvl w:val="7"/>
    </w:pPr>
    <w:rPr>
      <w:rFonts w:ascii="Lucida Sans" w:hAnsi="Lucida Sans" w:cs="Arial"/>
      <w:b/>
      <w:bCs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rFonts w:ascii="Bookman Old Style" w:hAnsi="Bookman Old Style" w:cs="Arial"/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rPr>
      <w:rFonts w:ascii="Arial" w:hAnsi="Arial" w:cs="Arial"/>
      <w:sz w:val="18"/>
    </w:rPr>
  </w:style>
  <w:style w:type="paragraph" w:styleId="Zkladntext2">
    <w:name w:val="Body Text 2"/>
    <w:basedOn w:val="Normlny"/>
    <w:semiHidden/>
    <w:rPr>
      <w:rFonts w:ascii="Arial" w:hAnsi="Arial" w:cs="Arial"/>
      <w:sz w:val="22"/>
    </w:rPr>
  </w:style>
  <w:style w:type="paragraph" w:styleId="Zkladntext3">
    <w:name w:val="Body Text 3"/>
    <w:basedOn w:val="Normlny"/>
    <w:semiHidden/>
    <w:pPr>
      <w:jc w:val="both"/>
    </w:pPr>
    <w:rPr>
      <w:rFonts w:ascii="Arial" w:hAnsi="Arial" w:cs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65E53-0DAF-4F64-B381-D90AD5803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1169</Words>
  <Characters>6664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Priloha</vt:lpstr>
      <vt:lpstr>Priloha</vt:lpstr>
    </vt:vector>
  </TitlesOfParts>
  <Company>U kancelaria</Company>
  <LinksUpToDate>false</LinksUpToDate>
  <CharactersWithSpaces>7818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Priloha</dc:title>
  <dc:creator>M.Hladká</dc:creator>
  <cp:lastModifiedBy>Samsung1</cp:lastModifiedBy>
  <cp:revision>2</cp:revision>
  <cp:lastPrinted>2014-03-25T07:26:00Z</cp:lastPrinted>
  <dcterms:created xsi:type="dcterms:W3CDTF">2016-03-09T13:59:00Z</dcterms:created>
  <dcterms:modified xsi:type="dcterms:W3CDTF">2016-03-09T13:59:00Z</dcterms:modified>
</cp:coreProperties>
</file>