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header1.xml" ContentType="application/vnd.openxmlformats-officedocument.wordprocessingml.head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jc w:val="center"/>
      </w:pPr>
      <w:r>
        <w:rPr>
          <w:b/>
          <w:bCs/>
          <w:sz w:val="30"/>
          <w:szCs w:val="30"/>
        </w:rPr>
        <w:t xml:space="preserve"> </w:t>
      </w:r>
      <w:r>
        <w:rPr>
          <w:b/>
          <w:bCs/>
          <w:sz w:val="30"/>
          <w:szCs w:val="30"/>
        </w:rPr>
        <w:t xml:space="preserve">Poznámky individuálnej účtovnej závierky </w:t>
      </w:r>
    </w:p>
    <w:p>
      <w:pPr>
        <w:pStyle w:val="style0"/>
        <w:jc w:val="center"/>
      </w:pPr>
      <w:r>
        <w:rPr>
          <w:b/>
          <w:bCs/>
          <w:sz w:val="30"/>
          <w:szCs w:val="30"/>
        </w:rPr>
        <w:t xml:space="preserve">zostavenej k 31. decembru 2015 </w:t>
      </w:r>
    </w:p>
    <w:p>
      <w:pPr>
        <w:pStyle w:val="style0"/>
        <w:jc w:val="left"/>
      </w:pPr>
      <w:r>
        <w:rPr/>
      </w:r>
    </w:p>
    <w:p>
      <w:pPr>
        <w:pStyle w:val="style0"/>
        <w:jc w:val="left"/>
      </w:pPr>
      <w:r>
        <w:rPr/>
      </w:r>
    </w:p>
    <w:p>
      <w:pPr>
        <w:pStyle w:val="style0"/>
        <w:jc w:val="center"/>
      </w:pPr>
      <w:r>
        <w:rPr>
          <w:b/>
          <w:bCs/>
          <w:sz w:val="24"/>
          <w:szCs w:val="24"/>
        </w:rPr>
        <w:t>I.   VŠEOBECNÉ ÚDAJE</w:t>
      </w:r>
    </w:p>
    <w:p>
      <w:pPr>
        <w:pStyle w:val="style0"/>
        <w:jc w:val="left"/>
      </w:pPr>
      <w:r>
        <w:rPr/>
      </w:r>
    </w:p>
    <w:p>
      <w:pPr>
        <w:pStyle w:val="style0"/>
        <w:jc w:val="left"/>
      </w:pPr>
      <w:r>
        <w:rPr/>
      </w:r>
    </w:p>
    <w:p>
      <w:pPr>
        <w:pStyle w:val="style0"/>
        <w:jc w:val="left"/>
      </w:pPr>
      <w:r>
        <w:rPr>
          <w:b w:val="false"/>
          <w:bCs w:val="false"/>
          <w:i/>
          <w:iCs/>
          <w:sz w:val="24"/>
          <w:szCs w:val="24"/>
          <w:u w:val="single"/>
        </w:rPr>
        <w:t>Identifikačné údaje účtovnej jednotky</w:t>
      </w:r>
    </w:p>
    <w:p>
      <w:pPr>
        <w:pStyle w:val="style0"/>
        <w:jc w:val="left"/>
      </w:pPr>
      <w:r>
        <w:rPr/>
      </w:r>
    </w:p>
    <w:p>
      <w:pPr>
        <w:pStyle w:val="style0"/>
        <w:jc w:val="left"/>
      </w:pPr>
      <w:r>
        <w:rPr>
          <w:b w:val="false"/>
          <w:bCs w:val="false"/>
          <w:i w:val="false"/>
          <w:iCs w:val="false"/>
          <w:sz w:val="24"/>
          <w:szCs w:val="24"/>
          <w:u w:val="none"/>
        </w:rPr>
        <w:t>Zoologická záhrada</w:t>
      </w:r>
    </w:p>
    <w:p>
      <w:pPr>
        <w:pStyle w:val="style0"/>
        <w:jc w:val="left"/>
      </w:pPr>
      <w:r>
        <w:rPr>
          <w:b w:val="false"/>
          <w:bCs w:val="false"/>
          <w:i w:val="false"/>
          <w:iCs w:val="false"/>
          <w:sz w:val="24"/>
          <w:szCs w:val="24"/>
          <w:u w:val="none"/>
        </w:rPr>
        <w:t>sadová 6</w:t>
      </w:r>
    </w:p>
    <w:p>
      <w:pPr>
        <w:pStyle w:val="style0"/>
        <w:jc w:val="left"/>
      </w:pPr>
      <w:r>
        <w:rPr>
          <w:b w:val="false"/>
          <w:bCs w:val="false"/>
          <w:i w:val="false"/>
          <w:iCs w:val="false"/>
          <w:sz w:val="24"/>
          <w:szCs w:val="24"/>
          <w:u w:val="none"/>
        </w:rPr>
        <w:t>052 01 Spišská nová Ves</w:t>
      </w:r>
    </w:p>
    <w:p>
      <w:pPr>
        <w:pStyle w:val="style0"/>
        <w:jc w:val="left"/>
      </w:pPr>
      <w:r>
        <w:rPr>
          <w:b w:val="false"/>
          <w:bCs w:val="false"/>
          <w:i w:val="false"/>
          <w:iCs w:val="false"/>
          <w:sz w:val="24"/>
          <w:szCs w:val="24"/>
          <w:u w:val="none"/>
        </w:rPr>
        <w:t>IČO: 31309399</w:t>
      </w:r>
    </w:p>
    <w:p>
      <w:pPr>
        <w:pStyle w:val="style0"/>
        <w:jc w:val="left"/>
      </w:pPr>
      <w:r>
        <w:rPr/>
      </w:r>
    </w:p>
    <w:p>
      <w:pPr>
        <w:pStyle w:val="style0"/>
        <w:jc w:val="both"/>
      </w:pPr>
      <w:r>
        <w:rPr>
          <w:b w:val="false"/>
          <w:bCs w:val="false"/>
          <w:i w:val="false"/>
          <w:iCs w:val="false"/>
          <w:sz w:val="24"/>
          <w:szCs w:val="24"/>
          <w:u w:val="none"/>
        </w:rPr>
        <w:t xml:space="preserve">Zoologická záhrada bola založená 12. 05. 1989 a od 1.1.2000 sa stala príspevkovou organizáciou mesta Spišská Nová Ves. Rozkladá sa na ploche 8,5 ha. </w:t>
      </w:r>
      <w:r>
        <w:rPr>
          <w:b w:val="false"/>
          <w:bCs w:val="false"/>
          <w:i w:val="false"/>
          <w:iCs w:val="false"/>
          <w:sz w:val="24"/>
          <w:szCs w:val="24"/>
          <w:u w:val="none"/>
        </w:rPr>
        <w:t>K 31. 12. 2015 pracovalo v ZOO 13 stálych zamestnancov, z toho 7,5 ošetrovateľov, 4,5 THP a 1 pracovník BOZP na kratší úväzok. Pokladníčka v hlavnej pokladni bola prijatá na zmluvu na dobu určitú v sezóne. Externe pracoval veterinárny lekár.</w:t>
      </w:r>
    </w:p>
    <w:p>
      <w:pPr>
        <w:pStyle w:val="style0"/>
        <w:jc w:val="both"/>
      </w:pPr>
      <w:r>
        <w:rPr/>
      </w:r>
    </w:p>
    <w:p>
      <w:pPr>
        <w:pStyle w:val="style0"/>
        <w:jc w:val="both"/>
      </w:pPr>
      <w:r>
        <w:rPr>
          <w:b w:val="false"/>
          <w:bCs w:val="false"/>
          <w:i w:val="false"/>
          <w:iCs w:val="false"/>
          <w:sz w:val="24"/>
          <w:szCs w:val="24"/>
          <w:u w:val="none"/>
        </w:rPr>
        <w:t>Účtovná závierka Zoologickej záhrady k 31. decembru 2015 je zostavená ako riadna individuálna závierka podľa zákona č. 431/2002 Z.z. o účtovníctve v znení neskorších predpisov, za účtovné obdobie od 1. januára 2015 do 31. decembra 2015.</w:t>
      </w:r>
    </w:p>
    <w:p>
      <w:pPr>
        <w:pStyle w:val="style0"/>
        <w:jc w:val="both"/>
      </w:pPr>
      <w:r>
        <w:rPr/>
      </w:r>
    </w:p>
    <w:p>
      <w:pPr>
        <w:pStyle w:val="style0"/>
        <w:jc w:val="both"/>
      </w:pPr>
      <w:r>
        <w:rPr>
          <w:b w:val="false"/>
          <w:bCs w:val="false"/>
          <w:i w:val="false"/>
          <w:iCs w:val="false"/>
          <w:sz w:val="24"/>
          <w:szCs w:val="24"/>
          <w:u w:val="none"/>
        </w:rPr>
        <w:t>Zoologická záhrada je súčasťou konsolidovaného celku mesta Spišská Nová Ves.</w:t>
      </w:r>
    </w:p>
    <w:p>
      <w:pPr>
        <w:pStyle w:val="style0"/>
        <w:jc w:val="both"/>
      </w:pPr>
      <w:r>
        <w:rPr/>
      </w:r>
    </w:p>
    <w:p>
      <w:pPr>
        <w:pStyle w:val="style0"/>
        <w:jc w:val="both"/>
      </w:pPr>
      <w:r>
        <w:rPr>
          <w:b w:val="false"/>
          <w:bCs w:val="false"/>
          <w:i/>
          <w:iCs/>
          <w:sz w:val="24"/>
          <w:szCs w:val="24"/>
          <w:u w:val="none"/>
        </w:rPr>
        <w:t>Opis činnosti účtovnej jednotky</w:t>
      </w:r>
    </w:p>
    <w:p>
      <w:pPr>
        <w:pStyle w:val="style0"/>
        <w:jc w:val="both"/>
      </w:pPr>
      <w:r>
        <w:rPr/>
      </w:r>
    </w:p>
    <w:p>
      <w:pPr>
        <w:pStyle w:val="style0"/>
        <w:jc w:val="both"/>
      </w:pPr>
      <w:r>
        <w:rPr>
          <w:b w:val="false"/>
          <w:bCs w:val="false"/>
          <w:i w:val="false"/>
          <w:iCs w:val="false"/>
          <w:sz w:val="24"/>
          <w:szCs w:val="24"/>
          <w:u w:val="none"/>
        </w:rPr>
        <w:t xml:space="preserve">Zoologická záhrada zabezpečuje chov vzácnych a chránených druhov zvierat                   cudzokrajnej a domácej fauny. K 31.12.2015 evidujeme 127 druhov zvierat a 391 jedincov, z toho 71 prírastkov. Našu ZOO navštívilo počas roka 95 550 ľudí. Dostali sme dotáciu na činnosť a prevádzku 126 500 €. V roku 2015 sme rozšírili výbeh pre medvede hnedé o 252,2 m2 a priviezli sme plameniaky ružové, v počte 14 jedincov, ktoré sme dosiaľ v našej ZOO nemali. Zabezpečovaním kultúrno-osvetovej a vzdelávacej činnosť bolo zrealizovaných  9 kultúrnych podujatí. Do vzdelávacieho programu sa zapojilo1 664 detí materských škôl a  detí základných škôl. Uskutočnilo sa spolu 81 vzdelávacích programov. </w:t>
      </w:r>
    </w:p>
    <w:p>
      <w:pPr>
        <w:pStyle w:val="style0"/>
        <w:jc w:val="both"/>
      </w:pPr>
      <w:r>
        <w:rPr/>
      </w:r>
    </w:p>
    <w:p>
      <w:pPr>
        <w:pStyle w:val="style0"/>
        <w:jc w:val="both"/>
      </w:pPr>
      <w:r>
        <w:rPr>
          <w:b w:val="false"/>
          <w:bCs w:val="false"/>
          <w:i/>
          <w:iCs/>
          <w:sz w:val="24"/>
          <w:szCs w:val="24"/>
          <w:u w:val="single"/>
        </w:rPr>
        <w:t>Informácie o vedúcich predstaviteľoch a o organizačnej štruktúre účtovnej jednotky</w:t>
      </w:r>
    </w:p>
    <w:p>
      <w:pPr>
        <w:pStyle w:val="style0"/>
        <w:jc w:val="both"/>
      </w:pPr>
      <w:r>
        <w:rPr/>
      </w:r>
    </w:p>
    <w:p>
      <w:pPr>
        <w:pStyle w:val="style0"/>
        <w:jc w:val="left"/>
      </w:pPr>
      <w:r>
        <w:rPr>
          <w:sz w:val="24"/>
          <w:szCs w:val="24"/>
        </w:rPr>
        <w:t>Riaditeľ:</w:t>
        <w:tab/>
        <w:tab/>
        <w:t>Ing. Jana Dzuriková</w:t>
      </w:r>
    </w:p>
    <w:p>
      <w:pPr>
        <w:pStyle w:val="style0"/>
        <w:jc w:val="left"/>
      </w:pPr>
      <w:r>
        <w:rPr/>
      </w:r>
    </w:p>
    <w:p>
      <w:pPr>
        <w:pStyle w:val="style0"/>
        <w:jc w:val="left"/>
      </w:pPr>
      <w:r>
        <w:rPr>
          <w:sz w:val="24"/>
          <w:szCs w:val="24"/>
        </w:rPr>
        <w:t>Priemerný evidenčný počet zamestnancov Zoologickej záhrady vo fyzických osobách je 14,10, z toho 2 vedúci zamestnanci: vedúca ekonomického úseku a zoológ., (v roku 2014 bol priemerný evidenčný počet zamestnancov vo fyzických osobách 14,25, z toho 2 vedúci zamestnanci).</w:t>
      </w:r>
    </w:p>
    <w:p>
      <w:pPr>
        <w:pStyle w:val="style0"/>
        <w:jc w:val="left"/>
      </w:pPr>
      <w:r>
        <w:rPr>
          <w:sz w:val="24"/>
          <w:szCs w:val="24"/>
        </w:rPr>
        <w:t xml:space="preserve"> </w:t>
      </w:r>
    </w:p>
    <w:p>
      <w:pPr>
        <w:pStyle w:val="style0"/>
        <w:jc w:val="left"/>
      </w:pPr>
      <w:r>
        <w:rPr/>
      </w:r>
    </w:p>
    <w:p>
      <w:pPr>
        <w:pStyle w:val="style0"/>
        <w:jc w:val="center"/>
      </w:pPr>
      <w:r>
        <w:rPr>
          <w:b/>
          <w:bCs/>
          <w:sz w:val="24"/>
          <w:szCs w:val="24"/>
        </w:rPr>
        <w:t>II.   INFORMÁCIE O ÚČTOVNÝCH ZÁSADÁCH</w:t>
      </w:r>
    </w:p>
    <w:p>
      <w:pPr>
        <w:pStyle w:val="style0"/>
        <w:jc w:val="center"/>
      </w:pPr>
      <w:r>
        <w:rPr>
          <w:b/>
          <w:bCs/>
          <w:sz w:val="24"/>
          <w:szCs w:val="24"/>
        </w:rPr>
        <w:t xml:space="preserve"> </w:t>
      </w:r>
      <w:r>
        <w:rPr>
          <w:b/>
          <w:bCs/>
          <w:sz w:val="24"/>
          <w:szCs w:val="24"/>
        </w:rPr>
        <w:t xml:space="preserve">A ÚČTOVNÝCH METÓDACH </w:t>
      </w:r>
    </w:p>
    <w:p>
      <w:pPr>
        <w:pStyle w:val="style0"/>
        <w:jc w:val="left"/>
      </w:pPr>
      <w:r>
        <w:rPr/>
      </w:r>
    </w:p>
    <w:p>
      <w:pPr>
        <w:pStyle w:val="style0"/>
        <w:jc w:val="left"/>
      </w:pPr>
      <w:r>
        <w:rPr>
          <w:i/>
          <w:iCs/>
          <w:sz w:val="24"/>
          <w:szCs w:val="24"/>
          <w:u w:val="single"/>
        </w:rPr>
        <w:t>Informácia o splnení predpokladu nepretržitého pokračovania v činnosti účtovnej jednotky</w:t>
      </w:r>
    </w:p>
    <w:p>
      <w:pPr>
        <w:pStyle w:val="style0"/>
        <w:jc w:val="left"/>
      </w:pPr>
      <w:r>
        <w:rPr/>
      </w:r>
    </w:p>
    <w:p>
      <w:pPr>
        <w:pStyle w:val="style0"/>
        <w:jc w:val="both"/>
      </w:pPr>
      <w:r>
        <w:rPr>
          <w:i w:val="false"/>
          <w:iCs w:val="false"/>
          <w:sz w:val="24"/>
          <w:szCs w:val="24"/>
          <w:u w:val="none"/>
        </w:rPr>
        <w:t xml:space="preserve">Účtovná závierka Zoologickej záhrady bola zostavená za predpokladu nepretržitého trvania činnosti obce v súlade so zákonom o účtovníctve a nadväzujúcimi právnymi predpismi. </w:t>
      </w:r>
    </w:p>
    <w:p>
      <w:pPr>
        <w:pStyle w:val="style0"/>
        <w:jc w:val="left"/>
      </w:pPr>
      <w:r>
        <w:rPr/>
      </w:r>
    </w:p>
    <w:p>
      <w:pPr>
        <w:pStyle w:val="style0"/>
        <w:jc w:val="left"/>
      </w:pPr>
      <w:r>
        <w:rPr/>
      </w:r>
    </w:p>
    <w:p>
      <w:pPr>
        <w:pStyle w:val="style0"/>
        <w:jc w:val="left"/>
      </w:pPr>
      <w:r>
        <w:rPr/>
      </w:r>
    </w:p>
    <w:p>
      <w:pPr>
        <w:pStyle w:val="style0"/>
        <w:jc w:val="left"/>
      </w:pPr>
      <w:r>
        <w:rPr>
          <w:i/>
          <w:iCs/>
          <w:sz w:val="24"/>
          <w:szCs w:val="24"/>
          <w:u w:val="single"/>
        </w:rPr>
        <w:t>Zmeny účtovných metód a účtovných zásad</w:t>
      </w:r>
    </w:p>
    <w:p>
      <w:pPr>
        <w:pStyle w:val="style0"/>
        <w:jc w:val="left"/>
      </w:pPr>
      <w:r>
        <w:rPr/>
      </w:r>
    </w:p>
    <w:p>
      <w:pPr>
        <w:pStyle w:val="style0"/>
        <w:jc w:val="left"/>
      </w:pPr>
      <w:r>
        <w:rPr>
          <w:i w:val="false"/>
          <w:iCs w:val="false"/>
          <w:sz w:val="24"/>
          <w:szCs w:val="24"/>
          <w:u w:val="none"/>
        </w:rPr>
        <w:t xml:space="preserve">Účtovné metódy a všeobecné účtovné zásady boli účtovnou jednotkou konzistentne aplikované. </w:t>
      </w:r>
    </w:p>
    <w:p>
      <w:pPr>
        <w:pStyle w:val="style0"/>
        <w:jc w:val="left"/>
      </w:pPr>
      <w:r>
        <w:rPr/>
      </w:r>
    </w:p>
    <w:p>
      <w:pPr>
        <w:pStyle w:val="style0"/>
        <w:jc w:val="left"/>
      </w:pPr>
      <w:r>
        <w:rPr>
          <w:i/>
          <w:iCs/>
          <w:sz w:val="24"/>
          <w:szCs w:val="24"/>
          <w:u w:val="single"/>
        </w:rPr>
        <w:t>Spôsob ocenenia jednotlivých zložiek</w:t>
      </w:r>
    </w:p>
    <w:p>
      <w:pPr>
        <w:pStyle w:val="style0"/>
        <w:jc w:val="left"/>
      </w:pPr>
      <w:r>
        <w:rPr/>
      </w:r>
    </w:p>
    <w:p>
      <w:pPr>
        <w:pStyle w:val="style0"/>
        <w:jc w:val="both"/>
      </w:pPr>
      <w:r>
        <w:rPr>
          <w:i w:val="false"/>
          <w:iCs w:val="false"/>
          <w:sz w:val="24"/>
          <w:szCs w:val="24"/>
          <w:u w:val="none"/>
        </w:rPr>
        <w:t xml:space="preserve">Dlhodobý majetok obstaraný kúpou sa obstaráva obstarávacou cenou, ktorá zahrňuje cenu obstarania a náklady súvisiace s obstaraním (clo, prepravu, montáž, poistné a pod.). Súčasťou obstarávacej ceny dlhodobého nehmotného a hmotného majetku nie sú resp. sú  úroky z úverov do doby zaradenia majetku. O zľavu z ceny, ktorú poskytol dodávateľ k majetku sa následne zníži obstarávacia cena predmetného majetku. </w:t>
      </w:r>
    </w:p>
    <w:p>
      <w:pPr>
        <w:pStyle w:val="style0"/>
        <w:jc w:val="both"/>
      </w:pPr>
      <w:r>
        <w:rPr/>
      </w:r>
    </w:p>
    <w:p>
      <w:pPr>
        <w:pStyle w:val="style0"/>
        <w:jc w:val="both"/>
      </w:pPr>
      <w:r>
        <w:rPr>
          <w:i w:val="false"/>
          <w:iCs w:val="false"/>
          <w:sz w:val="24"/>
          <w:szCs w:val="24"/>
          <w:u w:val="none"/>
        </w:rPr>
        <w:t>Dlhodobý majetok vytvorený vlastnou činnosťou sa oceňuje vlastnými nákladmi. Za vlastné náklady sa považujú všetky 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w:t>
      </w:r>
    </w:p>
    <w:p>
      <w:pPr>
        <w:pStyle w:val="style0"/>
        <w:jc w:val="both"/>
      </w:pPr>
      <w:r>
        <w:rPr/>
      </w:r>
    </w:p>
    <w:p>
      <w:pPr>
        <w:pStyle w:val="style0"/>
        <w:jc w:val="both"/>
      </w:pPr>
      <w:r>
        <w:rPr>
          <w:i w:val="false"/>
          <w:iCs w:val="false"/>
          <w:sz w:val="24"/>
          <w:szCs w:val="24"/>
          <w:u w:val="none"/>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Reprodukčnou obstarávacou cenou je cena, za ktorú by sa majetok obstaral v čase, keď o ňom účtuje.</w:t>
      </w:r>
    </w:p>
    <w:p>
      <w:pPr>
        <w:pStyle w:val="style0"/>
        <w:jc w:val="both"/>
      </w:pPr>
      <w:r>
        <w:rPr/>
      </w:r>
    </w:p>
    <w:p>
      <w:pPr>
        <w:pStyle w:val="style0"/>
        <w:jc w:val="both"/>
      </w:pPr>
      <w:r>
        <w:rPr>
          <w:i w:val="false"/>
          <w:iCs w:val="false"/>
          <w:sz w:val="24"/>
          <w:szCs w:val="24"/>
          <w:u w:val="none"/>
        </w:rPr>
        <w:t>Predpokladaná doba používania, metóda odpisovania a odpisová sadzba sú uvedené v nasledovnej tabuľke:</w:t>
      </w:r>
    </w:p>
    <w:p>
      <w:pPr>
        <w:pStyle w:val="style0"/>
        <w:jc w:val="both"/>
      </w:pPr>
      <w:r>
        <w:rPr/>
      </w:r>
    </w:p>
    <w:tbl>
      <w:tblPr>
        <w:jc w:val="left"/>
        <w:tblInd w:type="dxa" w:w="50"/>
        <w:tblBorders>
          <w:top w:color="000001" w:space="0" w:sz="2" w:val="single"/>
          <w:left w:color="000001" w:space="0" w:sz="2" w:val="single"/>
          <w:bottom w:color="000001" w:space="0" w:sz="2" w:val="single"/>
          <w:insideH w:color="000001" w:space="0" w:sz="2" w:val="single"/>
          <w:right w:val="none"/>
          <w:insideV w:val="none"/>
        </w:tblBorders>
        <w:tblCellMar>
          <w:top w:type="dxa" w:w="55"/>
          <w:left w:type="dxa" w:w="48"/>
          <w:bottom w:type="dxa" w:w="55"/>
          <w:right w:type="dxa" w:w="55"/>
        </w:tblCellMar>
      </w:tblPr>
      <w:tblGrid>
        <w:gridCol w:w="3949"/>
        <w:gridCol w:w="1717"/>
        <w:gridCol w:w="2000"/>
        <w:gridCol w:w="1970"/>
      </w:tblGrid>
      <w:tr>
        <w:trPr>
          <w:cantSplit w:val="false"/>
        </w:trPr>
        <w:tc>
          <w:tcPr>
            <w:tcW w:type="dxa" w:w="3949"/>
            <w:tcBorders>
              <w:top w:color="000001" w:space="0" w:sz="2" w:val="single"/>
              <w:left w:color="000001" w:space="0" w:sz="2" w:val="single"/>
              <w:bottom w:color="000001" w:space="0" w:sz="2" w:val="single"/>
              <w:right w:val="none"/>
            </w:tcBorders>
            <w:shd w:fill="FFFFFF" w:val="clear"/>
            <w:tcMar>
              <w:left w:type="dxa" w:w="48"/>
            </w:tcMar>
          </w:tcPr>
          <w:p>
            <w:pPr>
              <w:pStyle w:val="style21"/>
              <w:ind w:hanging="0" w:left="-5" w:right="12"/>
              <w:jc w:val="both"/>
            </w:pPr>
            <w:r>
              <w:rPr/>
            </w:r>
          </w:p>
        </w:tc>
        <w:tc>
          <w:tcPr>
            <w:tcW w:type="dxa" w:w="1717"/>
            <w:tcBorders>
              <w:top w:color="000001" w:space="0" w:sz="2" w:val="single"/>
              <w:left w:color="000001" w:space="0" w:sz="2" w:val="single"/>
              <w:bottom w:color="000001" w:space="0" w:sz="2" w:val="single"/>
              <w:right w:val="none"/>
            </w:tcBorders>
            <w:shd w:fill="FFFFFF" w:val="clear"/>
            <w:tcMar>
              <w:left w:type="dxa" w:w="48"/>
            </w:tcMar>
          </w:tcPr>
          <w:p>
            <w:pPr>
              <w:pStyle w:val="style21"/>
              <w:tabs>
                <w:tab w:leader="none" w:pos="4952" w:val="left"/>
              </w:tabs>
              <w:ind w:firstLine="17" w:left="-5" w:right="-5"/>
              <w:jc w:val="left"/>
            </w:pPr>
            <w:r>
              <w:rPr>
                <w:sz w:val="24"/>
                <w:szCs w:val="24"/>
              </w:rPr>
              <w:t>Predpokladaná doba používania</w:t>
            </w:r>
          </w:p>
        </w:tc>
        <w:tc>
          <w:tcPr>
            <w:tcW w:type="dxa" w:w="2000"/>
            <w:tcBorders>
              <w:top w:color="000001" w:space="0" w:sz="2" w:val="single"/>
              <w:left w:color="000001" w:space="0" w:sz="2" w:val="single"/>
              <w:bottom w:color="000001" w:space="0" w:sz="2" w:val="single"/>
              <w:right w:val="none"/>
            </w:tcBorders>
            <w:shd w:fill="FFFFFF" w:val="clear"/>
            <w:tcMar>
              <w:left w:type="dxa" w:w="48"/>
            </w:tcMar>
          </w:tcPr>
          <w:p>
            <w:pPr>
              <w:pStyle w:val="style21"/>
              <w:ind w:hanging="17" w:left="-22" w:right="12"/>
              <w:jc w:val="center"/>
            </w:pPr>
            <w:r>
              <w:rPr>
                <w:sz w:val="24"/>
                <w:szCs w:val="24"/>
              </w:rPr>
              <w:t>Metóda</w:t>
            </w:r>
          </w:p>
          <w:p>
            <w:pPr>
              <w:pStyle w:val="style21"/>
              <w:ind w:hanging="17" w:left="-22" w:right="12"/>
              <w:jc w:val="center"/>
            </w:pPr>
            <w:r>
              <w:rPr>
                <w:sz w:val="24"/>
                <w:szCs w:val="24"/>
              </w:rPr>
              <w:t>odpisovania</w:t>
            </w:r>
          </w:p>
        </w:tc>
        <w:tc>
          <w:tcPr>
            <w:tcW w:type="dxa" w:w="1970"/>
            <w:tcBorders>
              <w:top w:color="000001" w:space="0" w:sz="2" w:val="single"/>
              <w:left w:color="000001" w:space="0" w:sz="2" w:val="single"/>
              <w:bottom w:color="000001" w:space="0" w:sz="2" w:val="single"/>
              <w:right w:color="000001" w:space="0" w:sz="2" w:val="single"/>
            </w:tcBorders>
            <w:shd w:fill="FFFFFF" w:val="clear"/>
            <w:tcMar>
              <w:left w:type="dxa" w:w="48"/>
            </w:tcMar>
          </w:tcPr>
          <w:p>
            <w:pPr>
              <w:pStyle w:val="style21"/>
              <w:ind w:hanging="0" w:left="12" w:right="-5"/>
              <w:jc w:val="center"/>
            </w:pPr>
            <w:r>
              <w:rPr>
                <w:sz w:val="24"/>
                <w:szCs w:val="24"/>
              </w:rPr>
              <w:t>Ročná odpisová</w:t>
            </w:r>
          </w:p>
          <w:p>
            <w:pPr>
              <w:pStyle w:val="style21"/>
              <w:jc w:val="center"/>
            </w:pPr>
            <w:r>
              <w:rPr>
                <w:sz w:val="24"/>
                <w:szCs w:val="24"/>
              </w:rPr>
              <w:t>sadzba v %</w:t>
            </w:r>
          </w:p>
        </w:tc>
      </w:tr>
      <w:tr>
        <w:trPr>
          <w:cantSplit w:val="false"/>
        </w:trPr>
        <w:tc>
          <w:tcPr>
            <w:tcW w:type="dxa" w:w="3949"/>
            <w:tcBorders>
              <w:top w:val="none"/>
              <w:left w:color="000001" w:space="0" w:sz="2" w:val="single"/>
              <w:bottom w:color="000001" w:space="0" w:sz="2" w:val="single"/>
              <w:right w:val="none"/>
            </w:tcBorders>
            <w:shd w:fill="FFFFFF" w:val="clear"/>
            <w:tcMar>
              <w:left w:type="dxa" w:w="48"/>
            </w:tcMar>
          </w:tcPr>
          <w:p>
            <w:pPr>
              <w:pStyle w:val="style21"/>
              <w:ind w:hanging="0" w:left="-5" w:right="12"/>
              <w:jc w:val="both"/>
            </w:pPr>
            <w:r>
              <w:rPr>
                <w:sz w:val="24"/>
                <w:szCs w:val="24"/>
              </w:rPr>
              <w:t>Náklady na vývoj</w:t>
            </w:r>
          </w:p>
        </w:tc>
        <w:tc>
          <w:tcPr>
            <w:tcW w:type="dxa" w:w="1717"/>
            <w:tcBorders>
              <w:top w:val="none"/>
              <w:left w:color="000001" w:space="0" w:sz="2" w:val="single"/>
              <w:bottom w:color="000001" w:space="0" w:sz="2" w:val="single"/>
              <w:right w:val="none"/>
            </w:tcBorders>
            <w:shd w:fill="FFFFFF" w:val="clear"/>
            <w:tcMar>
              <w:left w:type="dxa" w:w="48"/>
            </w:tcMar>
          </w:tcPr>
          <w:p>
            <w:pPr>
              <w:pStyle w:val="style21"/>
              <w:tabs>
                <w:tab w:leader="none" w:pos="4952" w:val="left"/>
              </w:tabs>
              <w:ind w:firstLine="17" w:left="-5" w:right="-5"/>
              <w:jc w:val="center"/>
            </w:pPr>
            <w:r>
              <w:rPr>
                <w:sz w:val="24"/>
                <w:szCs w:val="24"/>
              </w:rPr>
              <w:t>5</w:t>
            </w:r>
          </w:p>
        </w:tc>
        <w:tc>
          <w:tcPr>
            <w:tcW w:type="dxa" w:w="2000"/>
            <w:tcBorders>
              <w:top w:val="none"/>
              <w:left w:color="000001" w:space="0" w:sz="2" w:val="single"/>
              <w:bottom w:color="000001" w:space="0" w:sz="2" w:val="single"/>
              <w:right w:val="none"/>
            </w:tcBorders>
            <w:shd w:fill="FFFFFF" w:val="clear"/>
            <w:tcMar>
              <w:left w:type="dxa" w:w="48"/>
            </w:tcMar>
          </w:tcPr>
          <w:p>
            <w:pPr>
              <w:pStyle w:val="style21"/>
              <w:jc w:val="center"/>
            </w:pPr>
            <w:r>
              <w:rPr>
                <w:sz w:val="24"/>
                <w:szCs w:val="24"/>
              </w:rPr>
              <w:t>lineárna</w:t>
            </w:r>
          </w:p>
        </w:tc>
        <w:tc>
          <w:tcPr>
            <w:tcW w:type="dxa" w:w="1970"/>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sz w:val="24"/>
                <w:szCs w:val="24"/>
              </w:rPr>
              <w:t>20</w:t>
            </w:r>
          </w:p>
        </w:tc>
      </w:tr>
      <w:tr>
        <w:trPr>
          <w:cantSplit w:val="false"/>
        </w:trPr>
        <w:tc>
          <w:tcPr>
            <w:tcW w:type="dxa" w:w="3949"/>
            <w:tcBorders>
              <w:top w:val="none"/>
              <w:left w:color="000001" w:space="0" w:sz="2" w:val="single"/>
              <w:bottom w:color="000001" w:space="0" w:sz="2" w:val="single"/>
              <w:right w:val="none"/>
            </w:tcBorders>
            <w:shd w:fill="FFFFFF" w:val="clear"/>
            <w:tcMar>
              <w:left w:type="dxa" w:w="48"/>
            </w:tcMar>
          </w:tcPr>
          <w:p>
            <w:pPr>
              <w:pStyle w:val="style21"/>
              <w:ind w:hanging="0" w:left="-5" w:right="12"/>
              <w:jc w:val="both"/>
            </w:pPr>
            <w:r>
              <w:rPr>
                <w:sz w:val="24"/>
                <w:szCs w:val="24"/>
              </w:rPr>
              <w:t>Software</w:t>
            </w:r>
          </w:p>
        </w:tc>
        <w:tc>
          <w:tcPr>
            <w:tcW w:type="dxa" w:w="1717"/>
            <w:tcBorders>
              <w:top w:val="none"/>
              <w:left w:color="000001" w:space="0" w:sz="2" w:val="single"/>
              <w:bottom w:color="000001" w:space="0" w:sz="2" w:val="single"/>
              <w:right w:val="none"/>
            </w:tcBorders>
            <w:shd w:fill="FFFFFF" w:val="clear"/>
            <w:tcMar>
              <w:left w:type="dxa" w:w="48"/>
            </w:tcMar>
          </w:tcPr>
          <w:p>
            <w:pPr>
              <w:pStyle w:val="style21"/>
              <w:tabs>
                <w:tab w:leader="none" w:pos="4952" w:val="left"/>
              </w:tabs>
              <w:ind w:firstLine="17" w:left="-5" w:right="-5"/>
              <w:jc w:val="center"/>
            </w:pPr>
            <w:r>
              <w:rPr>
                <w:sz w:val="24"/>
                <w:szCs w:val="24"/>
              </w:rPr>
              <w:t>4</w:t>
            </w:r>
          </w:p>
        </w:tc>
        <w:tc>
          <w:tcPr>
            <w:tcW w:type="dxa" w:w="2000"/>
            <w:tcBorders>
              <w:top w:val="none"/>
              <w:left w:color="000001" w:space="0" w:sz="2" w:val="single"/>
              <w:bottom w:color="000001" w:space="0" w:sz="2" w:val="single"/>
              <w:right w:val="none"/>
            </w:tcBorders>
            <w:shd w:fill="FFFFFF" w:val="clear"/>
            <w:tcMar>
              <w:left w:type="dxa" w:w="48"/>
            </w:tcMar>
          </w:tcPr>
          <w:p>
            <w:pPr>
              <w:pStyle w:val="style21"/>
              <w:jc w:val="center"/>
            </w:pPr>
            <w:r>
              <w:rPr>
                <w:sz w:val="24"/>
                <w:szCs w:val="24"/>
              </w:rPr>
              <w:t>lineárna</w:t>
            </w:r>
          </w:p>
        </w:tc>
        <w:tc>
          <w:tcPr>
            <w:tcW w:type="dxa" w:w="1970"/>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sz w:val="24"/>
                <w:szCs w:val="24"/>
              </w:rPr>
              <w:t>25</w:t>
            </w:r>
          </w:p>
        </w:tc>
      </w:tr>
      <w:tr>
        <w:trPr>
          <w:cantSplit w:val="false"/>
        </w:trPr>
        <w:tc>
          <w:tcPr>
            <w:tcW w:type="dxa" w:w="3949"/>
            <w:tcBorders>
              <w:top w:val="none"/>
              <w:left w:color="000001" w:space="0" w:sz="2" w:val="single"/>
              <w:bottom w:color="000001" w:space="0" w:sz="2" w:val="single"/>
              <w:right w:val="none"/>
            </w:tcBorders>
            <w:shd w:fill="FFFFFF" w:val="clear"/>
            <w:tcMar>
              <w:left w:type="dxa" w:w="48"/>
            </w:tcMar>
          </w:tcPr>
          <w:p>
            <w:pPr>
              <w:pStyle w:val="style21"/>
              <w:ind w:hanging="0" w:left="-5" w:right="12"/>
              <w:jc w:val="both"/>
            </w:pPr>
            <w:r>
              <w:rPr>
                <w:sz w:val="24"/>
                <w:szCs w:val="24"/>
              </w:rPr>
              <w:t>Oceniteľné práva (licencie)</w:t>
            </w:r>
          </w:p>
        </w:tc>
        <w:tc>
          <w:tcPr>
            <w:tcW w:type="dxa" w:w="1717"/>
            <w:tcBorders>
              <w:top w:val="none"/>
              <w:left w:color="000001" w:space="0" w:sz="2" w:val="single"/>
              <w:bottom w:color="000001" w:space="0" w:sz="2" w:val="single"/>
              <w:right w:val="none"/>
            </w:tcBorders>
            <w:shd w:fill="FFFFFF" w:val="clear"/>
            <w:tcMar>
              <w:left w:type="dxa" w:w="48"/>
            </w:tcMar>
          </w:tcPr>
          <w:p>
            <w:pPr>
              <w:pStyle w:val="style21"/>
              <w:tabs>
                <w:tab w:leader="none" w:pos="4952" w:val="left"/>
              </w:tabs>
              <w:ind w:firstLine="17" w:left="-5" w:right="-5"/>
              <w:jc w:val="center"/>
            </w:pPr>
            <w:r>
              <w:rPr>
                <w:sz w:val="24"/>
                <w:szCs w:val="24"/>
              </w:rPr>
              <w:t>5</w:t>
            </w:r>
          </w:p>
        </w:tc>
        <w:tc>
          <w:tcPr>
            <w:tcW w:type="dxa" w:w="2000"/>
            <w:tcBorders>
              <w:top w:val="none"/>
              <w:left w:color="000001" w:space="0" w:sz="2" w:val="single"/>
              <w:bottom w:color="000001" w:space="0" w:sz="2" w:val="single"/>
              <w:right w:val="none"/>
            </w:tcBorders>
            <w:shd w:fill="FFFFFF" w:val="clear"/>
            <w:tcMar>
              <w:left w:type="dxa" w:w="48"/>
            </w:tcMar>
          </w:tcPr>
          <w:p>
            <w:pPr>
              <w:pStyle w:val="style21"/>
              <w:jc w:val="center"/>
            </w:pPr>
            <w:r>
              <w:rPr>
                <w:sz w:val="24"/>
                <w:szCs w:val="24"/>
              </w:rPr>
              <w:t>lineárna</w:t>
            </w:r>
          </w:p>
        </w:tc>
        <w:tc>
          <w:tcPr>
            <w:tcW w:type="dxa" w:w="1970"/>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sz w:val="24"/>
                <w:szCs w:val="24"/>
              </w:rPr>
              <w:t>20</w:t>
            </w:r>
          </w:p>
        </w:tc>
      </w:tr>
      <w:tr>
        <w:trPr>
          <w:cantSplit w:val="false"/>
        </w:trPr>
        <w:tc>
          <w:tcPr>
            <w:tcW w:type="dxa" w:w="3949"/>
            <w:tcBorders>
              <w:top w:val="none"/>
              <w:left w:color="000001" w:space="0" w:sz="2" w:val="single"/>
              <w:bottom w:color="000001" w:space="0" w:sz="2" w:val="single"/>
              <w:right w:val="none"/>
            </w:tcBorders>
            <w:shd w:fill="FFFFFF" w:val="clear"/>
            <w:tcMar>
              <w:left w:type="dxa" w:w="48"/>
            </w:tcMar>
          </w:tcPr>
          <w:p>
            <w:pPr>
              <w:pStyle w:val="style21"/>
              <w:ind w:hanging="0" w:left="-5" w:right="12"/>
              <w:jc w:val="both"/>
            </w:pPr>
            <w:r>
              <w:rPr>
                <w:sz w:val="24"/>
                <w:szCs w:val="24"/>
              </w:rPr>
              <w:t>Drobný dlhodobý nehmotný majetok</w:t>
            </w:r>
          </w:p>
        </w:tc>
        <w:tc>
          <w:tcPr>
            <w:tcW w:type="dxa" w:w="1717"/>
            <w:tcBorders>
              <w:top w:val="none"/>
              <w:left w:color="000001" w:space="0" w:sz="2" w:val="single"/>
              <w:bottom w:color="000001" w:space="0" w:sz="2" w:val="single"/>
              <w:right w:val="none"/>
            </w:tcBorders>
            <w:shd w:fill="FFFFFF" w:val="clear"/>
            <w:tcMar>
              <w:left w:type="dxa" w:w="48"/>
            </w:tcMar>
          </w:tcPr>
          <w:p>
            <w:pPr>
              <w:pStyle w:val="style21"/>
              <w:tabs>
                <w:tab w:leader="none" w:pos="4952" w:val="left"/>
              </w:tabs>
              <w:ind w:firstLine="17" w:left="-5" w:right="-5"/>
              <w:jc w:val="center"/>
            </w:pPr>
            <w:r>
              <w:rPr>
                <w:sz w:val="24"/>
                <w:szCs w:val="24"/>
              </w:rPr>
              <w:t>rôzna napr. 2</w:t>
            </w:r>
          </w:p>
        </w:tc>
        <w:tc>
          <w:tcPr>
            <w:tcW w:type="dxa" w:w="2000"/>
            <w:tcBorders>
              <w:top w:val="none"/>
              <w:left w:color="000001" w:space="0" w:sz="2" w:val="single"/>
              <w:bottom w:color="000001" w:space="0" w:sz="2" w:val="single"/>
              <w:right w:val="none"/>
            </w:tcBorders>
            <w:shd w:fill="FFFFFF" w:val="clear"/>
            <w:tcMar>
              <w:left w:type="dxa" w:w="48"/>
            </w:tcMar>
          </w:tcPr>
          <w:p>
            <w:pPr>
              <w:pStyle w:val="style21"/>
              <w:jc w:val="center"/>
            </w:pPr>
            <w:r>
              <w:rPr>
                <w:sz w:val="24"/>
                <w:szCs w:val="24"/>
              </w:rPr>
              <w:t>lineárna</w:t>
            </w:r>
          </w:p>
        </w:tc>
        <w:tc>
          <w:tcPr>
            <w:tcW w:type="dxa" w:w="1970"/>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sz w:val="24"/>
                <w:szCs w:val="24"/>
              </w:rPr>
              <w:t>50</w:t>
            </w:r>
          </w:p>
        </w:tc>
      </w:tr>
    </w:tbl>
    <w:p>
      <w:pPr>
        <w:pStyle w:val="style0"/>
        <w:jc w:val="both"/>
      </w:pPr>
      <w:r>
        <w:rPr/>
      </w:r>
    </w:p>
    <w:p>
      <w:pPr>
        <w:pStyle w:val="style0"/>
        <w:jc w:val="both"/>
      </w:pPr>
      <w:r>
        <w:rPr>
          <w:i w:val="false"/>
          <w:iCs w:val="false"/>
          <w:sz w:val="24"/>
          <w:szCs w:val="24"/>
          <w:u w:val="none"/>
        </w:rPr>
        <w:t>Predpokladaná doba používania, metóda odpisovania a odpisová sadzba sú uvedené v nasledovnej tabuľke:</w:t>
      </w:r>
    </w:p>
    <w:p>
      <w:pPr>
        <w:pStyle w:val="style0"/>
        <w:jc w:val="both"/>
      </w:pPr>
      <w:r>
        <w:rPr/>
      </w:r>
    </w:p>
    <w:tbl>
      <w:tblPr>
        <w:jc w:val="left"/>
        <w:tblInd w:type="dxa" w:w="50"/>
        <w:tblBorders>
          <w:top w:color="000001" w:space="0" w:sz="2" w:val="single"/>
          <w:left w:color="000001" w:space="0" w:sz="2" w:val="single"/>
          <w:bottom w:color="000001" w:space="0" w:sz="2" w:val="single"/>
          <w:insideH w:color="000001" w:space="0" w:sz="2" w:val="single"/>
          <w:right w:val="none"/>
          <w:insideV w:val="none"/>
        </w:tblBorders>
        <w:tblCellMar>
          <w:top w:type="dxa" w:w="55"/>
          <w:left w:type="dxa" w:w="48"/>
          <w:bottom w:type="dxa" w:w="55"/>
          <w:right w:type="dxa" w:w="55"/>
        </w:tblCellMar>
      </w:tblPr>
      <w:tblGrid>
        <w:gridCol w:w="3949"/>
        <w:gridCol w:w="1717"/>
        <w:gridCol w:w="2000"/>
        <w:gridCol w:w="1970"/>
      </w:tblGrid>
      <w:tr>
        <w:trPr>
          <w:cantSplit w:val="false"/>
        </w:trPr>
        <w:tc>
          <w:tcPr>
            <w:tcW w:type="dxa" w:w="3949"/>
            <w:tcBorders>
              <w:top w:color="000001" w:space="0" w:sz="2" w:val="single"/>
              <w:left w:color="000001" w:space="0" w:sz="2" w:val="single"/>
              <w:bottom w:color="000001" w:space="0" w:sz="2" w:val="single"/>
              <w:right w:val="none"/>
            </w:tcBorders>
            <w:shd w:fill="FFFFFF" w:val="clear"/>
            <w:tcMar>
              <w:left w:type="dxa" w:w="48"/>
            </w:tcMar>
          </w:tcPr>
          <w:p>
            <w:pPr>
              <w:pStyle w:val="style21"/>
              <w:ind w:hanging="0" w:left="-5" w:right="12"/>
              <w:jc w:val="both"/>
            </w:pPr>
            <w:r>
              <w:rPr/>
            </w:r>
          </w:p>
        </w:tc>
        <w:tc>
          <w:tcPr>
            <w:tcW w:type="dxa" w:w="1717"/>
            <w:tcBorders>
              <w:top w:color="000001" w:space="0" w:sz="2" w:val="single"/>
              <w:left w:color="000001" w:space="0" w:sz="2" w:val="single"/>
              <w:bottom w:color="000001" w:space="0" w:sz="2" w:val="single"/>
              <w:right w:val="none"/>
            </w:tcBorders>
            <w:shd w:fill="FFFFFF" w:val="clear"/>
            <w:tcMar>
              <w:left w:type="dxa" w:w="48"/>
            </w:tcMar>
          </w:tcPr>
          <w:p>
            <w:pPr>
              <w:pStyle w:val="style21"/>
              <w:tabs>
                <w:tab w:leader="none" w:pos="4952" w:val="left"/>
              </w:tabs>
              <w:ind w:firstLine="17" w:left="-5" w:right="-5"/>
              <w:jc w:val="left"/>
            </w:pPr>
            <w:r>
              <w:rPr>
                <w:sz w:val="24"/>
                <w:szCs w:val="24"/>
              </w:rPr>
              <w:t>Predpokladaná doba používania</w:t>
            </w:r>
          </w:p>
        </w:tc>
        <w:tc>
          <w:tcPr>
            <w:tcW w:type="dxa" w:w="2000"/>
            <w:tcBorders>
              <w:top w:color="000001" w:space="0" w:sz="2" w:val="single"/>
              <w:left w:color="000001" w:space="0" w:sz="2" w:val="single"/>
              <w:bottom w:color="000001" w:space="0" w:sz="2" w:val="single"/>
              <w:right w:val="none"/>
            </w:tcBorders>
            <w:shd w:fill="FFFFFF" w:val="clear"/>
            <w:tcMar>
              <w:left w:type="dxa" w:w="48"/>
            </w:tcMar>
          </w:tcPr>
          <w:p>
            <w:pPr>
              <w:pStyle w:val="style21"/>
              <w:ind w:hanging="17" w:left="-22" w:right="12"/>
              <w:jc w:val="center"/>
            </w:pPr>
            <w:r>
              <w:rPr>
                <w:sz w:val="24"/>
                <w:szCs w:val="24"/>
              </w:rPr>
              <w:t>Metóda</w:t>
            </w:r>
          </w:p>
          <w:p>
            <w:pPr>
              <w:pStyle w:val="style21"/>
              <w:ind w:hanging="17" w:left="-22" w:right="12"/>
              <w:jc w:val="center"/>
            </w:pPr>
            <w:r>
              <w:rPr>
                <w:sz w:val="24"/>
                <w:szCs w:val="24"/>
              </w:rPr>
              <w:t>odpisovania</w:t>
            </w:r>
          </w:p>
        </w:tc>
        <w:tc>
          <w:tcPr>
            <w:tcW w:type="dxa" w:w="1970"/>
            <w:tcBorders>
              <w:top w:color="000001" w:space="0" w:sz="2" w:val="single"/>
              <w:left w:color="000001" w:space="0" w:sz="2" w:val="single"/>
              <w:bottom w:color="000001" w:space="0" w:sz="2" w:val="single"/>
              <w:right w:color="000001" w:space="0" w:sz="2" w:val="single"/>
            </w:tcBorders>
            <w:shd w:fill="FFFFFF" w:val="clear"/>
            <w:tcMar>
              <w:left w:type="dxa" w:w="48"/>
            </w:tcMar>
          </w:tcPr>
          <w:p>
            <w:pPr>
              <w:pStyle w:val="style21"/>
              <w:ind w:hanging="0" w:left="12" w:right="-5"/>
              <w:jc w:val="center"/>
            </w:pPr>
            <w:r>
              <w:rPr>
                <w:sz w:val="24"/>
                <w:szCs w:val="24"/>
              </w:rPr>
              <w:t>Ročná odpisová</w:t>
            </w:r>
          </w:p>
          <w:p>
            <w:pPr>
              <w:pStyle w:val="style21"/>
              <w:jc w:val="center"/>
            </w:pPr>
            <w:r>
              <w:rPr>
                <w:sz w:val="24"/>
                <w:szCs w:val="24"/>
              </w:rPr>
              <w:t>sadzba v %</w:t>
            </w:r>
          </w:p>
        </w:tc>
      </w:tr>
      <w:tr>
        <w:trPr>
          <w:cantSplit w:val="false"/>
        </w:trPr>
        <w:tc>
          <w:tcPr>
            <w:tcW w:type="dxa" w:w="3949"/>
            <w:tcBorders>
              <w:top w:val="none"/>
              <w:left w:color="000001" w:space="0" w:sz="2" w:val="single"/>
              <w:bottom w:color="000001" w:space="0" w:sz="2" w:val="single"/>
              <w:right w:val="none"/>
            </w:tcBorders>
            <w:shd w:fill="FFFFFF" w:val="clear"/>
            <w:tcMar>
              <w:left w:type="dxa" w:w="48"/>
            </w:tcMar>
          </w:tcPr>
          <w:p>
            <w:pPr>
              <w:pStyle w:val="style21"/>
              <w:ind w:hanging="0" w:left="-5" w:right="12"/>
              <w:jc w:val="both"/>
            </w:pPr>
            <w:r>
              <w:rPr>
                <w:sz w:val="24"/>
                <w:szCs w:val="24"/>
              </w:rPr>
              <w:t>Budovy</w:t>
            </w:r>
          </w:p>
        </w:tc>
        <w:tc>
          <w:tcPr>
            <w:tcW w:type="dxa" w:w="1717"/>
            <w:tcBorders>
              <w:top w:val="none"/>
              <w:left w:color="000001" w:space="0" w:sz="2" w:val="single"/>
              <w:bottom w:color="000001" w:space="0" w:sz="2" w:val="single"/>
              <w:right w:val="none"/>
            </w:tcBorders>
            <w:shd w:fill="FFFFFF" w:val="clear"/>
            <w:tcMar>
              <w:left w:type="dxa" w:w="48"/>
            </w:tcMar>
          </w:tcPr>
          <w:p>
            <w:pPr>
              <w:pStyle w:val="style21"/>
              <w:tabs>
                <w:tab w:leader="none" w:pos="4952" w:val="left"/>
              </w:tabs>
              <w:ind w:firstLine="17" w:left="-5" w:right="-5"/>
              <w:jc w:val="center"/>
            </w:pPr>
            <w:r>
              <w:rPr>
                <w:sz w:val="24"/>
                <w:szCs w:val="24"/>
              </w:rPr>
              <w:t>50</w:t>
            </w:r>
          </w:p>
        </w:tc>
        <w:tc>
          <w:tcPr>
            <w:tcW w:type="dxa" w:w="2000"/>
            <w:tcBorders>
              <w:top w:val="none"/>
              <w:left w:color="000001" w:space="0" w:sz="2" w:val="single"/>
              <w:bottom w:color="000001" w:space="0" w:sz="2" w:val="single"/>
              <w:right w:val="none"/>
            </w:tcBorders>
            <w:shd w:fill="FFFFFF" w:val="clear"/>
            <w:tcMar>
              <w:left w:type="dxa" w:w="48"/>
            </w:tcMar>
          </w:tcPr>
          <w:p>
            <w:pPr>
              <w:pStyle w:val="style21"/>
              <w:jc w:val="center"/>
            </w:pPr>
            <w:r>
              <w:rPr>
                <w:sz w:val="24"/>
                <w:szCs w:val="24"/>
              </w:rPr>
              <w:t>lineárna</w:t>
            </w:r>
          </w:p>
        </w:tc>
        <w:tc>
          <w:tcPr>
            <w:tcW w:type="dxa" w:w="1970"/>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sz w:val="24"/>
                <w:szCs w:val="24"/>
              </w:rPr>
              <w:t>2</w:t>
            </w:r>
          </w:p>
        </w:tc>
      </w:tr>
      <w:tr>
        <w:trPr>
          <w:cantSplit w:val="false"/>
        </w:trPr>
        <w:tc>
          <w:tcPr>
            <w:tcW w:type="dxa" w:w="3949"/>
            <w:tcBorders>
              <w:top w:val="none"/>
              <w:left w:color="000001" w:space="0" w:sz="2" w:val="single"/>
              <w:bottom w:color="000001" w:space="0" w:sz="2" w:val="single"/>
              <w:right w:val="none"/>
            </w:tcBorders>
            <w:shd w:fill="FFFFFF" w:val="clear"/>
            <w:tcMar>
              <w:left w:type="dxa" w:w="48"/>
            </w:tcMar>
          </w:tcPr>
          <w:p>
            <w:pPr>
              <w:pStyle w:val="style21"/>
              <w:ind w:hanging="0" w:left="-5" w:right="12"/>
              <w:jc w:val="both"/>
            </w:pPr>
            <w:r>
              <w:rPr>
                <w:sz w:val="24"/>
                <w:szCs w:val="24"/>
              </w:rPr>
              <w:t>Stroje, prístroje a zariadenia</w:t>
            </w:r>
          </w:p>
        </w:tc>
        <w:tc>
          <w:tcPr>
            <w:tcW w:type="dxa" w:w="1717"/>
            <w:tcBorders>
              <w:top w:val="none"/>
              <w:left w:color="000001" w:space="0" w:sz="2" w:val="single"/>
              <w:bottom w:color="000001" w:space="0" w:sz="2" w:val="single"/>
              <w:right w:val="none"/>
            </w:tcBorders>
            <w:shd w:fill="FFFFFF" w:val="clear"/>
            <w:tcMar>
              <w:left w:type="dxa" w:w="48"/>
            </w:tcMar>
          </w:tcPr>
          <w:p>
            <w:pPr>
              <w:pStyle w:val="style21"/>
              <w:tabs>
                <w:tab w:leader="none" w:pos="4952" w:val="left"/>
              </w:tabs>
              <w:ind w:firstLine="17" w:left="-5" w:right="-5"/>
              <w:jc w:val="center"/>
            </w:pPr>
            <w:r>
              <w:rPr>
                <w:sz w:val="24"/>
                <w:szCs w:val="24"/>
              </w:rPr>
              <w:t>8 až 20</w:t>
            </w:r>
          </w:p>
        </w:tc>
        <w:tc>
          <w:tcPr>
            <w:tcW w:type="dxa" w:w="2000"/>
            <w:tcBorders>
              <w:top w:val="none"/>
              <w:left w:color="000001" w:space="0" w:sz="2" w:val="single"/>
              <w:bottom w:color="000001" w:space="0" w:sz="2" w:val="single"/>
              <w:right w:val="none"/>
            </w:tcBorders>
            <w:shd w:fill="FFFFFF" w:val="clear"/>
            <w:tcMar>
              <w:left w:type="dxa" w:w="48"/>
            </w:tcMar>
          </w:tcPr>
          <w:p>
            <w:pPr>
              <w:pStyle w:val="style21"/>
              <w:jc w:val="center"/>
            </w:pPr>
            <w:r>
              <w:rPr>
                <w:sz w:val="24"/>
                <w:szCs w:val="24"/>
              </w:rPr>
              <w:t>lineárna</w:t>
            </w:r>
          </w:p>
        </w:tc>
        <w:tc>
          <w:tcPr>
            <w:tcW w:type="dxa" w:w="1970"/>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sz w:val="24"/>
                <w:szCs w:val="24"/>
              </w:rPr>
              <w:t>5 až 12,5</w:t>
            </w:r>
          </w:p>
        </w:tc>
      </w:tr>
      <w:tr>
        <w:trPr>
          <w:cantSplit w:val="false"/>
        </w:trPr>
        <w:tc>
          <w:tcPr>
            <w:tcW w:type="dxa" w:w="3949"/>
            <w:tcBorders>
              <w:top w:val="none"/>
              <w:left w:color="000001" w:space="0" w:sz="2" w:val="single"/>
              <w:bottom w:color="000001" w:space="0" w:sz="2" w:val="single"/>
              <w:right w:val="none"/>
            </w:tcBorders>
            <w:shd w:fill="FFFFFF" w:val="clear"/>
            <w:tcMar>
              <w:left w:type="dxa" w:w="48"/>
            </w:tcMar>
          </w:tcPr>
          <w:p>
            <w:pPr>
              <w:pStyle w:val="style21"/>
              <w:ind w:hanging="0" w:left="-5" w:right="12"/>
              <w:jc w:val="both"/>
            </w:pPr>
            <w:r>
              <w:rPr>
                <w:sz w:val="24"/>
                <w:szCs w:val="24"/>
              </w:rPr>
              <w:t>Dopravné prostriedky</w:t>
            </w:r>
          </w:p>
        </w:tc>
        <w:tc>
          <w:tcPr>
            <w:tcW w:type="dxa" w:w="1717"/>
            <w:tcBorders>
              <w:top w:val="none"/>
              <w:left w:color="000001" w:space="0" w:sz="2" w:val="single"/>
              <w:bottom w:color="000001" w:space="0" w:sz="2" w:val="single"/>
              <w:right w:val="none"/>
            </w:tcBorders>
            <w:shd w:fill="FFFFFF" w:val="clear"/>
            <w:tcMar>
              <w:left w:type="dxa" w:w="48"/>
            </w:tcMar>
          </w:tcPr>
          <w:p>
            <w:pPr>
              <w:pStyle w:val="style21"/>
              <w:tabs>
                <w:tab w:leader="none" w:pos="4952" w:val="left"/>
              </w:tabs>
              <w:ind w:firstLine="17" w:left="-5" w:right="-5"/>
              <w:jc w:val="center"/>
            </w:pPr>
            <w:r>
              <w:rPr>
                <w:sz w:val="24"/>
                <w:szCs w:val="24"/>
              </w:rPr>
              <w:t>5</w:t>
            </w:r>
          </w:p>
        </w:tc>
        <w:tc>
          <w:tcPr>
            <w:tcW w:type="dxa" w:w="2000"/>
            <w:tcBorders>
              <w:top w:val="none"/>
              <w:left w:color="000001" w:space="0" w:sz="2" w:val="single"/>
              <w:bottom w:color="000001" w:space="0" w:sz="2" w:val="single"/>
              <w:right w:val="none"/>
            </w:tcBorders>
            <w:shd w:fill="FFFFFF" w:val="clear"/>
            <w:tcMar>
              <w:left w:type="dxa" w:w="48"/>
            </w:tcMar>
          </w:tcPr>
          <w:p>
            <w:pPr>
              <w:pStyle w:val="style21"/>
              <w:jc w:val="center"/>
            </w:pPr>
            <w:r>
              <w:rPr>
                <w:sz w:val="24"/>
                <w:szCs w:val="24"/>
              </w:rPr>
              <w:t>lineárna</w:t>
            </w:r>
          </w:p>
        </w:tc>
        <w:tc>
          <w:tcPr>
            <w:tcW w:type="dxa" w:w="1970"/>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sz w:val="24"/>
                <w:szCs w:val="24"/>
              </w:rPr>
              <w:t>20</w:t>
            </w:r>
          </w:p>
        </w:tc>
      </w:tr>
      <w:tr>
        <w:trPr>
          <w:cantSplit w:val="false"/>
        </w:trPr>
        <w:tc>
          <w:tcPr>
            <w:tcW w:type="dxa" w:w="3949"/>
            <w:tcBorders>
              <w:top w:val="none"/>
              <w:left w:color="000001" w:space="0" w:sz="2" w:val="single"/>
              <w:bottom w:color="000001" w:space="0" w:sz="2" w:val="single"/>
              <w:right w:val="none"/>
            </w:tcBorders>
            <w:shd w:fill="FFFFFF" w:val="clear"/>
            <w:tcMar>
              <w:left w:type="dxa" w:w="48"/>
            </w:tcMar>
          </w:tcPr>
          <w:p>
            <w:pPr>
              <w:pStyle w:val="style21"/>
              <w:ind w:hanging="0" w:left="-5" w:right="12"/>
              <w:jc w:val="both"/>
            </w:pPr>
            <w:r>
              <w:rPr>
                <w:sz w:val="24"/>
                <w:szCs w:val="24"/>
              </w:rPr>
              <w:t>Drobný dlhodobý hmotný majetok</w:t>
            </w:r>
          </w:p>
        </w:tc>
        <w:tc>
          <w:tcPr>
            <w:tcW w:type="dxa" w:w="1717"/>
            <w:tcBorders>
              <w:top w:val="none"/>
              <w:left w:color="000001" w:space="0" w:sz="2" w:val="single"/>
              <w:bottom w:color="000001" w:space="0" w:sz="2" w:val="single"/>
              <w:right w:val="none"/>
            </w:tcBorders>
            <w:shd w:fill="FFFFFF" w:val="clear"/>
            <w:tcMar>
              <w:left w:type="dxa" w:w="48"/>
            </w:tcMar>
          </w:tcPr>
          <w:p>
            <w:pPr>
              <w:pStyle w:val="style21"/>
              <w:tabs>
                <w:tab w:leader="none" w:pos="4952" w:val="left"/>
              </w:tabs>
              <w:ind w:firstLine="17" w:left="-5" w:right="-5"/>
              <w:jc w:val="center"/>
            </w:pPr>
            <w:r>
              <w:rPr>
                <w:sz w:val="24"/>
                <w:szCs w:val="24"/>
              </w:rPr>
              <w:t>rôzna napr. 2</w:t>
            </w:r>
          </w:p>
        </w:tc>
        <w:tc>
          <w:tcPr>
            <w:tcW w:type="dxa" w:w="2000"/>
            <w:tcBorders>
              <w:top w:val="none"/>
              <w:left w:color="000001" w:space="0" w:sz="2" w:val="single"/>
              <w:bottom w:color="000001" w:space="0" w:sz="2" w:val="single"/>
              <w:right w:val="none"/>
            </w:tcBorders>
            <w:shd w:fill="FFFFFF" w:val="clear"/>
            <w:tcMar>
              <w:left w:type="dxa" w:w="48"/>
            </w:tcMar>
          </w:tcPr>
          <w:p>
            <w:pPr>
              <w:pStyle w:val="style21"/>
              <w:jc w:val="center"/>
            </w:pPr>
            <w:r>
              <w:rPr>
                <w:sz w:val="24"/>
                <w:szCs w:val="24"/>
              </w:rPr>
              <w:t>lineárna</w:t>
            </w:r>
          </w:p>
        </w:tc>
        <w:tc>
          <w:tcPr>
            <w:tcW w:type="dxa" w:w="1970"/>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sz w:val="24"/>
                <w:szCs w:val="24"/>
              </w:rPr>
              <w:t>50</w:t>
            </w:r>
          </w:p>
        </w:tc>
      </w:tr>
    </w:tbl>
    <w:p>
      <w:pPr>
        <w:pStyle w:val="style0"/>
      </w:pPr>
      <w:r>
        <w:rPr/>
      </w:r>
    </w:p>
    <w:p>
      <w:pPr>
        <w:pStyle w:val="style0"/>
        <w:jc w:val="both"/>
      </w:pPr>
      <w:r>
        <w:rPr>
          <w:sz w:val="24"/>
          <w:szCs w:val="24"/>
          <w:u w:val="single"/>
        </w:rPr>
        <w:t>Zásoby</w:t>
      </w:r>
      <w:r>
        <w:rPr>
          <w:sz w:val="24"/>
          <w:szCs w:val="24"/>
        </w:rPr>
        <w:t xml:space="preserve"> nakupované sa oceňujú obstarávacou cenou, ktorá zahrňuje cenu 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 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Zásoby nadobudnuté bezodplatne (darovaním a delimitáciou), prebytky zásob, odpad a zvyškové produkty sa oceňujú reprodukčnou obstarávacou cenou, čo je cena, za ktorú by sa majetok obstaral v čase, keď sa o ňom účtuje. Novo zistené zásoby pri inventarizácii sa oceňujú reprodukčnou obstarávacou cenou. </w:t>
      </w:r>
    </w:p>
    <w:p>
      <w:pPr>
        <w:pStyle w:val="style0"/>
        <w:jc w:val="both"/>
      </w:pPr>
      <w:r>
        <w:rPr/>
      </w:r>
    </w:p>
    <w:p>
      <w:pPr>
        <w:pStyle w:val="style0"/>
        <w:jc w:val="both"/>
      </w:pPr>
      <w:r>
        <w:rPr>
          <w:sz w:val="24"/>
          <w:szCs w:val="24"/>
          <w:u w:val="single"/>
        </w:rPr>
        <w:t xml:space="preserve">Pohľadávky </w:t>
      </w:r>
      <w:r>
        <w:rPr>
          <w:sz w:val="24"/>
          <w:szCs w:val="24"/>
          <w:u w:val="none"/>
        </w:rPr>
        <w:t xml:space="preserve">pri ich vzniku sa oceňujú menovitou hodnotou. Pohľadávky pri odplatnom nadobudnutí sa oceňujú obstarávacou cenou, t. j. Vrátane nákladov súvisiacich s obstaraním. Toto ocenenie sa znižuje o pochybné, nedobytné pohľadávky a o pohľadávky, pri ktorých existuje riziko nevymožiteľnosti. </w:t>
      </w:r>
    </w:p>
    <w:p>
      <w:pPr>
        <w:pStyle w:val="style0"/>
        <w:jc w:val="both"/>
      </w:pPr>
      <w:r>
        <w:rPr/>
      </w:r>
    </w:p>
    <w:p>
      <w:pPr>
        <w:pStyle w:val="style0"/>
        <w:jc w:val="both"/>
      </w:pPr>
      <w:r>
        <w:rPr>
          <w:sz w:val="24"/>
          <w:szCs w:val="24"/>
          <w:u w:val="single"/>
        </w:rPr>
        <w:t>Peňažné prostriedky a ceniny</w:t>
      </w:r>
      <w:r>
        <w:rPr>
          <w:sz w:val="24"/>
          <w:szCs w:val="24"/>
          <w:u w:val="none"/>
        </w:rPr>
        <w:t xml:space="preserve"> sa oceňujú menovitou hodnotou.</w:t>
      </w:r>
    </w:p>
    <w:p>
      <w:pPr>
        <w:pStyle w:val="style0"/>
        <w:jc w:val="both"/>
      </w:pPr>
      <w:r>
        <w:rPr/>
      </w:r>
    </w:p>
    <w:p>
      <w:pPr>
        <w:pStyle w:val="style0"/>
        <w:jc w:val="both"/>
      </w:pPr>
      <w:r>
        <w:rPr>
          <w:sz w:val="24"/>
          <w:szCs w:val="24"/>
          <w:u w:val="single"/>
        </w:rPr>
        <w:t>Rezervy</w:t>
      </w:r>
      <w:r>
        <w:rPr>
          <w:sz w:val="24"/>
          <w:szCs w:val="24"/>
          <w:u w:val="none"/>
        </w:rPr>
        <w:t xml:space="preserve"> sú záväzky s neurčitým časovým vymedzením alebo výškou a oceňujú sa v očakávanej výške, záväzku alebo poistno-matematickými metódami.</w:t>
      </w:r>
    </w:p>
    <w:p>
      <w:pPr>
        <w:pStyle w:val="style0"/>
        <w:jc w:val="both"/>
      </w:pPr>
      <w:r>
        <w:rPr/>
      </w:r>
    </w:p>
    <w:p>
      <w:pPr>
        <w:pStyle w:val="style0"/>
        <w:jc w:val="both"/>
      </w:pPr>
      <w:r>
        <w:rPr>
          <w:sz w:val="24"/>
          <w:szCs w:val="24"/>
          <w:u w:val="single"/>
        </w:rPr>
        <w:t>Záväzky</w:t>
      </w:r>
      <w:r>
        <w:rPr>
          <w:sz w:val="24"/>
          <w:szCs w:val="24"/>
          <w:u w:val="none"/>
        </w:rPr>
        <w:t xml:space="preserve"> sa pri ich vzniku oceňujú menovitou hodnotou a pri ich prevzatí sa oceňujú obstarávacou cenou.</w:t>
      </w:r>
    </w:p>
    <w:p>
      <w:pPr>
        <w:pStyle w:val="style0"/>
        <w:jc w:val="both"/>
      </w:pPr>
      <w:r>
        <w:rPr/>
      </w:r>
    </w:p>
    <w:p>
      <w:pPr>
        <w:pStyle w:val="style0"/>
        <w:jc w:val="both"/>
      </w:pPr>
      <w:r>
        <w:rPr>
          <w:sz w:val="24"/>
          <w:szCs w:val="24"/>
          <w:u w:val="single"/>
        </w:rPr>
        <w:t>Účty časového rozlíšenia aktív a pasív</w:t>
      </w:r>
      <w:r>
        <w:rPr>
          <w:sz w:val="24"/>
          <w:szCs w:val="24"/>
          <w:u w:val="none"/>
        </w:rPr>
        <w:t xml:space="preserve"> sú vykázané vo výške, ktorá je potrebná na dodržanie zásady vecnej a časovej súvislosti s účtovným obdobím.</w:t>
      </w:r>
    </w:p>
    <w:p>
      <w:pPr>
        <w:pStyle w:val="style0"/>
        <w:jc w:val="both"/>
      </w:pPr>
      <w:r>
        <w:rPr/>
      </w:r>
    </w:p>
    <w:p>
      <w:pPr>
        <w:pStyle w:val="style0"/>
        <w:jc w:val="both"/>
      </w:pPr>
      <w:r>
        <w:rPr/>
      </w:r>
    </w:p>
    <w:p>
      <w:pPr>
        <w:pStyle w:val="style0"/>
        <w:jc w:val="center"/>
      </w:pPr>
      <w:r>
        <w:rPr>
          <w:b/>
          <w:bCs/>
          <w:sz w:val="24"/>
          <w:szCs w:val="24"/>
          <w:u w:val="none"/>
        </w:rPr>
        <w:t>III.   INFORMÁCIE O ÚDAJOCH NA STRANE AKTÍV SÚVAHY</w:t>
      </w:r>
    </w:p>
    <w:p>
      <w:pPr>
        <w:pStyle w:val="style0"/>
        <w:jc w:val="center"/>
      </w:pPr>
      <w:r>
        <w:rPr/>
      </w:r>
    </w:p>
    <w:p>
      <w:pPr>
        <w:pStyle w:val="style0"/>
        <w:jc w:val="left"/>
      </w:pPr>
      <w:r>
        <w:rPr>
          <w:b w:val="false"/>
          <w:bCs w:val="false"/>
          <w:sz w:val="24"/>
          <w:szCs w:val="24"/>
          <w:u w:val="none"/>
        </w:rPr>
        <w:t>Prehľad pohybu dlhodobého nehmotného a dlhodobého hmotného majetku od  1. januára 201</w:t>
      </w:r>
      <w:r>
        <w:rPr>
          <w:b w:val="false"/>
          <w:bCs w:val="false"/>
          <w:sz w:val="24"/>
          <w:szCs w:val="24"/>
          <w:u w:val="none"/>
        </w:rPr>
        <w:t>5</w:t>
      </w:r>
      <w:r>
        <w:rPr>
          <w:b w:val="false"/>
          <w:bCs w:val="false"/>
          <w:sz w:val="24"/>
          <w:szCs w:val="24"/>
          <w:u w:val="none"/>
        </w:rPr>
        <w:t xml:space="preserve"> do 31. decembra 201</w:t>
      </w:r>
      <w:r>
        <w:rPr>
          <w:b w:val="false"/>
          <w:bCs w:val="false"/>
          <w:sz w:val="24"/>
          <w:szCs w:val="24"/>
          <w:u w:val="none"/>
        </w:rPr>
        <w:t>5</w:t>
      </w:r>
      <w:r>
        <w:rPr>
          <w:b w:val="false"/>
          <w:bCs w:val="false"/>
          <w:sz w:val="24"/>
          <w:szCs w:val="24"/>
          <w:u w:val="none"/>
        </w:rPr>
        <w:t xml:space="preserve"> je uvedený v tabuľkovej časti: </w:t>
      </w:r>
      <w:r>
        <w:rPr>
          <w:b w:val="false"/>
          <w:bCs w:val="false"/>
          <w:i/>
          <w:iCs/>
          <w:sz w:val="24"/>
          <w:szCs w:val="24"/>
          <w:u w:val="none"/>
        </w:rPr>
        <w:t>Prehľad o pohybe dlhodobého majetku.</w:t>
      </w:r>
    </w:p>
    <w:p>
      <w:pPr>
        <w:pStyle w:val="style0"/>
        <w:jc w:val="left"/>
      </w:pPr>
      <w:r>
        <w:rPr/>
      </w:r>
    </w:p>
    <w:p>
      <w:pPr>
        <w:pStyle w:val="style0"/>
        <w:jc w:val="left"/>
      </w:pPr>
      <w:r>
        <w:rPr>
          <w:b w:val="false"/>
          <w:bCs w:val="false"/>
          <w:i w:val="false"/>
          <w:iCs w:val="false"/>
          <w:sz w:val="24"/>
          <w:szCs w:val="24"/>
          <w:u w:val="none"/>
        </w:rPr>
        <w:t>Ako finančný majetok sú vykázané finančné prostriedky v hotovosti a na účte v banke, s ktorými je možné voľne disponovať a ceniny.</w:t>
      </w:r>
    </w:p>
    <w:p>
      <w:pPr>
        <w:pStyle w:val="style0"/>
        <w:jc w:val="left"/>
      </w:pPr>
      <w:r>
        <w:rPr/>
      </w:r>
    </w:p>
    <w:p>
      <w:pPr>
        <w:pStyle w:val="style0"/>
        <w:jc w:val="left"/>
      </w:pPr>
      <w:r>
        <w:rPr>
          <w:b w:val="false"/>
          <w:bCs w:val="false"/>
          <w:i w:val="false"/>
          <w:iCs w:val="false"/>
          <w:sz w:val="24"/>
          <w:szCs w:val="24"/>
          <w:u w:val="none"/>
        </w:rPr>
        <w:t>Prehľad významných položiek časového rozlíšenia aktív Zoologickej záhrady je uvedený v následovnom prehľade:</w:t>
      </w:r>
      <w:r>
        <w:rPr>
          <w:b w:val="false"/>
          <w:bCs w:val="false"/>
          <w:i/>
          <w:iCs/>
          <w:sz w:val="24"/>
          <w:szCs w:val="24"/>
          <w:u w:val="none"/>
        </w:rPr>
        <w:t xml:space="preserve"> </w:t>
      </w:r>
    </w:p>
    <w:tbl>
      <w:tblPr>
        <w:jc w:val="left"/>
        <w:tblInd w:type="dxa" w:w="50"/>
        <w:tblBorders>
          <w:top w:color="000001" w:space="0" w:sz="2" w:val="single"/>
          <w:left w:color="000001" w:space="0" w:sz="2" w:val="single"/>
          <w:bottom w:color="000001" w:space="0" w:sz="2" w:val="single"/>
          <w:insideH w:color="000001" w:space="0" w:sz="2" w:val="single"/>
          <w:right w:val="none"/>
          <w:insideV w:val="none"/>
        </w:tblBorders>
        <w:tblCellMar>
          <w:top w:type="dxa" w:w="55"/>
          <w:left w:type="dxa" w:w="48"/>
          <w:bottom w:type="dxa" w:w="55"/>
          <w:right w:type="dxa" w:w="55"/>
        </w:tblCellMar>
      </w:tblPr>
      <w:tblGrid>
        <w:gridCol w:w="5419"/>
        <w:gridCol w:w="2100"/>
        <w:gridCol w:w="2119"/>
      </w:tblGrid>
      <w:tr>
        <w:trPr>
          <w:cantSplit w:val="false"/>
        </w:trPr>
        <w:tc>
          <w:tcPr>
            <w:tcW w:type="dxa" w:w="5419"/>
            <w:tcBorders>
              <w:top w:color="000001" w:space="0" w:sz="2" w:val="single"/>
              <w:left w:color="000001" w:space="0" w:sz="2" w:val="single"/>
              <w:bottom w:color="000001" w:space="0" w:sz="2" w:val="single"/>
              <w:right w:val="none"/>
            </w:tcBorders>
            <w:shd w:fill="FFFFFF" w:val="clear"/>
            <w:tcMar>
              <w:left w:type="dxa" w:w="48"/>
            </w:tcMar>
          </w:tcPr>
          <w:p>
            <w:pPr>
              <w:pStyle w:val="style21"/>
              <w:jc w:val="left"/>
            </w:pPr>
            <w:r>
              <w:rPr/>
            </w:r>
          </w:p>
        </w:tc>
        <w:tc>
          <w:tcPr>
            <w:tcW w:type="dxa" w:w="2100"/>
            <w:tcBorders>
              <w:top w:color="000001" w:space="0" w:sz="2" w:val="single"/>
              <w:left w:color="000001" w:space="0" w:sz="2" w:val="single"/>
              <w:bottom w:color="000001" w:space="0" w:sz="2" w:val="single"/>
              <w:right w:val="none"/>
            </w:tcBorders>
            <w:shd w:fill="FFFFFF" w:val="clear"/>
            <w:tcMar>
              <w:left w:type="dxa" w:w="48"/>
            </w:tcMar>
          </w:tcPr>
          <w:p>
            <w:pPr>
              <w:pStyle w:val="style21"/>
              <w:shd w:fill="94BD5E" w:val="clear"/>
              <w:jc w:val="center"/>
            </w:pPr>
            <w:r>
              <w:rPr/>
              <w:t>31.12.201</w:t>
            </w:r>
            <w:r>
              <w:rPr/>
              <w:t>5</w:t>
            </w:r>
          </w:p>
        </w:tc>
        <w:tc>
          <w:tcPr>
            <w:tcW w:type="dxa" w:w="2119"/>
            <w:tcBorders>
              <w:top w:color="000001" w:space="0" w:sz="2" w:val="single"/>
              <w:left w:color="000001" w:space="0" w:sz="2" w:val="single"/>
              <w:bottom w:color="000001" w:space="0" w:sz="2" w:val="single"/>
              <w:right w:color="000001" w:space="0" w:sz="2" w:val="single"/>
            </w:tcBorders>
            <w:shd w:fill="FFFFFF" w:val="clear"/>
            <w:tcMar>
              <w:left w:type="dxa" w:w="48"/>
            </w:tcMar>
          </w:tcPr>
          <w:p>
            <w:pPr>
              <w:pStyle w:val="style21"/>
              <w:shd w:fill="94BD5E" w:val="clear"/>
              <w:jc w:val="center"/>
            </w:pPr>
            <w:r>
              <w:rPr/>
              <w:t xml:space="preserve">31.12.2014 </w:t>
            </w:r>
          </w:p>
        </w:tc>
      </w:tr>
      <w:tr>
        <w:trPr>
          <w:cantSplit w:val="false"/>
        </w:trPr>
        <w:tc>
          <w:tcPr>
            <w:tcW w:type="dxa" w:w="5419"/>
            <w:tcBorders>
              <w:top w:val="none"/>
              <w:left w:color="000001" w:space="0" w:sz="2" w:val="single"/>
              <w:bottom w:color="000001" w:space="0" w:sz="2" w:val="single"/>
              <w:right w:val="none"/>
            </w:tcBorders>
            <w:shd w:fill="FFFFFF" w:val="clear"/>
            <w:tcMar>
              <w:left w:type="dxa" w:w="48"/>
            </w:tcMar>
          </w:tcPr>
          <w:p>
            <w:pPr>
              <w:pStyle w:val="style21"/>
              <w:jc w:val="left"/>
            </w:pPr>
            <w:r>
              <w:rPr/>
              <w:t>Predplatné časopisov</w:t>
            </w:r>
          </w:p>
        </w:tc>
        <w:tc>
          <w:tcPr>
            <w:tcW w:type="dxa" w:w="2100"/>
            <w:tcBorders>
              <w:top w:val="none"/>
              <w:left w:color="000001" w:space="0" w:sz="2" w:val="single"/>
              <w:bottom w:color="000001" w:space="0" w:sz="2" w:val="single"/>
              <w:right w:val="none"/>
            </w:tcBorders>
            <w:shd w:fill="FFFFFF" w:val="clear"/>
            <w:tcMar>
              <w:left w:type="dxa" w:w="48"/>
            </w:tcMar>
          </w:tcPr>
          <w:p>
            <w:pPr>
              <w:pStyle w:val="style21"/>
              <w:jc w:val="center"/>
            </w:pPr>
            <w:r>
              <w:rPr/>
              <w:t>78</w:t>
            </w:r>
          </w:p>
        </w:tc>
        <w:tc>
          <w:tcPr>
            <w:tcW w:type="dxa" w:w="2119"/>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t>78</w:t>
            </w:r>
          </w:p>
        </w:tc>
      </w:tr>
      <w:tr>
        <w:trPr>
          <w:cantSplit w:val="false"/>
        </w:trPr>
        <w:tc>
          <w:tcPr>
            <w:tcW w:type="dxa" w:w="5419"/>
            <w:tcBorders>
              <w:top w:val="none"/>
              <w:left w:color="000001" w:space="0" w:sz="2" w:val="single"/>
              <w:bottom w:color="000001" w:space="0" w:sz="2" w:val="single"/>
              <w:right w:val="none"/>
            </w:tcBorders>
            <w:shd w:fill="FFFFFF" w:val="clear"/>
            <w:tcMar>
              <w:left w:type="dxa" w:w="48"/>
            </w:tcMar>
          </w:tcPr>
          <w:p>
            <w:pPr>
              <w:pStyle w:val="style21"/>
              <w:jc w:val="left"/>
            </w:pPr>
            <w:r>
              <w:rPr/>
              <w:t>Poistné</w:t>
            </w:r>
          </w:p>
        </w:tc>
        <w:tc>
          <w:tcPr>
            <w:tcW w:type="dxa" w:w="2100"/>
            <w:tcBorders>
              <w:top w:val="none"/>
              <w:left w:color="000001" w:space="0" w:sz="2" w:val="single"/>
              <w:bottom w:color="000001" w:space="0" w:sz="2" w:val="single"/>
              <w:right w:val="none"/>
            </w:tcBorders>
            <w:shd w:fill="FFFFFF" w:val="clear"/>
            <w:tcMar>
              <w:left w:type="dxa" w:w="48"/>
            </w:tcMar>
          </w:tcPr>
          <w:p>
            <w:pPr>
              <w:pStyle w:val="style21"/>
              <w:jc w:val="center"/>
            </w:pPr>
            <w:r>
              <w:rPr/>
              <w:t>227,43</w:t>
            </w:r>
          </w:p>
        </w:tc>
        <w:tc>
          <w:tcPr>
            <w:tcW w:type="dxa" w:w="2119"/>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t>204,10</w:t>
            </w:r>
          </w:p>
        </w:tc>
      </w:tr>
      <w:tr>
        <w:trPr>
          <w:cantSplit w:val="false"/>
        </w:trPr>
        <w:tc>
          <w:tcPr>
            <w:tcW w:type="dxa" w:w="5419"/>
            <w:tcBorders>
              <w:top w:val="none"/>
              <w:left w:color="000001" w:space="0" w:sz="2" w:val="single"/>
              <w:bottom w:color="000001" w:space="0" w:sz="2" w:val="single"/>
              <w:right w:val="none"/>
            </w:tcBorders>
            <w:shd w:fill="FFFFFF" w:val="clear"/>
            <w:tcMar>
              <w:left w:type="dxa" w:w="48"/>
            </w:tcMar>
          </w:tcPr>
          <w:p>
            <w:pPr>
              <w:pStyle w:val="style21"/>
              <w:jc w:val="left"/>
            </w:pPr>
            <w:r>
              <w:rPr/>
              <w:t>Ostatné</w:t>
            </w:r>
          </w:p>
        </w:tc>
        <w:tc>
          <w:tcPr>
            <w:tcW w:type="dxa" w:w="2100"/>
            <w:tcBorders>
              <w:top w:val="none"/>
              <w:left w:color="000001" w:space="0" w:sz="2" w:val="single"/>
              <w:bottom w:color="000001" w:space="0" w:sz="2" w:val="single"/>
              <w:right w:val="none"/>
            </w:tcBorders>
            <w:shd w:fill="FFFFFF" w:val="clear"/>
            <w:tcMar>
              <w:left w:type="dxa" w:w="48"/>
            </w:tcMar>
          </w:tcPr>
          <w:p>
            <w:pPr>
              <w:pStyle w:val="style21"/>
              <w:jc w:val="center"/>
            </w:pPr>
            <w:r>
              <w:rPr/>
              <w:t>145,79</w:t>
            </w:r>
          </w:p>
        </w:tc>
        <w:tc>
          <w:tcPr>
            <w:tcW w:type="dxa" w:w="2119"/>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t>22,45</w:t>
            </w:r>
          </w:p>
        </w:tc>
      </w:tr>
      <w:tr>
        <w:trPr>
          <w:cantSplit w:val="false"/>
        </w:trPr>
        <w:tc>
          <w:tcPr>
            <w:tcW w:type="dxa" w:w="5419"/>
            <w:tcBorders>
              <w:top w:val="none"/>
              <w:left w:color="000001" w:space="0" w:sz="2" w:val="single"/>
              <w:bottom w:color="000001" w:space="0" w:sz="2" w:val="single"/>
              <w:right w:val="none"/>
            </w:tcBorders>
            <w:shd w:fill="FFFFFF" w:val="clear"/>
            <w:tcMar>
              <w:left w:type="dxa" w:w="48"/>
            </w:tcMar>
          </w:tcPr>
          <w:p>
            <w:pPr>
              <w:pStyle w:val="style21"/>
              <w:jc w:val="left"/>
            </w:pPr>
            <w:r>
              <w:rPr>
                <w:b/>
                <w:bCs/>
              </w:rPr>
              <w:t>Náklady budúcich období spolu</w:t>
            </w:r>
          </w:p>
        </w:tc>
        <w:tc>
          <w:tcPr>
            <w:tcW w:type="dxa" w:w="2100"/>
            <w:tcBorders>
              <w:top w:val="none"/>
              <w:left w:color="000001" w:space="0" w:sz="2" w:val="single"/>
              <w:bottom w:color="000001" w:space="0" w:sz="2" w:val="single"/>
              <w:right w:val="none"/>
            </w:tcBorders>
            <w:shd w:fill="FFFFFF" w:val="clear"/>
            <w:tcMar>
              <w:left w:type="dxa" w:w="48"/>
            </w:tcMar>
          </w:tcPr>
          <w:p>
            <w:pPr>
              <w:pStyle w:val="style21"/>
              <w:jc w:val="center"/>
            </w:pPr>
            <w:r>
              <w:rPr>
                <w:b/>
                <w:bCs/>
              </w:rPr>
              <w:t>451,22</w:t>
            </w:r>
          </w:p>
        </w:tc>
        <w:tc>
          <w:tcPr>
            <w:tcW w:type="dxa" w:w="2119"/>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b/>
                <w:bCs/>
              </w:rPr>
              <w:t>304,55</w:t>
            </w:r>
          </w:p>
        </w:tc>
      </w:tr>
    </w:tbl>
    <w:p>
      <w:pPr>
        <w:pStyle w:val="style0"/>
        <w:jc w:val="left"/>
      </w:pPr>
      <w:r>
        <w:rPr/>
      </w:r>
    </w:p>
    <w:p>
      <w:pPr>
        <w:pStyle w:val="style0"/>
        <w:jc w:val="center"/>
      </w:pPr>
      <w:r>
        <w:rPr>
          <w:b/>
          <w:bCs/>
          <w:i w:val="false"/>
          <w:iCs w:val="false"/>
          <w:sz w:val="24"/>
          <w:szCs w:val="24"/>
          <w:u w:val="none"/>
        </w:rPr>
        <w:t>IV.   INFORMÁCIE O ÚDAJOCH NA STRANE PASÍV SÚVAHY</w:t>
      </w:r>
    </w:p>
    <w:p>
      <w:pPr>
        <w:pStyle w:val="style0"/>
        <w:jc w:val="center"/>
      </w:pPr>
      <w:r>
        <w:rPr/>
      </w:r>
    </w:p>
    <w:p>
      <w:pPr>
        <w:pStyle w:val="style0"/>
        <w:jc w:val="left"/>
      </w:pPr>
      <w:r>
        <w:rPr>
          <w:b w:val="false"/>
          <w:bCs w:val="false"/>
          <w:i w:val="false"/>
          <w:iCs w:val="false"/>
          <w:sz w:val="24"/>
          <w:szCs w:val="24"/>
          <w:u w:val="none"/>
        </w:rPr>
        <w:t>Prehľad vlastného imania účtovnej jednotky od 1. januára 201</w:t>
      </w:r>
      <w:r>
        <w:rPr>
          <w:b w:val="false"/>
          <w:bCs w:val="false"/>
          <w:i w:val="false"/>
          <w:iCs w:val="false"/>
          <w:sz w:val="24"/>
          <w:szCs w:val="24"/>
          <w:u w:val="none"/>
        </w:rPr>
        <w:t>5</w:t>
      </w:r>
      <w:r>
        <w:rPr>
          <w:b w:val="false"/>
          <w:bCs w:val="false"/>
          <w:i w:val="false"/>
          <w:iCs w:val="false"/>
          <w:sz w:val="24"/>
          <w:szCs w:val="24"/>
          <w:u w:val="none"/>
        </w:rPr>
        <w:t xml:space="preserve"> do 31. decembra 201</w:t>
      </w:r>
      <w:r>
        <w:rPr>
          <w:b w:val="false"/>
          <w:bCs w:val="false"/>
          <w:i w:val="false"/>
          <w:iCs w:val="false"/>
          <w:sz w:val="24"/>
          <w:szCs w:val="24"/>
          <w:u w:val="none"/>
        </w:rPr>
        <w:t>5</w:t>
      </w:r>
      <w:r>
        <w:rPr>
          <w:b w:val="false"/>
          <w:bCs w:val="false"/>
          <w:i w:val="false"/>
          <w:iCs w:val="false"/>
          <w:sz w:val="24"/>
          <w:szCs w:val="24"/>
          <w:u w:val="none"/>
        </w:rPr>
        <w:t xml:space="preserve"> je uvedený v tabuľkovej časti.</w:t>
      </w:r>
    </w:p>
    <w:p>
      <w:pPr>
        <w:pStyle w:val="style0"/>
        <w:jc w:val="left"/>
      </w:pPr>
      <w:r>
        <w:rPr/>
      </w:r>
    </w:p>
    <w:p>
      <w:pPr>
        <w:pStyle w:val="style0"/>
        <w:jc w:val="left"/>
      </w:pPr>
      <w:r>
        <w:rPr>
          <w:b w:val="false"/>
          <w:bCs w:val="false"/>
          <w:i w:val="false"/>
          <w:iCs w:val="false"/>
          <w:sz w:val="24"/>
          <w:szCs w:val="24"/>
          <w:u w:val="none"/>
        </w:rPr>
        <w:t>Prehľad záväzkov podľa splatnosti je uvedený v tabuľkovej časti.</w:t>
      </w:r>
    </w:p>
    <w:p>
      <w:pPr>
        <w:pStyle w:val="style0"/>
        <w:jc w:val="left"/>
      </w:pPr>
      <w:r>
        <w:rPr/>
      </w:r>
    </w:p>
    <w:p>
      <w:pPr>
        <w:pStyle w:val="style0"/>
        <w:jc w:val="left"/>
      </w:pPr>
      <w:r>
        <w:rPr>
          <w:b w:val="false"/>
          <w:bCs w:val="false"/>
          <w:i w:val="false"/>
          <w:iCs w:val="false"/>
          <w:sz w:val="24"/>
          <w:szCs w:val="24"/>
          <w:u w:val="none"/>
        </w:rPr>
        <w:t>Záväzky predstavujú predovšetkým mzdové záväzky voči zamestnancom a z nevyplatených miezd a odvodov za december 201</w:t>
      </w:r>
      <w:r>
        <w:rPr>
          <w:b w:val="false"/>
          <w:bCs w:val="false"/>
          <w:i w:val="false"/>
          <w:iCs w:val="false"/>
          <w:sz w:val="24"/>
          <w:szCs w:val="24"/>
          <w:u w:val="none"/>
        </w:rPr>
        <w:t>4</w:t>
      </w:r>
      <w:r>
        <w:rPr>
          <w:b w:val="false"/>
          <w:bCs w:val="false"/>
          <w:i w:val="false"/>
          <w:iCs w:val="false"/>
          <w:sz w:val="24"/>
          <w:szCs w:val="24"/>
          <w:u w:val="none"/>
        </w:rPr>
        <w:t xml:space="preserve"> a záväzky voči dodávateľom energií.</w:t>
      </w:r>
    </w:p>
    <w:p>
      <w:pPr>
        <w:pStyle w:val="style0"/>
        <w:jc w:val="left"/>
      </w:pPr>
      <w:r>
        <w:rPr/>
      </w:r>
    </w:p>
    <w:p>
      <w:pPr>
        <w:pStyle w:val="style0"/>
        <w:jc w:val="left"/>
      </w:pPr>
      <w:r>
        <w:rPr/>
      </w:r>
    </w:p>
    <w:p>
      <w:pPr>
        <w:pStyle w:val="style0"/>
        <w:jc w:val="center"/>
      </w:pPr>
      <w:bookmarkStart w:id="0" w:name="__DdeLink__21_2086449040"/>
      <w:r>
        <w:rPr>
          <w:b/>
          <w:bCs/>
          <w:i w:val="false"/>
          <w:iCs w:val="false"/>
          <w:sz w:val="24"/>
          <w:szCs w:val="24"/>
          <w:u w:val="none"/>
        </w:rPr>
        <w:t>V</w:t>
      </w:r>
      <w:bookmarkEnd w:id="0"/>
      <w:r>
        <w:rPr>
          <w:b/>
          <w:bCs/>
          <w:i w:val="false"/>
          <w:iCs w:val="false"/>
          <w:sz w:val="24"/>
          <w:szCs w:val="24"/>
          <w:u w:val="none"/>
        </w:rPr>
        <w:t>.   INFORMÁCIE O VÝNOSOCH A NÁKLADOCH</w:t>
      </w:r>
    </w:p>
    <w:p>
      <w:pPr>
        <w:pStyle w:val="style0"/>
        <w:jc w:val="center"/>
      </w:pPr>
      <w:r>
        <w:rPr/>
      </w:r>
    </w:p>
    <w:p>
      <w:pPr>
        <w:pStyle w:val="style0"/>
        <w:jc w:val="left"/>
      </w:pPr>
      <w:r>
        <w:rPr>
          <w:b w:val="false"/>
          <w:bCs w:val="false"/>
          <w:i w:val="false"/>
          <w:iCs w:val="false"/>
          <w:sz w:val="24"/>
          <w:szCs w:val="24"/>
          <w:u w:val="none"/>
        </w:rPr>
        <w:t>Významnou položkou výnosov sú výnosy z prijatých transferov od zriaďovateľa a transferov prijatých zo štátneho rozpočtu.</w:t>
      </w:r>
    </w:p>
    <w:p>
      <w:pPr>
        <w:pStyle w:val="style0"/>
        <w:jc w:val="left"/>
      </w:pPr>
      <w:r>
        <w:rPr/>
      </w:r>
    </w:p>
    <w:p>
      <w:pPr>
        <w:pStyle w:val="style0"/>
        <w:jc w:val="left"/>
      </w:pPr>
      <w:r>
        <w:rPr>
          <w:b w:val="false"/>
          <w:bCs w:val="false"/>
          <w:i w:val="false"/>
          <w:iCs w:val="false"/>
          <w:sz w:val="24"/>
          <w:szCs w:val="24"/>
          <w:u w:val="none"/>
        </w:rPr>
        <w:t>Prehľad o tržbách za vlastné výkony a tovar:</w:t>
      </w:r>
    </w:p>
    <w:p>
      <w:pPr>
        <w:pStyle w:val="style0"/>
        <w:jc w:val="left"/>
      </w:pPr>
      <w:r>
        <w:rPr/>
      </w:r>
    </w:p>
    <w:tbl>
      <w:tblPr>
        <w:jc w:val="left"/>
        <w:tblInd w:type="dxa" w:w="50"/>
        <w:tblBorders>
          <w:top w:color="000001" w:space="0" w:sz="2" w:val="single"/>
          <w:left w:color="000001" w:space="0" w:sz="2" w:val="single"/>
          <w:bottom w:color="000001" w:space="0" w:sz="2" w:val="single"/>
          <w:insideH w:color="000001" w:space="0" w:sz="2" w:val="single"/>
          <w:right w:val="none"/>
          <w:insideV w:val="none"/>
        </w:tblBorders>
        <w:tblCellMar>
          <w:top w:type="dxa" w:w="55"/>
          <w:left w:type="dxa" w:w="48"/>
          <w:bottom w:type="dxa" w:w="55"/>
          <w:right w:type="dxa" w:w="55"/>
        </w:tblCellMar>
      </w:tblPr>
      <w:tblGrid>
        <w:gridCol w:w="3212"/>
        <w:gridCol w:w="3213"/>
        <w:gridCol w:w="3213"/>
      </w:tblGrid>
      <w:tr>
        <w:trPr>
          <w:cantSplit w:val="false"/>
        </w:trPr>
        <w:tc>
          <w:tcPr>
            <w:tcW w:type="dxa" w:w="3212"/>
            <w:tcBorders>
              <w:top w:color="000001" w:space="0" w:sz="2" w:val="single"/>
              <w:left w:color="000001" w:space="0" w:sz="2" w:val="single"/>
              <w:bottom w:color="000001" w:space="0" w:sz="2" w:val="single"/>
              <w:right w:val="none"/>
            </w:tcBorders>
            <w:shd w:fill="FFFFFF" w:val="clear"/>
            <w:tcMar>
              <w:left w:type="dxa" w:w="48"/>
            </w:tcMar>
          </w:tcPr>
          <w:p>
            <w:pPr>
              <w:pStyle w:val="style21"/>
              <w:jc w:val="left"/>
            </w:pPr>
            <w:r>
              <w:rPr/>
            </w:r>
          </w:p>
        </w:tc>
        <w:tc>
          <w:tcPr>
            <w:tcW w:type="dxa" w:w="3213"/>
            <w:tcBorders>
              <w:top w:color="000001" w:space="0" w:sz="2" w:val="single"/>
              <w:left w:color="000001" w:space="0" w:sz="2" w:val="single"/>
              <w:bottom w:color="000001" w:space="0" w:sz="2" w:val="single"/>
              <w:right w:val="none"/>
            </w:tcBorders>
            <w:shd w:fill="94BD5E" w:val="clear"/>
            <w:tcMar>
              <w:left w:type="dxa" w:w="48"/>
            </w:tcMar>
          </w:tcPr>
          <w:p>
            <w:pPr>
              <w:pStyle w:val="style21"/>
              <w:jc w:val="center"/>
            </w:pPr>
            <w:r>
              <w:rPr/>
              <w:t>31.12.201</w:t>
            </w:r>
            <w:r>
              <w:rPr/>
              <w:t>5</w:t>
            </w:r>
            <w:r>
              <w:rPr/>
              <w:t xml:space="preserve"> </w:t>
            </w:r>
          </w:p>
        </w:tc>
        <w:tc>
          <w:tcPr>
            <w:tcW w:type="dxa" w:w="3213"/>
            <w:tcBorders>
              <w:top w:color="000001" w:space="0" w:sz="2" w:val="single"/>
              <w:left w:color="000001" w:space="0" w:sz="2" w:val="single"/>
              <w:bottom w:color="000001" w:space="0" w:sz="2" w:val="single"/>
              <w:right w:color="000001" w:space="0" w:sz="2" w:val="single"/>
            </w:tcBorders>
            <w:shd w:fill="94BD5E" w:val="clear"/>
            <w:tcMar>
              <w:left w:type="dxa" w:w="48"/>
            </w:tcMar>
          </w:tcPr>
          <w:p>
            <w:pPr>
              <w:pStyle w:val="style21"/>
              <w:jc w:val="center"/>
            </w:pPr>
            <w:r>
              <w:rPr/>
              <w:t xml:space="preserve">31.12.2014 </w:t>
            </w:r>
          </w:p>
        </w:tc>
      </w:tr>
      <w:tr>
        <w:trPr>
          <w:cantSplit w:val="false"/>
        </w:trPr>
        <w:tc>
          <w:tcPr>
            <w:tcW w:type="dxa" w:w="3212"/>
            <w:tcBorders>
              <w:top w:val="none"/>
              <w:left w:color="000001" w:space="0" w:sz="2" w:val="single"/>
              <w:bottom w:color="000001" w:space="0" w:sz="2" w:val="single"/>
              <w:right w:val="none"/>
            </w:tcBorders>
            <w:shd w:fill="FFFFFF" w:val="clear"/>
            <w:tcMar>
              <w:left w:type="dxa" w:w="48"/>
            </w:tcMar>
          </w:tcPr>
          <w:p>
            <w:pPr>
              <w:pStyle w:val="style21"/>
              <w:jc w:val="left"/>
            </w:pPr>
            <w:r>
              <w:rPr/>
              <w:t>Vstupné</w:t>
            </w:r>
          </w:p>
        </w:tc>
        <w:tc>
          <w:tcPr>
            <w:tcW w:type="dxa" w:w="3213"/>
            <w:tcBorders>
              <w:top w:val="none"/>
              <w:left w:color="000001" w:space="0" w:sz="2" w:val="single"/>
              <w:bottom w:color="000001" w:space="0" w:sz="2" w:val="single"/>
              <w:right w:val="none"/>
            </w:tcBorders>
            <w:shd w:fill="FFFFFF" w:val="clear"/>
            <w:tcMar>
              <w:left w:type="dxa" w:w="48"/>
            </w:tcMar>
          </w:tcPr>
          <w:p>
            <w:pPr>
              <w:pStyle w:val="style21"/>
              <w:jc w:val="center"/>
            </w:pPr>
            <w:r>
              <w:rPr/>
              <w:t>126 215,51</w:t>
            </w:r>
          </w:p>
        </w:tc>
        <w:tc>
          <w:tcPr>
            <w:tcW w:type="dxa" w:w="3213"/>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t>100 872,54</w:t>
            </w:r>
          </w:p>
        </w:tc>
      </w:tr>
      <w:tr>
        <w:trPr>
          <w:cantSplit w:val="false"/>
        </w:trPr>
        <w:tc>
          <w:tcPr>
            <w:tcW w:type="dxa" w:w="3212"/>
            <w:tcBorders>
              <w:top w:val="none"/>
              <w:left w:color="000001" w:space="0" w:sz="2" w:val="single"/>
              <w:bottom w:color="000001" w:space="0" w:sz="2" w:val="single"/>
              <w:right w:val="none"/>
            </w:tcBorders>
            <w:shd w:fill="FFFFFF" w:val="clear"/>
            <w:tcMar>
              <w:left w:type="dxa" w:w="48"/>
            </w:tcMar>
          </w:tcPr>
          <w:p>
            <w:pPr>
              <w:pStyle w:val="style21"/>
              <w:jc w:val="left"/>
            </w:pPr>
            <w:r>
              <w:rPr/>
              <w:t>Výnosy z prenájmu</w:t>
            </w:r>
          </w:p>
        </w:tc>
        <w:tc>
          <w:tcPr>
            <w:tcW w:type="dxa" w:w="3213"/>
            <w:tcBorders>
              <w:top w:val="none"/>
              <w:left w:color="000001" w:space="0" w:sz="2" w:val="single"/>
              <w:bottom w:color="000001" w:space="0" w:sz="2" w:val="single"/>
              <w:right w:val="none"/>
            </w:tcBorders>
            <w:shd w:fill="FFFFFF" w:val="clear"/>
            <w:tcMar>
              <w:left w:type="dxa" w:w="48"/>
            </w:tcMar>
          </w:tcPr>
          <w:p>
            <w:pPr>
              <w:pStyle w:val="style21"/>
              <w:jc w:val="center"/>
            </w:pPr>
            <w:r>
              <w:rPr/>
              <w:t>1 893</w:t>
            </w:r>
          </w:p>
        </w:tc>
        <w:tc>
          <w:tcPr>
            <w:tcW w:type="dxa" w:w="3213"/>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t>2 273</w:t>
            </w:r>
          </w:p>
        </w:tc>
      </w:tr>
      <w:tr>
        <w:trPr>
          <w:cantSplit w:val="false"/>
        </w:trPr>
        <w:tc>
          <w:tcPr>
            <w:tcW w:type="dxa" w:w="3212"/>
            <w:tcBorders>
              <w:top w:val="none"/>
              <w:left w:color="000001" w:space="0" w:sz="2" w:val="single"/>
              <w:bottom w:color="000001" w:space="0" w:sz="2" w:val="single"/>
              <w:right w:val="none"/>
            </w:tcBorders>
            <w:shd w:fill="FFFFFF" w:val="clear"/>
            <w:tcMar>
              <w:left w:type="dxa" w:w="48"/>
            </w:tcMar>
          </w:tcPr>
          <w:p>
            <w:pPr>
              <w:pStyle w:val="style21"/>
              <w:jc w:val="left"/>
            </w:pPr>
            <w:r>
              <w:rPr/>
              <w:t>Tržby z predaja materiálu</w:t>
            </w:r>
          </w:p>
        </w:tc>
        <w:tc>
          <w:tcPr>
            <w:tcW w:type="dxa" w:w="3213"/>
            <w:tcBorders>
              <w:top w:val="none"/>
              <w:left w:color="000001" w:space="0" w:sz="2" w:val="single"/>
              <w:bottom w:color="000001" w:space="0" w:sz="2" w:val="single"/>
              <w:right w:val="none"/>
            </w:tcBorders>
            <w:shd w:fill="FFFFFF" w:val="clear"/>
            <w:tcMar>
              <w:left w:type="dxa" w:w="48"/>
            </w:tcMar>
          </w:tcPr>
          <w:p>
            <w:pPr>
              <w:pStyle w:val="style21"/>
              <w:jc w:val="center"/>
            </w:pPr>
            <w:r>
              <w:rPr/>
              <w:t>27 917,30</w:t>
            </w:r>
          </w:p>
        </w:tc>
        <w:tc>
          <w:tcPr>
            <w:tcW w:type="dxa" w:w="3213"/>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t>25 964,70</w:t>
            </w:r>
          </w:p>
        </w:tc>
      </w:tr>
      <w:tr>
        <w:trPr>
          <w:cantSplit w:val="false"/>
        </w:trPr>
        <w:tc>
          <w:tcPr>
            <w:tcW w:type="dxa" w:w="3212"/>
            <w:tcBorders>
              <w:top w:val="none"/>
              <w:left w:color="000001" w:space="0" w:sz="2" w:val="single"/>
              <w:bottom w:color="000001" w:space="0" w:sz="2" w:val="single"/>
              <w:right w:val="none"/>
            </w:tcBorders>
            <w:shd w:fill="FFFFFF" w:val="clear"/>
            <w:tcMar>
              <w:left w:type="dxa" w:w="48"/>
            </w:tcMar>
          </w:tcPr>
          <w:p>
            <w:pPr>
              <w:pStyle w:val="style21"/>
              <w:jc w:val="left"/>
            </w:pPr>
            <w:r>
              <w:rPr>
                <w:b w:val="false"/>
                <w:bCs w:val="false"/>
              </w:rPr>
              <w:t>Ostatné</w:t>
            </w:r>
          </w:p>
        </w:tc>
        <w:tc>
          <w:tcPr>
            <w:tcW w:type="dxa" w:w="3213"/>
            <w:tcBorders>
              <w:top w:val="none"/>
              <w:left w:color="000001" w:space="0" w:sz="2" w:val="single"/>
              <w:bottom w:color="000001" w:space="0" w:sz="2" w:val="single"/>
              <w:right w:val="none"/>
            </w:tcBorders>
            <w:shd w:fill="FFFFFF" w:val="clear"/>
            <w:tcMar>
              <w:left w:type="dxa" w:w="48"/>
            </w:tcMar>
          </w:tcPr>
          <w:p>
            <w:pPr>
              <w:pStyle w:val="style21"/>
              <w:jc w:val="center"/>
            </w:pPr>
            <w:r>
              <w:rPr>
                <w:b w:val="false"/>
                <w:bCs w:val="false"/>
              </w:rPr>
              <w:t>146 162,28</w:t>
            </w:r>
          </w:p>
        </w:tc>
        <w:tc>
          <w:tcPr>
            <w:tcW w:type="dxa" w:w="3213"/>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b w:val="false"/>
                <w:bCs w:val="false"/>
              </w:rPr>
              <w:t>150 173,59</w:t>
            </w:r>
          </w:p>
        </w:tc>
      </w:tr>
      <w:tr>
        <w:trPr>
          <w:cantSplit w:val="false"/>
        </w:trPr>
        <w:tc>
          <w:tcPr>
            <w:tcW w:type="dxa" w:w="3212"/>
            <w:tcBorders>
              <w:top w:color="000001" w:space="0" w:sz="2" w:val="single"/>
              <w:left w:color="000001" w:space="0" w:sz="2" w:val="single"/>
              <w:bottom w:color="000001" w:space="0" w:sz="2" w:val="single"/>
              <w:right w:val="none"/>
            </w:tcBorders>
            <w:shd w:fill="FFFFFF" w:val="clear"/>
            <w:tcMar>
              <w:left w:type="dxa" w:w="48"/>
            </w:tcMar>
          </w:tcPr>
          <w:p>
            <w:pPr>
              <w:pStyle w:val="style21"/>
              <w:jc w:val="left"/>
            </w:pPr>
            <w:r>
              <w:rPr>
                <w:b/>
                <w:bCs/>
              </w:rPr>
              <w:t>Spolu</w:t>
            </w:r>
          </w:p>
        </w:tc>
        <w:tc>
          <w:tcPr>
            <w:tcW w:type="dxa" w:w="3213"/>
            <w:tcBorders>
              <w:top w:color="000001" w:space="0" w:sz="2" w:val="single"/>
              <w:left w:color="000001" w:space="0" w:sz="2" w:val="single"/>
              <w:bottom w:color="000001" w:space="0" w:sz="2" w:val="single"/>
              <w:right w:val="none"/>
            </w:tcBorders>
            <w:shd w:fill="FFFFFF" w:val="clear"/>
            <w:tcMar>
              <w:left w:type="dxa" w:w="48"/>
            </w:tcMar>
          </w:tcPr>
          <w:p>
            <w:pPr>
              <w:pStyle w:val="style21"/>
              <w:jc w:val="center"/>
            </w:pPr>
            <w:r>
              <w:rPr>
                <w:b/>
                <w:bCs/>
              </w:rPr>
              <w:t>302 188,09</w:t>
            </w:r>
          </w:p>
        </w:tc>
        <w:tc>
          <w:tcPr>
            <w:tcW w:type="dxa" w:w="3213"/>
            <w:tcBorders>
              <w:top w:color="000001" w:space="0" w:sz="2" w:val="single"/>
              <w:left w:color="000001" w:space="0" w:sz="2" w:val="single"/>
              <w:bottom w:color="000001" w:space="0" w:sz="2" w:val="single"/>
              <w:right w:color="000001" w:space="0" w:sz="2" w:val="single"/>
            </w:tcBorders>
            <w:shd w:fill="FFFFFF" w:val="clear"/>
            <w:tcMar>
              <w:left w:type="dxa" w:w="48"/>
            </w:tcMar>
          </w:tcPr>
          <w:p>
            <w:pPr>
              <w:pStyle w:val="style21"/>
              <w:jc w:val="center"/>
            </w:pPr>
            <w:r>
              <w:rPr>
                <w:b/>
                <w:bCs/>
              </w:rPr>
              <w:t>279 283,23</w:t>
            </w:r>
          </w:p>
        </w:tc>
      </w:tr>
    </w:tbl>
    <w:p>
      <w:pPr>
        <w:pStyle w:val="style0"/>
      </w:pPr>
      <w:r>
        <w:rPr/>
      </w:r>
    </w:p>
    <w:p>
      <w:pPr>
        <w:pStyle w:val="style0"/>
      </w:pPr>
      <w:r>
        <w:rPr/>
        <w:t>Prehľad o nákladoch na služby:</w:t>
      </w:r>
    </w:p>
    <w:p>
      <w:pPr>
        <w:pStyle w:val="style0"/>
      </w:pPr>
      <w:r>
        <w:rPr/>
      </w:r>
    </w:p>
    <w:tbl>
      <w:tblPr>
        <w:jc w:val="left"/>
        <w:tblInd w:type="dxa" w:w="61"/>
        <w:tblBorders>
          <w:top w:color="000001" w:space="0" w:sz="2" w:val="single"/>
          <w:left w:color="000001" w:space="0" w:sz="2" w:val="single"/>
          <w:bottom w:color="000001" w:space="0" w:sz="2" w:val="single"/>
          <w:insideH w:color="000001" w:space="0" w:sz="2" w:val="single"/>
          <w:right w:val="none"/>
          <w:insideV w:val="none"/>
        </w:tblBorders>
        <w:tblCellMar>
          <w:top w:type="dxa" w:w="55"/>
          <w:left w:type="dxa" w:w="48"/>
          <w:bottom w:type="dxa" w:w="55"/>
          <w:right w:type="dxa" w:w="55"/>
        </w:tblCellMar>
      </w:tblPr>
      <w:tblGrid>
        <w:gridCol w:w="3206"/>
        <w:gridCol w:w="3206"/>
        <w:gridCol w:w="3207"/>
      </w:tblGrid>
      <w:tr>
        <w:trPr>
          <w:cantSplit w:val="false"/>
        </w:trPr>
        <w:tc>
          <w:tcPr>
            <w:tcW w:type="dxa" w:w="3206"/>
            <w:tcBorders>
              <w:top w:color="000001" w:space="0" w:sz="2" w:val="single"/>
              <w:left w:color="000001" w:space="0" w:sz="2" w:val="single"/>
              <w:bottom w:color="000001" w:space="0" w:sz="2" w:val="single"/>
              <w:right w:val="none"/>
            </w:tcBorders>
            <w:shd w:fill="FFFFFF" w:val="clear"/>
            <w:tcMar>
              <w:left w:type="dxa" w:w="48"/>
            </w:tcMar>
          </w:tcPr>
          <w:p>
            <w:pPr>
              <w:pStyle w:val="style21"/>
              <w:jc w:val="left"/>
            </w:pPr>
            <w:r>
              <w:rPr/>
            </w:r>
          </w:p>
        </w:tc>
        <w:tc>
          <w:tcPr>
            <w:tcW w:type="dxa" w:w="3206"/>
            <w:tcBorders>
              <w:top w:color="000001" w:space="0" w:sz="2" w:val="single"/>
              <w:left w:color="000001" w:space="0" w:sz="2" w:val="single"/>
              <w:bottom w:color="000001" w:space="0" w:sz="2" w:val="single"/>
              <w:right w:val="none"/>
            </w:tcBorders>
            <w:shd w:fill="94BD5E" w:val="clear"/>
            <w:tcMar>
              <w:left w:type="dxa" w:w="48"/>
            </w:tcMar>
          </w:tcPr>
          <w:p>
            <w:pPr>
              <w:pStyle w:val="style21"/>
              <w:jc w:val="center"/>
            </w:pPr>
            <w:r>
              <w:rPr/>
              <w:t>31.12.201</w:t>
            </w:r>
            <w:r>
              <w:rPr/>
              <w:t>5</w:t>
            </w:r>
            <w:r>
              <w:rPr/>
              <w:t xml:space="preserve"> </w:t>
            </w:r>
          </w:p>
        </w:tc>
        <w:tc>
          <w:tcPr>
            <w:tcW w:type="dxa" w:w="3207"/>
            <w:tcBorders>
              <w:top w:color="000001" w:space="0" w:sz="2" w:val="single"/>
              <w:left w:color="000001" w:space="0" w:sz="2" w:val="single"/>
              <w:bottom w:color="000001" w:space="0" w:sz="2" w:val="single"/>
              <w:right w:color="000001" w:space="0" w:sz="2" w:val="single"/>
            </w:tcBorders>
            <w:shd w:fill="94BD5E" w:val="clear"/>
            <w:tcMar>
              <w:left w:type="dxa" w:w="48"/>
            </w:tcMar>
          </w:tcPr>
          <w:p>
            <w:pPr>
              <w:pStyle w:val="style21"/>
              <w:jc w:val="center"/>
            </w:pPr>
            <w:r>
              <w:rPr/>
              <w:t xml:space="preserve">31.12.2014 </w:t>
            </w:r>
          </w:p>
        </w:tc>
      </w:tr>
      <w:tr>
        <w:trPr>
          <w:cantSplit w:val="false"/>
        </w:trPr>
        <w:tc>
          <w:tcPr>
            <w:tcW w:type="dxa" w:w="3206"/>
            <w:tcBorders>
              <w:top w:val="none"/>
              <w:left w:color="000001" w:space="0" w:sz="2" w:val="single"/>
              <w:bottom w:color="000001" w:space="0" w:sz="2" w:val="single"/>
              <w:right w:val="none"/>
            </w:tcBorders>
            <w:shd w:fill="FFFFFF" w:val="clear"/>
            <w:tcMar>
              <w:left w:type="dxa" w:w="48"/>
            </w:tcMar>
          </w:tcPr>
          <w:p>
            <w:pPr>
              <w:pStyle w:val="style21"/>
              <w:jc w:val="left"/>
            </w:pPr>
            <w:r>
              <w:rPr/>
              <w:t>Spotreba materiálu</w:t>
            </w:r>
          </w:p>
        </w:tc>
        <w:tc>
          <w:tcPr>
            <w:tcW w:type="dxa" w:w="3206"/>
            <w:tcBorders>
              <w:top w:val="none"/>
              <w:left w:color="000001" w:space="0" w:sz="2" w:val="single"/>
              <w:bottom w:color="000001" w:space="0" w:sz="2" w:val="single"/>
              <w:right w:val="none"/>
            </w:tcBorders>
            <w:shd w:fill="FFFFFF" w:val="clear"/>
            <w:tcMar>
              <w:left w:type="dxa" w:w="48"/>
            </w:tcMar>
          </w:tcPr>
          <w:p>
            <w:pPr>
              <w:pStyle w:val="style21"/>
              <w:jc w:val="center"/>
            </w:pPr>
            <w:r>
              <w:rPr/>
              <w:t>38 169,07</w:t>
            </w:r>
          </w:p>
        </w:tc>
        <w:tc>
          <w:tcPr>
            <w:tcW w:type="dxa" w:w="3207"/>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t>34 850,55</w:t>
            </w:r>
          </w:p>
        </w:tc>
      </w:tr>
      <w:tr>
        <w:trPr>
          <w:cantSplit w:val="false"/>
        </w:trPr>
        <w:tc>
          <w:tcPr>
            <w:tcW w:type="dxa" w:w="3206"/>
            <w:tcBorders>
              <w:top w:val="none"/>
              <w:left w:color="000001" w:space="0" w:sz="2" w:val="single"/>
              <w:bottom w:color="000001" w:space="0" w:sz="2" w:val="single"/>
              <w:right w:val="none"/>
            </w:tcBorders>
            <w:shd w:fill="FFFFFF" w:val="clear"/>
            <w:tcMar>
              <w:left w:type="dxa" w:w="48"/>
            </w:tcMar>
          </w:tcPr>
          <w:p>
            <w:pPr>
              <w:pStyle w:val="style21"/>
              <w:jc w:val="left"/>
            </w:pPr>
            <w:r>
              <w:rPr/>
              <w:t>Opravy a udržiavanie</w:t>
            </w:r>
          </w:p>
        </w:tc>
        <w:tc>
          <w:tcPr>
            <w:tcW w:type="dxa" w:w="3206"/>
            <w:tcBorders>
              <w:top w:val="none"/>
              <w:left w:color="000001" w:space="0" w:sz="2" w:val="single"/>
              <w:bottom w:color="000001" w:space="0" w:sz="2" w:val="single"/>
              <w:right w:val="none"/>
            </w:tcBorders>
            <w:shd w:fill="FFFFFF" w:val="clear"/>
            <w:tcMar>
              <w:left w:type="dxa" w:w="48"/>
            </w:tcMar>
          </w:tcPr>
          <w:p>
            <w:pPr>
              <w:pStyle w:val="style21"/>
              <w:jc w:val="center"/>
            </w:pPr>
            <w:r>
              <w:rPr/>
              <w:t>12777,74</w:t>
            </w:r>
          </w:p>
        </w:tc>
        <w:tc>
          <w:tcPr>
            <w:tcW w:type="dxa" w:w="3207"/>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t>6 508,09</w:t>
            </w:r>
          </w:p>
        </w:tc>
      </w:tr>
      <w:tr>
        <w:trPr>
          <w:cantSplit w:val="false"/>
        </w:trPr>
        <w:tc>
          <w:tcPr>
            <w:tcW w:type="dxa" w:w="3206"/>
            <w:tcBorders>
              <w:top w:val="none"/>
              <w:left w:color="000001" w:space="0" w:sz="2" w:val="single"/>
              <w:bottom w:color="000001" w:space="0" w:sz="2" w:val="single"/>
              <w:right w:val="none"/>
            </w:tcBorders>
            <w:shd w:fill="FFFFFF" w:val="clear"/>
            <w:tcMar>
              <w:left w:type="dxa" w:w="48"/>
            </w:tcMar>
          </w:tcPr>
          <w:p>
            <w:pPr>
              <w:pStyle w:val="style21"/>
              <w:jc w:val="left"/>
            </w:pPr>
            <w:r>
              <w:rPr/>
              <w:t>Spotreba energie</w:t>
            </w:r>
          </w:p>
        </w:tc>
        <w:tc>
          <w:tcPr>
            <w:tcW w:type="dxa" w:w="3206"/>
            <w:tcBorders>
              <w:top w:val="none"/>
              <w:left w:color="000001" w:space="0" w:sz="2" w:val="single"/>
              <w:bottom w:color="000001" w:space="0" w:sz="2" w:val="single"/>
              <w:right w:val="none"/>
            </w:tcBorders>
            <w:shd w:fill="FFFFFF" w:val="clear"/>
            <w:tcMar>
              <w:left w:type="dxa" w:w="48"/>
            </w:tcMar>
          </w:tcPr>
          <w:p>
            <w:pPr>
              <w:pStyle w:val="style21"/>
              <w:jc w:val="center"/>
            </w:pPr>
            <w:r>
              <w:rPr/>
              <w:t>28443,84</w:t>
            </w:r>
          </w:p>
        </w:tc>
        <w:tc>
          <w:tcPr>
            <w:tcW w:type="dxa" w:w="3207"/>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t>25 200,19</w:t>
            </w:r>
          </w:p>
        </w:tc>
      </w:tr>
      <w:tr>
        <w:trPr>
          <w:cantSplit w:val="false"/>
        </w:trPr>
        <w:tc>
          <w:tcPr>
            <w:tcW w:type="dxa" w:w="3206"/>
            <w:tcBorders>
              <w:top w:val="none"/>
              <w:left w:color="000001" w:space="0" w:sz="2" w:val="single"/>
              <w:bottom w:color="000001" w:space="0" w:sz="2" w:val="single"/>
              <w:right w:val="none"/>
            </w:tcBorders>
            <w:shd w:fill="FFFFFF" w:val="clear"/>
            <w:tcMar>
              <w:left w:type="dxa" w:w="48"/>
            </w:tcMar>
          </w:tcPr>
          <w:p>
            <w:pPr>
              <w:pStyle w:val="style21"/>
              <w:jc w:val="left"/>
            </w:pPr>
            <w:r>
              <w:rPr>
                <w:b w:val="false"/>
                <w:bCs w:val="false"/>
              </w:rPr>
              <w:t>Predaný materiál</w:t>
            </w:r>
          </w:p>
        </w:tc>
        <w:tc>
          <w:tcPr>
            <w:tcW w:type="dxa" w:w="3206"/>
            <w:tcBorders>
              <w:top w:val="none"/>
              <w:left w:color="000001" w:space="0" w:sz="2" w:val="single"/>
              <w:bottom w:color="000001" w:space="0" w:sz="2" w:val="single"/>
              <w:right w:val="none"/>
            </w:tcBorders>
            <w:shd w:fill="FFFFFF" w:val="clear"/>
            <w:tcMar>
              <w:left w:type="dxa" w:w="48"/>
            </w:tcMar>
          </w:tcPr>
          <w:p>
            <w:pPr>
              <w:pStyle w:val="style21"/>
              <w:jc w:val="center"/>
            </w:pPr>
            <w:r>
              <w:rPr>
                <w:b w:val="false"/>
                <w:bCs w:val="false"/>
              </w:rPr>
              <w:t>17221,58</w:t>
            </w:r>
          </w:p>
        </w:tc>
        <w:tc>
          <w:tcPr>
            <w:tcW w:type="dxa" w:w="3207"/>
            <w:tcBorders>
              <w:top w:val="none"/>
              <w:left w:color="000001" w:space="0" w:sz="2" w:val="single"/>
              <w:bottom w:color="000001" w:space="0" w:sz="2" w:val="single"/>
              <w:right w:color="000001" w:space="0" w:sz="2" w:val="single"/>
            </w:tcBorders>
            <w:shd w:fill="FFFFFF" w:val="clear"/>
            <w:tcMar>
              <w:left w:type="dxa" w:w="48"/>
            </w:tcMar>
          </w:tcPr>
          <w:p>
            <w:pPr>
              <w:pStyle w:val="style21"/>
              <w:jc w:val="center"/>
            </w:pPr>
            <w:r>
              <w:rPr>
                <w:b w:val="false"/>
                <w:bCs w:val="false"/>
              </w:rPr>
              <w:t>18 050,31</w:t>
            </w:r>
          </w:p>
        </w:tc>
      </w:tr>
      <w:tr>
        <w:trPr>
          <w:cantSplit w:val="false"/>
        </w:trPr>
        <w:tc>
          <w:tcPr>
            <w:tcW w:type="dxa" w:w="3206"/>
            <w:tcBorders>
              <w:top w:color="000001" w:space="0" w:sz="2" w:val="single"/>
              <w:left w:color="000001" w:space="0" w:sz="2" w:val="single"/>
              <w:bottom w:color="000001" w:space="0" w:sz="2" w:val="single"/>
              <w:right w:val="none"/>
            </w:tcBorders>
            <w:shd w:fill="FFFFFF" w:val="clear"/>
            <w:tcMar>
              <w:left w:type="dxa" w:w="48"/>
            </w:tcMar>
          </w:tcPr>
          <w:p>
            <w:pPr>
              <w:pStyle w:val="style21"/>
              <w:jc w:val="left"/>
            </w:pPr>
            <w:r>
              <w:rPr>
                <w:b w:val="false"/>
                <w:bCs w:val="false"/>
              </w:rPr>
              <w:t>Ostatné služby</w:t>
            </w:r>
          </w:p>
        </w:tc>
        <w:tc>
          <w:tcPr>
            <w:tcW w:type="dxa" w:w="3206"/>
            <w:tcBorders>
              <w:top w:color="000001" w:space="0" w:sz="2" w:val="single"/>
              <w:left w:color="000001" w:space="0" w:sz="2" w:val="single"/>
              <w:bottom w:color="000001" w:space="0" w:sz="2" w:val="single"/>
              <w:right w:val="none"/>
            </w:tcBorders>
            <w:shd w:fill="FFFFFF" w:val="clear"/>
            <w:tcMar>
              <w:left w:type="dxa" w:w="48"/>
            </w:tcMar>
          </w:tcPr>
          <w:p>
            <w:pPr>
              <w:pStyle w:val="style21"/>
              <w:jc w:val="center"/>
            </w:pPr>
            <w:r>
              <w:rPr>
                <w:b w:val="false"/>
                <w:bCs w:val="false"/>
              </w:rPr>
              <w:t>12013,69</w:t>
            </w:r>
          </w:p>
        </w:tc>
        <w:tc>
          <w:tcPr>
            <w:tcW w:type="dxa" w:w="3207"/>
            <w:tcBorders>
              <w:top w:color="000001" w:space="0" w:sz="2" w:val="single"/>
              <w:left w:color="000001" w:space="0" w:sz="2" w:val="single"/>
              <w:bottom w:color="000001" w:space="0" w:sz="2" w:val="single"/>
              <w:right w:color="000001" w:space="0" w:sz="2" w:val="single"/>
            </w:tcBorders>
            <w:shd w:fill="FFFFFF" w:val="clear"/>
            <w:tcMar>
              <w:left w:type="dxa" w:w="48"/>
            </w:tcMar>
          </w:tcPr>
          <w:p>
            <w:pPr>
              <w:pStyle w:val="style21"/>
              <w:jc w:val="center"/>
            </w:pPr>
            <w:r>
              <w:rPr>
                <w:b w:val="false"/>
                <w:bCs w:val="false"/>
              </w:rPr>
              <w:t>14 003,07</w:t>
            </w:r>
          </w:p>
        </w:tc>
      </w:tr>
    </w:tbl>
    <w:p>
      <w:pPr>
        <w:pStyle w:val="style0"/>
      </w:pPr>
      <w:r>
        <w:rPr/>
      </w:r>
    </w:p>
    <w:p>
      <w:pPr>
        <w:pStyle w:val="style0"/>
      </w:pPr>
      <w:r>
        <w:rPr/>
      </w:r>
    </w:p>
    <w:p>
      <w:pPr>
        <w:pStyle w:val="style0"/>
        <w:jc w:val="center"/>
      </w:pPr>
      <w:r>
        <w:rPr>
          <w:b/>
          <w:bCs/>
          <w:i w:val="false"/>
          <w:iCs w:val="false"/>
          <w:sz w:val="24"/>
          <w:szCs w:val="24"/>
          <w:u w:val="none"/>
        </w:rPr>
        <w:t>VI.   ÚDAJE NA PODSÚVAHOVÝCH ÚČTOCH</w:t>
      </w:r>
    </w:p>
    <w:p>
      <w:pPr>
        <w:pStyle w:val="style0"/>
        <w:jc w:val="center"/>
      </w:pPr>
      <w:r>
        <w:rPr>
          <w:b/>
          <w:bCs/>
          <w:i w:val="false"/>
          <w:iCs w:val="false"/>
          <w:sz w:val="24"/>
          <w:szCs w:val="24"/>
          <w:u w:val="none"/>
        </w:rPr>
        <w:t xml:space="preserve"> </w:t>
      </w:r>
    </w:p>
    <w:p>
      <w:pPr>
        <w:pStyle w:val="style0"/>
        <w:jc w:val="left"/>
      </w:pPr>
      <w:r>
        <w:rPr>
          <w:b w:val="false"/>
          <w:bCs w:val="false"/>
          <w:i w:val="false"/>
          <w:iCs w:val="false"/>
          <w:sz w:val="24"/>
          <w:szCs w:val="24"/>
          <w:u w:val="none"/>
        </w:rPr>
        <w:t xml:space="preserve">Hodnota drobného hmotného majetku </w:t>
      </w:r>
      <w:r>
        <w:rPr>
          <w:b w:val="false"/>
          <w:bCs w:val="false"/>
          <w:i w:val="false"/>
          <w:iCs w:val="false"/>
          <w:sz w:val="24"/>
          <w:szCs w:val="24"/>
          <w:u w:val="none"/>
        </w:rPr>
        <w:t xml:space="preserve">zaradeného v roku  2015 </w:t>
      </w:r>
      <w:r>
        <w:rPr>
          <w:b w:val="false"/>
          <w:bCs w:val="false"/>
          <w:i w:val="false"/>
          <w:iCs w:val="false"/>
          <w:sz w:val="24"/>
          <w:szCs w:val="24"/>
          <w:u w:val="none"/>
        </w:rPr>
        <w:t>bola</w:t>
      </w:r>
      <w:r>
        <w:rPr>
          <w:b w:val="false"/>
          <w:bCs w:val="false"/>
          <w:i w:val="false"/>
          <w:iCs w:val="false"/>
          <w:sz w:val="24"/>
          <w:szCs w:val="24"/>
          <w:u w:val="none"/>
        </w:rPr>
        <w:t xml:space="preserve"> 4 632,72 €. </w:t>
      </w:r>
      <w:r>
        <w:rPr>
          <w:b w:val="false"/>
          <w:bCs w:val="false"/>
          <w:i w:val="false"/>
          <w:iCs w:val="false"/>
          <w:sz w:val="24"/>
          <w:szCs w:val="24"/>
          <w:u w:val="none"/>
        </w:rPr>
        <w:t>(v roku 2014 bola hodnota  drobného hmotného majetku 1 809,45 € a majetku zvereného do správy  1 987,66 €).</w:t>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left"/>
      </w:pPr>
      <w:r>
        <w:rPr/>
      </w:r>
    </w:p>
    <w:p>
      <w:pPr>
        <w:pStyle w:val="style0"/>
        <w:jc w:val="center"/>
      </w:pPr>
      <w:r>
        <w:rPr>
          <w:b/>
          <w:bCs/>
          <w:i w:val="false"/>
          <w:iCs w:val="false"/>
          <w:sz w:val="24"/>
          <w:szCs w:val="24"/>
          <w:u w:val="none"/>
        </w:rPr>
        <w:t>VII.   INFORMÁCIE O SPRIAZNENÝCH OSOBÁCH A O EKONOMICKÝCH VZŤAHOCH ÚČTOVNEJ JEDNOTKY A SPRIAZNENÝCH OS</w:t>
      </w:r>
      <w:r>
        <w:rPr>
          <w:rFonts w:cs="Mangal" w:eastAsia="SimSun"/>
          <w:b/>
          <w:bCs/>
          <w:i w:val="false"/>
          <w:iCs w:val="false"/>
          <w:sz w:val="24"/>
          <w:szCs w:val="24"/>
          <w:u w:val="none"/>
        </w:rPr>
        <w:t>ÔB</w:t>
      </w:r>
    </w:p>
    <w:p>
      <w:pPr>
        <w:pStyle w:val="style0"/>
        <w:jc w:val="center"/>
      </w:pPr>
      <w:r>
        <w:rPr/>
      </w:r>
    </w:p>
    <w:p>
      <w:pPr>
        <w:pStyle w:val="style0"/>
        <w:jc w:val="left"/>
      </w:pPr>
      <w:r>
        <w:rPr>
          <w:b w:val="false"/>
          <w:bCs w:val="false"/>
          <w:i w:val="false"/>
          <w:iCs w:val="false"/>
          <w:sz w:val="24"/>
          <w:szCs w:val="24"/>
          <w:u w:val="none"/>
        </w:rPr>
        <w:t>Zoologická záhrada uskutočnila v priebehu účtovného obdobia transakciu s materskou účtovnou jednotkou Mestom Spišská Nová Ves vo forme prijatia transferu vo výške 122 600 €.</w:t>
      </w:r>
    </w:p>
    <w:p>
      <w:pPr>
        <w:pStyle w:val="style0"/>
        <w:jc w:val="left"/>
      </w:pPr>
      <w:r>
        <w:rPr/>
      </w:r>
    </w:p>
    <w:p>
      <w:pPr>
        <w:pStyle w:val="style0"/>
        <w:jc w:val="center"/>
      </w:pPr>
      <w:r>
        <w:rPr/>
      </w:r>
    </w:p>
    <w:p>
      <w:pPr>
        <w:pStyle w:val="style0"/>
        <w:jc w:val="center"/>
      </w:pPr>
      <w:r>
        <w:rPr>
          <w:b/>
          <w:bCs/>
          <w:i w:val="false"/>
          <w:iCs w:val="false"/>
          <w:sz w:val="24"/>
          <w:szCs w:val="24"/>
          <w:u w:val="none"/>
        </w:rPr>
        <w:t>VIII. INFORMÁCIE O ROZPOČTE A HODNOTENIE PLNENIA ROZPOČTU</w:t>
      </w:r>
    </w:p>
    <w:p>
      <w:pPr>
        <w:pStyle w:val="style0"/>
        <w:jc w:val="center"/>
      </w:pPr>
      <w:r>
        <w:rPr/>
      </w:r>
    </w:p>
    <w:p>
      <w:pPr>
        <w:pStyle w:val="style0"/>
        <w:jc w:val="left"/>
      </w:pPr>
      <w:r>
        <w:rPr>
          <w:b w:val="false"/>
          <w:bCs w:val="false"/>
          <w:i w:val="false"/>
          <w:iCs w:val="false"/>
          <w:sz w:val="24"/>
          <w:szCs w:val="24"/>
          <w:u w:val="none"/>
        </w:rPr>
        <w:t>Informácie o rozpočte sú uvedené v tabuľkovej časti.</w:t>
      </w:r>
    </w:p>
    <w:p>
      <w:pPr>
        <w:pStyle w:val="style0"/>
        <w:jc w:val="left"/>
      </w:pPr>
      <w:r>
        <w:rPr/>
      </w:r>
    </w:p>
    <w:p>
      <w:pPr>
        <w:pStyle w:val="style0"/>
        <w:jc w:val="left"/>
      </w:pPr>
      <w:r>
        <w:rPr/>
      </w:r>
    </w:p>
    <w:p>
      <w:pPr>
        <w:pStyle w:val="style0"/>
        <w:jc w:val="center"/>
      </w:pPr>
      <w:r>
        <w:rPr>
          <w:b/>
          <w:bCs/>
          <w:i w:val="false"/>
          <w:iCs w:val="false"/>
          <w:sz w:val="24"/>
          <w:szCs w:val="24"/>
          <w:u w:val="none"/>
        </w:rPr>
        <w:t>IX. SKUTOČNOSTI, KTORÉ NASTALI PO DNI, KU KTORÉMU SA ZOSTAVUJE ÚČTOVNÁ ZÁVIERKA, DO DŇA JEJ ZOSTAVENIA</w:t>
      </w:r>
    </w:p>
    <w:p>
      <w:pPr>
        <w:pStyle w:val="style0"/>
        <w:jc w:val="center"/>
      </w:pPr>
      <w:r>
        <w:rPr/>
      </w:r>
    </w:p>
    <w:p>
      <w:pPr>
        <w:pStyle w:val="style0"/>
        <w:jc w:val="left"/>
      </w:pPr>
      <w:r>
        <w:rPr>
          <w:b w:val="false"/>
          <w:bCs w:val="false"/>
          <w:i w:val="false"/>
          <w:iCs w:val="false"/>
          <w:sz w:val="24"/>
          <w:szCs w:val="24"/>
          <w:u w:val="none"/>
        </w:rPr>
        <w:t>Po 31. decembri 201</w:t>
      </w:r>
      <w:r>
        <w:rPr>
          <w:b w:val="false"/>
          <w:bCs w:val="false"/>
          <w:i w:val="false"/>
          <w:iCs w:val="false"/>
          <w:sz w:val="24"/>
          <w:szCs w:val="24"/>
          <w:u w:val="none"/>
        </w:rPr>
        <w:t>5</w:t>
      </w:r>
      <w:r>
        <w:rPr>
          <w:b w:val="false"/>
          <w:bCs w:val="false"/>
          <w:i w:val="false"/>
          <w:iCs w:val="false"/>
          <w:sz w:val="24"/>
          <w:szCs w:val="24"/>
          <w:u w:val="none"/>
        </w:rPr>
        <w:t xml:space="preserve"> nenastali také udalosti, ktoré by si vyžadovali zverejnenie alebo vykázanie v účtovnej závierke za rok 201</w:t>
      </w:r>
      <w:r>
        <w:rPr>
          <w:b w:val="false"/>
          <w:bCs w:val="false"/>
          <w:i w:val="false"/>
          <w:iCs w:val="false"/>
          <w:sz w:val="24"/>
          <w:szCs w:val="24"/>
          <w:u w:val="none"/>
        </w:rPr>
        <w:t>5</w:t>
      </w:r>
      <w:r>
        <w:rPr>
          <w:b w:val="false"/>
          <w:bCs w:val="false"/>
          <w:i w:val="false"/>
          <w:iCs w:val="false"/>
          <w:sz w:val="24"/>
          <w:szCs w:val="24"/>
          <w:u w:val="none"/>
        </w:rPr>
        <w:t>.</w:t>
      </w:r>
    </w:p>
    <w:p>
      <w:pPr>
        <w:pStyle w:val="style0"/>
        <w:jc w:val="center"/>
      </w:pPr>
      <w:r>
        <w:rPr/>
      </w:r>
    </w:p>
    <w:p>
      <w:pPr>
        <w:pStyle w:val="style0"/>
        <w:jc w:val="center"/>
      </w:pPr>
      <w:r>
        <w:rPr/>
      </w:r>
    </w:p>
    <w:p>
      <w:pPr>
        <w:pStyle w:val="style0"/>
        <w:jc w:val="center"/>
      </w:pPr>
      <w:r>
        <w:rPr/>
      </w:r>
    </w:p>
    <w:p>
      <w:pPr>
        <w:pStyle w:val="style0"/>
        <w:jc w:val="center"/>
      </w:pPr>
      <w:r>
        <w:rPr/>
      </w:r>
    </w:p>
    <w:sectPr>
      <w:headerReference r:id="rId2" w:type="default"/>
      <w:type w:val="nextPage"/>
      <w:pgSz w:h="16838" w:w="11906"/>
      <w:pgMar w:bottom="1134" w:footer="0" w:gutter="0" w:header="1134" w:left="1134" w:right="1134" w:top="2107"/>
      <w:pgNumType w:fmt="decimal"/>
      <w:formProt w:val="false"/>
      <w:textDirection w:val="lrTb"/>
      <w:docGrid w:charSpace="0" w:linePitch="240"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Arial">
    <w:charset w:val="ee"/>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jc w:val="center"/>
    </w:pPr>
    <w:r>
      <w:rPr>
        <w:b/>
        <w:bCs/>
        <w:sz w:val="30"/>
        <w:szCs w:val="30"/>
        <w:u w:val="none"/>
      </w:rPr>
      <w:t>Zoologická záhrada, Sadová 6, 052 01 Spišská Nová Ves</w:t>
    </w:r>
  </w:p>
  <w:p>
    <w:pPr>
      <w:pStyle w:val="style0"/>
      <w:jc w:val="left"/>
    </w:pPr>
    <w:r>
      <w:rPr>
        <w:b/>
        <w:bCs/>
        <w:sz w:val="30"/>
        <w:szCs w:val="30"/>
        <w:u w:val="none"/>
      </w:rPr>
      <w:t>________________________________________________________________</w:t>
    </w:r>
  </w:p>
</w:hdr>
</file>

<file path=word/settings.xml><?xml version="1.0" encoding="utf-8"?>
<w:settings xmlns:w="http://schemas.openxmlformats.org/wordprocessingml/2006/main">
  <w:zoom w:percent="80"/>
  <w:defaultTabStop w:val="720"/>
</w:settings>
</file>

<file path=word/styles.xml><?xml version="1.0" encoding="utf-8"?>
<w:styles xmlns:w="http://schemas.openxmlformats.org/wordprocessingml/2006/main">
  <w:style w:styleId="style0" w:type="paragraph">
    <w:name w:val="Normal"/>
    <w:next w:val="style0"/>
    <w:pPr>
      <w:widowControl w:val="false"/>
      <w:suppressAutoHyphens w:val="true"/>
    </w:pPr>
    <w:rPr>
      <w:rFonts w:ascii="Times New Roman" w:cs="Mangal" w:eastAsia="SimSun" w:hAnsi="Times New Roman"/>
      <w:color w:val="00000A"/>
      <w:sz w:val="24"/>
      <w:szCs w:val="24"/>
      <w:lang w:bidi="hi-IN" w:eastAsia="zh-CN" w:val="sk-SK"/>
    </w:rPr>
  </w:style>
  <w:style w:styleId="style15" w:type="paragraph">
    <w:name w:val="Nadpis"/>
    <w:basedOn w:val="style0"/>
    <w:next w:val="style16"/>
    <w:pPr>
      <w:keepNext/>
      <w:spacing w:after="120" w:before="240"/>
      <w:contextualSpacing w:val="false"/>
    </w:pPr>
    <w:rPr>
      <w:rFonts w:ascii="Arial" w:cs="Mangal" w:eastAsia="Microsoft YaHei" w:hAnsi="Arial"/>
      <w:sz w:val="28"/>
      <w:szCs w:val="28"/>
    </w:rPr>
  </w:style>
  <w:style w:styleId="style16" w:type="paragraph">
    <w:name w:val="Telo textu"/>
    <w:basedOn w:val="style0"/>
    <w:next w:val="style16"/>
    <w:pPr>
      <w:spacing w:after="120" w:before="0"/>
      <w:contextualSpacing w:val="false"/>
    </w:pPr>
    <w:rPr/>
  </w:style>
  <w:style w:styleId="style17" w:type="paragraph">
    <w:name w:val="Zoznam"/>
    <w:basedOn w:val="style16"/>
    <w:next w:val="style17"/>
    <w:pPr/>
    <w:rPr>
      <w:rFonts w:cs="Mangal"/>
    </w:rPr>
  </w:style>
  <w:style w:styleId="style18" w:type="paragraph">
    <w:name w:val="Popis"/>
    <w:basedOn w:val="style0"/>
    <w:next w:val="style18"/>
    <w:pPr>
      <w:suppressLineNumbers/>
      <w:spacing w:after="120" w:before="120"/>
      <w:contextualSpacing w:val="false"/>
    </w:pPr>
    <w:rPr>
      <w:rFonts w:cs="Mangal"/>
      <w:i/>
      <w:iCs/>
      <w:sz w:val="24"/>
      <w:szCs w:val="24"/>
    </w:rPr>
  </w:style>
  <w:style w:styleId="style19" w:type="paragraph">
    <w:name w:val="Index"/>
    <w:basedOn w:val="style0"/>
    <w:next w:val="style19"/>
    <w:pPr>
      <w:suppressLineNumbers/>
    </w:pPr>
    <w:rPr>
      <w:rFonts w:cs="Mangal"/>
    </w:rPr>
  </w:style>
  <w:style w:styleId="style20" w:type="paragraph">
    <w:name w:val="Hlavička"/>
    <w:basedOn w:val="style0"/>
    <w:next w:val="style20"/>
    <w:pPr/>
    <w:rPr/>
  </w:style>
  <w:style w:styleId="style21" w:type="paragraph">
    <w:name w:val="Obsah tabuľky"/>
    <w:basedOn w:val="style0"/>
    <w:next w:val="style21"/>
    <w:pPr/>
    <w:rPr/>
  </w:style>
  <w:style w:styleId="style22" w:type="paragraph">
    <w:name w:val="Nadpis tabuľky"/>
    <w:basedOn w:val="style21"/>
    <w:next w:val="style22"/>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ntTable" Target="fontTable.xml"/><Relationship Id="rId4"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otalTime>0</TotalTime>
  <Application>LibreOffice/4.0.4.2$Windows_x86 LibreOffice_project/9e9821abd0ffdbc09cd8c52eaa574fa09eb08f2</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2015-03-23T08:54:57.10Z</dcterms:created>
  <cp:revision>0</cp:revision>
</cp:coreProperties>
</file>