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B9155B" w:rsidRDefault="00B9155B" w:rsidP="00D833BB">
      <w:pPr>
        <w:pStyle w:val="Nadpis2"/>
        <w:spacing w:before="0" w:after="0"/>
        <w:rPr>
          <w:rFonts w:ascii="Arial" w:hAnsi="Arial"/>
        </w:rPr>
      </w:pPr>
      <w:r w:rsidRPr="0090211C">
        <w:rPr>
          <w:rFonts w:ascii="Arial" w:hAnsi="Arial"/>
        </w:rPr>
        <w:t>Obchodné meno a sídlo Spoločnosti:</w:t>
      </w:r>
    </w:p>
    <w:p w:rsidR="00B9155B" w:rsidRPr="00AD11E7" w:rsidRDefault="00B9155B" w:rsidP="00AD11E7"/>
    <w:p w:rsidR="00E27D23" w:rsidRPr="0090211C" w:rsidRDefault="00E27D23" w:rsidP="00E27D23">
      <w:pPr>
        <w:rPr>
          <w:rFonts w:ascii="Arial" w:hAnsi="Arial" w:cs="Arial"/>
          <w:sz w:val="20"/>
          <w:szCs w:val="20"/>
        </w:rPr>
      </w:pPr>
    </w:p>
    <w:p w:rsidR="00E27D23" w:rsidRDefault="00E27D23" w:rsidP="00E27D23">
      <w:pPr>
        <w:pStyle w:val="odstavec"/>
        <w:rPr>
          <w:rStyle w:val="ra"/>
        </w:rPr>
      </w:pPr>
      <w:r>
        <w:rPr>
          <w:rStyle w:val="ra"/>
        </w:rPr>
        <w:t xml:space="preserve">WINSTON &amp; PARTNERS s. r. o. </w:t>
      </w:r>
    </w:p>
    <w:p w:rsidR="00E27D23" w:rsidRDefault="00E27D23" w:rsidP="00E27D23">
      <w:pPr>
        <w:pStyle w:val="odstavec"/>
        <w:rPr>
          <w:rStyle w:val="ra"/>
        </w:rPr>
      </w:pPr>
      <w:r>
        <w:rPr>
          <w:rStyle w:val="ra"/>
        </w:rPr>
        <w:t>Zámocká  12</w:t>
      </w:r>
    </w:p>
    <w:p w:rsidR="00E27D23" w:rsidRDefault="00E27D23" w:rsidP="00E27D23">
      <w:pPr>
        <w:pStyle w:val="odstavec"/>
        <w:rPr>
          <w:rStyle w:val="ra"/>
        </w:rPr>
      </w:pPr>
      <w:r>
        <w:rPr>
          <w:rStyle w:val="ra"/>
        </w:rPr>
        <w:t>Bratislava 811 01</w:t>
      </w:r>
    </w:p>
    <w:p w:rsidR="00E27D23" w:rsidRPr="0090211C" w:rsidRDefault="00E27D23" w:rsidP="00E27D23">
      <w:pPr>
        <w:pStyle w:val="odstavec"/>
      </w:pPr>
    </w:p>
    <w:p w:rsidR="00E27D23" w:rsidRDefault="00E27D23" w:rsidP="00E27D23">
      <w:pPr>
        <w:pStyle w:val="odstavec"/>
      </w:pPr>
      <w:r w:rsidRPr="0090211C">
        <w:t xml:space="preserve">Spoločnosť </w:t>
      </w:r>
      <w:r>
        <w:rPr>
          <w:rStyle w:val="ra"/>
        </w:rPr>
        <w:t xml:space="preserve">WINSTON &amp; PARTNERS s. r. o. </w:t>
      </w:r>
      <w:r w:rsidRPr="0090211C">
        <w:t xml:space="preserve"> (ďalej len „Spoločnos</w:t>
      </w:r>
      <w:r>
        <w:t>ť“) bola založená 13. decembra 2001</w:t>
      </w:r>
      <w:r w:rsidRPr="0090211C">
        <w:t xml:space="preserve"> a do obchodného registra bola zapísaná </w:t>
      </w:r>
      <w:r>
        <w:t>13. decembra 2001</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t>25639</w:t>
      </w:r>
      <w:r>
        <w:rPr>
          <w:rStyle w:val="ra"/>
        </w:rPr>
        <w:t>/B</w:t>
      </w:r>
      <w:r w:rsidRPr="0090211C">
        <w:t>).</w:t>
      </w:r>
    </w:p>
    <w:p w:rsidR="00E27D23" w:rsidRPr="0090211C" w:rsidRDefault="00E27D23" w:rsidP="00E27D23">
      <w:pPr>
        <w:pStyle w:val="odstavec"/>
      </w:pPr>
    </w:p>
    <w:p w:rsidR="00B9155B" w:rsidRDefault="00B9155B" w:rsidP="00D33CB5">
      <w:pPr>
        <w:pStyle w:val="Nadpis2"/>
        <w:spacing w:before="0" w:after="0"/>
        <w:rPr>
          <w:rFonts w:ascii="Arial" w:hAnsi="Arial"/>
        </w:rPr>
      </w:pPr>
      <w:r w:rsidRPr="0090211C">
        <w:rPr>
          <w:rFonts w:ascii="Arial" w:hAnsi="Arial"/>
        </w:rPr>
        <w:t>Hlavné činnosti Spoločnosti podľa výpisu z obchodného registra:</w:t>
      </w:r>
    </w:p>
    <w:p w:rsidR="00B9155B" w:rsidRPr="008F4AED" w:rsidRDefault="00B9155B" w:rsidP="00AD11E7"/>
    <w:p w:rsidR="00E27D23" w:rsidRDefault="00E27D23" w:rsidP="00E27D23">
      <w:pPr>
        <w:pStyle w:val="odstavec"/>
        <w:numPr>
          <w:ilvl w:val="0"/>
          <w:numId w:val="43"/>
        </w:numPr>
        <w:tabs>
          <w:tab w:val="clear" w:pos="340"/>
          <w:tab w:val="num" w:pos="624"/>
        </w:tabs>
        <w:ind w:left="624"/>
        <w:jc w:val="both"/>
      </w:pPr>
      <w:r>
        <w:t xml:space="preserve">činnosť podnikateľských, organizačných a ekonomických poradcov </w:t>
      </w:r>
    </w:p>
    <w:p w:rsidR="00E27D23" w:rsidRDefault="00E27D23" w:rsidP="00E27D23">
      <w:pPr>
        <w:pStyle w:val="odstavec"/>
        <w:numPr>
          <w:ilvl w:val="0"/>
          <w:numId w:val="43"/>
        </w:numPr>
        <w:tabs>
          <w:tab w:val="clear" w:pos="340"/>
          <w:tab w:val="num" w:pos="624"/>
        </w:tabs>
        <w:ind w:left="624"/>
        <w:jc w:val="both"/>
      </w:pPr>
      <w:r>
        <w:t>lektorská činnosť</w:t>
      </w:r>
    </w:p>
    <w:p w:rsidR="00E27D23" w:rsidRDefault="00E27D23" w:rsidP="00E27D23">
      <w:pPr>
        <w:pStyle w:val="odstavec"/>
        <w:numPr>
          <w:ilvl w:val="0"/>
          <w:numId w:val="43"/>
        </w:numPr>
        <w:tabs>
          <w:tab w:val="clear" w:pos="340"/>
          <w:tab w:val="num" w:pos="624"/>
        </w:tabs>
        <w:ind w:left="624"/>
        <w:jc w:val="both"/>
      </w:pPr>
      <w:r>
        <w:t xml:space="preserve">marketingové služby </w:t>
      </w:r>
    </w:p>
    <w:p w:rsidR="00E27D23" w:rsidRDefault="00E27D23" w:rsidP="00E27D23">
      <w:pPr>
        <w:pStyle w:val="odstavec"/>
        <w:numPr>
          <w:ilvl w:val="0"/>
          <w:numId w:val="43"/>
        </w:numPr>
        <w:tabs>
          <w:tab w:val="clear" w:pos="340"/>
          <w:tab w:val="num" w:pos="624"/>
        </w:tabs>
        <w:ind w:left="624"/>
        <w:jc w:val="both"/>
      </w:pPr>
      <w:r>
        <w:t xml:space="preserve">kúpa tovaru na účely jeho predaja konečnému spotrebiteľovi (maloobchod) alebo na účely jeho predaja iným prevádzkovateľom živnosti (veľkoobchod) </w:t>
      </w:r>
    </w:p>
    <w:p w:rsidR="00E27D23" w:rsidRDefault="00E27D23" w:rsidP="00E27D23">
      <w:pPr>
        <w:pStyle w:val="odstavec"/>
        <w:numPr>
          <w:ilvl w:val="0"/>
          <w:numId w:val="43"/>
        </w:numPr>
        <w:tabs>
          <w:tab w:val="clear" w:pos="340"/>
          <w:tab w:val="num" w:pos="624"/>
        </w:tabs>
        <w:ind w:left="624"/>
        <w:jc w:val="both"/>
      </w:pPr>
      <w:r>
        <w:t xml:space="preserve">sprostredkovateľská činnosť v oblasti služieb </w:t>
      </w:r>
    </w:p>
    <w:p w:rsidR="00E27D23" w:rsidRDefault="00E27D23" w:rsidP="00E27D23">
      <w:pPr>
        <w:pStyle w:val="odstavec"/>
        <w:numPr>
          <w:ilvl w:val="0"/>
          <w:numId w:val="43"/>
        </w:numPr>
        <w:tabs>
          <w:tab w:val="clear" w:pos="340"/>
          <w:tab w:val="num" w:pos="624"/>
        </w:tabs>
        <w:ind w:left="624"/>
        <w:jc w:val="both"/>
      </w:pPr>
      <w:r>
        <w:t>reklamná propagačná a inzertná činnosť</w:t>
      </w:r>
    </w:p>
    <w:p w:rsidR="00E27D23" w:rsidRPr="0090211C" w:rsidRDefault="00E27D23" w:rsidP="00E27D23">
      <w:pPr>
        <w:pStyle w:val="odstavec"/>
      </w:pPr>
      <w:r>
        <w:t xml:space="preserve">    </w:t>
      </w:r>
    </w:p>
    <w:p w:rsidR="00B9155B" w:rsidRPr="0090211C" w:rsidRDefault="00B9155B" w:rsidP="00D833BB">
      <w:pPr>
        <w:pStyle w:val="Nadpis2"/>
        <w:spacing w:before="0" w:after="0"/>
        <w:rPr>
          <w:rFonts w:ascii="Arial" w:hAnsi="Arial"/>
        </w:rPr>
      </w:pPr>
      <w:r w:rsidRPr="0090211C">
        <w:rPr>
          <w:rFonts w:ascii="Arial" w:hAnsi="Arial"/>
        </w:rPr>
        <w:t>Neobmedzené ručenie</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Spoločnosť nie je neobmedzene ručiacim spoločníkom v iných účtovných jednotkách.</w: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Priemerný počet zamestnancov</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Údaje o počte zamestnancov za bežné účtovné obdobie a bezprostredne predchádzajúce účtovné obd</w:t>
      </w:r>
      <w:r w:rsidRPr="0090211C">
        <w:t>o</w:t>
      </w:r>
      <w:r w:rsidRPr="0090211C">
        <w:t>bie sú uvedené v nasledujúcom prehľade:</w:t>
      </w:r>
      <w:r>
        <w:t>[]</w:t>
      </w:r>
    </w:p>
    <w:p w:rsidR="00B9155B" w:rsidRPr="0090211C" w:rsidRDefault="00B9155B" w:rsidP="004669A2">
      <w:pPr>
        <w:pStyle w:val="odstavec"/>
      </w:pPr>
    </w:p>
    <w:bookmarkStart w:id="0" w:name="_MON_1488907906"/>
    <w:bookmarkEnd w:id="0"/>
    <w:p w:rsidR="00B9155B" w:rsidRPr="0090211C" w:rsidRDefault="007F59E2" w:rsidP="004669A2">
      <w:pPr>
        <w:pStyle w:val="odstavec"/>
      </w:pPr>
      <w:r w:rsidRPr="0090211C">
        <w:object w:dxaOrig="9267"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63.5pt;height:69.75pt" o:ole="">
            <v:imagedata r:id="rId8" o:title=""/>
          </v:shape>
          <o:OLEObject Type="Embed" ProgID="Excel.Sheet.12" ShapeID="_x0000_i1031" DrawAspect="Content" ObjectID="_1520399144" r:id="rId9"/>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rsidR="007F59E2">
        <w:t>2015</w:t>
      </w:r>
      <w:r>
        <w:t xml:space="preserve"> je zostavená podľa </w:t>
      </w:r>
      <w:r w:rsidR="007F59E2">
        <w:rPr>
          <w:b/>
        </w:rPr>
        <w:t>opatrenia MF/15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7F59E2">
        <w:t>2015</w:t>
      </w:r>
      <w:r w:rsidRPr="0090211C">
        <w:t xml:space="preserve"> do 31. decembra </w:t>
      </w:r>
      <w:r>
        <w:t>201</w:t>
      </w:r>
      <w:r w:rsidR="007F59E2">
        <w:t>5</w:t>
      </w:r>
      <w:r w:rsidRPr="0090211C">
        <w:t>.</w:t>
      </w:r>
    </w:p>
    <w:p w:rsidR="00B9155B" w:rsidRPr="0090211C" w:rsidRDefault="00B9155B"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E27D23" w:rsidP="004669A2">
      <w:pPr>
        <w:pStyle w:val="odstavec"/>
      </w:pPr>
      <w:r>
        <w:t xml:space="preserve">Konateľ: </w:t>
      </w:r>
      <w:r>
        <w:tab/>
        <w:t xml:space="preserve">Alexander </w:t>
      </w:r>
      <w:proofErr w:type="spellStart"/>
      <w:r>
        <w:t>Pöthe</w:t>
      </w:r>
      <w:proofErr w:type="spellEnd"/>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4669A2">
      <w:pPr>
        <w:pStyle w:val="odstavec"/>
      </w:pPr>
      <w:r w:rsidRPr="0090211C">
        <w:t xml:space="preserve">Štruktúra spoločníkov Spoločnosti k 31. decembru </w:t>
      </w:r>
      <w:r w:rsidR="007F59E2">
        <w:rPr>
          <w:iCs/>
        </w:rPr>
        <w:t>2015</w:t>
      </w:r>
      <w:r w:rsidRPr="0090211C">
        <w:t>:</w:t>
      </w:r>
    </w:p>
    <w:bookmarkStart w:id="1" w:name="_MON_1488907953"/>
    <w:bookmarkEnd w:id="1"/>
    <w:p w:rsidR="00B9155B" w:rsidRPr="0090211C" w:rsidRDefault="00E27D23"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6" type="#_x0000_t75" style="width:476.25pt;height:133.5pt" o:ole="">
            <v:imagedata r:id="rId10" o:title=""/>
          </v:shape>
          <o:OLEObject Type="Embed" ProgID="Excel.Sheet.12" ShapeID="_x0000_i1026" DrawAspect="Content" ObjectID="_1520399145" r:id="rId11"/>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Pr="00C0408E" w:rsidRDefault="00B9155B" w:rsidP="004669A2">
      <w:pPr>
        <w:pStyle w:val="odstavec"/>
        <w:rPr>
          <w:b/>
        </w:rPr>
      </w:pPr>
      <w:r w:rsidRPr="00C0408E">
        <w:rPr>
          <w:b/>
        </w:rPr>
        <w:t>Účtovná závierka bola zo</w:t>
      </w:r>
      <w:r w:rsidR="007F59E2">
        <w:rPr>
          <w:b/>
        </w:rPr>
        <w:t>stavená v zmysle opatrenia MF/15</w:t>
      </w:r>
      <w:r w:rsidRPr="00C0408E">
        <w:rPr>
          <w:b/>
        </w:rPr>
        <w:t xml:space="preserve">464/2013 – 74 pre </w:t>
      </w:r>
      <w:proofErr w:type="spellStart"/>
      <w:r w:rsidRPr="00C0408E">
        <w:rPr>
          <w:b/>
        </w:rPr>
        <w:t>mikro</w:t>
      </w:r>
      <w:proofErr w:type="spellEnd"/>
      <w:r w:rsidRPr="00C0408E">
        <w:rPr>
          <w:b/>
        </w:rPr>
        <w:t xml:space="preserve"> účtovné jedno</w:t>
      </w:r>
      <w:r w:rsidRPr="00C0408E">
        <w:rPr>
          <w:b/>
        </w:rPr>
        <w:t>t</w:t>
      </w:r>
      <w:r w:rsidRPr="00C0408E">
        <w:rPr>
          <w:b/>
        </w:rPr>
        <w:t>ky,</w:t>
      </w:r>
    </w:p>
    <w:p w:rsidR="00B9155B" w:rsidRPr="0090211C" w:rsidRDefault="00B9155B"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w:t>
      </w:r>
      <w:r>
        <w:t>a</w:t>
      </w:r>
      <w:r>
        <w:t>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w:t>
      </w:r>
      <w:r>
        <w:t>k</w:t>
      </w:r>
      <w:r>
        <w:t>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Zásoby nakupované sa oceňujú obstarávacou cenou, ktorá zahrňuje cenu obstarania a náklady súvisiace s obstaraním (clo, prepravu, poistné, provízie a pod.) znížené o zľavy z ceny. Zľava z ceny poskytnutá </w:t>
      </w:r>
      <w:r w:rsidRPr="0090211C">
        <w:lastRenderedPageBreak/>
        <w:t>k už predaným alebo spotrebovaným zásobám sa účtuje ako zníženie nákladov na predané alebo spotr</w:t>
      </w:r>
      <w:r w:rsidRPr="0090211C">
        <w:t>e</w:t>
      </w:r>
      <w:r w:rsidRPr="0090211C">
        <w:t>bované zásoby. Spoločnosť účtuje o zásobách spôsobom A tak, ako to definujú postupy účtovania. Úb</w:t>
      </w:r>
      <w:r w:rsidRPr="0090211C">
        <w:t>y</w:t>
      </w:r>
      <w:r w:rsidRPr="0090211C">
        <w:t>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w:t>
      </w:r>
      <w:r w:rsidRPr="0090211C">
        <w:t>d</w:t>
      </w:r>
      <w:r w:rsidRPr="0090211C">
        <w:t>stavuje rozdiel medzi menovitou a súčasnou hodnotou pohľadávky. Súčasná hodnota pohľadávky sa poč</w:t>
      </w:r>
      <w:r w:rsidRPr="0090211C">
        <w:t>í</w:t>
      </w:r>
      <w:r w:rsidRPr="0090211C">
        <w:t>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w:t>
      </w:r>
      <w:r w:rsidRPr="0090211C">
        <w:t>d</w:t>
      </w:r>
      <w:r w:rsidRPr="0090211C">
        <w:t>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Tvorba rezervy sa účtuje na vecne príslušný nákladový účet, ku ktorému záväzok prislúcha. Použitie r</w:t>
      </w:r>
      <w:r w:rsidRPr="0090211C">
        <w:t>e</w:t>
      </w:r>
      <w:r w:rsidRPr="0090211C">
        <w:t>zervy sa účtuje na ťarchu vecne príslušného účtu rezerv so súvzťažným zápisom v prospech vecne pr</w:t>
      </w:r>
      <w:r w:rsidRPr="0090211C">
        <w:t>í</w:t>
      </w:r>
      <w:r w:rsidRPr="0090211C">
        <w:t xml:space="preserve">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w:t>
      </w:r>
      <w:r w:rsidRPr="0090211C">
        <w:t>z</w:t>
      </w:r>
      <w:r w:rsidRPr="0090211C">
        <w:t>ky v účtovníctve a v účtovnej závierke v tomto zistenom ocenení.</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Daň z príjmov sa účtuje do nákladov Spoločnosti v období vzniku daňovej povinnosti a v priloženom výk</w:t>
      </w:r>
      <w:r w:rsidRPr="0090211C">
        <w:t>a</w:t>
      </w:r>
      <w:r w:rsidRPr="0090211C">
        <w:t>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w:t>
      </w:r>
      <w:r w:rsidRPr="0090211C">
        <w:t>j</w:t>
      </w:r>
      <w:r w:rsidRPr="0090211C">
        <w:t xml:space="preserve">mov, ktoré Spoločnosť uhradila v priebehu roka. V prípade, že uhradené preddavky na daň z príjmu v </w:t>
      </w:r>
      <w:r w:rsidRPr="0090211C">
        <w:lastRenderedPageBreak/>
        <w:t>priebehu roka sú vyššie ako daňová povinnosť za tento rok, Spoločnosť vykazuje výslednú daňovú pohľ</w:t>
      </w:r>
      <w:r w:rsidRPr="0090211C">
        <w:t>a</w:t>
      </w:r>
      <w:r w:rsidRPr="0090211C">
        <w:t xml:space="preserve">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Výdavky budúcich období a výnosy budúcich období sú vykázané vo výške, ktorá je potrebná na dodrž</w:t>
      </w:r>
      <w:r w:rsidRPr="00C0408E">
        <w:t>a</w:t>
      </w:r>
      <w:r w:rsidRPr="00C0408E">
        <w:t>nie zásady vecnej a časovej súvislosti s účtovným obdobím len ak ide o významné sumy. O nevýzna</w:t>
      </w:r>
      <w:r w:rsidRPr="00C0408E">
        <w:t>m</w:t>
      </w:r>
      <w:r w:rsidRPr="00C0408E">
        <w:t>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Výnosy z predaja výrobkov sa vykazujú v momente prenosu rizika a vlastníctva výrobku, obvykle po d</w:t>
      </w:r>
      <w:r w:rsidRPr="0090211C">
        <w:t>o</w:t>
      </w:r>
      <w:r w:rsidRPr="0090211C">
        <w:t>dávke. Ak sa Spoločnosť zaviaže dopraviť výrobky na určité miesto, výnosy sa vykazujú v momente dor</w:t>
      </w:r>
      <w:r w:rsidRPr="0090211C">
        <w:t>u</w:t>
      </w:r>
      <w:r w:rsidRPr="0090211C">
        <w:t xml:space="preserve">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Výnosy sa vykazujú po odpočítaní dane z pridanej hodnoty, zliav a zrážok (rabaty, bonusy, skontá, dobr</w:t>
      </w:r>
      <w:r w:rsidRPr="0090211C">
        <w:t>o</w:t>
      </w:r>
      <w:r w:rsidRPr="0090211C">
        <w:t>pisy a pod.). Výnosy sa vykazujú v reálnej hodnote. Výnosové úroky sa účtujú na základe časového rozl</w:t>
      </w:r>
      <w:r w:rsidRPr="0090211C">
        <w:t>í</w:t>
      </w:r>
      <w:r w:rsidRPr="0090211C">
        <w:t xml:space="preserve">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w:t>
      </w:r>
      <w:r w:rsidRPr="0090211C">
        <w:t>e</w:t>
      </w:r>
      <w:r w:rsidRPr="0090211C">
        <w:t>denými v bežnom účtovnom období. Zmena v prezentácii porovnateľných údajov nemala dopad na celk</w:t>
      </w:r>
      <w:r w:rsidRPr="0090211C">
        <w:t>o</w:t>
      </w:r>
      <w:r w:rsidRPr="0090211C">
        <w:t>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rsidR="00B9155B" w:rsidRDefault="00B9155B" w:rsidP="004669A2">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4669A2">
      <w:pPr>
        <w:pStyle w:val="odstavec"/>
      </w:pP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A800F9">
      <w:pPr>
        <w:pStyle w:val="abc"/>
        <w:numPr>
          <w:ilvl w:val="0"/>
          <w:numId w:val="0"/>
        </w:numPr>
      </w:pPr>
    </w:p>
    <w:p w:rsidR="00B9155B" w:rsidRDefault="00B9155B" w:rsidP="004669A2">
      <w:pPr>
        <w:pStyle w:val="odstavec"/>
      </w:pPr>
      <w:r>
        <w:t>d)     Finančné prostriedky spoločnosti neboli použité na súkromné účely štatutárnym orgánom spol.</w:t>
      </w:r>
    </w:p>
    <w:p w:rsidR="00B9155B" w:rsidRDefault="00B9155B" w:rsidP="004669A2">
      <w:pPr>
        <w:pStyle w:val="odstavec"/>
      </w:pPr>
    </w:p>
    <w:p w:rsidR="00B9155B" w:rsidRDefault="00B9155B" w:rsidP="004669A2">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w:t>
      </w:r>
      <w:r w:rsidRPr="00A800F9">
        <w:rPr>
          <w:b w:val="0"/>
        </w:rPr>
        <w:t>e</w:t>
      </w:r>
      <w:r w:rsidRPr="00A800F9">
        <w:rPr>
          <w:b w:val="0"/>
        </w:rPr>
        <w:t>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B9155B" w:rsidRDefault="00B9155B" w:rsidP="00A800F9">
      <w:pPr>
        <w:pStyle w:val="abc"/>
        <w:numPr>
          <w:ilvl w:val="0"/>
          <w:numId w:val="0"/>
        </w:numPr>
        <w:ind w:left="425" w:hanging="425"/>
        <w:rPr>
          <w:b w:val="0"/>
        </w:rPr>
      </w:pPr>
    </w:p>
    <w:p w:rsidR="00B9155B" w:rsidRDefault="00B9155B" w:rsidP="00A800F9">
      <w:pPr>
        <w:pStyle w:val="abc"/>
        <w:numPr>
          <w:ilvl w:val="0"/>
          <w:numId w:val="0"/>
        </w:numPr>
        <w:ind w:left="425" w:hanging="425"/>
        <w:rPr>
          <w:b w:val="0"/>
        </w:rPr>
      </w:pPr>
    </w:p>
    <w:p w:rsidR="00B9155B" w:rsidRDefault="00B9155B" w:rsidP="00A800F9">
      <w:pPr>
        <w:pStyle w:val="abc"/>
        <w:numPr>
          <w:ilvl w:val="0"/>
          <w:numId w:val="0"/>
        </w:numPr>
        <w:ind w:left="425" w:hanging="425"/>
        <w:rPr>
          <w:b w:val="0"/>
        </w:rPr>
      </w:pPr>
    </w:p>
    <w:p w:rsidR="00B9155B" w:rsidRDefault="00B9155B" w:rsidP="00A800F9">
      <w:pPr>
        <w:pStyle w:val="abc"/>
        <w:numPr>
          <w:ilvl w:val="0"/>
          <w:numId w:val="0"/>
        </w:numPr>
        <w:ind w:left="425" w:hanging="425"/>
        <w:rPr>
          <w:b w:val="0"/>
        </w:rPr>
      </w:pPr>
    </w:p>
    <w:p w:rsidR="00B9155B" w:rsidRDefault="00B9155B" w:rsidP="00A800F9">
      <w:pPr>
        <w:pStyle w:val="abc"/>
        <w:numPr>
          <w:ilvl w:val="0"/>
          <w:numId w:val="0"/>
        </w:numPr>
        <w:ind w:left="425" w:hanging="425"/>
        <w:rPr>
          <w:b w:val="0"/>
        </w:rPr>
      </w:pP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3" w:name="_MON_1488907982"/>
    <w:bookmarkEnd w:id="13"/>
    <w:p w:rsidR="00B9155B" w:rsidRPr="00307046" w:rsidRDefault="007F59E2" w:rsidP="00520F9A">
      <w:pPr>
        <w:pStyle w:val="Zkladntext"/>
      </w:pPr>
      <w:r w:rsidRPr="0090211C">
        <w:object w:dxaOrig="9409" w:dyaOrig="5899">
          <v:shape id="_x0000_i1034" type="#_x0000_t75" style="width:484.5pt;height:312.75pt" o:ole="">
            <v:imagedata r:id="rId12" o:title=""/>
          </v:shape>
          <o:OLEObject Type="Embed" ProgID="Excel.Sheet.12" ShapeID="_x0000_i1034" DrawAspect="Content" ObjectID="_1520399146" r:id="rId13"/>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w:t>
      </w:r>
      <w:r>
        <w:t>č</w:t>
      </w:r>
      <w:r>
        <w:t>nosť voľne disponovať.</w:t>
      </w:r>
    </w:p>
    <w:p w:rsidR="00B9155B" w:rsidRPr="0090211C" w:rsidRDefault="00B9155B" w:rsidP="004669A2">
      <w:pPr>
        <w:pStyle w:val="odstavec"/>
      </w:pPr>
    </w:p>
    <w:p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E27D23" w:rsidP="002B24EA">
      <w:r>
        <w:t xml:space="preserve">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w:t>
      </w:r>
      <w:r w:rsidR="007F59E2">
        <w:rPr>
          <w:rFonts w:cs="Arial"/>
        </w:rPr>
        <w:t xml:space="preserve"> k 31.12.2015</w:t>
      </w:r>
      <w:r w:rsidRPr="0090211C">
        <w:rPr>
          <w:rFonts w:cs="Arial"/>
        </w:rPr>
        <w:t xml:space="preserve"> (okrem bankových úverov) podľa zostatkovej doby spla</w:t>
      </w:r>
      <w:r w:rsidRPr="0090211C">
        <w:rPr>
          <w:rFonts w:cs="Arial"/>
        </w:rPr>
        <w:t>t</w:t>
      </w:r>
      <w:r w:rsidRPr="0090211C">
        <w:rPr>
          <w:rFonts w:cs="Arial"/>
        </w:rPr>
        <w:t>nosti je uvedená v nasledujúcej tabuľke:</w:t>
      </w:r>
    </w:p>
    <w:p w:rsidR="00B9155B" w:rsidRPr="0090211C" w:rsidRDefault="00B9155B" w:rsidP="004669A2">
      <w:pPr>
        <w:pStyle w:val="odstavec"/>
      </w:pPr>
    </w:p>
    <w:bookmarkStart w:id="25" w:name="_MON_1488908072"/>
    <w:bookmarkEnd w:id="25"/>
    <w:p w:rsidR="00B9155B" w:rsidRPr="0090211C" w:rsidRDefault="007F59E2" w:rsidP="00343772">
      <w:pPr>
        <w:tabs>
          <w:tab w:val="left" w:pos="555"/>
        </w:tabs>
        <w:ind w:left="284"/>
        <w:rPr>
          <w:rFonts w:ascii="Arial" w:hAnsi="Arial" w:cs="Arial"/>
          <w:sz w:val="20"/>
          <w:szCs w:val="20"/>
        </w:rPr>
      </w:pPr>
      <w:r w:rsidRPr="0090211C">
        <w:rPr>
          <w:rFonts w:ascii="Arial" w:hAnsi="Arial" w:cs="Arial"/>
          <w:sz w:val="20"/>
          <w:szCs w:val="20"/>
        </w:rPr>
        <w:object w:dxaOrig="8254" w:dyaOrig="2392">
          <v:shape id="_x0000_i1038" type="#_x0000_t75" style="width:412.5pt;height:116.25pt" o:ole="">
            <v:imagedata r:id="rId14" o:title=""/>
          </v:shape>
          <o:OLEObject Type="Embed" ProgID="Excel.Sheet.12" ShapeID="_x0000_i1038" DrawAspect="Content" ObjectID="_1520399147" r:id="rId15"/>
        </w:object>
      </w: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vyplývajú z hlavných činností spoločnosti zapísaných v obchodnom registri. Sp</w:t>
      </w:r>
      <w:r>
        <w:t>o</w:t>
      </w:r>
      <w:r>
        <w:t xml:space="preserve">ločnosť nemala žiadne mimoriadne </w:t>
      </w:r>
      <w:proofErr w:type="spellStart"/>
      <w:r>
        <w:t>jednorázové</w:t>
      </w:r>
      <w:proofErr w:type="spellEnd"/>
      <w:r>
        <w:t xml:space="preserve">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6" w:name="_MON_1389795776"/>
      <w:bookmarkStart w:id="27" w:name="_MON_1390228034"/>
      <w:bookmarkStart w:id="28" w:name="_MON_1387279563"/>
      <w:bookmarkStart w:id="29" w:name="_MON_1390724080"/>
      <w:bookmarkStart w:id="30" w:name="_MON_1390127106"/>
      <w:bookmarkEnd w:id="26"/>
      <w:bookmarkEnd w:id="27"/>
      <w:bookmarkEnd w:id="28"/>
      <w:bookmarkEnd w:id="29"/>
      <w:bookmarkEnd w:id="30"/>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rsidR="007F59E2">
        <w:t>5</w:t>
      </w:r>
      <w:r w:rsidRPr="0090211C">
        <w:t xml:space="preserve"> neevidovala záväzky z objed</w:t>
      </w:r>
      <w:r>
        <w:t xml:space="preserve">návok </w:t>
      </w:r>
      <w:proofErr w:type="spellStart"/>
      <w:r>
        <w:t>zazmluvnených</w:t>
      </w:r>
      <w:proofErr w:type="spellEnd"/>
      <w:r>
        <w:t xml:space="preserve"> v roku 201</w:t>
      </w:r>
      <w:r w:rsidR="007F59E2">
        <w:t>5</w:t>
      </w:r>
      <w:r>
        <w:t xml:space="preserve"> </w:t>
      </w:r>
      <w:r w:rsidRPr="0090211C">
        <w:t>s očakáva</w:t>
      </w:r>
      <w:r w:rsidR="007F59E2">
        <w:t>ným termínom dodania v roku 2016</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w:t>
      </w:r>
      <w:r w:rsidRPr="0090211C">
        <w:t>a</w:t>
      </w:r>
      <w:r w:rsidRPr="0090211C">
        <w:t>xou, existuje neistota v tom, ako ich budú daňové orgány aplikovať. Mieru tejto neistoty nie je možné kva</w:t>
      </w:r>
      <w:r w:rsidRPr="0090211C">
        <w:t>n</w:t>
      </w:r>
      <w:r w:rsidRPr="0090211C">
        <w:t>tifikovať a zanikne až potom, keď budú k dispozícii právne precedensy príp. oficiálne interpretácie príslu</w:t>
      </w:r>
      <w:r w:rsidRPr="0090211C">
        <w:t>š</w:t>
      </w:r>
      <w:r w:rsidRPr="0090211C">
        <w:t>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w:t>
      </w:r>
      <w:r w:rsidRPr="0090211C">
        <w:t>R</w:t>
      </w:r>
      <w:r w:rsidRPr="0090211C">
        <w:t>KA, DO DŇA JEJ ZOSTAVENIA</w:t>
      </w:r>
    </w:p>
    <w:p w:rsidR="00B9155B" w:rsidRPr="0090211C" w:rsidRDefault="00B9155B" w:rsidP="004669A2">
      <w:pPr>
        <w:pStyle w:val="odstavec"/>
      </w:pPr>
      <w:r w:rsidRPr="0090211C">
        <w:t xml:space="preserve">Po 31. decembri </w:t>
      </w:r>
      <w:r w:rsidR="007F59E2">
        <w:rPr>
          <w:iCs/>
        </w:rPr>
        <w:t>2015</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7F59E2">
        <w:t>5</w:t>
      </w:r>
      <w:bookmarkStart w:id="31" w:name="_GoBack"/>
      <w:bookmarkEnd w:id="31"/>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w:t>
      </w:r>
      <w:proofErr w:type="spellStart"/>
      <w:r w:rsidRPr="0090211C">
        <w:t>cash</w:t>
      </w:r>
      <w:proofErr w:type="spellEnd"/>
      <w:r w:rsidRPr="0090211C">
        <w:t>)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w:t>
      </w:r>
      <w:r w:rsidRPr="0090211C">
        <w:t>č</w:t>
      </w:r>
      <w:r w:rsidRPr="0090211C">
        <w:t xml:space="preserve">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w:t>
      </w:r>
      <w:proofErr w:type="spellStart"/>
      <w:r w:rsidRPr="0090211C">
        <w:t>cash</w:t>
      </w:r>
      <w:proofErr w:type="spellEnd"/>
      <w:r w:rsidRPr="0090211C">
        <w:t xml:space="preserve"> </w:t>
      </w:r>
      <w:proofErr w:type="spellStart"/>
      <w:r w:rsidRPr="0090211C">
        <w:t>equivalents</w:t>
      </w:r>
      <w:proofErr w:type="spellEnd"/>
      <w:r w:rsidRPr="0090211C">
        <w:t>) sa rozumie krátkodobý finančný majetok, ktorý je zam</w:t>
      </w:r>
      <w:r w:rsidRPr="0090211C">
        <w:t>e</w:t>
      </w:r>
      <w:r w:rsidRPr="0090211C">
        <w:t>niteľný za vopred známu sumu peňažných prostriedkov, pri ktorom nie je riziko výraznej zmeny jeho ho</w:t>
      </w:r>
      <w:r w:rsidRPr="0090211C">
        <w:t>d</w:t>
      </w:r>
      <w:r w:rsidRPr="0090211C">
        <w:t>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w:t>
      </w:r>
      <w:r w:rsidRPr="0090211C">
        <w:t>a</w:t>
      </w:r>
      <w:r w:rsidRPr="0090211C">
        <w:t>cov odo dňa, ku ktorému sa zostavuje účtovná závierka.</w:t>
      </w:r>
    </w:p>
    <w:sectPr w:rsidR="00B9155B" w:rsidRPr="0090211C" w:rsidSect="00F239B4">
      <w:headerReference w:type="default" r:id="rId16"/>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55B" w:rsidRDefault="00B9155B">
      <w:r>
        <w:separator/>
      </w:r>
    </w:p>
  </w:endnote>
  <w:endnote w:type="continuationSeparator" w:id="0">
    <w:p w:rsidR="00B9155B" w:rsidRDefault="00B91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55B" w:rsidRDefault="00B9155B">
      <w:r>
        <w:separator/>
      </w:r>
    </w:p>
  </w:footnote>
  <w:footnote w:type="continuationSeparator" w:id="0">
    <w:p w:rsidR="00B9155B" w:rsidRDefault="00B915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7F59E2">
      <w:rPr>
        <w:rFonts w:ascii="Arial" w:hAnsi="Arial" w:cs="Arial"/>
        <w:sz w:val="18"/>
        <w:szCs w:val="18"/>
      </w:rPr>
      <w:t xml:space="preserve">               IČO 35827335</w:t>
    </w:r>
    <w:r>
      <w:rPr>
        <w:rFonts w:ascii="Arial" w:hAnsi="Arial" w:cs="Arial"/>
        <w:sz w:val="18"/>
        <w:szCs w:val="18"/>
      </w:rPr>
      <w:t xml:space="preserve">     Dič</w:t>
    </w:r>
    <w:r w:rsidR="00E27D23">
      <w:rPr>
        <w:rFonts w:ascii="Arial" w:hAnsi="Arial" w:cs="Arial"/>
        <w:sz w:val="18"/>
        <w:szCs w:val="18"/>
      </w:rPr>
      <w:t>2020286026</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nsid w:val="35801E7E"/>
    <w:multiLevelType w:val="singleLevel"/>
    <w:tmpl w:val="44420724"/>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6">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7"/>
  </w:num>
  <w:num w:numId="39">
    <w:abstractNumId w:val="5"/>
  </w:num>
  <w:num w:numId="40">
    <w:abstractNumId w:val="6"/>
  </w:num>
  <w:num w:numId="41">
    <w:abstractNumId w:val="5"/>
    <w:lvlOverride w:ilvl="0">
      <w:startOverride w:val="1"/>
    </w:lvlOverride>
  </w:num>
  <w:num w:numId="42">
    <w:abstractNumId w:val="5"/>
    <w:lvlOverride w:ilvl="0">
      <w:startOverride w:val="5"/>
    </w:lvlOverride>
  </w:num>
  <w:num w:numId="4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06C01"/>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1B8"/>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7F59E2"/>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27D23"/>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1697</Words>
  <Characters>10348</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Stano</cp:lastModifiedBy>
  <cp:revision>2</cp:revision>
  <cp:lastPrinted>2011-11-30T12:19:00Z</cp:lastPrinted>
  <dcterms:created xsi:type="dcterms:W3CDTF">2016-03-25T07:19:00Z</dcterms:created>
  <dcterms:modified xsi:type="dcterms:W3CDTF">2016-03-25T07:19:00Z</dcterms:modified>
</cp:coreProperties>
</file>