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6B3" w:rsidRPr="0090211C" w:rsidRDefault="00BA66B3" w:rsidP="00127859">
      <w:pPr>
        <w:tabs>
          <w:tab w:val="left" w:pos="555"/>
          <w:tab w:val="left" w:pos="10348"/>
        </w:tabs>
        <w:ind w:left="284" w:right="4364"/>
        <w:jc w:val="center"/>
        <w:rPr>
          <w:b/>
          <w:i/>
          <w:color w:val="FF0000"/>
          <w:sz w:val="20"/>
          <w:szCs w:val="20"/>
        </w:rPr>
      </w:pPr>
    </w:p>
    <w:p w:rsidR="00BA66B3" w:rsidRPr="0090211C" w:rsidRDefault="00BA66B3" w:rsidP="00D833BB">
      <w:pPr>
        <w:pStyle w:val="Nadpis1"/>
        <w:numPr>
          <w:ilvl w:val="0"/>
          <w:numId w:val="4"/>
        </w:numPr>
        <w:spacing w:before="0" w:after="0"/>
        <w:ind w:left="284"/>
      </w:pPr>
      <w:r w:rsidRPr="0090211C">
        <w:t>ZÁKLADNÉ INFORMÁCIE</w:t>
      </w:r>
    </w:p>
    <w:p w:rsidR="00BA66B3" w:rsidRPr="0090211C" w:rsidRDefault="00BA66B3" w:rsidP="00D833BB">
      <w:pPr>
        <w:rPr>
          <w:rFonts w:ascii="Arial" w:hAnsi="Arial" w:cs="Arial"/>
          <w:sz w:val="20"/>
          <w:szCs w:val="20"/>
        </w:rPr>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rsidR="00BA66B3" w:rsidRPr="0090211C" w:rsidRDefault="00BA66B3" w:rsidP="00D833BB">
      <w:pPr>
        <w:rPr>
          <w:rFonts w:ascii="Arial" w:hAnsi="Arial" w:cs="Arial"/>
          <w:sz w:val="20"/>
          <w:szCs w:val="20"/>
        </w:rPr>
      </w:pPr>
    </w:p>
    <w:p w:rsidR="00BA66B3" w:rsidRDefault="00BA66B3" w:rsidP="00427944">
      <w:pPr>
        <w:pStyle w:val="odstavec"/>
        <w:rPr>
          <w:rStyle w:val="ra"/>
          <w:rFonts w:cs="Arial"/>
        </w:rPr>
      </w:pPr>
      <w:r>
        <w:rPr>
          <w:rStyle w:val="ra"/>
          <w:rFonts w:cs="Arial"/>
        </w:rPr>
        <w:t xml:space="preserve">SPORT M Plus, s.r.o.  </w:t>
      </w:r>
    </w:p>
    <w:p w:rsidR="00BA66B3" w:rsidRDefault="00BA66B3" w:rsidP="00427944">
      <w:pPr>
        <w:pStyle w:val="odstavec"/>
        <w:rPr>
          <w:rStyle w:val="ra"/>
          <w:rFonts w:cs="Arial"/>
        </w:rPr>
      </w:pPr>
      <w:r>
        <w:rPr>
          <w:rStyle w:val="ra"/>
          <w:rFonts w:cs="Arial"/>
        </w:rPr>
        <w:t xml:space="preserve">Opavská 8 </w:t>
      </w:r>
    </w:p>
    <w:p w:rsidR="00BA66B3" w:rsidRDefault="00BA66B3" w:rsidP="00427944">
      <w:pPr>
        <w:pStyle w:val="odstavec"/>
        <w:rPr>
          <w:rStyle w:val="ra"/>
          <w:rFonts w:cs="Arial"/>
        </w:rPr>
      </w:pPr>
      <w:r>
        <w:rPr>
          <w:rStyle w:val="ra"/>
          <w:rFonts w:cs="Arial"/>
        </w:rPr>
        <w:t>Bratislava 831 01</w:t>
      </w:r>
    </w:p>
    <w:p w:rsidR="00BA66B3" w:rsidRPr="0090211C" w:rsidRDefault="00BA66B3" w:rsidP="00427944">
      <w:pPr>
        <w:pStyle w:val="odstavec"/>
      </w:pPr>
    </w:p>
    <w:p w:rsidR="00BA66B3" w:rsidRPr="0090211C" w:rsidRDefault="00BA66B3" w:rsidP="00427944">
      <w:pPr>
        <w:pStyle w:val="odstavec"/>
      </w:pPr>
      <w:r w:rsidRPr="0090211C">
        <w:t xml:space="preserve">Spoločnosť </w:t>
      </w:r>
      <w:r>
        <w:rPr>
          <w:rStyle w:val="ra"/>
          <w:rFonts w:cs="Arial"/>
        </w:rPr>
        <w:t>SPORT M Plus, s.r.o.</w:t>
      </w:r>
      <w:r w:rsidRPr="0090211C">
        <w:t xml:space="preserve"> (ďalej len „Spoločnos</w:t>
      </w:r>
      <w:r>
        <w:t>ť“) bola založená 13. júna 2007</w:t>
      </w:r>
      <w:r w:rsidRPr="0090211C">
        <w:t xml:space="preserve"> a do obcho</w:t>
      </w:r>
      <w:r w:rsidRPr="0090211C">
        <w:t>d</w:t>
      </w:r>
      <w:r w:rsidRPr="0090211C">
        <w:t xml:space="preserve">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rsidR="00BA66B3" w:rsidRPr="0090211C" w:rsidRDefault="00BA66B3" w:rsidP="00D833BB">
      <w:pPr>
        <w:rPr>
          <w:rFonts w:ascii="Arial" w:hAnsi="Arial" w:cs="Arial"/>
          <w:sz w:val="20"/>
          <w:szCs w:val="20"/>
        </w:rPr>
      </w:pPr>
    </w:p>
    <w:p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rsidR="00BA66B3" w:rsidRDefault="00BA66B3" w:rsidP="00654F6A">
      <w:pPr>
        <w:pStyle w:val="odstavec"/>
        <w:numPr>
          <w:ilvl w:val="0"/>
          <w:numId w:val="9"/>
        </w:numPr>
        <w:tabs>
          <w:tab w:val="clear" w:pos="340"/>
          <w:tab w:val="num" w:pos="624"/>
        </w:tabs>
        <w:ind w:left="624"/>
      </w:pPr>
      <w:r>
        <w:t xml:space="preserve">sprostredkovateľská činnosť v oblasti služieb </w:t>
      </w:r>
    </w:p>
    <w:p w:rsidR="00BA66B3" w:rsidRDefault="00BA66B3" w:rsidP="00654F6A">
      <w:pPr>
        <w:pStyle w:val="odstavec"/>
        <w:numPr>
          <w:ilvl w:val="0"/>
          <w:numId w:val="9"/>
        </w:numPr>
        <w:tabs>
          <w:tab w:val="clear" w:pos="340"/>
          <w:tab w:val="num" w:pos="624"/>
        </w:tabs>
        <w:ind w:left="624"/>
      </w:pPr>
      <w:r>
        <w:t xml:space="preserve">reklamné a marketingové služby </w:t>
      </w:r>
    </w:p>
    <w:p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rsidR="00BA66B3" w:rsidRPr="0090211C" w:rsidRDefault="00BA66B3" w:rsidP="007449AB">
      <w:pPr>
        <w:pStyle w:val="odstavec"/>
      </w:pPr>
      <w:r>
        <w:t xml:space="preserve">    </w: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Spoločnosť nie je neobmedzene ručiacim spoločníkom v iných účtovných jednotkách.</w:t>
      </w:r>
    </w:p>
    <w:p w:rsidR="00BA66B3" w:rsidRPr="0090211C" w:rsidRDefault="00BA66B3" w:rsidP="00427944">
      <w:pPr>
        <w:pStyle w:val="odstavec"/>
      </w:pP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rsidR="00BA66B3" w:rsidRPr="0090211C" w:rsidRDefault="00BA66B3" w:rsidP="00D833BB">
      <w:pPr>
        <w:rPr>
          <w:rFonts w:ascii="Arial" w:hAnsi="Arial" w:cs="Arial"/>
          <w:sz w:val="20"/>
          <w:szCs w:val="20"/>
        </w:rPr>
      </w:pPr>
    </w:p>
    <w:p w:rsidR="00BA66B3" w:rsidRPr="0090211C" w:rsidRDefault="00BA66B3" w:rsidP="00427944">
      <w:pPr>
        <w:pStyle w:val="odstavec"/>
      </w:pPr>
      <w:r w:rsidRPr="0090211C">
        <w:t>Údaje o počte zamestnancov za bežné účtovné obdobie a bezprostredne predchádzajúce účtovné o</w:t>
      </w:r>
      <w:r w:rsidRPr="0090211C">
        <w:t>b</w:t>
      </w:r>
      <w:r w:rsidRPr="0090211C">
        <w:t>dobie sú uvedené v nasledujúcom prehľade:</w:t>
      </w:r>
      <w:r>
        <w:t>[]</w:t>
      </w:r>
    </w:p>
    <w:p w:rsidR="00BA66B3" w:rsidRPr="0090211C" w:rsidRDefault="00BA66B3" w:rsidP="00427944">
      <w:pPr>
        <w:pStyle w:val="odstavec"/>
      </w:pPr>
    </w:p>
    <w:bookmarkStart w:id="0" w:name="_MON_1389797481"/>
    <w:bookmarkEnd w:id="0"/>
    <w:bookmarkStart w:id="1" w:name="_MON_1389797449"/>
    <w:bookmarkEnd w:id="1"/>
    <w:p w:rsidR="00BA66B3" w:rsidRPr="0090211C" w:rsidRDefault="00127859" w:rsidP="00427944">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73.5pt" o:ole="">
            <v:imagedata r:id="rId8" o:title=""/>
          </v:shape>
          <o:OLEObject Type="Embed" ProgID="Excel.Sheet.12" ShapeID="_x0000_i1025" DrawAspect="Content" ObjectID="_1520427339" r:id="rId9"/>
        </w:object>
      </w:r>
    </w:p>
    <w:p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rsidR="00BA66B3" w:rsidRDefault="00BA66B3" w:rsidP="007E1F66">
      <w:pPr>
        <w:pStyle w:val="odstavec"/>
      </w:pPr>
      <w:r w:rsidRPr="0090211C">
        <w:t>Účtovná závierka Spoločnosti k 31. decembru 201</w:t>
      </w:r>
      <w:r w:rsidR="00127859">
        <w:t>5</w:t>
      </w:r>
      <w:r w:rsidRPr="0090211C">
        <w:t xml:space="preserve"> je zostavená ako riadna účtovná závierka podľa </w:t>
      </w:r>
      <w:r w:rsidR="00127859">
        <w:t xml:space="preserve">opatrenia MF/15464/2013-74 </w:t>
      </w:r>
      <w:r w:rsidRPr="0090211C">
        <w:t>§ 17 ods. 6 zákona NR SR č. 431/2002 Z. z. o účtovníctve (ďalej len „z</w:t>
      </w:r>
      <w:r w:rsidRPr="0090211C">
        <w:t>á</w:t>
      </w:r>
      <w:r w:rsidRPr="0090211C">
        <w:t>kon o účtovníctve“) za účtovné obdobie od 1. j</w:t>
      </w:r>
      <w:r w:rsidR="002C262C">
        <w:t>anu</w:t>
      </w:r>
      <w:r w:rsidR="00127859">
        <w:t>ára 2015 do 31. decembra 2015</w:t>
      </w:r>
      <w:r w:rsidRPr="0090211C">
        <w:t>.</w:t>
      </w:r>
    </w:p>
    <w:p w:rsidR="007E1F66" w:rsidRPr="0090211C" w:rsidRDefault="007E1F66" w:rsidP="007E1F66">
      <w:pPr>
        <w:pStyle w:val="odstavec"/>
        <w:rPr>
          <w:szCs w:val="20"/>
        </w:rPr>
      </w:pPr>
    </w:p>
    <w:p w:rsidR="00BA66B3" w:rsidRPr="0090211C" w:rsidRDefault="00BA66B3">
      <w:pPr>
        <w:rPr>
          <w:rFonts w:ascii="Arial" w:hAnsi="Arial" w:cs="Arial"/>
          <w:sz w:val="20"/>
          <w:szCs w:val="20"/>
        </w:rPr>
      </w:pPr>
    </w:p>
    <w:p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rsidR="00BA66B3" w:rsidRPr="0090211C" w:rsidRDefault="00BA66B3" w:rsidP="00343772">
      <w:pPr>
        <w:pStyle w:val="Nadpis2"/>
        <w:numPr>
          <w:ilvl w:val="1"/>
          <w:numId w:val="4"/>
        </w:numPr>
        <w:rPr>
          <w:rFonts w:ascii="Arial" w:hAnsi="Arial"/>
        </w:rPr>
      </w:pPr>
      <w:r w:rsidRPr="0090211C">
        <w:rPr>
          <w:rFonts w:ascii="Arial" w:hAnsi="Arial"/>
        </w:rPr>
        <w:t>Orgány Spoločnosti</w:t>
      </w:r>
    </w:p>
    <w:p w:rsidR="00BA66B3" w:rsidRDefault="00BA66B3" w:rsidP="00427944">
      <w:pPr>
        <w:pStyle w:val="odstavec"/>
      </w:pPr>
      <w:r>
        <w:t xml:space="preserve">Konateľ: </w:t>
      </w:r>
      <w:r>
        <w:tab/>
      </w:r>
      <w:r w:rsidRPr="007449AB">
        <w:t>Peter Bača</w:t>
      </w:r>
    </w:p>
    <w:p w:rsidR="00127859" w:rsidRPr="0090211C" w:rsidRDefault="00127859" w:rsidP="00427944">
      <w:pPr>
        <w:pStyle w:val="odstavec"/>
      </w:pPr>
      <w:r>
        <w:t xml:space="preserve">                   </w:t>
      </w:r>
      <w:r w:rsidR="002E7512">
        <w:t xml:space="preserve">Ing. </w:t>
      </w:r>
      <w:r>
        <w:t>Michal Bača</w:t>
      </w:r>
    </w:p>
    <w:p w:rsidR="00BA66B3" w:rsidRPr="0090211C" w:rsidRDefault="00BA66B3" w:rsidP="00427944">
      <w:pPr>
        <w:pStyle w:val="odstavec"/>
      </w:pPr>
    </w:p>
    <w:p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rsidR="00BA66B3" w:rsidRPr="0090211C" w:rsidRDefault="00BA66B3" w:rsidP="00427944">
      <w:pPr>
        <w:pStyle w:val="odstavec"/>
      </w:pPr>
      <w:r w:rsidRPr="0090211C">
        <w:t xml:space="preserve">Štruktúra spoločníkov Spoločnosti k 31. decembru </w:t>
      </w:r>
      <w:r w:rsidR="00F70E08">
        <w:rPr>
          <w:iCs/>
        </w:rPr>
        <w:t>201</w:t>
      </w:r>
      <w:r w:rsidR="00127859">
        <w:rPr>
          <w:iCs/>
        </w:rPr>
        <w:t>5</w:t>
      </w:r>
      <w:r w:rsidRPr="0090211C">
        <w:t>:</w:t>
      </w:r>
    </w:p>
    <w:bookmarkStart w:id="2" w:name="_MON_1457788999"/>
    <w:bookmarkEnd w:id="2"/>
    <w:p w:rsidR="00BA66B3" w:rsidRDefault="002E7512" w:rsidP="00CD2E1A">
      <w:pPr>
        <w:tabs>
          <w:tab w:val="left" w:pos="555"/>
        </w:tabs>
        <w:ind w:left="284"/>
        <w:rPr>
          <w:rFonts w:ascii="Arial" w:hAnsi="Arial" w:cs="Arial"/>
          <w:sz w:val="20"/>
          <w:szCs w:val="20"/>
        </w:rPr>
      </w:pPr>
      <w:r w:rsidRPr="0090211C">
        <w:rPr>
          <w:rFonts w:ascii="Arial" w:hAnsi="Arial" w:cs="Arial"/>
          <w:sz w:val="20"/>
          <w:szCs w:val="20"/>
        </w:rPr>
        <w:object w:dxaOrig="9919" w:dyaOrig="2970">
          <v:shape id="_x0000_i1026" type="#_x0000_t75" style="width:476.25pt;height:142.5pt" o:ole="">
            <v:imagedata r:id="rId10" o:title=""/>
          </v:shape>
          <o:OLEObject Type="Embed" ProgID="Excel.Sheet.12" ShapeID="_x0000_i1026" DrawAspect="Content" ObjectID="_1520427340" r:id="rId11"/>
        </w:object>
      </w:r>
    </w:p>
    <w:p w:rsidR="007E03E3" w:rsidRDefault="007E03E3" w:rsidP="00CD2E1A">
      <w:pPr>
        <w:tabs>
          <w:tab w:val="left" w:pos="555"/>
        </w:tabs>
        <w:ind w:left="284"/>
        <w:rPr>
          <w:rFonts w:ascii="Arial" w:hAnsi="Arial" w:cs="Arial"/>
          <w:sz w:val="20"/>
          <w:szCs w:val="20"/>
        </w:rPr>
      </w:pPr>
    </w:p>
    <w:p w:rsidR="007E03E3" w:rsidRPr="0090211C" w:rsidRDefault="007E03E3" w:rsidP="00CD2E1A">
      <w:pPr>
        <w:tabs>
          <w:tab w:val="left" w:pos="555"/>
        </w:tabs>
        <w:ind w:left="284"/>
        <w:rPr>
          <w:rFonts w:ascii="Arial" w:hAnsi="Arial" w:cs="Arial"/>
          <w:sz w:val="20"/>
          <w:szCs w:val="20"/>
        </w:rPr>
      </w:pPr>
    </w:p>
    <w:p w:rsidR="00BA66B3" w:rsidRPr="0090211C" w:rsidRDefault="00BA66B3" w:rsidP="00D833BB">
      <w:pPr>
        <w:pStyle w:val="Nadpis1"/>
        <w:numPr>
          <w:ilvl w:val="0"/>
          <w:numId w:val="4"/>
        </w:numPr>
        <w:spacing w:before="0" w:after="0"/>
        <w:ind w:left="284"/>
      </w:pPr>
      <w:r w:rsidRPr="0090211C">
        <w:t>KONSOLIDOVANÝ CELOK</w:t>
      </w:r>
    </w:p>
    <w:p w:rsidR="00BA66B3" w:rsidRPr="0090211C" w:rsidRDefault="00BA66B3" w:rsidP="00D833BB">
      <w:pPr>
        <w:rPr>
          <w:rFonts w:ascii="Arial" w:hAnsi="Arial" w:cs="Arial"/>
          <w:sz w:val="20"/>
          <w:szCs w:val="20"/>
        </w:rPr>
      </w:pPr>
    </w:p>
    <w:p w:rsidR="00BA66B3" w:rsidRPr="0090211C" w:rsidRDefault="00BA66B3" w:rsidP="00427944">
      <w:pPr>
        <w:pStyle w:val="odstavec"/>
      </w:pPr>
      <w:r>
        <w:t>Spoločnosť nie je konsolidovaná, lebo nemá materskú spol</w:t>
      </w:r>
      <w:r w:rsidR="002C262C">
        <w:t>o</w:t>
      </w:r>
      <w:r>
        <w:t>čnosť.</w:t>
      </w:r>
    </w:p>
    <w:p w:rsidR="00BA66B3" w:rsidRPr="0090211C" w:rsidRDefault="00BA66B3" w:rsidP="00427944">
      <w:pPr>
        <w:pStyle w:val="odstavec"/>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rsidR="007E03E3" w:rsidRPr="007E03E3" w:rsidRDefault="007E03E3" w:rsidP="007E03E3">
      <w:pPr>
        <w:rPr>
          <w:rFonts w:ascii="Arial" w:hAnsi="Arial" w:cs="Arial"/>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w:t>
      </w:r>
      <w:r w:rsidRPr="007E03E3">
        <w:rPr>
          <w:rFonts w:ascii="Arial" w:hAnsi="Arial" w:cs="Arial"/>
          <w:b/>
          <w:sz w:val="20"/>
        </w:rPr>
        <w:t>t</w:t>
      </w:r>
      <w:r w:rsidRPr="007E03E3">
        <w:rPr>
          <w:rFonts w:ascii="Arial" w:hAnsi="Arial" w:cs="Arial"/>
          <w:b/>
          <w:sz w:val="20"/>
        </w:rPr>
        <w:t>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w:t>
      </w:r>
      <w:r w:rsidRPr="007E03E3">
        <w:rPr>
          <w:rFonts w:ascii="Arial" w:hAnsi="Arial" w:cs="Arial"/>
          <w:sz w:val="20"/>
        </w:rPr>
        <w:t>a</w:t>
      </w:r>
      <w:r w:rsidRPr="007E03E3">
        <w:rPr>
          <w:rFonts w:ascii="Arial" w:hAnsi="Arial" w:cs="Arial"/>
          <w:sz w:val="20"/>
        </w:rPr>
        <w:t>né kurzové rozdiely, ktoré vznikli do momentu uvedenia dlhodobého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w:t>
      </w:r>
      <w:r w:rsidRPr="007E03E3">
        <w:rPr>
          <w:rFonts w:ascii="Arial" w:hAnsi="Arial" w:cs="Arial"/>
          <w:sz w:val="20"/>
        </w:rPr>
        <w:t>k</w:t>
      </w:r>
      <w:r w:rsidRPr="007E03E3">
        <w:rPr>
          <w:rFonts w:ascii="Arial" w:hAnsi="Arial" w:cs="Arial"/>
          <w:sz w:val="20"/>
        </w:rPr>
        <w:t>li do momentu zaradenia dlhodobého nehmotného majetku do používania.</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rsidTr="004D5698">
        <w:trPr>
          <w:trHeight w:val="250"/>
        </w:trPr>
        <w:tc>
          <w:tcPr>
            <w:tcW w:w="2976"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rsidTr="004D5698">
        <w:trPr>
          <w:trHeight w:val="250"/>
        </w:trPr>
        <w:tc>
          <w:tcPr>
            <w:tcW w:w="3118" w:type="dxa"/>
            <w:gridSpan w:val="2"/>
          </w:tcPr>
          <w:p w:rsidR="007E03E3" w:rsidRPr="007E03E3" w:rsidRDefault="007E03E3" w:rsidP="007E03E3">
            <w:pPr>
              <w:tabs>
                <w:tab w:val="left" w:pos="709"/>
              </w:tabs>
              <w:ind w:right="-79"/>
              <w:rPr>
                <w:rFonts w:ascii="Arial" w:hAnsi="Arial" w:cs="Arial"/>
                <w:sz w:val="20"/>
              </w:rPr>
            </w:pPr>
          </w:p>
        </w:tc>
        <w:tc>
          <w:tcPr>
            <w:tcW w:w="1985" w:type="dxa"/>
          </w:tcPr>
          <w:p w:rsidR="007E03E3" w:rsidRPr="007E03E3" w:rsidRDefault="007E03E3" w:rsidP="007E03E3">
            <w:pPr>
              <w:tabs>
                <w:tab w:val="left" w:pos="709"/>
              </w:tabs>
              <w:ind w:right="-79"/>
              <w:rPr>
                <w:rFonts w:ascii="Arial" w:hAnsi="Arial" w:cs="Arial"/>
                <w:sz w:val="20"/>
              </w:rPr>
            </w:pPr>
          </w:p>
        </w:tc>
        <w:tc>
          <w:tcPr>
            <w:tcW w:w="141"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c>
          <w:tcPr>
            <w:tcW w:w="142" w:type="dxa"/>
          </w:tcPr>
          <w:p w:rsidR="007E03E3" w:rsidRPr="007E03E3" w:rsidRDefault="007E03E3" w:rsidP="007E03E3">
            <w:pPr>
              <w:tabs>
                <w:tab w:val="left" w:pos="709"/>
              </w:tabs>
              <w:ind w:right="-79"/>
              <w:rPr>
                <w:rFonts w:ascii="Arial" w:hAnsi="Arial" w:cs="Arial"/>
                <w:sz w:val="20"/>
              </w:rPr>
            </w:pPr>
          </w:p>
        </w:tc>
        <w:tc>
          <w:tcPr>
            <w:tcW w:w="1701" w:type="dxa"/>
          </w:tcPr>
          <w:p w:rsidR="007E03E3" w:rsidRPr="007E03E3" w:rsidRDefault="007E03E3" w:rsidP="007E03E3">
            <w:pPr>
              <w:tabs>
                <w:tab w:val="left" w:pos="709"/>
              </w:tabs>
              <w:ind w:right="-79"/>
              <w:rPr>
                <w:rFonts w:ascii="Arial" w:hAnsi="Arial" w:cs="Arial"/>
                <w:sz w:val="20"/>
              </w:rPr>
            </w:pPr>
          </w:p>
        </w:tc>
      </w:tr>
    </w:tbl>
    <w:p w:rsidR="007E03E3" w:rsidRPr="007E03E3" w:rsidRDefault="007E03E3" w:rsidP="007E03E3">
      <w:pPr>
        <w:jc w:val="both"/>
        <w:rPr>
          <w:b/>
          <w:sz w:val="18"/>
          <w:szCs w:val="20"/>
          <w:lang w:eastAsia="en-US"/>
        </w:rPr>
      </w:pP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w:t>
      </w:r>
      <w:r w:rsidRPr="007E03E3">
        <w:rPr>
          <w:rFonts w:ascii="Arial" w:hAnsi="Arial" w:cs="Arial"/>
          <w:sz w:val="20"/>
        </w:rPr>
        <w:lastRenderedPageBreak/>
        <w:t>k už predaným alebo spotrebovaným zásobám sa účtuje ako zníženie nákladov na predané alebo spotr</w:t>
      </w:r>
      <w:r w:rsidRPr="007E03E3">
        <w:rPr>
          <w:rFonts w:ascii="Arial" w:hAnsi="Arial" w:cs="Arial"/>
          <w:sz w:val="20"/>
        </w:rPr>
        <w:t>e</w:t>
      </w:r>
      <w:r w:rsidRPr="007E03E3">
        <w:rPr>
          <w:rFonts w:ascii="Arial" w:hAnsi="Arial" w:cs="Arial"/>
          <w:sz w:val="20"/>
        </w:rPr>
        <w:t>bované zásoby. Spoločnosť účtuje o zásobách spôsobom A tak, ako to definujú postupy účtovania. Úb</w:t>
      </w:r>
      <w:r w:rsidRPr="007E03E3">
        <w:rPr>
          <w:rFonts w:ascii="Arial" w:hAnsi="Arial" w:cs="Arial"/>
          <w:sz w:val="20"/>
        </w:rPr>
        <w:t>y</w:t>
      </w:r>
      <w:r w:rsidRPr="007E03E3">
        <w:rPr>
          <w:rFonts w:ascii="Arial" w:hAnsi="Arial" w:cs="Arial"/>
          <w:sz w:val="20"/>
        </w:rPr>
        <w:t>tok zásob sa účtuje v skutočnej cene.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w:t>
      </w:r>
      <w:r w:rsidRPr="007E03E3">
        <w:rPr>
          <w:rFonts w:ascii="Arial" w:hAnsi="Arial" w:cs="Arial"/>
          <w:sz w:val="20"/>
        </w:rPr>
        <w:t>d</w:t>
      </w:r>
      <w:r w:rsidRPr="007E03E3">
        <w:rPr>
          <w:rFonts w:ascii="Arial" w:hAnsi="Arial" w:cs="Arial"/>
          <w:sz w:val="20"/>
        </w:rPr>
        <w:t>stavuje rozdiel medzi menovitou a súčasnou hodnotou pohľadávky. Súčasná hodnota pohľadávky sa poč</w:t>
      </w:r>
      <w:r w:rsidRPr="007E03E3">
        <w:rPr>
          <w:rFonts w:ascii="Arial" w:hAnsi="Arial" w:cs="Arial"/>
          <w:sz w:val="20"/>
        </w:rPr>
        <w:t>í</w:t>
      </w:r>
      <w:r w:rsidRPr="007E03E3">
        <w:rPr>
          <w:rFonts w:ascii="Arial" w:hAnsi="Arial" w:cs="Arial"/>
          <w:sz w:val="20"/>
        </w:rPr>
        <w:t>ta ako súčet súčinov budúcich peňažných príjmov a príslušných diskontných faktorov.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w:t>
      </w:r>
      <w:r w:rsidRPr="007E03E3">
        <w:rPr>
          <w:rFonts w:ascii="Arial" w:hAnsi="Arial" w:cs="Arial"/>
          <w:sz w:val="20"/>
        </w:rPr>
        <w:t>d</w:t>
      </w:r>
      <w:r w:rsidRPr="007E03E3">
        <w:rPr>
          <w:rFonts w:ascii="Arial" w:hAnsi="Arial" w:cs="Arial"/>
          <w:sz w:val="20"/>
        </w:rPr>
        <w:t>statneného predpokladu zníženia hodnoty majetku oproti jeho oceneniu v účtovníctve.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Tvorba rezervy sa účtuje na vecne príslušný nákladový účet, ku ktorému záväzok prislúcha. Použitie r</w:t>
      </w:r>
      <w:r w:rsidRPr="007E03E3">
        <w:rPr>
          <w:rFonts w:ascii="Arial" w:hAnsi="Arial" w:cs="Arial"/>
          <w:sz w:val="20"/>
        </w:rPr>
        <w:t>e</w:t>
      </w:r>
      <w:r w:rsidRPr="007E03E3">
        <w:rPr>
          <w:rFonts w:ascii="Arial" w:hAnsi="Arial" w:cs="Arial"/>
          <w:sz w:val="20"/>
        </w:rPr>
        <w:t>zervy sa účtuje na ťarchu vecne príslušného účtu rezerv so súvzťažným zápisom v prospech vecne pr</w:t>
      </w:r>
      <w:r w:rsidRPr="007E03E3">
        <w:rPr>
          <w:rFonts w:ascii="Arial" w:hAnsi="Arial" w:cs="Arial"/>
          <w:sz w:val="20"/>
        </w:rPr>
        <w:t>í</w:t>
      </w:r>
      <w:r w:rsidRPr="007E03E3">
        <w:rPr>
          <w:rFonts w:ascii="Arial" w:hAnsi="Arial" w:cs="Arial"/>
          <w:sz w:val="20"/>
        </w:rPr>
        <w:t xml:space="preserve">slušného účtu záväzkov. Rozpustenie nepotrebnej rezervy alebo jej časti sa účtuje opačným účtovným zápisom ako sa účtovala tvorba rezervy.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w:t>
      </w:r>
      <w:r w:rsidRPr="007E03E3">
        <w:rPr>
          <w:rFonts w:ascii="Arial" w:hAnsi="Arial" w:cs="Arial"/>
          <w:sz w:val="20"/>
        </w:rPr>
        <w:t>z</w:t>
      </w:r>
      <w:r w:rsidRPr="007E03E3">
        <w:rPr>
          <w:rFonts w:ascii="Arial" w:hAnsi="Arial" w:cs="Arial"/>
          <w:sz w:val="20"/>
        </w:rPr>
        <w:t>ky v účtovníctve a v účtovnej závierke v tomto zistenom ocenení.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Daň z príjmov sa účtuje do nákladov Spoločnosti v období vzniku daňovej povinnosti a v priloženom výk</w:t>
      </w:r>
      <w:r w:rsidRPr="007E03E3">
        <w:rPr>
          <w:rFonts w:ascii="Arial" w:hAnsi="Arial" w:cs="Arial"/>
          <w:sz w:val="20"/>
        </w:rPr>
        <w:t>a</w:t>
      </w:r>
      <w:r w:rsidRPr="007E03E3">
        <w:rPr>
          <w:rFonts w:ascii="Arial" w:hAnsi="Arial" w:cs="Arial"/>
          <w:sz w:val="20"/>
        </w:rPr>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7E03E3">
        <w:rPr>
          <w:rFonts w:ascii="Arial" w:hAnsi="Arial" w:cs="Arial"/>
          <w:sz w:val="20"/>
        </w:rPr>
        <w:t>j</w:t>
      </w:r>
      <w:r w:rsidRPr="007E03E3">
        <w:rPr>
          <w:rFonts w:ascii="Arial" w:hAnsi="Arial" w:cs="Arial"/>
          <w:sz w:val="20"/>
        </w:rPr>
        <w:t>mov, ktoré Spoločnosť uhradila v priebehu roka. V prípade, že uhradené preddavky na daň z príjmu v priebehu roka sú vyššie ako daňová povinnosť za tento rok, Spoločnosť vykazuje výslednú daňovú pohľ</w:t>
      </w:r>
      <w:r w:rsidRPr="007E03E3">
        <w:rPr>
          <w:rFonts w:ascii="Arial" w:hAnsi="Arial" w:cs="Arial"/>
          <w:sz w:val="20"/>
        </w:rPr>
        <w:t>a</w:t>
      </w:r>
      <w:r w:rsidRPr="007E03E3">
        <w:rPr>
          <w:rFonts w:ascii="Arial" w:hAnsi="Arial" w:cs="Arial"/>
          <w:sz w:val="20"/>
        </w:rPr>
        <w:t xml:space="preserve">dávku.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w:t>
      </w:r>
      <w:r w:rsidRPr="007E03E3">
        <w:rPr>
          <w:rFonts w:ascii="Arial" w:hAnsi="Arial" w:cs="Arial"/>
          <w:sz w:val="20"/>
        </w:rPr>
        <w:t>a</w:t>
      </w:r>
      <w:r w:rsidRPr="007E03E3">
        <w:rPr>
          <w:rFonts w:ascii="Arial" w:hAnsi="Arial" w:cs="Arial"/>
          <w:sz w:val="20"/>
        </w:rPr>
        <w:t>nie zásady vecnej a časovej súvislosti s účtovným obdobím len ak ide o významné sumy. O nevýzna</w:t>
      </w:r>
      <w:r w:rsidRPr="007E03E3">
        <w:rPr>
          <w:rFonts w:ascii="Arial" w:hAnsi="Arial" w:cs="Arial"/>
          <w:sz w:val="20"/>
        </w:rPr>
        <w:t>m</w:t>
      </w:r>
      <w:r w:rsidRPr="007E03E3">
        <w:rPr>
          <w:rFonts w:ascii="Arial" w:hAnsi="Arial" w:cs="Arial"/>
          <w:sz w:val="20"/>
        </w:rPr>
        <w:t>ných a každoročne sa opakujúcich nevýznamných sumách ÚJ neúčtuje.</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rsidR="007E03E3" w:rsidRPr="007E03E3" w:rsidRDefault="007E03E3" w:rsidP="007E03E3">
      <w:pPr>
        <w:tabs>
          <w:tab w:val="left" w:pos="555"/>
        </w:tabs>
        <w:ind w:left="284"/>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Výnosy z predaja výrobkov sa vykazujú v momente prenosu rizika a vlastníctva výrobku, obvykle po d</w:t>
      </w:r>
      <w:r w:rsidRPr="007E03E3">
        <w:rPr>
          <w:rFonts w:ascii="Arial" w:hAnsi="Arial" w:cs="Arial"/>
          <w:sz w:val="20"/>
        </w:rPr>
        <w:t>o</w:t>
      </w:r>
      <w:r w:rsidRPr="007E03E3">
        <w:rPr>
          <w:rFonts w:ascii="Arial" w:hAnsi="Arial" w:cs="Arial"/>
          <w:sz w:val="20"/>
        </w:rPr>
        <w:t>dávke. Ak sa Spoločnosť zaviaže dopraviť výrobky na určité miesto, výnosy sa vykazujú v momente dor</w:t>
      </w:r>
      <w:r w:rsidRPr="007E03E3">
        <w:rPr>
          <w:rFonts w:ascii="Arial" w:hAnsi="Arial" w:cs="Arial"/>
          <w:sz w:val="20"/>
        </w:rPr>
        <w:t>u</w:t>
      </w:r>
      <w:r w:rsidRPr="007E03E3">
        <w:rPr>
          <w:rFonts w:ascii="Arial" w:hAnsi="Arial" w:cs="Arial"/>
          <w:sz w:val="20"/>
        </w:rPr>
        <w:t xml:space="preserve">čenia výrobku do cieľového miesta.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Výnosy sa vykazujú po odpočítaní dane z pridanej hodnoty, zliav a zrážok (rabaty, bonusy, skontá, dobr</w:t>
      </w:r>
      <w:r w:rsidRPr="007E03E3">
        <w:rPr>
          <w:rFonts w:ascii="Arial" w:hAnsi="Arial" w:cs="Arial"/>
          <w:sz w:val="20"/>
        </w:rPr>
        <w:t>o</w:t>
      </w:r>
      <w:r w:rsidRPr="007E03E3">
        <w:rPr>
          <w:rFonts w:ascii="Arial" w:hAnsi="Arial" w:cs="Arial"/>
          <w:sz w:val="20"/>
        </w:rPr>
        <w:t>pisy a pod.). Výnosy sa vykazujú v reálnej hodnote. Výnosové úroky sa účtujú na základe časového rozl</w:t>
      </w:r>
      <w:r w:rsidRPr="007E03E3">
        <w:rPr>
          <w:rFonts w:ascii="Arial" w:hAnsi="Arial" w:cs="Arial"/>
          <w:sz w:val="20"/>
        </w:rPr>
        <w:t>í</w:t>
      </w:r>
      <w:r w:rsidRPr="007E03E3">
        <w:rPr>
          <w:rFonts w:ascii="Arial" w:hAnsi="Arial" w:cs="Arial"/>
          <w:sz w:val="20"/>
        </w:rPr>
        <w:t xml:space="preserve">šenia metódou efektívnej úrokovej miery. Výnosy z dividend sa zaúčtujú v čase vzniku práva Spoločnosti na prijatie platby. </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rsidR="007E03E3" w:rsidRPr="007E03E3" w:rsidRDefault="007E03E3" w:rsidP="007E03E3">
      <w:pPr>
        <w:suppressAutoHyphens/>
        <w:ind w:left="425"/>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w:t>
      </w:r>
      <w:r w:rsidRPr="007E03E3">
        <w:rPr>
          <w:rFonts w:ascii="Arial" w:hAnsi="Arial" w:cs="Arial"/>
          <w:sz w:val="20"/>
        </w:rPr>
        <w:t>e</w:t>
      </w:r>
      <w:r w:rsidRPr="007E03E3">
        <w:rPr>
          <w:rFonts w:ascii="Arial" w:hAnsi="Arial" w:cs="Arial"/>
          <w:sz w:val="20"/>
        </w:rPr>
        <w:t>denými v bežnom účtovnom období. Zmena v prezentácii porovnateľných údajov nemala dopad na celk</w:t>
      </w:r>
      <w:r w:rsidRPr="007E03E3">
        <w:rPr>
          <w:rFonts w:ascii="Arial" w:hAnsi="Arial" w:cs="Arial"/>
          <w:sz w:val="20"/>
        </w:rPr>
        <w:t>o</w:t>
      </w:r>
      <w:r w:rsidRPr="007E03E3">
        <w:rPr>
          <w:rFonts w:ascii="Arial" w:hAnsi="Arial" w:cs="Arial"/>
          <w:sz w:val="20"/>
        </w:rPr>
        <w:t>vú výšku aktív, vlastného imania a výsledku hospodárenia v predchádzajúcom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suppressAutoHyphens/>
        <w:ind w:left="284" w:right="-82"/>
        <w:rPr>
          <w:rFonts w:ascii="Arial" w:hAnsi="Arial" w:cs="Arial"/>
          <w:sz w:val="20"/>
          <w:szCs w:val="20"/>
        </w:rPr>
      </w:pPr>
    </w:p>
    <w:p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rsidR="007E03E3" w:rsidRPr="007E03E3" w:rsidRDefault="007E03E3" w:rsidP="007E03E3">
      <w:pPr>
        <w:spacing w:before="60" w:after="120"/>
        <w:jc w:val="both"/>
        <w:rPr>
          <w:rFonts w:ascii="Arial" w:hAnsi="Arial" w:cs="Arial"/>
          <w:b/>
          <w:sz w:val="20"/>
          <w:szCs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w:t>
      </w:r>
      <w:r w:rsidRPr="007E03E3">
        <w:rPr>
          <w:rFonts w:ascii="Arial" w:hAnsi="Arial" w:cs="Arial"/>
          <w:sz w:val="20"/>
          <w:szCs w:val="20"/>
        </w:rPr>
        <w:t>e</w:t>
      </w:r>
      <w:r w:rsidRPr="007E03E3">
        <w:rPr>
          <w:rFonts w:ascii="Arial" w:hAnsi="Arial" w:cs="Arial"/>
          <w:sz w:val="20"/>
          <w:szCs w:val="20"/>
        </w:rPr>
        <w:t>nené záväzky z minulých období.</w:t>
      </w:r>
    </w:p>
    <w:p w:rsidR="007E03E3" w:rsidRPr="007E03E3" w:rsidRDefault="007E03E3" w:rsidP="007E03E3">
      <w:pPr>
        <w:spacing w:before="60" w:after="120"/>
        <w:jc w:val="both"/>
        <w:rPr>
          <w:rFonts w:ascii="Arial" w:hAnsi="Arial" w:cs="Arial"/>
          <w:sz w:val="20"/>
          <w:szCs w:val="20"/>
        </w:rPr>
      </w:pPr>
    </w:p>
    <w:p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spacing w:before="60" w:after="120"/>
        <w:ind w:left="425" w:hanging="425"/>
        <w:jc w:val="both"/>
        <w:rPr>
          <w:rFonts w:ascii="Arial" w:hAnsi="Arial" w:cs="Arial"/>
          <w:sz w:val="20"/>
          <w:szCs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rsidR="007E03E3" w:rsidRPr="007E03E3" w:rsidRDefault="007E03E3" w:rsidP="007E03E3">
      <w:pPr>
        <w:tabs>
          <w:tab w:val="left" w:pos="555"/>
        </w:tabs>
        <w:ind w:left="284"/>
        <w:rPr>
          <w:rFonts w:ascii="Arial" w:hAnsi="Arial" w:cs="Arial"/>
          <w:sz w:val="20"/>
          <w:szCs w:val="20"/>
        </w:rPr>
      </w:pPr>
    </w:p>
    <w:bookmarkStart w:id="14" w:name="_MON_1488907982"/>
    <w:bookmarkEnd w:id="14"/>
    <w:p w:rsidR="007E03E3" w:rsidRDefault="007E03E3" w:rsidP="007E03E3">
      <w:pPr>
        <w:spacing w:after="120"/>
      </w:pPr>
      <w:r w:rsidRPr="007E03E3">
        <w:object w:dxaOrig="9409" w:dyaOrig="5899">
          <v:shape id="_x0000_i1027" type="#_x0000_t75" style="width:484.5pt;height:312.75pt" o:ole="">
            <v:imagedata r:id="rId12" o:title=""/>
          </v:shape>
          <o:OLEObject Type="Embed" ProgID="Excel.Sheet.12" ShapeID="_x0000_i1027" DrawAspect="Content" ObjectID="_1520427341" r:id="rId13"/>
        </w:object>
      </w:r>
    </w:p>
    <w:p w:rsidR="007E03E3" w:rsidRP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nemá pohľadávky zabezpečené záložným právom alebo inou formou zabezpečenia.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w:t>
      </w:r>
      <w:r w:rsidRPr="007E03E3">
        <w:rPr>
          <w:rFonts w:ascii="Arial" w:hAnsi="Arial" w:cs="Arial"/>
          <w:sz w:val="20"/>
        </w:rPr>
        <w:t>č</w:t>
      </w:r>
      <w:r w:rsidRPr="007E03E3">
        <w:rPr>
          <w:rFonts w:ascii="Arial" w:hAnsi="Arial" w:cs="Arial"/>
          <w:sz w:val="20"/>
        </w:rPr>
        <w:t>nosť voľne disponovať.</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rsidR="007E03E3" w:rsidRPr="007E03E3" w:rsidRDefault="007E03E3" w:rsidP="007E03E3">
      <w:pPr>
        <w:tabs>
          <w:tab w:val="left" w:pos="555"/>
        </w:tabs>
        <w:ind w:left="284"/>
        <w:rPr>
          <w:rFonts w:ascii="Arial" w:hAnsi="Arial" w:cs="Arial"/>
          <w:sz w:val="20"/>
          <w:szCs w:val="20"/>
        </w:rPr>
      </w:pPr>
    </w:p>
    <w:p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rsidR="007E03E3" w:rsidRPr="007E03E3" w:rsidRDefault="007E03E3" w:rsidP="007E03E3">
      <w:pPr>
        <w:rPr>
          <w:rFonts w:ascii="Arial" w:hAnsi="Arial" w:cs="Arial"/>
          <w:sz w:val="20"/>
          <w:szCs w:val="20"/>
        </w:rPr>
      </w:pP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rsidR="007E03E3" w:rsidRPr="007E03E3" w:rsidRDefault="007E03E3" w:rsidP="007E03E3">
      <w:r w:rsidRPr="007E03E3">
        <w:t xml:space="preserve">      Spoločnosť nemá záväzky zo splatnosťou viac ako 5 rokov.</w:t>
      </w:r>
    </w:p>
    <w:p w:rsidR="007E03E3" w:rsidRPr="007E03E3" w:rsidRDefault="007E03E3" w:rsidP="007E03E3">
      <w:r w:rsidRPr="007E03E3">
        <w:t xml:space="preserve">      </w:t>
      </w:r>
    </w:p>
    <w:p w:rsidR="007E03E3" w:rsidRPr="007E03E3" w:rsidRDefault="007E03E3" w:rsidP="007E03E3"/>
    <w:p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 ostatných záväzkov k 31.12.2015 (okrem bankových úverov) podľa zostatkovej doby spla</w:t>
      </w:r>
      <w:r w:rsidRPr="007E03E3">
        <w:rPr>
          <w:rFonts w:ascii="Arial" w:hAnsi="Arial" w:cs="Arial"/>
          <w:sz w:val="20"/>
          <w:szCs w:val="20"/>
          <w:lang w:eastAsia="en-US"/>
        </w:rPr>
        <w:t>t</w:t>
      </w:r>
      <w:r w:rsidRPr="007E03E3">
        <w:rPr>
          <w:rFonts w:ascii="Arial" w:hAnsi="Arial" w:cs="Arial"/>
          <w:sz w:val="20"/>
          <w:szCs w:val="20"/>
          <w:lang w:eastAsia="en-US"/>
        </w:rPr>
        <w:t>nosti je uvedená v nasledujúcej tabuľke:</w:t>
      </w:r>
    </w:p>
    <w:p w:rsidR="007E03E3" w:rsidRPr="007E03E3" w:rsidRDefault="007E03E3" w:rsidP="007E03E3">
      <w:pPr>
        <w:tabs>
          <w:tab w:val="left" w:pos="709"/>
        </w:tabs>
        <w:ind w:right="-79"/>
        <w:rPr>
          <w:rFonts w:ascii="Arial" w:hAnsi="Arial" w:cs="Arial"/>
          <w:sz w:val="20"/>
        </w:rPr>
      </w:pPr>
    </w:p>
    <w:bookmarkStart w:id="26" w:name="_MON_1488908072"/>
    <w:bookmarkEnd w:id="26"/>
    <w:p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object w:dxaOrig="8254" w:dyaOrig="2392">
          <v:shape id="_x0000_i1028" type="#_x0000_t75" style="width:412.5pt;height:116.25pt" o:ole="">
            <v:imagedata r:id="rId14" o:title=""/>
          </v:shape>
          <o:OLEObject Type="Embed" ProgID="Excel.Sheet.12" ShapeID="_x0000_i1028" DrawAspect="Content" ObjectID="_1520427342" r:id="rId15"/>
        </w:object>
      </w: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lastRenderedPageBreak/>
        <w:t>VÝNOSY</w:t>
      </w:r>
    </w:p>
    <w:p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Tržby za vlastné výkony vyplývajú z hlavných činností spoločnosti zapísaných v obchodnom registri. Sp</w:t>
      </w:r>
      <w:r w:rsidRPr="007E03E3">
        <w:rPr>
          <w:rFonts w:ascii="Arial" w:hAnsi="Arial" w:cs="Arial"/>
          <w:sz w:val="20"/>
        </w:rPr>
        <w:t>o</w:t>
      </w:r>
      <w:r w:rsidRPr="007E03E3">
        <w:rPr>
          <w:rFonts w:ascii="Arial" w:hAnsi="Arial" w:cs="Arial"/>
          <w:sz w:val="20"/>
        </w:rPr>
        <w:t xml:space="preserve">ločnosť nemala žiadne mimoriadne </w:t>
      </w:r>
      <w:proofErr w:type="spellStart"/>
      <w:r w:rsidRPr="007E03E3">
        <w:rPr>
          <w:rFonts w:ascii="Arial" w:hAnsi="Arial" w:cs="Arial"/>
          <w:sz w:val="20"/>
        </w:rPr>
        <w:t>jednorázové</w:t>
      </w:r>
      <w:proofErr w:type="spellEnd"/>
      <w:r w:rsidRPr="007E03E3">
        <w:rPr>
          <w:rFonts w:ascii="Arial" w:hAnsi="Arial" w:cs="Arial"/>
          <w:sz w:val="20"/>
        </w:rPr>
        <w:t xml:space="preserve"> významné výnosy.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Spoločnosť k 31. decembru 2015 neevidovala záväzky z objednávok </w:t>
      </w:r>
      <w:proofErr w:type="spellStart"/>
      <w:r w:rsidRPr="007E03E3">
        <w:rPr>
          <w:rFonts w:ascii="Arial" w:hAnsi="Arial" w:cs="Arial"/>
          <w:sz w:val="20"/>
        </w:rPr>
        <w:t>zazmluvnených</w:t>
      </w:r>
      <w:proofErr w:type="spellEnd"/>
      <w:r w:rsidRPr="007E03E3">
        <w:rPr>
          <w:rFonts w:ascii="Arial" w:hAnsi="Arial" w:cs="Arial"/>
          <w:sz w:val="20"/>
        </w:rPr>
        <w:t xml:space="preserve"> v roku 2015 s očakávaným termínom dodania v roku 2016.</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w:t>
      </w:r>
      <w:r w:rsidRPr="007E03E3">
        <w:rPr>
          <w:rFonts w:ascii="Arial" w:hAnsi="Arial" w:cs="Arial"/>
          <w:sz w:val="20"/>
        </w:rPr>
        <w:t>a</w:t>
      </w:r>
      <w:r w:rsidRPr="007E03E3">
        <w:rPr>
          <w:rFonts w:ascii="Arial" w:hAnsi="Arial" w:cs="Arial"/>
          <w:sz w:val="20"/>
        </w:rPr>
        <w:t>xou, existuje neistota v tom, ako ich budú daňové orgány aplikovať. Mieru tejto neistoty nie je možné kva</w:t>
      </w:r>
      <w:r w:rsidRPr="007E03E3">
        <w:rPr>
          <w:rFonts w:ascii="Arial" w:hAnsi="Arial" w:cs="Arial"/>
          <w:sz w:val="20"/>
        </w:rPr>
        <w:t>n</w:t>
      </w:r>
      <w:r w:rsidRPr="007E03E3">
        <w:rPr>
          <w:rFonts w:ascii="Arial" w:hAnsi="Arial" w:cs="Arial"/>
          <w:sz w:val="20"/>
        </w:rPr>
        <w:t>tifikovať a zanikne až potom, keď budú k dispozícii právne precedensy príp. oficiálne interpretácie príslu</w:t>
      </w:r>
      <w:r w:rsidRPr="007E03E3">
        <w:rPr>
          <w:rFonts w:ascii="Arial" w:hAnsi="Arial" w:cs="Arial"/>
          <w:sz w:val="20"/>
        </w:rPr>
        <w:t>š</w:t>
      </w:r>
      <w:r w:rsidRPr="007E03E3">
        <w:rPr>
          <w:rFonts w:ascii="Arial" w:hAnsi="Arial" w:cs="Arial"/>
          <w:sz w:val="20"/>
        </w:rPr>
        <w:t>ných orgánov. Vedenie Spoločnosti si nie je vedomé žiadnych okolností, v dôsledku ktorých by jej vznikol v budúcnosti významný náklad.</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Pr="007E03E3">
        <w:rPr>
          <w:rFonts w:ascii="Arial" w:hAnsi="Arial" w:cs="Arial"/>
          <w:iCs/>
          <w:sz w:val="20"/>
        </w:rPr>
        <w:t xml:space="preserve">2015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2015.</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ind w:left="284"/>
        <w:rPr>
          <w:rFonts w:ascii="Arial" w:hAnsi="Arial" w:cs="Arial"/>
          <w:sz w:val="20"/>
          <w:szCs w:val="20"/>
        </w:rPr>
      </w:pPr>
    </w:p>
    <w:p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w:t>
      </w:r>
      <w:proofErr w:type="spellStart"/>
      <w:r w:rsidRPr="007E03E3">
        <w:rPr>
          <w:rFonts w:ascii="Arial" w:hAnsi="Arial" w:cs="Arial"/>
          <w:sz w:val="20"/>
        </w:rPr>
        <w:t>cash</w:t>
      </w:r>
      <w:proofErr w:type="spellEnd"/>
      <w:r w:rsidRPr="007E03E3">
        <w:rPr>
          <w:rFonts w:ascii="Arial" w:hAnsi="Arial" w:cs="Arial"/>
          <w:sz w:val="20"/>
        </w:rPr>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7E03E3">
        <w:rPr>
          <w:rFonts w:ascii="Arial" w:hAnsi="Arial" w:cs="Arial"/>
          <w:sz w:val="20"/>
        </w:rPr>
        <w:t>č</w:t>
      </w:r>
      <w:r w:rsidRPr="007E03E3">
        <w:rPr>
          <w:rFonts w:ascii="Arial" w:hAnsi="Arial" w:cs="Arial"/>
          <w:sz w:val="20"/>
        </w:rPr>
        <w:t xml:space="preserve">tami. </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rsidR="007E03E3" w:rsidRPr="007E03E3" w:rsidRDefault="007E03E3" w:rsidP="007E03E3">
      <w:pPr>
        <w:tabs>
          <w:tab w:val="left" w:pos="709"/>
        </w:tabs>
        <w:ind w:right="-79"/>
        <w:rPr>
          <w:rFonts w:ascii="Arial" w:hAnsi="Arial" w:cs="Arial"/>
          <w:sz w:val="20"/>
        </w:rPr>
      </w:pPr>
    </w:p>
    <w:p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w:t>
      </w:r>
      <w:proofErr w:type="spellStart"/>
      <w:r w:rsidRPr="007E03E3">
        <w:rPr>
          <w:rFonts w:ascii="Arial" w:hAnsi="Arial" w:cs="Arial"/>
          <w:sz w:val="20"/>
        </w:rPr>
        <w:t>cash</w:t>
      </w:r>
      <w:proofErr w:type="spellEnd"/>
      <w:r w:rsidRPr="007E03E3">
        <w:rPr>
          <w:rFonts w:ascii="Arial" w:hAnsi="Arial" w:cs="Arial"/>
          <w:sz w:val="20"/>
        </w:rPr>
        <w:t xml:space="preserve">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w:t>
      </w:r>
      <w:r w:rsidRPr="007E03E3">
        <w:rPr>
          <w:rFonts w:ascii="Arial" w:hAnsi="Arial" w:cs="Arial"/>
          <w:sz w:val="20"/>
        </w:rPr>
        <w:t>e</w:t>
      </w:r>
      <w:r w:rsidRPr="007E03E3">
        <w:rPr>
          <w:rFonts w:ascii="Arial" w:hAnsi="Arial" w:cs="Arial"/>
          <w:sz w:val="20"/>
        </w:rPr>
        <w:t>niteľný za vopred známu sumu peňažných prostriedkov, pri ktorom nie je riziko výraznej zmeny jeho ho</w:t>
      </w:r>
      <w:r w:rsidRPr="007E03E3">
        <w:rPr>
          <w:rFonts w:ascii="Arial" w:hAnsi="Arial" w:cs="Arial"/>
          <w:sz w:val="20"/>
        </w:rPr>
        <w:t>d</w:t>
      </w:r>
      <w:r w:rsidRPr="007E03E3">
        <w:rPr>
          <w:rFonts w:ascii="Arial" w:hAnsi="Arial" w:cs="Arial"/>
          <w:sz w:val="20"/>
        </w:rPr>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7E03E3">
        <w:rPr>
          <w:rFonts w:ascii="Arial" w:hAnsi="Arial" w:cs="Arial"/>
          <w:sz w:val="20"/>
        </w:rPr>
        <w:t>a</w:t>
      </w:r>
      <w:r w:rsidRPr="007E03E3">
        <w:rPr>
          <w:rFonts w:ascii="Arial" w:hAnsi="Arial" w:cs="Arial"/>
          <w:sz w:val="20"/>
        </w:rPr>
        <w:t>cov odo dňa, ku ktorému sa zostavuje účtovná závierka.</w:t>
      </w:r>
      <w:bookmarkStart w:id="32" w:name="_GoBack"/>
      <w:bookmarkEnd w:id="32"/>
    </w:p>
    <w:sectPr w:rsidR="007E03E3" w:rsidRPr="007E03E3" w:rsidSect="007E1F66">
      <w:headerReference w:type="default" r:id="rId16"/>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6B3" w:rsidRDefault="00BA66B3">
      <w:r>
        <w:separator/>
      </w:r>
    </w:p>
  </w:endnote>
  <w:endnote w:type="continuationSeparator" w:id="0">
    <w:p w:rsidR="00BA66B3" w:rsidRDefault="00BA6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6B3" w:rsidRDefault="00BA66B3">
      <w:r>
        <w:separator/>
      </w:r>
    </w:p>
  </w:footnote>
  <w:footnote w:type="continuationSeparator" w:id="0">
    <w:p w:rsidR="00BA66B3" w:rsidRDefault="00BA66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2DAB95B0" wp14:editId="2A9A4DD1">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1681</Words>
  <Characters>10329</Characters>
  <Application>Microsoft Office Word</Application>
  <DocSecurity>0</DocSecurity>
  <Lines>86</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2016-03-25T15:05:00Z</cp:lastPrinted>
  <dcterms:created xsi:type="dcterms:W3CDTF">2016-03-25T15:09:00Z</dcterms:created>
  <dcterms:modified xsi:type="dcterms:W3CDTF">2016-03-25T15:09:00Z</dcterms:modified>
</cp:coreProperties>
</file>