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numPr>
          <w:ilvl w:val="0"/>
          <w:numId w:val="1"/>
        </w:numPr>
        <w:suppressLineNumbers w:val="true"/>
        <w:tabs>
          <w:tab w:val="left" w:pos="567" w:leader="none"/>
        </w:tabs>
        <w:suppressAutoHyphens w:val="true"/>
        <w:spacing w:before="360" w:after="60" w:line="240"/>
        <w:ind w:right="0" w:left="284" w:hanging="22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 Názov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jednotky: </w:t>
        <w:tab/>
        <w:tab/>
        <w:t xml:space="preserve">Nadácia Dobrý obchodník</w:t>
      </w:r>
    </w:p>
    <w:p>
      <w:pPr>
        <w:suppressAutoHyphens w:val="true"/>
        <w:spacing w:before="60" w:after="0" w:line="240"/>
        <w:ind w:right="0" w:left="2832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Bajkalská 25, 827 18 Bratislava</w:t>
      </w:r>
    </w:p>
    <w:p>
      <w:pPr>
        <w:keepNext w:val="true"/>
        <w:keepLines w:val="true"/>
        <w:numPr>
          <w:ilvl w:val="0"/>
          <w:numId w:val="3"/>
        </w:numPr>
        <w:suppressLineNumbers w:val="true"/>
        <w:tabs>
          <w:tab w:val="left" w:pos="708" w:leader="none"/>
          <w:tab w:val="left" w:pos="567" w:leader="none"/>
        </w:tabs>
        <w:suppressAutoHyphens w:val="true"/>
        <w:spacing w:before="360" w:after="60" w:line="240"/>
        <w:ind w:right="0" w:left="337" w:firstLine="89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Všeobecné údaje</w:t>
      </w:r>
    </w:p>
    <w:p>
      <w:pPr>
        <w:numPr>
          <w:ilvl w:val="0"/>
          <w:numId w:val="3"/>
        </w:numPr>
        <w:suppressLineNumbers w:val="true"/>
        <w:tabs>
          <w:tab w:val="left" w:pos="567" w:leader="none"/>
        </w:tabs>
        <w:suppressAutoHyphens w:val="true"/>
        <w:spacing w:before="360" w:after="60" w:line="240"/>
        <w:ind w:right="0" w:left="709" w:hanging="425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Zakladate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ľ účtovnej jednotky:</w:t>
        <w:tab/>
        <w:tab/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Zväz obchodu a cestovného ruchu SR</w:t>
      </w:r>
    </w:p>
    <w:p>
      <w:pPr>
        <w:numPr>
          <w:ilvl w:val="0"/>
          <w:numId w:val="3"/>
        </w:numPr>
        <w:suppressLineNumbers w:val="true"/>
        <w:tabs>
          <w:tab w:val="left" w:pos="567" w:leader="none"/>
        </w:tabs>
        <w:suppressAutoHyphens w:val="true"/>
        <w:spacing w:before="360" w:after="60" w:line="240"/>
        <w:ind w:right="0" w:left="709" w:hanging="425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Dátum založenia alebo zriadenia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čtovnej jednotky:</w:t>
        <w:tab/>
      </w:r>
    </w:p>
    <w:p>
      <w:pPr>
        <w:suppressAutoHyphens w:val="true"/>
        <w:spacing w:before="120" w:after="0" w:line="240"/>
        <w:ind w:right="0" w:left="567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čtovná jednotka bola založená v súlade so zákonom č. 34/2002 Z.z. o nadáciách podpísaním nadačnej listiny dňa 11.12.2012.</w:t>
      </w:r>
    </w:p>
    <w:p>
      <w:pPr>
        <w:numPr>
          <w:ilvl w:val="0"/>
          <w:numId w:val="6"/>
        </w:numPr>
        <w:suppressLineNumbers w:val="true"/>
        <w:tabs>
          <w:tab w:val="left" w:pos="567" w:leader="none"/>
        </w:tabs>
        <w:suppressAutoHyphens w:val="true"/>
        <w:spacing w:before="360" w:after="120" w:line="240"/>
        <w:ind w:right="0" w:left="568" w:hanging="28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Informácie o 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členoch štatutárnych orgánov, dozorných orgánov a iných orgánov účtovnej jednotky:</w:t>
      </w:r>
    </w:p>
    <w:p>
      <w:pPr>
        <w:suppressAutoHyphens w:val="true"/>
        <w:spacing w:before="120" w:after="120" w:line="240"/>
        <w:ind w:right="0" w:left="567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Orgány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jednotky sú správca nadácie, správna rada a revízor.</w:t>
      </w:r>
    </w:p>
    <w:tbl>
      <w:tblPr>
        <w:tblInd w:w="421" w:type="dxa"/>
      </w:tblPr>
      <w:tblGrid>
        <w:gridCol w:w="2419"/>
        <w:gridCol w:w="6521"/>
      </w:tblGrid>
      <w:tr>
        <w:trPr>
          <w:trHeight w:val="227" w:hRule="auto"/>
          <w:jc w:val="left"/>
        </w:trPr>
        <w:tc>
          <w:tcPr>
            <w:tcW w:w="2419" w:type="dxa"/>
            <w:vMerge w:val="restart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0"/>
            </w:tcBorders>
            <w:shd w:color="auto" w:fill="auto" w:val="clear"/>
            <w:tcMar>
              <w:left w:w="0" w:type="dxa"/>
              <w:right w:w="0" w:type="dxa"/>
            </w:tcMar>
            <w:vAlign w:val="top"/>
          </w:tcPr>
          <w:p>
            <w:pPr>
              <w:suppressAutoHyphens w:val="true"/>
              <w:spacing w:before="20" w:after="20" w:line="240"/>
              <w:ind w:right="0" w:left="136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Správca:</w:t>
            </w:r>
          </w:p>
        </w:tc>
        <w:tc>
          <w:tcPr>
            <w:tcW w:w="6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0" w:type="dxa"/>
              <w:right w:w="0" w:type="dxa"/>
            </w:tcMar>
            <w:vAlign w:val="center"/>
          </w:tcPr>
          <w:p>
            <w:pPr>
              <w:suppressAutoHyphens w:val="true"/>
              <w:spacing w:before="20" w:after="20" w:line="240"/>
              <w:ind w:right="0" w:left="136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Ing. Veronika Hauswaldová – od 21.7.2015 do 11.2.2016</w:t>
            </w:r>
          </w:p>
        </w:tc>
      </w:tr>
      <w:tr>
        <w:trPr>
          <w:trHeight w:val="227" w:hRule="auto"/>
          <w:jc w:val="left"/>
        </w:trPr>
        <w:tc>
          <w:tcPr>
            <w:tcW w:w="2419" w:type="dxa"/>
            <w:vMerge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auto" w:fill="auto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0" w:type="dxa"/>
              <w:right w:w="0" w:type="dxa"/>
            </w:tcMar>
            <w:vAlign w:val="center"/>
          </w:tcPr>
          <w:p>
            <w:pPr>
              <w:suppressAutoHyphens w:val="true"/>
              <w:spacing w:before="20" w:after="20" w:line="240"/>
              <w:ind w:right="0" w:left="136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Ing. Eva Szabóová – do 21.7.2015</w:t>
            </w:r>
          </w:p>
        </w:tc>
      </w:tr>
      <w:tr>
        <w:trPr>
          <w:trHeight w:val="227" w:hRule="auto"/>
          <w:jc w:val="left"/>
        </w:trPr>
        <w:tc>
          <w:tcPr>
            <w:tcW w:w="2419" w:type="dxa"/>
            <w:vMerge w:val="restart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0"/>
            </w:tcBorders>
            <w:shd w:color="auto" w:fill="auto" w:val="clear"/>
            <w:tcMar>
              <w:left w:w="0" w:type="dxa"/>
              <w:right w:w="0" w:type="dxa"/>
            </w:tcMar>
            <w:vAlign w:val="top"/>
          </w:tcPr>
          <w:p>
            <w:pPr>
              <w:suppressAutoHyphens w:val="true"/>
              <w:spacing w:before="20" w:after="20" w:line="240"/>
              <w:ind w:right="0" w:left="136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Správna rada:</w:t>
            </w:r>
          </w:p>
        </w:tc>
        <w:tc>
          <w:tcPr>
            <w:tcW w:w="6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0" w:type="dxa"/>
              <w:right w:w="0" w:type="dxa"/>
            </w:tcMar>
            <w:vAlign w:val="center"/>
          </w:tcPr>
          <w:p>
            <w:pPr>
              <w:suppressAutoHyphens w:val="true"/>
              <w:spacing w:before="20" w:after="20" w:line="240"/>
              <w:ind w:right="0" w:left="136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Ing. Pavol Konštiak PhD – predseda</w:t>
            </w:r>
          </w:p>
        </w:tc>
      </w:tr>
      <w:tr>
        <w:trPr>
          <w:trHeight w:val="282" w:hRule="auto"/>
          <w:jc w:val="left"/>
        </w:trPr>
        <w:tc>
          <w:tcPr>
            <w:tcW w:w="2419" w:type="dxa"/>
            <w:vMerge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auto" w:fill="auto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0" w:type="dxa"/>
              <w:right w:w="0" w:type="dxa"/>
            </w:tcMar>
            <w:vAlign w:val="center"/>
          </w:tcPr>
          <w:p>
            <w:pPr>
              <w:suppressAutoHyphens w:val="true"/>
              <w:spacing w:before="20" w:after="20" w:line="240"/>
              <w:ind w:right="-137" w:left="136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Ing. František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Ťapuš – člen</w:t>
            </w:r>
          </w:p>
        </w:tc>
      </w:tr>
      <w:tr>
        <w:trPr>
          <w:trHeight w:val="282" w:hRule="auto"/>
          <w:jc w:val="left"/>
        </w:trPr>
        <w:tc>
          <w:tcPr>
            <w:tcW w:w="2419" w:type="dxa"/>
            <w:vMerge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auto" w:fill="auto" w:val="clear"/>
            <w:tcMar>
              <w:left w:w="0" w:type="dxa"/>
              <w:right w:w="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0" w:type="dxa"/>
              <w:right w:w="0" w:type="dxa"/>
            </w:tcMar>
            <w:vAlign w:val="center"/>
          </w:tcPr>
          <w:p>
            <w:pPr>
              <w:suppressAutoHyphens w:val="true"/>
              <w:spacing w:before="20" w:after="20" w:line="240"/>
              <w:ind w:right="-137" w:left="137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Ing. Štefan Mácsadi -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člen</w:t>
            </w:r>
          </w:p>
        </w:tc>
      </w:tr>
      <w:tr>
        <w:trPr>
          <w:trHeight w:val="282" w:hRule="auto"/>
          <w:jc w:val="left"/>
        </w:trPr>
        <w:tc>
          <w:tcPr>
            <w:tcW w:w="24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0" w:type="dxa"/>
              <w:right w:w="0" w:type="dxa"/>
            </w:tcMar>
            <w:vAlign w:val="top"/>
          </w:tcPr>
          <w:p>
            <w:pPr>
              <w:suppressAutoHyphens w:val="true"/>
              <w:spacing w:before="20" w:after="20" w:line="240"/>
              <w:ind w:right="-137" w:left="136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Revízor:</w:t>
            </w:r>
          </w:p>
        </w:tc>
        <w:tc>
          <w:tcPr>
            <w:tcW w:w="65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0" w:type="dxa"/>
              <w:right w:w="0" w:type="dxa"/>
            </w:tcMar>
            <w:vAlign w:val="center"/>
          </w:tcPr>
          <w:p>
            <w:pPr>
              <w:suppressAutoHyphens w:val="true"/>
              <w:spacing w:before="20" w:after="20" w:line="240"/>
              <w:ind w:right="-137" w:left="137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Judr. Martin Katriak </w:t>
            </w:r>
          </w:p>
        </w:tc>
      </w:tr>
    </w:tbl>
    <w:p>
      <w:pPr>
        <w:numPr>
          <w:ilvl w:val="0"/>
          <w:numId w:val="29"/>
        </w:numPr>
        <w:suppressLineNumbers w:val="true"/>
        <w:tabs>
          <w:tab w:val="left" w:pos="567" w:leader="none"/>
        </w:tabs>
        <w:suppressAutoHyphens w:val="true"/>
        <w:spacing w:before="360" w:after="120" w:line="240"/>
        <w:ind w:right="0" w:left="568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Opis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činnosti, na účel ktorej bola účtovná jednotka zriadená:</w:t>
      </w:r>
    </w:p>
    <w:tbl>
      <w:tblPr>
        <w:tblInd w:w="481" w:type="dxa"/>
      </w:tblPr>
      <w:tblGrid>
        <w:gridCol w:w="8945"/>
      </w:tblGrid>
      <w:tr>
        <w:trPr>
          <w:trHeight w:val="1" w:hRule="atLeast"/>
          <w:jc w:val="left"/>
        </w:trPr>
        <w:tc>
          <w:tcPr>
            <w:tcW w:w="89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uppressLineNumbers w:val="true"/>
              <w:suppressAutoHyphens w:val="true"/>
              <w:spacing w:before="60" w:after="6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- Podpora a rozvoj vzdelávania formou vzdelávacích projektov a organizovania vzdelávacích podujatí</w:t>
            </w:r>
          </w:p>
        </w:tc>
      </w:tr>
    </w:tbl>
    <w:p>
      <w:pPr>
        <w:numPr>
          <w:ilvl w:val="0"/>
          <w:numId w:val="33"/>
        </w:numPr>
        <w:suppressLineNumbers w:val="true"/>
        <w:tabs>
          <w:tab w:val="left" w:pos="567" w:leader="none"/>
        </w:tabs>
        <w:suppressAutoHyphens w:val="true"/>
        <w:spacing w:before="360" w:after="120" w:line="240"/>
        <w:ind w:right="0" w:left="568" w:hanging="284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čet zamestnancov účtovnej jednotky</w:t>
      </w:r>
    </w:p>
    <w:p>
      <w:pPr>
        <w:suppressAutoHyphens w:val="true"/>
        <w:spacing w:before="120" w:after="120" w:line="240"/>
        <w:ind w:right="0" w:left="567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čtovná jednotka nemá žiadnych zamestnancov.</w:t>
      </w:r>
    </w:p>
    <w:p>
      <w:pPr>
        <w:keepNext w:val="true"/>
        <w:keepLines w:val="true"/>
        <w:numPr>
          <w:ilvl w:val="0"/>
          <w:numId w:val="35"/>
        </w:numPr>
        <w:tabs>
          <w:tab w:val="left" w:pos="708" w:leader="none"/>
          <w:tab w:val="left" w:pos="567" w:leader="none"/>
        </w:tabs>
        <w:suppressAutoHyphens w:val="true"/>
        <w:spacing w:before="480" w:after="120" w:line="240"/>
        <w:ind w:right="0" w:left="425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 o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čtovných zásadách a účtovných metódach     </w:t>
      </w:r>
    </w:p>
    <w:p>
      <w:pPr>
        <w:numPr>
          <w:ilvl w:val="0"/>
          <w:numId w:val="35"/>
        </w:numPr>
        <w:suppressLineNumbers w:val="true"/>
        <w:tabs>
          <w:tab w:val="left" w:pos="567" w:leader="none"/>
        </w:tabs>
        <w:suppressAutoHyphens w:val="true"/>
        <w:spacing w:before="240" w:after="60" w:line="240"/>
        <w:ind w:right="0" w:left="568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čtovná jednotka spracovala a predkladá riadnu účtovnú závierku s predpokladom nepretržitého pokračovania jej činnosti. </w:t>
      </w:r>
    </w:p>
    <w:p>
      <w:pPr>
        <w:numPr>
          <w:ilvl w:val="0"/>
          <w:numId w:val="35"/>
        </w:numPr>
        <w:suppressLineNumbers w:val="true"/>
        <w:tabs>
          <w:tab w:val="left" w:pos="567" w:leader="none"/>
        </w:tabs>
        <w:suppressAutoHyphens w:val="true"/>
        <w:spacing w:before="180" w:after="60" w:line="240"/>
        <w:ind w:right="0" w:left="568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jednotke nenastali zmeny účtovných zásad a zmeny účtovných metód. </w:t>
      </w:r>
    </w:p>
    <w:p>
      <w:pPr>
        <w:numPr>
          <w:ilvl w:val="0"/>
          <w:numId w:val="35"/>
        </w:numPr>
        <w:suppressLineNumbers w:val="true"/>
        <w:tabs>
          <w:tab w:val="left" w:pos="0" w:leader="none"/>
        </w:tabs>
        <w:suppressAutoHyphens w:val="true"/>
        <w:spacing w:before="180" w:after="60" w:line="240"/>
        <w:ind w:right="0" w:left="568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  <w:t xml:space="preserve">ňovania jednotlivých zložiek majetku a záväzkov </w:t>
      </w:r>
    </w:p>
    <w:p>
      <w:pPr>
        <w:numPr>
          <w:ilvl w:val="0"/>
          <w:numId w:val="35"/>
        </w:numPr>
        <w:suppressLineNumbers w:val="true"/>
        <w:tabs>
          <w:tab w:val="left" w:pos="0" w:leader="none"/>
        </w:tabs>
        <w:suppressAutoHyphens w:val="true"/>
        <w:spacing w:before="60" w:after="60" w:line="240"/>
        <w:ind w:right="0" w:left="85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ľadávky boli pri vzniku oceňované nominálnou hodnotou</w:t>
      </w:r>
    </w:p>
    <w:p>
      <w:pPr>
        <w:numPr>
          <w:ilvl w:val="0"/>
          <w:numId w:val="35"/>
        </w:numPr>
        <w:suppressLineNumbers w:val="true"/>
        <w:tabs>
          <w:tab w:val="left" w:pos="851" w:leader="none"/>
        </w:tabs>
        <w:suppressAutoHyphens w:val="true"/>
        <w:spacing w:before="60" w:after="60" w:line="240"/>
        <w:ind w:right="0" w:left="681" w:hanging="11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krátkodobý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čný majetok - peňažné prostriedky a ceniny boli oceňované nominálnou hodnotou,</w:t>
      </w:r>
    </w:p>
    <w:p>
      <w:pPr>
        <w:numPr>
          <w:ilvl w:val="0"/>
          <w:numId w:val="35"/>
        </w:numPr>
        <w:suppressLineNumbers w:val="true"/>
        <w:tabs>
          <w:tab w:val="left" w:pos="851" w:leader="none"/>
        </w:tabs>
        <w:suppressAutoHyphens w:val="true"/>
        <w:spacing w:before="60" w:after="60" w:line="240"/>
        <w:ind w:right="0" w:left="85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záväzky vrátane rezerv boli pri vzniku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ňované nominálnou hodnotou,</w:t>
      </w:r>
    </w:p>
    <w:p>
      <w:pPr>
        <w:numPr>
          <w:ilvl w:val="0"/>
          <w:numId w:val="35"/>
        </w:numPr>
        <w:suppressLineNumbers w:val="true"/>
        <w:tabs>
          <w:tab w:val="left" w:pos="0" w:leader="none"/>
        </w:tabs>
        <w:suppressAutoHyphens w:val="true"/>
        <w:spacing w:before="180" w:after="60" w:line="240"/>
        <w:ind w:right="0" w:left="568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  <w:t xml:space="preserve">Zásady pre zoh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u w:val="single"/>
          <w:shd w:fill="auto" w:val="clear"/>
        </w:rPr>
        <w:t xml:space="preserve">ľadnenie zníženia hodnoty majetku</w:t>
      </w:r>
    </w:p>
    <w:p>
      <w:pPr>
        <w:numPr>
          <w:ilvl w:val="0"/>
          <w:numId w:val="35"/>
        </w:numPr>
        <w:suppressLineNumbers w:val="true"/>
        <w:tabs>
          <w:tab w:val="left" w:pos="0" w:leader="none"/>
        </w:tabs>
        <w:suppressAutoHyphens w:val="true"/>
        <w:spacing w:before="120" w:after="0" w:line="240"/>
        <w:ind w:right="0" w:left="567" w:hanging="22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Predpokladané riziká, straty a zníženia hodnoty, ktoré sa týkajú majetku a záväzkov, sa vyjadrujú 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jednotke prostredníctvom rezerv a opravných položiek.</w:t>
      </w:r>
    </w:p>
    <w:p>
      <w:pPr>
        <w:numPr>
          <w:ilvl w:val="0"/>
          <w:numId w:val="35"/>
        </w:numPr>
        <w:suppressLineNumbers w:val="true"/>
        <w:tabs>
          <w:tab w:val="left" w:pos="851" w:leader="none"/>
        </w:tabs>
        <w:suppressAutoHyphens w:val="true"/>
        <w:spacing w:before="60" w:after="60" w:line="240"/>
        <w:ind w:right="0" w:left="85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Rezervy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čtujú v očakávanej výške záväzku. Účtovná jednotka vytvorila rezervy na audit účtovnej závierky a vedenie účtovníctva. Ku dňu, ku ktorému sa zostavuje účtovná závierka, sa posudzuje ich výška a odôvodnenosť.</w:t>
      </w:r>
    </w:p>
    <w:p>
      <w:pPr>
        <w:numPr>
          <w:ilvl w:val="0"/>
          <w:numId w:val="35"/>
        </w:numPr>
        <w:suppressLineNumbers w:val="true"/>
        <w:tabs>
          <w:tab w:val="left" w:pos="851" w:leader="none"/>
        </w:tabs>
        <w:suppressAutoHyphens w:val="true"/>
        <w:spacing w:before="60" w:after="60" w:line="240"/>
        <w:ind w:right="0" w:left="85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Opravné položky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čtovná jednotka netvorila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keepLines w:val="true"/>
        <w:numPr>
          <w:ilvl w:val="0"/>
          <w:numId w:val="46"/>
        </w:numPr>
        <w:tabs>
          <w:tab w:val="left" w:pos="708" w:leader="none"/>
          <w:tab w:val="left" w:pos="567" w:leader="none"/>
        </w:tabs>
        <w:suppressAutoHyphens w:val="true"/>
        <w:spacing w:before="240" w:after="120" w:line="240"/>
        <w:ind w:right="0" w:left="426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Informácie, ktoré dop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ĺňajú a vysvetľujú údaje v súvahe </w:t>
      </w:r>
    </w:p>
    <w:p>
      <w:pPr>
        <w:numPr>
          <w:ilvl w:val="0"/>
          <w:numId w:val="46"/>
        </w:numPr>
        <w:suppressLineNumbers w:val="true"/>
        <w:tabs>
          <w:tab w:val="left" w:pos="567" w:leader="none"/>
        </w:tabs>
        <w:suppressAutoHyphens w:val="true"/>
        <w:spacing w:before="360" w:after="120" w:line="240"/>
        <w:ind w:right="0" w:left="568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Opis a výška zmien vlastných zdrojov krytia majetku</w:t>
      </w:r>
    </w:p>
    <w:p>
      <w:pPr>
        <w:numPr>
          <w:ilvl w:val="0"/>
          <w:numId w:val="46"/>
        </w:numPr>
        <w:suppressLineNumbers w:val="true"/>
        <w:tabs>
          <w:tab w:val="left" w:pos="851" w:leader="none"/>
        </w:tabs>
        <w:suppressAutoHyphens w:val="true"/>
        <w:spacing w:before="240" w:after="60" w:line="240"/>
        <w:ind w:right="0" w:left="681" w:hanging="11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Základné imanie</w:t>
      </w:r>
    </w:p>
    <w:tbl>
      <w:tblPr>
        <w:tblInd w:w="70" w:type="dxa"/>
      </w:tblPr>
      <w:tblGrid>
        <w:gridCol w:w="4395"/>
        <w:gridCol w:w="2268"/>
        <w:gridCol w:w="3007"/>
      </w:tblGrid>
      <w:tr>
        <w:trPr>
          <w:trHeight w:val="462" w:hRule="auto"/>
          <w:jc w:val="left"/>
          <w:cantSplit w:val="1"/>
        </w:trPr>
        <w:tc>
          <w:tcPr>
            <w:tcW w:w="43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keepNext w:val="true"/>
              <w:keepLines w:val="true"/>
              <w:suppressLineNumbers w:val="true"/>
              <w:suppressAutoHyphens w:val="true"/>
              <w:spacing w:before="6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Text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keepNext w:val="true"/>
              <w:keepLines w:val="true"/>
              <w:suppressLineNumbers w:val="true"/>
              <w:suppressAutoHyphens w:val="true"/>
              <w:spacing w:before="6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 obdobie</w:t>
            </w:r>
          </w:p>
        </w:tc>
        <w:tc>
          <w:tcPr>
            <w:tcW w:w="30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keepNext w:val="true"/>
              <w:keepLines w:val="true"/>
              <w:suppressLineNumbers w:val="true"/>
              <w:suppressAutoHyphens w:val="true"/>
              <w:spacing w:before="6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Bezprostredne predchádzajúce           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3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uppressLineNumbers w:val="true"/>
              <w:suppressAutoHyphens w:val="true"/>
              <w:spacing w:before="60" w:after="6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Základné imanie celkom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6 640</w:t>
            </w:r>
          </w:p>
        </w:tc>
        <w:tc>
          <w:tcPr>
            <w:tcW w:w="30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6 640</w:t>
            </w:r>
          </w:p>
        </w:tc>
      </w:tr>
      <w:tr>
        <w:trPr>
          <w:trHeight w:val="1" w:hRule="atLeast"/>
          <w:jc w:val="left"/>
        </w:trPr>
        <w:tc>
          <w:tcPr>
            <w:tcW w:w="43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uppressLineNumbers w:val="true"/>
              <w:suppressAutoHyphens w:val="true"/>
              <w:spacing w:before="6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- z toho: Združenie obchodu a cestovného ruchu SR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6 640</w:t>
            </w:r>
          </w:p>
        </w:tc>
        <w:tc>
          <w:tcPr>
            <w:tcW w:w="30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6 640</w:t>
            </w:r>
          </w:p>
        </w:tc>
      </w:tr>
    </w:tbl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"/>
        </w:numPr>
        <w:suppressLineNumbers w:val="true"/>
        <w:tabs>
          <w:tab w:val="left" w:pos="851" w:leader="none"/>
        </w:tabs>
        <w:suppressAutoHyphens w:val="true"/>
        <w:spacing w:before="240" w:after="60" w:line="240"/>
        <w:ind w:right="0" w:left="680" w:hanging="113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Zmeny vlastných zdrojov v priebehu bežného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čtovného obdobia</w:t>
      </w:r>
    </w:p>
    <w:tbl>
      <w:tblPr>
        <w:tblInd w:w="28" w:type="dxa"/>
      </w:tblPr>
      <w:tblGrid>
        <w:gridCol w:w="3123"/>
        <w:gridCol w:w="1417"/>
        <w:gridCol w:w="1276"/>
        <w:gridCol w:w="1276"/>
        <w:gridCol w:w="1049"/>
        <w:gridCol w:w="1534"/>
      </w:tblGrid>
      <w:tr>
        <w:trPr>
          <w:trHeight w:val="1" w:hRule="atLeast"/>
          <w:jc w:val="left"/>
        </w:trPr>
        <w:tc>
          <w:tcPr>
            <w:tcW w:w="31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Stav na za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čiatku bežného účtovného obdobia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Prírastky (+) 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Úbytky (-)</w:t>
            </w:r>
          </w:p>
        </w:tc>
        <w:tc>
          <w:tcPr>
            <w:tcW w:w="10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Presuny (+/-)</w:t>
            </w:r>
          </w:p>
        </w:tc>
        <w:tc>
          <w:tcPr>
            <w:tcW w:w="1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Stav na konci bežného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</w:tr>
      <w:tr>
        <w:trPr>
          <w:trHeight w:val="157" w:hRule="auto"/>
          <w:jc w:val="left"/>
        </w:trPr>
        <w:tc>
          <w:tcPr>
            <w:tcW w:w="9675" w:type="dxa"/>
            <w:gridSpan w:val="6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60" w:after="6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Imanie a fondy</w:t>
            </w:r>
          </w:p>
        </w:tc>
      </w:tr>
      <w:tr>
        <w:trPr>
          <w:trHeight w:val="264" w:hRule="auto"/>
          <w:jc w:val="left"/>
        </w:trPr>
        <w:tc>
          <w:tcPr>
            <w:tcW w:w="31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60" w:after="6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Základné imanie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6 640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6 640</w:t>
            </w:r>
          </w:p>
        </w:tc>
      </w:tr>
      <w:tr>
        <w:trPr>
          <w:trHeight w:val="223" w:hRule="auto"/>
          <w:jc w:val="left"/>
        </w:trPr>
        <w:tc>
          <w:tcPr>
            <w:tcW w:w="31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z toho: nada</w:t>
            </w:r>
            <w:r>
              <w:rPr>
                <w:rFonts w:ascii="Times New Roman" w:hAnsi="Times New Roman" w:cs="Times New Roman" w:eastAsia="Times New Roman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čné imanie v nadácii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6 640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6 640</w:t>
            </w:r>
          </w:p>
        </w:tc>
      </w:tr>
      <w:tr>
        <w:trPr>
          <w:trHeight w:val="228" w:hRule="auto"/>
          <w:jc w:val="left"/>
        </w:trPr>
        <w:tc>
          <w:tcPr>
            <w:tcW w:w="31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     vklady zakladate</w:t>
            </w:r>
            <w:r>
              <w:rPr>
                <w:rFonts w:ascii="Times New Roman" w:hAnsi="Times New Roman" w:cs="Times New Roman" w:eastAsia="Times New Roman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ľov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92" w:hRule="auto"/>
          <w:jc w:val="left"/>
        </w:trPr>
        <w:tc>
          <w:tcPr>
            <w:tcW w:w="31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     prioritný majetok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0" w:hRule="auto"/>
          <w:jc w:val="left"/>
        </w:trPr>
        <w:tc>
          <w:tcPr>
            <w:tcW w:w="31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60" w:after="6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Fondy tvorené pod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ľa osobitného predpisu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39" w:hRule="auto"/>
          <w:jc w:val="left"/>
        </w:trPr>
        <w:tc>
          <w:tcPr>
            <w:tcW w:w="31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60" w:after="6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Fond reprodukcie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31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Oce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ňovacie rozdiely z precenenia  majetku a záväzkov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31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Oce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ňovacie rozdiely z precenenia kapitálových účastín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02" w:hRule="auto"/>
          <w:jc w:val="left"/>
        </w:trPr>
        <w:tc>
          <w:tcPr>
            <w:tcW w:w="9675" w:type="dxa"/>
            <w:gridSpan w:val="6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Fondy zo zisku</w:t>
            </w:r>
          </w:p>
        </w:tc>
      </w:tr>
      <w:tr>
        <w:trPr>
          <w:trHeight w:val="366" w:hRule="auto"/>
          <w:jc w:val="left"/>
        </w:trPr>
        <w:tc>
          <w:tcPr>
            <w:tcW w:w="31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60" w:after="6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Rezervný fond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84" w:hRule="auto"/>
          <w:jc w:val="left"/>
        </w:trPr>
        <w:tc>
          <w:tcPr>
            <w:tcW w:w="31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60" w:after="6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Fondy tvorené zo zisku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87" w:hRule="auto"/>
          <w:jc w:val="left"/>
        </w:trPr>
        <w:tc>
          <w:tcPr>
            <w:tcW w:w="31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60" w:after="6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fondy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89" w:hRule="auto"/>
          <w:jc w:val="left"/>
        </w:trPr>
        <w:tc>
          <w:tcPr>
            <w:tcW w:w="31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Nevysporiadaný výsledok          hospodárenia minulých rokov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6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7 933</w:t>
            </w:r>
          </w:p>
        </w:tc>
        <w:tc>
          <w:tcPr>
            <w:tcW w:w="1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7 939</w:t>
            </w:r>
          </w:p>
        </w:tc>
      </w:tr>
      <w:tr>
        <w:trPr>
          <w:trHeight w:val="330" w:hRule="auto"/>
          <w:jc w:val="left"/>
        </w:trPr>
        <w:tc>
          <w:tcPr>
            <w:tcW w:w="31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Výsledok hospodárenia za                    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 obdobie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7 933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10 005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-7 933</w:t>
            </w:r>
          </w:p>
        </w:tc>
        <w:tc>
          <w:tcPr>
            <w:tcW w:w="1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10 005</w:t>
            </w:r>
          </w:p>
        </w:tc>
      </w:tr>
      <w:tr>
        <w:trPr>
          <w:trHeight w:val="155" w:hRule="auto"/>
          <w:jc w:val="left"/>
        </w:trPr>
        <w:tc>
          <w:tcPr>
            <w:tcW w:w="31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60" w:after="6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14 579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10 005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6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  <w:tc>
          <w:tcPr>
            <w:tcW w:w="1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24 584</w:t>
            </w:r>
          </w:p>
        </w:tc>
      </w:tr>
    </w:tbl>
    <w:p>
      <w:pPr>
        <w:numPr>
          <w:ilvl w:val="0"/>
          <w:numId w:val="126"/>
        </w:numPr>
        <w:suppressLineNumbers w:val="true"/>
        <w:tabs>
          <w:tab w:val="left" w:pos="851" w:leader="none"/>
        </w:tabs>
        <w:suppressAutoHyphens w:val="true"/>
        <w:spacing w:before="240" w:after="60" w:line="240"/>
        <w:ind w:right="0" w:left="851" w:hanging="22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"/>
        </w:numPr>
        <w:suppressLineNumbers w:val="true"/>
        <w:tabs>
          <w:tab w:val="left" w:pos="851" w:leader="none"/>
        </w:tabs>
        <w:suppressAutoHyphens w:val="true"/>
        <w:spacing w:before="240" w:after="60" w:line="240"/>
        <w:ind w:right="0" w:left="85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informácia o rozdelení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čtovného zisku vykázaného v minulom účtovnom období</w:t>
      </w:r>
    </w:p>
    <w:tbl>
      <w:tblPr>
        <w:tblInd w:w="28" w:type="dxa"/>
      </w:tblPr>
      <w:tblGrid>
        <w:gridCol w:w="7249"/>
        <w:gridCol w:w="2474"/>
      </w:tblGrid>
      <w:tr>
        <w:trPr>
          <w:trHeight w:val="417" w:hRule="auto"/>
          <w:jc w:val="left"/>
        </w:trPr>
        <w:tc>
          <w:tcPr>
            <w:tcW w:w="7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Názov položky</w:t>
            </w:r>
          </w:p>
        </w:tc>
        <w:tc>
          <w:tcPr>
            <w:tcW w:w="24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left"/>
        </w:trPr>
        <w:tc>
          <w:tcPr>
            <w:tcW w:w="7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čtovný zisk</w:t>
            </w:r>
          </w:p>
        </w:tc>
        <w:tc>
          <w:tcPr>
            <w:tcW w:w="24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7 933</w:t>
            </w:r>
          </w:p>
        </w:tc>
      </w:tr>
      <w:tr>
        <w:trPr>
          <w:trHeight w:val="330" w:hRule="auto"/>
          <w:jc w:val="left"/>
        </w:trPr>
        <w:tc>
          <w:tcPr>
            <w:tcW w:w="7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Rozdelenie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zisku</w:t>
            </w:r>
          </w:p>
        </w:tc>
        <w:tc>
          <w:tcPr>
            <w:tcW w:w="24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left"/>
        </w:trPr>
        <w:tc>
          <w:tcPr>
            <w:tcW w:w="7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Prídel do základného imania</w:t>
            </w:r>
          </w:p>
        </w:tc>
        <w:tc>
          <w:tcPr>
            <w:tcW w:w="24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7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Prídel do fondu tvoreného pod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ľa osobitného predpisu</w:t>
            </w:r>
          </w:p>
        </w:tc>
        <w:tc>
          <w:tcPr>
            <w:tcW w:w="24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7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Prídel do fondu reprodukcie</w:t>
            </w:r>
          </w:p>
        </w:tc>
        <w:tc>
          <w:tcPr>
            <w:tcW w:w="24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7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Prídel do rezervného fondu</w:t>
            </w:r>
          </w:p>
        </w:tc>
        <w:tc>
          <w:tcPr>
            <w:tcW w:w="24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7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Prídel do fondu tvoreného zo zisku</w:t>
            </w:r>
          </w:p>
        </w:tc>
        <w:tc>
          <w:tcPr>
            <w:tcW w:w="24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7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Prídel do ostatných fondov</w:t>
            </w:r>
          </w:p>
        </w:tc>
        <w:tc>
          <w:tcPr>
            <w:tcW w:w="24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7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Úhrada straty minulých období</w:t>
            </w:r>
          </w:p>
        </w:tc>
        <w:tc>
          <w:tcPr>
            <w:tcW w:w="24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7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Prevod do sociálneho fondu</w:t>
            </w:r>
          </w:p>
        </w:tc>
        <w:tc>
          <w:tcPr>
            <w:tcW w:w="24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7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Prevod do nevysporiadaného výsledku hospodárenia minulých rokov</w:t>
            </w:r>
          </w:p>
        </w:tc>
        <w:tc>
          <w:tcPr>
            <w:tcW w:w="24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7 933</w:t>
            </w:r>
          </w:p>
        </w:tc>
      </w:tr>
    </w:tbl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7"/>
        </w:numPr>
        <w:suppressLineNumbers w:val="true"/>
        <w:tabs>
          <w:tab w:val="left" w:pos="567" w:leader="none"/>
        </w:tabs>
        <w:suppressAutoHyphens w:val="true"/>
        <w:spacing w:before="360" w:after="120" w:line="240"/>
        <w:ind w:right="0" w:left="568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Opis a výška cudzích zdrojov</w:t>
      </w:r>
    </w:p>
    <w:p>
      <w:pPr>
        <w:numPr>
          <w:ilvl w:val="0"/>
          <w:numId w:val="167"/>
        </w:numPr>
        <w:suppressLineNumbers w:val="true"/>
        <w:tabs>
          <w:tab w:val="left" w:pos="851" w:leader="none"/>
        </w:tabs>
        <w:suppressAutoHyphens w:val="true"/>
        <w:spacing w:before="240" w:after="60" w:line="240"/>
        <w:ind w:right="0" w:left="85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tvorba a použitie rezerv</w:t>
      </w:r>
    </w:p>
    <w:tbl>
      <w:tblPr>
        <w:tblInd w:w="28" w:type="dxa"/>
      </w:tblPr>
      <w:tblGrid>
        <w:gridCol w:w="3392"/>
        <w:gridCol w:w="1416"/>
        <w:gridCol w:w="1222"/>
        <w:gridCol w:w="1197"/>
        <w:gridCol w:w="1197"/>
        <w:gridCol w:w="1200"/>
      </w:tblGrid>
      <w:tr>
        <w:trPr>
          <w:trHeight w:val="345" w:hRule="auto"/>
          <w:jc w:val="left"/>
        </w:trPr>
        <w:tc>
          <w:tcPr>
            <w:tcW w:w="33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Druh rezervy</w:t>
            </w:r>
          </w:p>
        </w:tc>
        <w:tc>
          <w:tcPr>
            <w:tcW w:w="14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za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čiatku bežného účtovného obdobia </w:t>
            </w:r>
          </w:p>
        </w:tc>
        <w:tc>
          <w:tcPr>
            <w:tcW w:w="12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Tvorba rezerv</w:t>
            </w:r>
          </w:p>
        </w:tc>
        <w:tc>
          <w:tcPr>
            <w:tcW w:w="1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Použitie rezerv</w:t>
            </w:r>
          </w:p>
        </w:tc>
        <w:tc>
          <w:tcPr>
            <w:tcW w:w="1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Zrušenie alebo zníženie rezerv</w:t>
            </w:r>
          </w:p>
        </w:tc>
        <w:tc>
          <w:tcPr>
            <w:tcW w:w="12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 na konci bežného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</w:tr>
      <w:tr>
        <w:trPr>
          <w:trHeight w:val="345" w:hRule="auto"/>
          <w:jc w:val="left"/>
        </w:trPr>
        <w:tc>
          <w:tcPr>
            <w:tcW w:w="33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Rezerva na audit</w:t>
            </w:r>
          </w:p>
        </w:tc>
        <w:tc>
          <w:tcPr>
            <w:tcW w:w="14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100</w:t>
            </w:r>
          </w:p>
        </w:tc>
        <w:tc>
          <w:tcPr>
            <w:tcW w:w="1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100</w:t>
            </w:r>
          </w:p>
        </w:tc>
      </w:tr>
      <w:tr>
        <w:trPr>
          <w:trHeight w:val="345" w:hRule="auto"/>
          <w:jc w:val="left"/>
        </w:trPr>
        <w:tc>
          <w:tcPr>
            <w:tcW w:w="33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Rezerva na vedenie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čtovníctva</w:t>
            </w:r>
          </w:p>
        </w:tc>
        <w:tc>
          <w:tcPr>
            <w:tcW w:w="14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80</w:t>
            </w:r>
          </w:p>
        </w:tc>
        <w:tc>
          <w:tcPr>
            <w:tcW w:w="1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80</w:t>
            </w:r>
          </w:p>
        </w:tc>
      </w:tr>
      <w:tr>
        <w:trPr>
          <w:trHeight w:val="197" w:hRule="auto"/>
          <w:jc w:val="left"/>
        </w:trPr>
        <w:tc>
          <w:tcPr>
            <w:tcW w:w="33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Zákonné rezervy spolu</w:t>
            </w:r>
          </w:p>
        </w:tc>
        <w:tc>
          <w:tcPr>
            <w:tcW w:w="14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180</w:t>
            </w:r>
          </w:p>
        </w:tc>
        <w:tc>
          <w:tcPr>
            <w:tcW w:w="1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180</w:t>
            </w:r>
          </w:p>
        </w:tc>
      </w:tr>
      <w:tr>
        <w:trPr>
          <w:trHeight w:val="330" w:hRule="auto"/>
          <w:jc w:val="left"/>
        </w:trPr>
        <w:tc>
          <w:tcPr>
            <w:tcW w:w="33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rezervy spolu</w:t>
            </w:r>
          </w:p>
        </w:tc>
        <w:tc>
          <w:tcPr>
            <w:tcW w:w="14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339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Rezervy spolu</w:t>
            </w:r>
          </w:p>
        </w:tc>
        <w:tc>
          <w:tcPr>
            <w:tcW w:w="14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180</w:t>
            </w:r>
          </w:p>
        </w:tc>
        <w:tc>
          <w:tcPr>
            <w:tcW w:w="1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180</w:t>
            </w:r>
          </w:p>
        </w:tc>
      </w:tr>
    </w:tbl>
    <w:p>
      <w:pPr>
        <w:numPr>
          <w:ilvl w:val="0"/>
          <w:numId w:val="195"/>
        </w:numPr>
        <w:suppressLineNumbers w:val="true"/>
        <w:tabs>
          <w:tab w:val="left" w:pos="851" w:leader="none"/>
        </w:tabs>
        <w:suppressAutoHyphens w:val="true"/>
        <w:spacing w:before="360" w:after="60" w:line="240"/>
        <w:ind w:right="0" w:left="851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preh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ľad o výške záväzkov do lehoty splatnosti a po lehote splatnosti a podľa zostatkovej doby splatnosti</w:t>
      </w:r>
    </w:p>
    <w:tbl>
      <w:tblPr>
        <w:tblInd w:w="28" w:type="dxa"/>
      </w:tblPr>
      <w:tblGrid>
        <w:gridCol w:w="6124"/>
        <w:gridCol w:w="1702"/>
        <w:gridCol w:w="1897"/>
      </w:tblGrid>
      <w:tr>
        <w:trPr>
          <w:trHeight w:val="367" w:hRule="auto"/>
          <w:jc w:val="left"/>
        </w:trPr>
        <w:tc>
          <w:tcPr>
            <w:tcW w:w="61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Názov položky</w:t>
            </w:r>
          </w:p>
        </w:tc>
        <w:tc>
          <w:tcPr>
            <w:tcW w:w="1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 obdobie</w:t>
            </w:r>
          </w:p>
        </w:tc>
        <w:tc>
          <w:tcPr>
            <w:tcW w:w="18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 obdobie</w:t>
            </w:r>
          </w:p>
        </w:tc>
      </w:tr>
      <w:tr>
        <w:trPr>
          <w:trHeight w:val="186" w:hRule="auto"/>
          <w:jc w:val="left"/>
        </w:trPr>
        <w:tc>
          <w:tcPr>
            <w:tcW w:w="61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Záväzky po lehote splatnosti</w:t>
            </w:r>
          </w:p>
        </w:tc>
        <w:tc>
          <w:tcPr>
            <w:tcW w:w="1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86" w:hRule="auto"/>
          <w:jc w:val="left"/>
        </w:trPr>
        <w:tc>
          <w:tcPr>
            <w:tcW w:w="61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Záväzky do lehoty splatnosti so zostatkovou dobou splatnosti do jedného roka</w:t>
            </w:r>
          </w:p>
        </w:tc>
        <w:tc>
          <w:tcPr>
            <w:tcW w:w="1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6</w:t>
            </w:r>
          </w:p>
        </w:tc>
        <w:tc>
          <w:tcPr>
            <w:tcW w:w="18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86" w:hRule="auto"/>
          <w:jc w:val="left"/>
        </w:trPr>
        <w:tc>
          <w:tcPr>
            <w:tcW w:w="61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Krátkodobé záväzky spolu              </w:t>
            </w:r>
          </w:p>
        </w:tc>
        <w:tc>
          <w:tcPr>
            <w:tcW w:w="1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6</w:t>
            </w:r>
          </w:p>
        </w:tc>
        <w:tc>
          <w:tcPr>
            <w:tcW w:w="18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86" w:hRule="auto"/>
          <w:jc w:val="left"/>
        </w:trPr>
        <w:tc>
          <w:tcPr>
            <w:tcW w:w="61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Záväzky so zostatkovou dobou splatnosti od jedného do piatich rokov vrátane</w:t>
            </w:r>
          </w:p>
        </w:tc>
        <w:tc>
          <w:tcPr>
            <w:tcW w:w="1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2" w:hRule="auto"/>
          <w:jc w:val="left"/>
        </w:trPr>
        <w:tc>
          <w:tcPr>
            <w:tcW w:w="61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Záväzky so zostatkovou dobou splatnosti viac ako pä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ť rokov</w:t>
            </w:r>
          </w:p>
        </w:tc>
        <w:tc>
          <w:tcPr>
            <w:tcW w:w="1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6" w:hRule="auto"/>
          <w:jc w:val="left"/>
        </w:trPr>
        <w:tc>
          <w:tcPr>
            <w:tcW w:w="61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Dlhodobé záväzky spolu              </w:t>
            </w:r>
          </w:p>
        </w:tc>
        <w:tc>
          <w:tcPr>
            <w:tcW w:w="1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4" w:hRule="auto"/>
          <w:jc w:val="left"/>
        </w:trPr>
        <w:tc>
          <w:tcPr>
            <w:tcW w:w="61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Krátkodobé a dlhodobé záväzky spolu</w:t>
            </w:r>
          </w:p>
        </w:tc>
        <w:tc>
          <w:tcPr>
            <w:tcW w:w="17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6</w:t>
            </w:r>
          </w:p>
        </w:tc>
        <w:tc>
          <w:tcPr>
            <w:tcW w:w="18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numPr>
          <w:ilvl w:val="0"/>
          <w:numId w:val="224"/>
        </w:numPr>
        <w:suppressLineNumbers w:val="true"/>
        <w:tabs>
          <w:tab w:val="left" w:pos="851" w:leader="none"/>
        </w:tabs>
        <w:suppressAutoHyphens w:val="true"/>
        <w:spacing w:before="0" w:after="60" w:line="240"/>
        <w:ind w:right="0" w:left="851" w:hanging="22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24"/>
        </w:numPr>
        <w:suppressLineNumbers w:val="true"/>
        <w:tabs>
          <w:tab w:val="left" w:pos="851" w:leader="none"/>
        </w:tabs>
        <w:suppressAutoHyphens w:val="true"/>
        <w:spacing w:before="0" w:after="60" w:line="240"/>
        <w:ind w:right="0" w:left="851" w:hanging="22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keepLines w:val="true"/>
        <w:numPr>
          <w:ilvl w:val="0"/>
          <w:numId w:val="226"/>
        </w:numPr>
        <w:tabs>
          <w:tab w:val="left" w:pos="567" w:leader="none"/>
        </w:tabs>
        <w:suppressAutoHyphens w:val="true"/>
        <w:spacing w:before="120" w:after="120" w:line="240"/>
        <w:ind w:right="0" w:left="337" w:hanging="227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keepNext w:val="true"/>
        <w:keepLines w:val="true"/>
        <w:numPr>
          <w:ilvl w:val="0"/>
          <w:numId w:val="226"/>
        </w:numPr>
        <w:tabs>
          <w:tab w:val="left" w:pos="708" w:leader="none"/>
          <w:tab w:val="left" w:pos="567" w:leader="none"/>
        </w:tabs>
        <w:suppressAutoHyphens w:val="true"/>
        <w:spacing w:before="120" w:after="120" w:line="240"/>
        <w:ind w:right="0" w:left="425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Informácie, ktoré dop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ĺňajú a vysvetľujú údaje vo výkaze ziskov a strát </w:t>
      </w:r>
    </w:p>
    <w:p>
      <w:pPr>
        <w:numPr>
          <w:ilvl w:val="0"/>
          <w:numId w:val="226"/>
        </w:numPr>
        <w:suppressLineNumbers w:val="true"/>
        <w:tabs>
          <w:tab w:val="left" w:pos="567" w:leader="none"/>
        </w:tabs>
        <w:suppressAutoHyphens w:val="true"/>
        <w:spacing w:before="240" w:after="120" w:line="240"/>
        <w:ind w:right="0" w:left="568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Opis a 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číslenie hodnoty významných položiek prijatých darov, osobitných výnosov, zákonných poplatkov a iných ostatných výnosov</w:t>
      </w:r>
    </w:p>
    <w:tbl>
      <w:tblPr>
        <w:tblInd w:w="28" w:type="dxa"/>
      </w:tblPr>
      <w:tblGrid>
        <w:gridCol w:w="5131"/>
        <w:gridCol w:w="2127"/>
        <w:gridCol w:w="2465"/>
      </w:tblGrid>
      <w:tr>
        <w:trPr>
          <w:trHeight w:val="230" w:hRule="auto"/>
          <w:jc w:val="left"/>
        </w:trPr>
        <w:tc>
          <w:tcPr>
            <w:tcW w:w="51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 obdobie</w:t>
            </w:r>
          </w:p>
        </w:tc>
        <w:tc>
          <w:tcPr>
            <w:tcW w:w="24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Bezprostredne predchádzajúce         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left"/>
        </w:trPr>
        <w:tc>
          <w:tcPr>
            <w:tcW w:w="51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Príspevky z podielu zaplatenej dane</w:t>
            </w: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21 104</w:t>
            </w:r>
          </w:p>
        </w:tc>
        <w:tc>
          <w:tcPr>
            <w:tcW w:w="24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12 495</w:t>
            </w:r>
          </w:p>
        </w:tc>
      </w:tr>
      <w:tr>
        <w:trPr>
          <w:trHeight w:val="330" w:hRule="auto"/>
          <w:jc w:val="left"/>
        </w:trPr>
        <w:tc>
          <w:tcPr>
            <w:tcW w:w="51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Úroky</w:t>
            </w: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2</w:t>
            </w:r>
          </w:p>
        </w:tc>
        <w:tc>
          <w:tcPr>
            <w:tcW w:w="24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</w:p>
        </w:tc>
      </w:tr>
    </w:tbl>
    <w:p>
      <w:pPr>
        <w:numPr>
          <w:ilvl w:val="0"/>
          <w:numId w:val="239"/>
        </w:numPr>
        <w:suppressLineNumbers w:val="true"/>
        <w:tabs>
          <w:tab w:val="left" w:pos="567" w:leader="none"/>
        </w:tabs>
        <w:suppressAutoHyphens w:val="true"/>
        <w:spacing w:before="240" w:after="120" w:line="240"/>
        <w:ind w:right="0" w:left="568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Opis a 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číslenie hodnoty významných položiek nákladov, nákladov na ostatné služby, osobitných nákladov a iných ostatných nákladov </w:t>
      </w:r>
    </w:p>
    <w:tbl>
      <w:tblPr>
        <w:tblInd w:w="28" w:type="dxa"/>
      </w:tblPr>
      <w:tblGrid>
        <w:gridCol w:w="5131"/>
        <w:gridCol w:w="2127"/>
        <w:gridCol w:w="2465"/>
      </w:tblGrid>
      <w:tr>
        <w:trPr>
          <w:trHeight w:val="230" w:hRule="auto"/>
          <w:jc w:val="left"/>
        </w:trPr>
        <w:tc>
          <w:tcPr>
            <w:tcW w:w="51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Náklady</w:t>
            </w: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 obdobie</w:t>
            </w:r>
          </w:p>
        </w:tc>
        <w:tc>
          <w:tcPr>
            <w:tcW w:w="24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Bezprostredne predchádzajúce         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left"/>
        </w:trPr>
        <w:tc>
          <w:tcPr>
            <w:tcW w:w="51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Náklady na ostatné služby</w:t>
            </w: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11 061</w:t>
            </w:r>
          </w:p>
        </w:tc>
        <w:tc>
          <w:tcPr>
            <w:tcW w:w="24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4 546</w:t>
            </w:r>
          </w:p>
        </w:tc>
      </w:tr>
      <w:tr>
        <w:trPr>
          <w:trHeight w:val="330" w:hRule="auto"/>
          <w:jc w:val="left"/>
        </w:trPr>
        <w:tc>
          <w:tcPr>
            <w:tcW w:w="51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Iné ostatné náklady</w:t>
            </w: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41</w:t>
            </w:r>
          </w:p>
        </w:tc>
        <w:tc>
          <w:tcPr>
            <w:tcW w:w="24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17</w:t>
            </w:r>
          </w:p>
        </w:tc>
      </w:tr>
    </w:tbl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51"/>
        </w:numPr>
        <w:suppressLineNumbers w:val="true"/>
        <w:tabs>
          <w:tab w:val="left" w:pos="567" w:leader="none"/>
        </w:tabs>
        <w:suppressAutoHyphens w:val="true"/>
        <w:spacing w:before="240" w:after="120" w:line="240"/>
        <w:ind w:right="0" w:left="568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Preh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ľad o účele  a výške použitia podielu zaplatenej dane za bežné účtovné obdobie</w:t>
      </w:r>
    </w:p>
    <w:tbl>
      <w:tblPr>
        <w:tblInd w:w="28" w:type="dxa"/>
      </w:tblPr>
      <w:tblGrid>
        <w:gridCol w:w="5131"/>
        <w:gridCol w:w="2127"/>
        <w:gridCol w:w="2465"/>
      </w:tblGrid>
      <w:tr>
        <w:trPr>
          <w:trHeight w:val="230" w:hRule="auto"/>
          <w:jc w:val="left"/>
        </w:trPr>
        <w:tc>
          <w:tcPr>
            <w:tcW w:w="51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čel použitia podielu zaplatenej dane</w:t>
            </w: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Použitá suma z bezprostredne predchádzajúceho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  <w:tc>
          <w:tcPr>
            <w:tcW w:w="24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Použitá suma bežného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</w:tr>
      <w:tr>
        <w:trPr>
          <w:trHeight w:val="330" w:hRule="auto"/>
          <w:jc w:val="left"/>
        </w:trPr>
        <w:tc>
          <w:tcPr>
            <w:tcW w:w="51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Organizovanie vzdelávacích podujatí</w:t>
            </w: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10 800</w:t>
            </w:r>
          </w:p>
        </w:tc>
      </w:tr>
      <w:tr>
        <w:trPr>
          <w:trHeight w:val="330" w:hRule="auto"/>
          <w:jc w:val="left"/>
        </w:trPr>
        <w:tc>
          <w:tcPr>
            <w:tcW w:w="51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725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Zostatok podielu zaplatenej dane bežného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čtovného obdobia</w:t>
            </w:r>
          </w:p>
        </w:tc>
        <w:tc>
          <w:tcPr>
            <w:tcW w:w="24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cc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10 304</w:t>
            </w:r>
          </w:p>
        </w:tc>
      </w:tr>
    </w:tbl>
    <w:p>
      <w:pPr>
        <w:numPr>
          <w:ilvl w:val="0"/>
          <w:numId w:val="266"/>
        </w:numPr>
        <w:suppressLineNumbers w:val="true"/>
        <w:tabs>
          <w:tab w:val="left" w:pos="567" w:leader="none"/>
        </w:tabs>
        <w:suppressAutoHyphens w:val="true"/>
        <w:spacing w:before="240" w:after="120" w:line="240"/>
        <w:ind w:right="0" w:left="568" w:hanging="22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</w:p>
    <w:p>
      <w:pPr>
        <w:numPr>
          <w:ilvl w:val="0"/>
          <w:numId w:val="266"/>
        </w:numPr>
        <w:suppressLineNumbers w:val="true"/>
        <w:tabs>
          <w:tab w:val="left" w:pos="567" w:leader="none"/>
        </w:tabs>
        <w:suppressAutoHyphens w:val="true"/>
        <w:spacing w:before="240" w:after="120" w:line="240"/>
        <w:ind w:right="0" w:left="568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Náklady vynaložené v súvislosti s auditom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čtovnej závierky za bežné účtovné obdobie </w:t>
      </w:r>
    </w:p>
    <w:tbl>
      <w:tblPr>
        <w:tblInd w:w="28" w:type="dxa"/>
      </w:tblPr>
      <w:tblGrid>
        <w:gridCol w:w="5131"/>
        <w:gridCol w:w="2157"/>
      </w:tblGrid>
      <w:tr>
        <w:trPr>
          <w:trHeight w:val="375" w:hRule="auto"/>
          <w:jc w:val="left"/>
        </w:trPr>
        <w:tc>
          <w:tcPr>
            <w:tcW w:w="51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Jednotlivé druhy nákladov za</w:t>
            </w:r>
          </w:p>
        </w:tc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Suma</w:t>
            </w:r>
          </w:p>
        </w:tc>
      </w:tr>
      <w:tr>
        <w:trPr>
          <w:trHeight w:val="330" w:hRule="auto"/>
          <w:jc w:val="left"/>
        </w:trPr>
        <w:tc>
          <w:tcPr>
            <w:tcW w:w="51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Overenie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čtovnej závierky</w:t>
            </w:r>
          </w:p>
        </w:tc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100</w:t>
            </w:r>
          </w:p>
        </w:tc>
      </w:tr>
      <w:tr>
        <w:trPr>
          <w:trHeight w:val="330" w:hRule="auto"/>
          <w:jc w:val="left"/>
        </w:trPr>
        <w:tc>
          <w:tcPr>
            <w:tcW w:w="51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Uis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ťovacie audítorské služby okrem auditu účtovnej závierky </w:t>
            </w:r>
          </w:p>
        </w:tc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51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Súvisiace audítorské služby</w:t>
            </w:r>
          </w:p>
        </w:tc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51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Da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ňové poradenstvo</w:t>
            </w:r>
          </w:p>
        </w:tc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51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neaudítorské služby</w:t>
            </w:r>
          </w:p>
        </w:tc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51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21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28" w:type="dxa"/>
              <w:right w:w="28" w:type="dxa"/>
            </w:tcMar>
            <w:vAlign w:val="center"/>
          </w:tcPr>
          <w:p>
            <w:pPr>
              <w:suppressLineNumbers w:val="true"/>
              <w:suppressAutoHyphens w:val="true"/>
              <w:spacing w:before="60" w:after="0" w:line="240"/>
              <w:ind w:right="28" w:left="0" w:firstLine="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100</w:t>
            </w:r>
          </w:p>
        </w:tc>
      </w:tr>
    </w:tbl>
    <w:p>
      <w:pPr>
        <w:keepNext w:val="true"/>
        <w:keepLines w:val="true"/>
        <w:numPr>
          <w:ilvl w:val="0"/>
          <w:numId w:val="291"/>
        </w:numPr>
        <w:tabs>
          <w:tab w:val="left" w:pos="567" w:leader="none"/>
        </w:tabs>
        <w:suppressAutoHyphens w:val="true"/>
        <w:spacing w:before="120" w:after="120" w:line="240"/>
        <w:ind w:right="0" w:left="425" w:hanging="227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91"/>
        </w:numPr>
        <w:suppressLineNumbers w:val="true"/>
        <w:tabs>
          <w:tab w:val="left" w:pos="0" w:leader="none"/>
        </w:tabs>
        <w:suppressAutoHyphens w:val="true"/>
        <w:spacing w:before="120" w:after="60" w:line="240"/>
        <w:ind w:right="0" w:left="3063" w:hanging="22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keepLines w:val="true"/>
        <w:numPr>
          <w:ilvl w:val="0"/>
          <w:numId w:val="294"/>
        </w:numPr>
        <w:tabs>
          <w:tab w:val="left" w:pos="708" w:leader="none"/>
          <w:tab w:val="left" w:pos="567" w:leader="none"/>
        </w:tabs>
        <w:suppressAutoHyphens w:val="true"/>
        <w:spacing w:before="120" w:after="120" w:line="240"/>
        <w:ind w:right="0" w:left="425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Opis údajov na podsúvahových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čtoch</w:t>
      </w:r>
    </w:p>
    <w:p>
      <w:pPr>
        <w:numPr>
          <w:ilvl w:val="0"/>
          <w:numId w:val="294"/>
        </w:numPr>
        <w:suppressLineNumbers w:val="true"/>
        <w:tabs>
          <w:tab w:val="left" w:pos="0" w:leader="none"/>
        </w:tabs>
        <w:suppressAutoHyphens w:val="true"/>
        <w:spacing w:before="120" w:after="60" w:line="240"/>
        <w:ind w:right="0" w:left="567" w:hanging="22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čtovná jednotka neeviduje žiadny majetok ani záväzky na podsúvahových účtoch</w:t>
      </w:r>
    </w:p>
    <w:p>
      <w:pPr>
        <w:keepNext w:val="true"/>
        <w:keepLines w:val="true"/>
        <w:numPr>
          <w:ilvl w:val="0"/>
          <w:numId w:val="294"/>
        </w:numPr>
        <w:tabs>
          <w:tab w:val="left" w:pos="708" w:leader="none"/>
          <w:tab w:val="left" w:pos="567" w:leader="none"/>
        </w:tabs>
        <w:suppressAutoHyphens w:val="true"/>
        <w:spacing w:before="360" w:after="120" w:line="240"/>
        <w:ind w:right="0" w:left="425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Ďalšie informácie</w:t>
      </w:r>
    </w:p>
    <w:p>
      <w:pPr>
        <w:numPr>
          <w:ilvl w:val="0"/>
          <w:numId w:val="294"/>
        </w:numPr>
        <w:suppressLineNumbers w:val="true"/>
        <w:tabs>
          <w:tab w:val="left" w:pos="567" w:leader="none"/>
        </w:tabs>
        <w:suppressAutoHyphens w:val="true"/>
        <w:spacing w:before="240" w:after="120" w:line="240"/>
        <w:ind w:right="0" w:left="568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čtovná jednotka nemá žiadne iné aktíva (podmienený majetok).</w:t>
      </w:r>
    </w:p>
    <w:p>
      <w:pPr>
        <w:numPr>
          <w:ilvl w:val="0"/>
          <w:numId w:val="294"/>
        </w:numPr>
        <w:suppressLineNumbers w:val="true"/>
        <w:tabs>
          <w:tab w:val="left" w:pos="567" w:leader="none"/>
        </w:tabs>
        <w:suppressAutoHyphens w:val="true"/>
        <w:spacing w:before="120" w:after="120" w:line="240"/>
        <w:ind w:right="0" w:left="568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čtovná jednotka nemá žiadne iné pasíva (podmienené záväzky).</w:t>
      </w:r>
    </w:p>
    <w:p>
      <w:pPr>
        <w:numPr>
          <w:ilvl w:val="0"/>
          <w:numId w:val="294"/>
        </w:numPr>
        <w:suppressLineNumbers w:val="true"/>
        <w:tabs>
          <w:tab w:val="left" w:pos="567" w:leader="none"/>
        </w:tabs>
        <w:suppressAutoHyphens w:val="true"/>
        <w:spacing w:before="120" w:after="120" w:line="240"/>
        <w:ind w:right="0" w:left="568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čtovná jednotka nemá žiadne iné finančné povinnosti, ktoré sa nesledujú v súvahe.</w:t>
      </w:r>
    </w:p>
    <w:p>
      <w:pPr>
        <w:numPr>
          <w:ilvl w:val="0"/>
          <w:numId w:val="294"/>
        </w:numPr>
        <w:suppressLineNumbers w:val="true"/>
        <w:tabs>
          <w:tab w:val="left" w:pos="567" w:leader="none"/>
        </w:tabs>
        <w:suppressAutoHyphens w:val="true"/>
        <w:spacing w:before="120" w:after="120" w:line="240"/>
        <w:ind w:right="0" w:left="568" w:hanging="284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čtovná jednotka nemá vo vlastníctve ani v správe žiadne nehnuteľné kultúrne pamiatky.</w:t>
      </w:r>
    </w:p>
    <w:p>
      <w:pPr>
        <w:keepNext w:val="true"/>
        <w:keepLines w:val="true"/>
        <w:numPr>
          <w:ilvl w:val="0"/>
          <w:numId w:val="294"/>
        </w:numPr>
        <w:tabs>
          <w:tab w:val="left" w:pos="708" w:leader="none"/>
          <w:tab w:val="left" w:pos="567" w:leader="none"/>
        </w:tabs>
        <w:suppressAutoHyphens w:val="true"/>
        <w:spacing w:before="360" w:after="120" w:line="240"/>
        <w:ind w:right="0" w:left="425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Nasledujúce udalosti po dni, ku ktorému sa zostavuje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čtovná závierka</w:t>
      </w:r>
    </w:p>
    <w:p>
      <w:pPr>
        <w:numPr>
          <w:ilvl w:val="0"/>
          <w:numId w:val="294"/>
        </w:numPr>
        <w:suppressLineNumbers w:val="true"/>
        <w:tabs>
          <w:tab w:val="left" w:pos="567" w:leader="none"/>
        </w:tabs>
        <w:suppressAutoHyphens w:val="true"/>
        <w:spacing w:before="120" w:after="120" w:line="240"/>
        <w:ind w:right="0" w:left="568" w:hanging="22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Od 11.2.2016 je správcom nadácie Mgr.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Ľubica Schulczová</w:t>
      </w:r>
    </w:p>
    <w:p>
      <w:pPr>
        <w:numPr>
          <w:ilvl w:val="0"/>
          <w:numId w:val="294"/>
        </w:numPr>
        <w:suppressLineNumbers w:val="true"/>
        <w:tabs>
          <w:tab w:val="left" w:pos="567" w:leader="none"/>
        </w:tabs>
        <w:suppressAutoHyphens w:val="true"/>
        <w:spacing w:before="120" w:after="120" w:line="240"/>
        <w:ind w:right="0" w:left="568" w:hanging="227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Po dni, ku ktorému sa zostavuje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čtovná závierka a do zostavenia účtovnej závierky nenastali v účtovnej jednotke žiadne udalosti, ktoré by významným spôsobom ovplyvnili aktíva a pasíva účtovnej jednotky.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num w:numId="1">
    <w:abstractNumId w:val="108"/>
  </w:num>
  <w:num w:numId="3">
    <w:abstractNumId w:val="102"/>
  </w:num>
  <w:num w:numId="6">
    <w:abstractNumId w:val="96"/>
  </w:num>
  <w:num w:numId="29">
    <w:abstractNumId w:val="90"/>
  </w:num>
  <w:num w:numId="33">
    <w:abstractNumId w:val="84"/>
  </w:num>
  <w:num w:numId="35">
    <w:abstractNumId w:val="78"/>
  </w:num>
  <w:num w:numId="46">
    <w:abstractNumId w:val="72"/>
  </w:num>
  <w:num w:numId="60">
    <w:abstractNumId w:val="66"/>
  </w:num>
  <w:num w:numId="126">
    <w:abstractNumId w:val="60"/>
  </w:num>
  <w:num w:numId="128">
    <w:abstractNumId w:val="54"/>
  </w:num>
  <w:num w:numId="167">
    <w:abstractNumId w:val="48"/>
  </w:num>
  <w:num w:numId="195">
    <w:abstractNumId w:val="42"/>
  </w:num>
  <w:num w:numId="224">
    <w:abstractNumId w:val="36"/>
  </w:num>
  <w:num w:numId="226">
    <w:abstractNumId w:val="30"/>
  </w:num>
  <w:num w:numId="239">
    <w:abstractNumId w:val="24"/>
  </w:num>
  <w:num w:numId="251">
    <w:abstractNumId w:val="18"/>
  </w:num>
  <w:num w:numId="266">
    <w:abstractNumId w:val="12"/>
  </w:num>
  <w:num w:numId="291">
    <w:abstractNumId w:val="6"/>
  </w:num>
  <w:num w:numId="29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