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uppressLineNumbers w:val="true"/>
        <w:tabs>
          <w:tab w:val="left" w:pos="567" w:leader="none"/>
        </w:tabs>
        <w:suppressAutoHyphens w:val="true"/>
        <w:spacing w:before="360" w:after="60" w:line="240"/>
        <w:ind w:right="0" w:left="284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Názov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čtovnej jednotky: </w:t>
        <w:tab/>
        <w:tab/>
        <w:t xml:space="preserve">Nadácia Dobrý obchodník</w:t>
      </w:r>
    </w:p>
    <w:p>
      <w:pPr>
        <w:suppressAutoHyphens w:val="true"/>
        <w:spacing w:before="60" w:after="0" w:line="240"/>
        <w:ind w:right="0" w:left="28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Bajkalská 25, 827 18 Bratislava</w:t>
      </w:r>
    </w:p>
    <w:p>
      <w:pPr>
        <w:keepNext w:val="true"/>
        <w:keepLines w:val="true"/>
        <w:numPr>
          <w:ilvl w:val="0"/>
          <w:numId w:val="3"/>
        </w:numPr>
        <w:suppressLineNumbers w:val="true"/>
        <w:tabs>
          <w:tab w:val="left" w:pos="708" w:leader="none"/>
          <w:tab w:val="left" w:pos="567" w:leader="none"/>
        </w:tabs>
        <w:suppressAutoHyphens w:val="true"/>
        <w:spacing w:before="360" w:after="60" w:line="240"/>
        <w:ind w:right="0" w:left="337" w:firstLine="8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Všeobecné údaje</w:t>
      </w:r>
    </w:p>
    <w:p>
      <w:pPr>
        <w:numPr>
          <w:ilvl w:val="0"/>
          <w:numId w:val="3"/>
        </w:numPr>
        <w:suppressLineNumbers w:val="true"/>
        <w:tabs>
          <w:tab w:val="left" w:pos="567" w:leader="none"/>
        </w:tabs>
        <w:suppressAutoHyphens w:val="true"/>
        <w:spacing w:before="360" w:after="6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Zakladate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ľ účtovnej jednotky: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Zväz obchodu a cestovného ruchu SR</w:t>
      </w:r>
    </w:p>
    <w:p>
      <w:pPr>
        <w:numPr>
          <w:ilvl w:val="0"/>
          <w:numId w:val="3"/>
        </w:numPr>
        <w:suppressLineNumbers w:val="true"/>
        <w:tabs>
          <w:tab w:val="left" w:pos="567" w:leader="none"/>
        </w:tabs>
        <w:suppressAutoHyphens w:val="true"/>
        <w:spacing w:before="360" w:after="60" w:line="240"/>
        <w:ind w:right="0" w:left="709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Dátum založenia alebo zriadenia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čtovnej jednotky:</w:t>
        <w:tab/>
      </w:r>
    </w:p>
    <w:p>
      <w:pPr>
        <w:suppressAutoHyphens w:val="true"/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bola založená v súlade so zákonom č. 34/2002 Z.z. o nadáciách podpísaním nadačnej listiny dňa 11.12.2012.</w:t>
      </w:r>
    </w:p>
    <w:p>
      <w:pPr>
        <w:numPr>
          <w:ilvl w:val="0"/>
          <w:numId w:val="6"/>
        </w:numPr>
        <w:suppressLineNumbers w:val="true"/>
        <w:tabs>
          <w:tab w:val="left" w:pos="567" w:leader="none"/>
        </w:tabs>
        <w:suppressAutoHyphens w:val="true"/>
        <w:spacing w:before="360" w:after="120" w:line="240"/>
        <w:ind w:right="0" w:left="568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Informácie o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členoch štatutárnych orgánov, dozorných orgánov a iných orgánov účtovnej jednotky:</w:t>
      </w:r>
    </w:p>
    <w:p>
      <w:pPr>
        <w:suppressAutoHyphens w:val="true"/>
        <w:spacing w:before="120" w:after="12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Orgány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čtovnej jednotky sú správca nadácie, správna rada a revízor.</w:t>
      </w:r>
    </w:p>
    <w:tbl>
      <w:tblPr>
        <w:tblInd w:w="421" w:type="dxa"/>
      </w:tblPr>
      <w:tblGrid>
        <w:gridCol w:w="2419"/>
        <w:gridCol w:w="6521"/>
      </w:tblGrid>
      <w:tr>
        <w:trPr>
          <w:trHeight w:val="227" w:hRule="auto"/>
          <w:jc w:val="left"/>
        </w:trPr>
        <w:tc>
          <w:tcPr>
            <w:tcW w:w="241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20" w:after="2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Správca: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Veronika Hauswaldová – od 21.7.2015 do 11.2.2016</w:t>
            </w:r>
          </w:p>
        </w:tc>
      </w:tr>
      <w:tr>
        <w:trPr>
          <w:trHeight w:val="227" w:hRule="auto"/>
          <w:jc w:val="left"/>
        </w:trPr>
        <w:tc>
          <w:tcPr>
            <w:tcW w:w="241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Eva Szabóová – do 21.7.2015</w:t>
            </w:r>
          </w:p>
        </w:tc>
      </w:tr>
      <w:tr>
        <w:trPr>
          <w:trHeight w:val="227" w:hRule="auto"/>
          <w:jc w:val="left"/>
        </w:trPr>
        <w:tc>
          <w:tcPr>
            <w:tcW w:w="241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20" w:after="2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Správna rada: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0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Pavol Konštiak PhD – predseda</w:t>
            </w:r>
          </w:p>
        </w:tc>
      </w:tr>
      <w:tr>
        <w:trPr>
          <w:trHeight w:val="282" w:hRule="auto"/>
          <w:jc w:val="left"/>
        </w:trPr>
        <w:tc>
          <w:tcPr>
            <w:tcW w:w="241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-137" w:left="136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František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Ťapuš – člen</w:t>
            </w:r>
          </w:p>
        </w:tc>
      </w:tr>
      <w:tr>
        <w:trPr>
          <w:trHeight w:val="282" w:hRule="auto"/>
          <w:jc w:val="left"/>
        </w:trPr>
        <w:tc>
          <w:tcPr>
            <w:tcW w:w="241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-137" w:left="13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Štefan Mácsadi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člen</w:t>
            </w:r>
          </w:p>
        </w:tc>
      </w:tr>
      <w:tr>
        <w:trPr>
          <w:trHeight w:val="282" w:hRule="auto"/>
          <w:jc w:val="left"/>
        </w:trPr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uppressAutoHyphens w:val="true"/>
              <w:spacing w:before="20" w:after="20" w:line="240"/>
              <w:ind w:right="-137" w:left="13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Revízor:</w:t>
            </w:r>
          </w:p>
        </w:tc>
        <w:tc>
          <w:tcPr>
            <w:tcW w:w="6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uppressAutoHyphens w:val="true"/>
              <w:spacing w:before="20" w:after="20" w:line="240"/>
              <w:ind w:right="-137" w:left="13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Judr. Martin Katriak </w:t>
            </w:r>
          </w:p>
        </w:tc>
      </w:tr>
    </w:tbl>
    <w:p>
      <w:pPr>
        <w:numPr>
          <w:ilvl w:val="0"/>
          <w:numId w:val="29"/>
        </w:numPr>
        <w:suppressLineNumbers w:val="true"/>
        <w:tabs>
          <w:tab w:val="left" w:pos="567" w:leader="none"/>
        </w:tabs>
        <w:suppressAutoHyphens w:val="true"/>
        <w:spacing w:before="36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Opis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činnosti, na účel ktorej bola účtovná jednotka zriadená:</w:t>
      </w:r>
    </w:p>
    <w:tbl>
      <w:tblPr>
        <w:tblInd w:w="481" w:type="dxa"/>
      </w:tblPr>
      <w:tblGrid>
        <w:gridCol w:w="8945"/>
      </w:tblGrid>
      <w:tr>
        <w:trPr>
          <w:trHeight w:val="1" w:hRule="atLeast"/>
          <w:jc w:val="left"/>
        </w:trPr>
        <w:tc>
          <w:tcPr>
            <w:tcW w:w="8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Podpora a rozvoj vzdelávania formou vzdelávacích projektov a organizovania vzdelávacích podujatí</w:t>
            </w:r>
          </w:p>
        </w:tc>
      </w:tr>
    </w:tbl>
    <w:p>
      <w:pPr>
        <w:numPr>
          <w:ilvl w:val="0"/>
          <w:numId w:val="33"/>
        </w:numPr>
        <w:suppressLineNumbers w:val="true"/>
        <w:tabs>
          <w:tab w:val="left" w:pos="567" w:leader="none"/>
        </w:tabs>
        <w:suppressAutoHyphens w:val="true"/>
        <w:spacing w:before="360" w:after="120" w:line="240"/>
        <w:ind w:right="0" w:left="568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čet zamestnancov účtovnej jednotky</w:t>
      </w:r>
    </w:p>
    <w:p>
      <w:pPr>
        <w:suppressAutoHyphens w:val="true"/>
        <w:spacing w:before="120" w:after="12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nemá žiadnych zamestnancov.</w:t>
      </w:r>
    </w:p>
    <w:p>
      <w:pPr>
        <w:keepNext w:val="true"/>
        <w:keepLines w:val="true"/>
        <w:numPr>
          <w:ilvl w:val="0"/>
          <w:numId w:val="35"/>
        </w:numPr>
        <w:tabs>
          <w:tab w:val="left" w:pos="708" w:leader="none"/>
          <w:tab w:val="left" w:pos="567" w:leader="none"/>
        </w:tabs>
        <w:suppressAutoHyphens w:val="true"/>
        <w:spacing w:before="480" w:after="120" w:line="240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Informácie o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čtovných zásadách a účtovných metódach     </w:t>
      </w:r>
    </w:p>
    <w:p>
      <w:pPr>
        <w:numPr>
          <w:ilvl w:val="0"/>
          <w:numId w:val="35"/>
        </w:numPr>
        <w:suppressLineNumbers w:val="true"/>
        <w:tabs>
          <w:tab w:val="left" w:pos="567" w:leader="none"/>
        </w:tabs>
        <w:suppressAutoHyphens w:val="true"/>
        <w:spacing w:before="240" w:after="6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spracovala a predkladá riadnu účtovnú závierku s predpokladom nepretržitého pokračovania jej činnosti. </w:t>
      </w:r>
    </w:p>
    <w:p>
      <w:pPr>
        <w:numPr>
          <w:ilvl w:val="0"/>
          <w:numId w:val="35"/>
        </w:numPr>
        <w:suppressLineNumbers w:val="true"/>
        <w:tabs>
          <w:tab w:val="left" w:pos="567" w:leader="none"/>
        </w:tabs>
        <w:suppressAutoHyphens w:val="true"/>
        <w:spacing w:before="180" w:after="6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čtovnej jednotke nenastali zmeny účtovných zásad a zmeny účtovných metód. </w:t>
      </w:r>
    </w:p>
    <w:p>
      <w:pPr>
        <w:numPr>
          <w:ilvl w:val="0"/>
          <w:numId w:val="35"/>
        </w:numPr>
        <w:suppressLineNumbers w:val="true"/>
        <w:tabs>
          <w:tab w:val="left" w:pos="0" w:leader="none"/>
        </w:tabs>
        <w:suppressAutoHyphens w:val="true"/>
        <w:spacing w:before="180" w:after="6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Spôsob oce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ňovania jednotlivých zložiek majetku a záväzkov </w:t>
      </w:r>
    </w:p>
    <w:p>
      <w:pPr>
        <w:numPr>
          <w:ilvl w:val="0"/>
          <w:numId w:val="35"/>
        </w:numPr>
        <w:suppressLineNumbers w:val="true"/>
        <w:tabs>
          <w:tab w:val="left" w:pos="0" w:leader="none"/>
        </w:tabs>
        <w:suppressAutoHyphens w:val="true"/>
        <w:spacing w:before="6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ľadávky boli pri vzniku oceňované nominálnou hodnotou</w:t>
      </w:r>
    </w:p>
    <w:p>
      <w:pPr>
        <w:numPr>
          <w:ilvl w:val="0"/>
          <w:numId w:val="35"/>
        </w:numPr>
        <w:suppressLineNumbers w:val="true"/>
        <w:tabs>
          <w:tab w:val="left" w:pos="851" w:leader="none"/>
        </w:tabs>
        <w:suppressAutoHyphens w:val="true"/>
        <w:spacing w:before="60" w:after="60" w:line="240"/>
        <w:ind w:right="0" w:left="681" w:hanging="1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krátkodobý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čný majetok - peňažné prostriedky a ceniny boli oceňované nominálnou hodnotou,</w:t>
      </w:r>
    </w:p>
    <w:p>
      <w:pPr>
        <w:numPr>
          <w:ilvl w:val="0"/>
          <w:numId w:val="35"/>
        </w:numPr>
        <w:suppressLineNumbers w:val="true"/>
        <w:tabs>
          <w:tab w:val="left" w:pos="851" w:leader="none"/>
        </w:tabs>
        <w:suppressAutoHyphens w:val="true"/>
        <w:spacing w:before="6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záväzky vrátane rezerv boli pri vzniku oce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ňované nominálnou hodnotou,</w:t>
      </w:r>
    </w:p>
    <w:p>
      <w:pPr>
        <w:numPr>
          <w:ilvl w:val="0"/>
          <w:numId w:val="35"/>
        </w:numPr>
        <w:suppressLineNumbers w:val="true"/>
        <w:tabs>
          <w:tab w:val="left" w:pos="0" w:leader="none"/>
        </w:tabs>
        <w:suppressAutoHyphens w:val="true"/>
        <w:spacing w:before="180" w:after="6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Zásady pre zoh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ľadnenie zníženia hodnoty majetku</w:t>
      </w:r>
    </w:p>
    <w:p>
      <w:pPr>
        <w:numPr>
          <w:ilvl w:val="0"/>
          <w:numId w:val="35"/>
        </w:numPr>
        <w:suppressLineNumbers w:val="true"/>
        <w:tabs>
          <w:tab w:val="left" w:pos="0" w:leader="none"/>
        </w:tabs>
        <w:suppressAutoHyphens w:val="true"/>
        <w:spacing w:before="120" w:after="0" w:line="240"/>
        <w:ind w:right="0" w:left="567" w:hanging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Predpokladané riziká, straty a zníženia hodnoty, ktoré sa týkajú majetku a záväzkov, sa vyjadrujú v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čtovnej jednotke prostredníctvom rezerv a opravných položiek.</w:t>
      </w:r>
    </w:p>
    <w:p>
      <w:pPr>
        <w:numPr>
          <w:ilvl w:val="0"/>
          <w:numId w:val="35"/>
        </w:numPr>
        <w:suppressLineNumbers w:val="true"/>
        <w:tabs>
          <w:tab w:val="left" w:pos="851" w:leader="none"/>
        </w:tabs>
        <w:suppressAutoHyphens w:val="true"/>
        <w:spacing w:before="6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Rezervy sa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čtujú v očakávanej výške záväzku. Účtovná jednotka vytvorila rezervy na audit účtovnej závierky a vedenie účtovníctva. Ku dňu, ku ktorému sa zostavuje účtovná závierka, sa posudzuje ich výška a odôvodnenosť.</w:t>
      </w:r>
    </w:p>
    <w:p>
      <w:pPr>
        <w:numPr>
          <w:ilvl w:val="0"/>
          <w:numId w:val="35"/>
        </w:numPr>
        <w:suppressLineNumbers w:val="true"/>
        <w:tabs>
          <w:tab w:val="left" w:pos="851" w:leader="none"/>
        </w:tabs>
        <w:suppressAutoHyphens w:val="true"/>
        <w:spacing w:before="6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Opravné položky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netvorila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46"/>
        </w:numPr>
        <w:tabs>
          <w:tab w:val="left" w:pos="708" w:leader="none"/>
          <w:tab w:val="left" w:pos="567" w:leader="none"/>
        </w:tabs>
        <w:suppressAutoHyphens w:val="true"/>
        <w:spacing w:before="240" w:after="12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Informácie, ktoré dop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ĺňajú a vysvetľujú údaje v súvahe </w:t>
      </w:r>
    </w:p>
    <w:p>
      <w:pPr>
        <w:numPr>
          <w:ilvl w:val="0"/>
          <w:numId w:val="46"/>
        </w:numPr>
        <w:suppressLineNumbers w:val="true"/>
        <w:tabs>
          <w:tab w:val="left" w:pos="567" w:leader="none"/>
        </w:tabs>
        <w:suppressAutoHyphens w:val="true"/>
        <w:spacing w:before="36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Opis a výška zmien vlastných zdrojov krytia majetku</w:t>
      </w:r>
    </w:p>
    <w:p>
      <w:pPr>
        <w:numPr>
          <w:ilvl w:val="0"/>
          <w:numId w:val="46"/>
        </w:numPr>
        <w:suppressLineNumbers w:val="true"/>
        <w:tabs>
          <w:tab w:val="left" w:pos="851" w:leader="none"/>
        </w:tabs>
        <w:suppressAutoHyphens w:val="true"/>
        <w:spacing w:before="240" w:after="60" w:line="240"/>
        <w:ind w:right="0" w:left="681" w:hanging="11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Základné imanie</w:t>
      </w:r>
    </w:p>
    <w:tbl>
      <w:tblPr>
        <w:tblInd w:w="70" w:type="dxa"/>
      </w:tblPr>
      <w:tblGrid>
        <w:gridCol w:w="4395"/>
        <w:gridCol w:w="2268"/>
        <w:gridCol w:w="3007"/>
      </w:tblGrid>
      <w:tr>
        <w:trPr>
          <w:trHeight w:val="462" w:hRule="auto"/>
          <w:jc w:val="left"/>
          <w:cantSplit w:val="1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Text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LineNumbers w:val="true"/>
              <w:suppressAutoHyphens w:val="true"/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          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Základné imanie celkom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6 640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6 640</w:t>
            </w:r>
          </w:p>
        </w:tc>
      </w:tr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z toho: Združenie obchodu a cestovného ruchu SR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6 640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6 640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suppressLineNumbers w:val="true"/>
        <w:tabs>
          <w:tab w:val="left" w:pos="851" w:leader="none"/>
        </w:tabs>
        <w:suppressAutoHyphens w:val="true"/>
        <w:spacing w:before="240" w:after="60" w:line="240"/>
        <w:ind w:right="0" w:left="680" w:hanging="1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Zmeny vlastných zdrojov v priebehu bežného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čtovného obdobia</w:t>
      </w:r>
    </w:p>
    <w:tbl>
      <w:tblPr>
        <w:tblInd w:w="28" w:type="dxa"/>
      </w:tblPr>
      <w:tblGrid>
        <w:gridCol w:w="3123"/>
        <w:gridCol w:w="1417"/>
        <w:gridCol w:w="1276"/>
        <w:gridCol w:w="1276"/>
        <w:gridCol w:w="1049"/>
        <w:gridCol w:w="1534"/>
      </w:tblGrid>
      <w:tr>
        <w:trPr>
          <w:trHeight w:val="1" w:hRule="atLeast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čiatku bežného účtovného obdobia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Prírastky (+)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Úbytky (-)</w:t>
            </w: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Presuny (+/-)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Stav na konci bežného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157" w:hRule="auto"/>
          <w:jc w:val="left"/>
        </w:trPr>
        <w:tc>
          <w:tcPr>
            <w:tcW w:w="967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Imanie a fondy</w:t>
            </w:r>
          </w:p>
        </w:tc>
      </w:tr>
      <w:tr>
        <w:trPr>
          <w:trHeight w:val="264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Základné imanie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6 640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6 640</w:t>
            </w:r>
          </w:p>
        </w:tc>
      </w:tr>
      <w:tr>
        <w:trPr>
          <w:trHeight w:val="223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z toho: nada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čné imanie v nadácii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6 640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6 640</w:t>
            </w:r>
          </w:p>
        </w:tc>
      </w:tr>
      <w:tr>
        <w:trPr>
          <w:trHeight w:val="22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vklady zakladate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ľov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prioritný majetok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Fondy tvorené pod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ľa osobitného predpisu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Fond reprodukcie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ňovacie rozdiely z precenenia  majetku a záväzkov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ňovacie rozdiely z precenenia kapitálových účastín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2" w:hRule="auto"/>
          <w:jc w:val="left"/>
        </w:trPr>
        <w:tc>
          <w:tcPr>
            <w:tcW w:w="9675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Fondy zo zisku</w:t>
            </w:r>
          </w:p>
        </w:tc>
      </w:tr>
      <w:tr>
        <w:trPr>
          <w:trHeight w:val="366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Rezervný fond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4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Fondy tvorené zo zisku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7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Ostatné fondy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9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Nevysporiadaný výsledok          hospodárenia minulých rokov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7 933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7 939</w:t>
            </w:r>
          </w:p>
        </w:tc>
      </w:tr>
      <w:tr>
        <w:trPr>
          <w:trHeight w:val="330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Výsledok hospodárenia za                     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čtovné obdobie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7 933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10 005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-7 933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10 005</w:t>
            </w:r>
          </w:p>
        </w:tc>
      </w:tr>
      <w:tr>
        <w:trPr>
          <w:trHeight w:val="155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Spolu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14 579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10 005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6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24 584</w:t>
            </w:r>
          </w:p>
        </w:tc>
      </w:tr>
    </w:tbl>
    <w:p>
      <w:pPr>
        <w:numPr>
          <w:ilvl w:val="0"/>
          <w:numId w:val="126"/>
        </w:numPr>
        <w:suppressLineNumbers w:val="true"/>
        <w:tabs>
          <w:tab w:val="left" w:pos="851" w:leader="none"/>
        </w:tabs>
        <w:suppressAutoHyphens w:val="true"/>
        <w:spacing w:before="240" w:after="60" w:line="240"/>
        <w:ind w:right="0" w:left="851" w:hanging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8"/>
        </w:numPr>
        <w:suppressLineNumbers w:val="true"/>
        <w:tabs>
          <w:tab w:val="left" w:pos="851" w:leader="none"/>
        </w:tabs>
        <w:suppressAutoHyphens w:val="true"/>
        <w:spacing w:before="24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informácia o rozdelení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čtovného zisku vykázaného v minulom účtovnom období</w:t>
      </w:r>
    </w:p>
    <w:tbl>
      <w:tblPr>
        <w:tblInd w:w="28" w:type="dxa"/>
      </w:tblPr>
      <w:tblGrid>
        <w:gridCol w:w="7249"/>
        <w:gridCol w:w="2474"/>
      </w:tblGrid>
      <w:tr>
        <w:trPr>
          <w:trHeight w:val="417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Názov položky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čtovný zisk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7 933</w:t>
            </w: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Rozdelenie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čtovného zisku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Prídel do základného imania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Prídel do fondu tvoreného pod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ľa osobitného predpisu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Prídel do fondu reprodukcie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Prídel do rezervného fondu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Prídel do fondu tvoreného zo zisku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Prídel do ostatných fondov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Úhrada straty minulých období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Prevod do sociálneho fondu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Prevod do nevysporiadaného výsledku hospodárenia minulých rokov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7 933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7"/>
        </w:numPr>
        <w:suppressLineNumbers w:val="true"/>
        <w:tabs>
          <w:tab w:val="left" w:pos="567" w:leader="none"/>
        </w:tabs>
        <w:suppressAutoHyphens w:val="true"/>
        <w:spacing w:before="36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Opis a výška cudzích zdrojov</w:t>
      </w:r>
    </w:p>
    <w:p>
      <w:pPr>
        <w:numPr>
          <w:ilvl w:val="0"/>
          <w:numId w:val="167"/>
        </w:numPr>
        <w:suppressLineNumbers w:val="true"/>
        <w:tabs>
          <w:tab w:val="left" w:pos="851" w:leader="none"/>
        </w:tabs>
        <w:suppressAutoHyphens w:val="true"/>
        <w:spacing w:before="24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tvorba a použitie rezerv</w:t>
      </w:r>
    </w:p>
    <w:tbl>
      <w:tblPr>
        <w:tblInd w:w="28" w:type="dxa"/>
      </w:tblPr>
      <w:tblGrid>
        <w:gridCol w:w="3392"/>
        <w:gridCol w:w="1416"/>
        <w:gridCol w:w="1222"/>
        <w:gridCol w:w="1197"/>
        <w:gridCol w:w="1197"/>
        <w:gridCol w:w="1200"/>
      </w:tblGrid>
      <w:tr>
        <w:trPr>
          <w:trHeight w:val="345" w:hRule="auto"/>
          <w:jc w:val="left"/>
        </w:trPr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Druh rezervy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Stav na 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čiatku bežného účtovného obdobia </w:t>
            </w: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Tvorba rezerv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Použitie rezerv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Zrušenie alebo zníženie rezerv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Stav na konci bežného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čtovného obdobia</w:t>
            </w:r>
          </w:p>
        </w:tc>
      </w:tr>
      <w:tr>
        <w:trPr>
          <w:trHeight w:val="345" w:hRule="auto"/>
          <w:jc w:val="left"/>
        </w:trPr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Rezerva na audit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</w:tr>
      <w:tr>
        <w:trPr>
          <w:trHeight w:val="345" w:hRule="auto"/>
          <w:jc w:val="left"/>
        </w:trPr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Rezerva na vedenie 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čtovníctva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80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80</w:t>
            </w:r>
          </w:p>
        </w:tc>
      </w:tr>
      <w:tr>
        <w:trPr>
          <w:trHeight w:val="197" w:hRule="auto"/>
          <w:jc w:val="left"/>
        </w:trPr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Zákonné rezervy spolu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180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180</w:t>
            </w:r>
          </w:p>
        </w:tc>
      </w:tr>
      <w:tr>
        <w:trPr>
          <w:trHeight w:val="330" w:hRule="auto"/>
          <w:jc w:val="left"/>
        </w:trPr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Ostatné rezervy spolu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3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Rezervy spolu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180</w:t>
            </w: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180</w:t>
            </w:r>
          </w:p>
        </w:tc>
      </w:tr>
    </w:tbl>
    <w:p>
      <w:pPr>
        <w:numPr>
          <w:ilvl w:val="0"/>
          <w:numId w:val="195"/>
        </w:numPr>
        <w:suppressLineNumbers w:val="true"/>
        <w:tabs>
          <w:tab w:val="left" w:pos="851" w:leader="none"/>
        </w:tabs>
        <w:suppressAutoHyphens w:val="true"/>
        <w:spacing w:before="360" w:after="60" w:line="240"/>
        <w:ind w:right="0" w:left="851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ľad o výške záväzkov do lehoty splatnosti a po lehote splatnosti a podľa zostatkovej doby splatnosti</w:t>
      </w:r>
    </w:p>
    <w:tbl>
      <w:tblPr>
        <w:tblInd w:w="28" w:type="dxa"/>
      </w:tblPr>
      <w:tblGrid>
        <w:gridCol w:w="6124"/>
        <w:gridCol w:w="1702"/>
        <w:gridCol w:w="1897"/>
      </w:tblGrid>
      <w:tr>
        <w:trPr>
          <w:trHeight w:val="367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Názov položky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186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Záväzky po lehote splatnosti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Záväzky do lehoty splatnosti so zostatkovou dobou splatnosti do jedného roka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Krátkodobé záväzky spolu             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Záväzky so zostatkovou dobou splatnosti od jedného do piatich rokov vrátane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Záväzky so zostatkovou dobou splatnosti viac ako pä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ť rokov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Dlhodobé záväzky spolu             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Krátkodobé a dlhodobé záväzky spolu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24"/>
        </w:numPr>
        <w:suppressLineNumbers w:val="true"/>
        <w:tabs>
          <w:tab w:val="left" w:pos="851" w:leader="none"/>
        </w:tabs>
        <w:suppressAutoHyphens w:val="true"/>
        <w:spacing w:before="0" w:after="60" w:line="240"/>
        <w:ind w:right="0" w:left="851" w:hanging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4"/>
        </w:numPr>
        <w:suppressLineNumbers w:val="true"/>
        <w:tabs>
          <w:tab w:val="left" w:pos="851" w:leader="none"/>
        </w:tabs>
        <w:suppressAutoHyphens w:val="true"/>
        <w:spacing w:before="0" w:after="60" w:line="240"/>
        <w:ind w:right="0" w:left="851" w:hanging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26"/>
        </w:numPr>
        <w:tabs>
          <w:tab w:val="left" w:pos="567" w:leader="none"/>
        </w:tabs>
        <w:suppressAutoHyphens w:val="true"/>
        <w:spacing w:before="120" w:after="120" w:line="240"/>
        <w:ind w:right="0" w:left="337" w:hanging="22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226"/>
        </w:numPr>
        <w:tabs>
          <w:tab w:val="left" w:pos="708" w:leader="none"/>
          <w:tab w:val="left" w:pos="567" w:leader="none"/>
        </w:tabs>
        <w:suppressAutoHyphens w:val="true"/>
        <w:spacing w:before="120" w:after="120" w:line="240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Informácie, ktoré dop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ĺňajú a vysvetľujú údaje vo výkaze ziskov a strát </w:t>
      </w:r>
    </w:p>
    <w:p>
      <w:pPr>
        <w:numPr>
          <w:ilvl w:val="0"/>
          <w:numId w:val="226"/>
        </w:numPr>
        <w:suppressLineNumbers w:val="true"/>
        <w:tabs>
          <w:tab w:val="left" w:pos="567" w:leader="none"/>
        </w:tabs>
        <w:suppressAutoHyphens w:val="true"/>
        <w:spacing w:before="24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Opis a 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číslenie hodnoty významných položiek prijatých darov, osobitných výnosov, zákonných poplatkov a iných ostatných výnosov</w:t>
      </w:r>
    </w:p>
    <w:tbl>
      <w:tblPr>
        <w:tblInd w:w="28" w:type="dxa"/>
      </w:tblPr>
      <w:tblGrid>
        <w:gridCol w:w="5131"/>
        <w:gridCol w:w="2127"/>
        <w:gridCol w:w="2465"/>
      </w:tblGrid>
      <w:tr>
        <w:trPr>
          <w:trHeight w:val="2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        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Príspevky z podielu zaplatenej dane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21 104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12 495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Úroky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</w:tbl>
    <w:p>
      <w:pPr>
        <w:numPr>
          <w:ilvl w:val="0"/>
          <w:numId w:val="239"/>
        </w:numPr>
        <w:suppressLineNumbers w:val="true"/>
        <w:tabs>
          <w:tab w:val="left" w:pos="567" w:leader="none"/>
        </w:tabs>
        <w:suppressAutoHyphens w:val="true"/>
        <w:spacing w:before="24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Opis a 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číslenie hodnoty významných položiek nákladov, nákladov na ostatné služby, osobitných nákladov a iných ostatných nákladov </w:t>
      </w:r>
    </w:p>
    <w:tbl>
      <w:tblPr>
        <w:tblInd w:w="28" w:type="dxa"/>
      </w:tblPr>
      <w:tblGrid>
        <w:gridCol w:w="5131"/>
        <w:gridCol w:w="2127"/>
        <w:gridCol w:w="2465"/>
      </w:tblGrid>
      <w:tr>
        <w:trPr>
          <w:trHeight w:val="2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Náklady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Bežné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Bezprostredne predchádzajúce         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 obdobie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Náklady na ostatné služby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11 061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4 546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Iné ostatné náklady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41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1"/>
        </w:numPr>
        <w:suppressLineNumbers w:val="true"/>
        <w:tabs>
          <w:tab w:val="left" w:pos="567" w:leader="none"/>
        </w:tabs>
        <w:suppressAutoHyphens w:val="true"/>
        <w:spacing w:before="24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ľad o účele  a výške použitia podielu zaplatenej dane za bežné účtovné obdobie</w:t>
      </w:r>
    </w:p>
    <w:tbl>
      <w:tblPr>
        <w:tblInd w:w="28" w:type="dxa"/>
      </w:tblPr>
      <w:tblGrid>
        <w:gridCol w:w="5131"/>
        <w:gridCol w:w="2127"/>
        <w:gridCol w:w="2465"/>
      </w:tblGrid>
      <w:tr>
        <w:trPr>
          <w:trHeight w:val="2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čel použitia podielu zaplatenej dane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Použitá suma z bezprostredne predchádzajúceho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Použitá suma bežného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čtovného obdobia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Organizovanie vzdelávacích podujatí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10 800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2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Zostatok podielu zaplatenej dane bežného 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čtovného obdobia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10 304</w:t>
            </w:r>
          </w:p>
        </w:tc>
      </w:tr>
    </w:tbl>
    <w:p>
      <w:pPr>
        <w:numPr>
          <w:ilvl w:val="0"/>
          <w:numId w:val="266"/>
        </w:numPr>
        <w:suppressLineNumbers w:val="true"/>
        <w:tabs>
          <w:tab w:val="left" w:pos="567" w:leader="none"/>
        </w:tabs>
        <w:suppressAutoHyphens w:val="true"/>
        <w:spacing w:before="240" w:after="120" w:line="240"/>
        <w:ind w:right="0" w:left="568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6"/>
        </w:numPr>
        <w:suppressLineNumbers w:val="true"/>
        <w:tabs>
          <w:tab w:val="left" w:pos="567" w:leader="none"/>
        </w:tabs>
        <w:suppressAutoHyphens w:val="true"/>
        <w:spacing w:before="24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Náklady vynaložené v súvislosti s auditom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čtovnej závierky za bežné účtovné obdobie </w:t>
      </w:r>
    </w:p>
    <w:tbl>
      <w:tblPr>
        <w:tblInd w:w="28" w:type="dxa"/>
      </w:tblPr>
      <w:tblGrid>
        <w:gridCol w:w="5131"/>
        <w:gridCol w:w="2157"/>
      </w:tblGrid>
      <w:tr>
        <w:trPr>
          <w:trHeight w:val="375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Jednotlivé druhy nákladov za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Suma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Overenie 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čtovnej závierky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ťovacie audítorské služby okrem auditu účtovnej závierky 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Súvisiace audítorské služby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ňové poradenstvo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Ostatné neaudítorské služby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5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Spolu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suppressLineNumbers w:val="true"/>
              <w:suppressAutoHyphens w:val="true"/>
              <w:spacing w:before="60" w:after="0" w:line="240"/>
              <w:ind w:right="2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100</w:t>
            </w:r>
          </w:p>
        </w:tc>
      </w:tr>
    </w:tbl>
    <w:p>
      <w:pPr>
        <w:keepNext w:val="true"/>
        <w:keepLines w:val="true"/>
        <w:numPr>
          <w:ilvl w:val="0"/>
          <w:numId w:val="291"/>
        </w:numPr>
        <w:tabs>
          <w:tab w:val="left" w:pos="567" w:leader="none"/>
        </w:tabs>
        <w:suppressAutoHyphens w:val="true"/>
        <w:spacing w:before="120" w:after="120" w:line="240"/>
        <w:ind w:right="0" w:left="425" w:hanging="22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1"/>
        </w:numPr>
        <w:suppressLineNumbers w:val="true"/>
        <w:tabs>
          <w:tab w:val="left" w:pos="0" w:leader="none"/>
        </w:tabs>
        <w:suppressAutoHyphens w:val="true"/>
        <w:spacing w:before="120" w:after="60" w:line="240"/>
        <w:ind w:right="0" w:left="3063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94"/>
        </w:numPr>
        <w:tabs>
          <w:tab w:val="left" w:pos="708" w:leader="none"/>
          <w:tab w:val="left" w:pos="567" w:leader="none"/>
        </w:tabs>
        <w:suppressAutoHyphens w:val="true"/>
        <w:spacing w:before="120" w:after="120" w:line="240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údajov na podsúvahových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čtoch</w:t>
      </w:r>
    </w:p>
    <w:p>
      <w:pPr>
        <w:numPr>
          <w:ilvl w:val="0"/>
          <w:numId w:val="294"/>
        </w:numPr>
        <w:suppressLineNumbers w:val="true"/>
        <w:tabs>
          <w:tab w:val="left" w:pos="0" w:leader="none"/>
        </w:tabs>
        <w:suppressAutoHyphens w:val="true"/>
        <w:spacing w:before="120" w:after="60" w:line="240"/>
        <w:ind w:right="0" w:left="567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neeviduje žiadny majetok ani záväzky na podsúvahových účtoch</w:t>
      </w:r>
    </w:p>
    <w:p>
      <w:pPr>
        <w:keepNext w:val="true"/>
        <w:keepLines w:val="true"/>
        <w:numPr>
          <w:ilvl w:val="0"/>
          <w:numId w:val="294"/>
        </w:numPr>
        <w:tabs>
          <w:tab w:val="left" w:pos="708" w:leader="none"/>
          <w:tab w:val="left" w:pos="567" w:leader="none"/>
        </w:tabs>
        <w:suppressAutoHyphens w:val="true"/>
        <w:spacing w:before="360" w:after="120" w:line="240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Ďalšie informácie</w:t>
      </w:r>
    </w:p>
    <w:p>
      <w:pPr>
        <w:numPr>
          <w:ilvl w:val="0"/>
          <w:numId w:val="294"/>
        </w:numPr>
        <w:suppressLineNumbers w:val="true"/>
        <w:tabs>
          <w:tab w:val="left" w:pos="567" w:leader="none"/>
        </w:tabs>
        <w:suppressAutoHyphens w:val="true"/>
        <w:spacing w:before="24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nemá žiadne iné aktíva (podmienený majetok).</w:t>
      </w:r>
    </w:p>
    <w:p>
      <w:pPr>
        <w:numPr>
          <w:ilvl w:val="0"/>
          <w:numId w:val="294"/>
        </w:numPr>
        <w:suppressLineNumbers w:val="true"/>
        <w:tabs>
          <w:tab w:val="left" w:pos="567" w:leader="none"/>
        </w:tabs>
        <w:suppressAutoHyphens w:val="true"/>
        <w:spacing w:before="12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nemá žiadne iné pasíva (podmienené záväzky).</w:t>
      </w:r>
    </w:p>
    <w:p>
      <w:pPr>
        <w:numPr>
          <w:ilvl w:val="0"/>
          <w:numId w:val="294"/>
        </w:numPr>
        <w:suppressLineNumbers w:val="true"/>
        <w:tabs>
          <w:tab w:val="left" w:pos="567" w:leader="none"/>
        </w:tabs>
        <w:suppressAutoHyphens w:val="true"/>
        <w:spacing w:before="12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nemá žiadne iné finančné povinnosti, ktoré sa nesledujú v súvahe.</w:t>
      </w:r>
    </w:p>
    <w:p>
      <w:pPr>
        <w:numPr>
          <w:ilvl w:val="0"/>
          <w:numId w:val="294"/>
        </w:numPr>
        <w:suppressLineNumbers w:val="true"/>
        <w:tabs>
          <w:tab w:val="left" w:pos="567" w:leader="none"/>
        </w:tabs>
        <w:suppressAutoHyphens w:val="true"/>
        <w:spacing w:before="120" w:after="120" w:line="240"/>
        <w:ind w:right="0" w:left="568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jednotka nemá vo vlastníctve ani v správe žiadne nehnuteľné kultúrne pamiatky.</w:t>
      </w:r>
    </w:p>
    <w:p>
      <w:pPr>
        <w:keepNext w:val="true"/>
        <w:keepLines w:val="true"/>
        <w:numPr>
          <w:ilvl w:val="0"/>
          <w:numId w:val="294"/>
        </w:numPr>
        <w:tabs>
          <w:tab w:val="left" w:pos="708" w:leader="none"/>
          <w:tab w:val="left" w:pos="567" w:leader="none"/>
        </w:tabs>
        <w:suppressAutoHyphens w:val="true"/>
        <w:spacing w:before="360" w:after="120" w:line="240"/>
        <w:ind w:right="0" w:left="42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Nasledujúce udalosti po dni, ku ktorému sa zostavuje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čtovná závierka</w:t>
      </w:r>
    </w:p>
    <w:p>
      <w:pPr>
        <w:numPr>
          <w:ilvl w:val="0"/>
          <w:numId w:val="294"/>
        </w:numPr>
        <w:suppressLineNumbers w:val="true"/>
        <w:tabs>
          <w:tab w:val="left" w:pos="567" w:leader="none"/>
        </w:tabs>
        <w:suppressAutoHyphens w:val="true"/>
        <w:spacing w:before="120" w:after="120" w:line="240"/>
        <w:ind w:right="0" w:left="568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 11.2.2016 je správcom nadácie Mgr.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Ľubica Schulczová</w:t>
      </w:r>
    </w:p>
    <w:p>
      <w:pPr>
        <w:numPr>
          <w:ilvl w:val="0"/>
          <w:numId w:val="294"/>
        </w:numPr>
        <w:suppressLineNumbers w:val="true"/>
        <w:tabs>
          <w:tab w:val="left" w:pos="567" w:leader="none"/>
        </w:tabs>
        <w:suppressAutoHyphens w:val="true"/>
        <w:spacing w:before="120" w:after="120" w:line="240"/>
        <w:ind w:right="0" w:left="568" w:hanging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dni, ku ktorému sa zostavuje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čtovná závierka a do zostavenia účtovnej závierky nenastali v účtovnej jednotke žiadne udalosti, ktoré by významným spôsobom ovplyvnili aktíva a pasíva účtovnej jednotky.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1">
    <w:abstractNumId w:val="108"/>
  </w:num>
  <w:num w:numId="3">
    <w:abstractNumId w:val="102"/>
  </w:num>
  <w:num w:numId="6">
    <w:abstractNumId w:val="96"/>
  </w:num>
  <w:num w:numId="29">
    <w:abstractNumId w:val="90"/>
  </w:num>
  <w:num w:numId="33">
    <w:abstractNumId w:val="84"/>
  </w:num>
  <w:num w:numId="35">
    <w:abstractNumId w:val="78"/>
  </w:num>
  <w:num w:numId="46">
    <w:abstractNumId w:val="72"/>
  </w:num>
  <w:num w:numId="60">
    <w:abstractNumId w:val="66"/>
  </w:num>
  <w:num w:numId="126">
    <w:abstractNumId w:val="60"/>
  </w:num>
  <w:num w:numId="128">
    <w:abstractNumId w:val="54"/>
  </w:num>
  <w:num w:numId="167">
    <w:abstractNumId w:val="48"/>
  </w:num>
  <w:num w:numId="195">
    <w:abstractNumId w:val="42"/>
  </w:num>
  <w:num w:numId="224">
    <w:abstractNumId w:val="36"/>
  </w:num>
  <w:num w:numId="226">
    <w:abstractNumId w:val="30"/>
  </w:num>
  <w:num w:numId="239">
    <w:abstractNumId w:val="24"/>
  </w:num>
  <w:num w:numId="251">
    <w:abstractNumId w:val="18"/>
  </w:num>
  <w:num w:numId="266">
    <w:abstractNumId w:val="12"/>
  </w:num>
  <w:num w:numId="291">
    <w:abstractNumId w:val="6"/>
  </w:num>
  <w:num w:numId="2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