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Poznámky Ú</w:t>
      </w:r>
      <w:r>
        <w:rPr>
          <w:rFonts w:ascii="Calibri" w:hAnsi="Calibri" w:cs="Calibri" w:eastAsia="Calibri"/>
          <w:color w:val="auto"/>
          <w:spacing w:val="0"/>
          <w:position w:val="0"/>
          <w:sz w:val="22"/>
          <w:shd w:fill="auto" w:val="clear"/>
        </w:rPr>
        <w:t xml:space="preserve">č PODV 3-01</w:t>
        <w:tab/>
        <w:tab/>
        <w:tab/>
        <w:tab/>
        <w:tab/>
        <w:t xml:space="preserve">IČO:47320567</w:t>
      </w:r>
    </w:p>
    <w:p>
      <w:pPr>
        <w:spacing w:before="0" w:after="200" w:line="276"/>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ab/>
        <w:tab/>
        <w:tab/>
        <w:tab/>
        <w:tab/>
        <w:tab/>
        <w:tab/>
        <w:tab/>
        <w:t xml:space="preserve">DI</w:t>
      </w:r>
      <w:r>
        <w:rPr>
          <w:rFonts w:ascii="Calibri" w:hAnsi="Calibri" w:cs="Calibri" w:eastAsia="Calibri"/>
          <w:color w:val="auto"/>
          <w:spacing w:val="0"/>
          <w:position w:val="0"/>
          <w:sz w:val="24"/>
          <w:shd w:fill="auto" w:val="clear"/>
        </w:rPr>
        <w:t xml:space="preserve">Č:2023815629</w:t>
      </w:r>
    </w:p>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Poznámky</w:t>
      </w:r>
    </w:p>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Individuálnej ú</w:t>
      </w:r>
      <w:r>
        <w:rPr>
          <w:rFonts w:ascii="Calibri" w:hAnsi="Calibri" w:cs="Calibri" w:eastAsia="Calibri"/>
          <w:color w:val="auto"/>
          <w:spacing w:val="0"/>
          <w:position w:val="0"/>
          <w:sz w:val="22"/>
          <w:shd w:fill="auto" w:val="clear"/>
        </w:rPr>
        <w:t xml:space="preserve">čtovnej závierky zostavenej k 31.decembru 2015</w:t>
      </w:r>
    </w:p>
    <w:p>
      <w:pPr>
        <w:spacing w:before="0" w:after="0" w:line="240"/>
        <w:ind w:right="0" w:left="0" w:firstLine="0"/>
        <w:jc w:val="left"/>
        <w:rPr>
          <w:rFonts w:ascii="Calibri" w:hAnsi="Calibri" w:cs="Calibri" w:eastAsia="Calibri"/>
          <w:color w:val="auto"/>
          <w:spacing w:val="0"/>
          <w:position w:val="0"/>
          <w:sz w:val="22"/>
          <w:shd w:fill="auto" w:val="clear"/>
        </w:rPr>
      </w:pPr>
    </w:p>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Čl. I</w:t>
      </w:r>
    </w:p>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Všeobecné informácie</w:t>
      </w:r>
    </w:p>
    <w:p>
      <w:pPr>
        <w:numPr>
          <w:ilvl w:val="0"/>
          <w:numId w:val="6"/>
        </w:numPr>
        <w:spacing w:before="0" w:after="0" w:line="240"/>
        <w:ind w:right="0" w:left="720" w:hanging="36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Názov, sídlo, predmet podnikania:</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VRM - interiér  s r.o.</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Záhradkárska 10, 919 51 Špa</w:t>
      </w:r>
      <w:r>
        <w:rPr>
          <w:rFonts w:ascii="Calibri" w:hAnsi="Calibri" w:cs="Calibri" w:eastAsia="Calibri"/>
          <w:color w:val="auto"/>
          <w:spacing w:val="0"/>
          <w:position w:val="0"/>
          <w:sz w:val="22"/>
          <w:shd w:fill="auto" w:val="clear"/>
        </w:rPr>
        <w:t xml:space="preserve">čince</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bola založená  11.07.2013 a do obchodného registra bola zapísaná 11.07.2013</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(Obchodný register Okresný Súd Trnava, oddiel: Sro, vložka: 32068/T)</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Hlavnými </w:t>
      </w:r>
      <w:r>
        <w:rPr>
          <w:rFonts w:ascii="Calibri" w:hAnsi="Calibri" w:cs="Calibri" w:eastAsia="Calibri"/>
          <w:color w:val="auto"/>
          <w:spacing w:val="0"/>
          <w:position w:val="0"/>
          <w:sz w:val="22"/>
          <w:shd w:fill="auto" w:val="clear"/>
        </w:rPr>
        <w:t xml:space="preserve">činnosťami Spoločnosti sú:</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-stolárstvo</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-kúpa tovaru na ú</w:t>
      </w:r>
      <w:r>
        <w:rPr>
          <w:rFonts w:ascii="Calibri" w:hAnsi="Calibri" w:cs="Calibri" w:eastAsia="Calibri"/>
          <w:color w:val="auto"/>
          <w:spacing w:val="0"/>
          <w:position w:val="0"/>
          <w:sz w:val="22"/>
          <w:shd w:fill="auto" w:val="clear"/>
        </w:rPr>
        <w:t xml:space="preserve">čely jeho predaja konečnému spotrebiteľovi</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-zria</w:t>
      </w:r>
      <w:r>
        <w:rPr>
          <w:rFonts w:ascii="Calibri" w:hAnsi="Calibri" w:cs="Calibri" w:eastAsia="Calibri"/>
          <w:color w:val="auto"/>
          <w:spacing w:val="0"/>
          <w:position w:val="0"/>
          <w:sz w:val="22"/>
          <w:shd w:fill="auto" w:val="clear"/>
        </w:rPr>
        <w:t xml:space="preserve">ďovanie interiérov a exteriérov nábytkom a doplnkami</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čalúnictvo</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-montáž a demontáž nábytku z hotových dielov</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-administratívne služby</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-prenájom nehnute</w:t>
      </w:r>
      <w:r>
        <w:rPr>
          <w:rFonts w:ascii="Calibri" w:hAnsi="Calibri" w:cs="Calibri" w:eastAsia="Calibri"/>
          <w:color w:val="auto"/>
          <w:spacing w:val="0"/>
          <w:position w:val="0"/>
          <w:sz w:val="22"/>
          <w:shd w:fill="auto" w:val="clear"/>
        </w:rPr>
        <w:t xml:space="preserve">ľností spojený s poskytovaním iných než základných služieb spojených s prenájmom</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-sprostredkovate</w:t>
      </w:r>
      <w:r>
        <w:rPr>
          <w:rFonts w:ascii="Calibri" w:hAnsi="Calibri" w:cs="Calibri" w:eastAsia="Calibri"/>
          <w:color w:val="auto"/>
          <w:spacing w:val="0"/>
          <w:position w:val="0"/>
          <w:sz w:val="22"/>
          <w:shd w:fill="auto" w:val="clear"/>
        </w:rPr>
        <w:t xml:space="preserve">ľská činnosť v oblasti obchodu</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-sprostredkovate</w:t>
      </w:r>
      <w:r>
        <w:rPr>
          <w:rFonts w:ascii="Calibri" w:hAnsi="Calibri" w:cs="Calibri" w:eastAsia="Calibri"/>
          <w:color w:val="auto"/>
          <w:spacing w:val="0"/>
          <w:position w:val="0"/>
          <w:sz w:val="22"/>
          <w:shd w:fill="auto" w:val="clear"/>
        </w:rPr>
        <w:t xml:space="preserve">ľská činnosť v oblasti výroby</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-sprostredkovate</w:t>
      </w:r>
      <w:r>
        <w:rPr>
          <w:rFonts w:ascii="Calibri" w:hAnsi="Calibri" w:cs="Calibri" w:eastAsia="Calibri"/>
          <w:color w:val="auto"/>
          <w:spacing w:val="0"/>
          <w:position w:val="0"/>
          <w:sz w:val="22"/>
          <w:shd w:fill="auto" w:val="clear"/>
        </w:rPr>
        <w:t xml:space="preserve">ľská činnosť v oblasti služieb</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-sprostredkovate</w:t>
      </w:r>
      <w:r>
        <w:rPr>
          <w:rFonts w:ascii="Calibri" w:hAnsi="Calibri" w:cs="Calibri" w:eastAsia="Calibri"/>
          <w:color w:val="auto"/>
          <w:spacing w:val="0"/>
          <w:position w:val="0"/>
          <w:sz w:val="22"/>
          <w:shd w:fill="auto" w:val="clear"/>
        </w:rPr>
        <w:t xml:space="preserve">ľská činnosť v oblasti dopravy</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-skladovanie</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čistiace a upratovacie služby</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-dokon</w:t>
      </w:r>
      <w:r>
        <w:rPr>
          <w:rFonts w:ascii="Calibri" w:hAnsi="Calibri" w:cs="Calibri" w:eastAsia="Calibri"/>
          <w:color w:val="auto"/>
          <w:spacing w:val="0"/>
          <w:position w:val="0"/>
          <w:sz w:val="22"/>
          <w:shd w:fill="auto" w:val="clear"/>
        </w:rPr>
        <w:t xml:space="preserve">čovacie stavebné práce pri realizácii exteriérov a interiérov</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-výroba hra</w:t>
      </w:r>
      <w:r>
        <w:rPr>
          <w:rFonts w:ascii="Calibri" w:hAnsi="Calibri" w:cs="Calibri" w:eastAsia="Calibri"/>
          <w:color w:val="auto"/>
          <w:spacing w:val="0"/>
          <w:position w:val="0"/>
          <w:sz w:val="22"/>
          <w:shd w:fill="auto" w:val="clear"/>
        </w:rPr>
        <w:t xml:space="preserve">čiek a hier</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-nákladná cestná doprava vykonávaná vozidlami s celkovou hmotnos</w:t>
      </w:r>
      <w:r>
        <w:rPr>
          <w:rFonts w:ascii="Calibri" w:hAnsi="Calibri" w:cs="Calibri" w:eastAsia="Calibri"/>
          <w:color w:val="auto"/>
          <w:spacing w:val="0"/>
          <w:position w:val="0"/>
          <w:sz w:val="22"/>
          <w:shd w:fill="auto" w:val="clear"/>
        </w:rPr>
        <w:t xml:space="preserve">ťou do 3,5t vrátane prípojného vozidla</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-prenájom hnute</w:t>
      </w:r>
      <w:r>
        <w:rPr>
          <w:rFonts w:ascii="Calibri" w:hAnsi="Calibri" w:cs="Calibri" w:eastAsia="Calibri"/>
          <w:color w:val="auto"/>
          <w:spacing w:val="0"/>
          <w:position w:val="0"/>
          <w:sz w:val="22"/>
          <w:shd w:fill="auto" w:val="clear"/>
        </w:rPr>
        <w:t xml:space="preserve">ľných vecí</w:t>
      </w:r>
    </w:p>
    <w:p>
      <w:pPr>
        <w:spacing w:before="0" w:after="0" w:line="240"/>
        <w:ind w:right="0" w:left="720" w:firstLine="0"/>
        <w:jc w:val="left"/>
        <w:rPr>
          <w:rFonts w:ascii="Calibri" w:hAnsi="Calibri" w:cs="Calibri" w:eastAsia="Calibri"/>
          <w:color w:val="auto"/>
          <w:spacing w:val="0"/>
          <w:position w:val="0"/>
          <w:sz w:val="22"/>
          <w:shd w:fill="auto" w:val="clear"/>
        </w:rPr>
      </w:pPr>
    </w:p>
    <w:p>
      <w:pPr>
        <w:numPr>
          <w:ilvl w:val="0"/>
          <w:numId w:val="8"/>
        </w:numPr>
        <w:spacing w:before="0" w:after="0" w:line="240"/>
        <w:ind w:right="0" w:left="720" w:hanging="36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Dátum schválenia ú</w:t>
      </w:r>
      <w:r>
        <w:rPr>
          <w:rFonts w:ascii="Calibri" w:hAnsi="Calibri" w:cs="Calibri" w:eastAsia="Calibri"/>
          <w:color w:val="auto"/>
          <w:spacing w:val="0"/>
          <w:position w:val="0"/>
          <w:sz w:val="22"/>
          <w:shd w:fill="auto" w:val="clear"/>
        </w:rPr>
        <w:t xml:space="preserve">čtovnej závierky za predchádzajúce účtovné obdobie:</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ú</w:t>
      </w:r>
      <w:r>
        <w:rPr>
          <w:rFonts w:ascii="Calibri" w:hAnsi="Calibri" w:cs="Calibri" w:eastAsia="Calibri"/>
          <w:color w:val="auto"/>
          <w:spacing w:val="0"/>
          <w:position w:val="0"/>
          <w:sz w:val="22"/>
          <w:shd w:fill="auto" w:val="clear"/>
        </w:rPr>
        <w:t xml:space="preserve">čtovná závierka Spoločnosti k 31.decembru 2014 za predchádzajúce účtovné obdobie bola schválená valným zhromaždením Spoločnosti dňa 21.3.2015.</w:t>
      </w:r>
    </w:p>
    <w:p>
      <w:pPr>
        <w:spacing w:before="0" w:after="0" w:line="240"/>
        <w:ind w:right="0" w:left="720" w:firstLine="0"/>
        <w:jc w:val="left"/>
        <w:rPr>
          <w:rFonts w:ascii="Calibri" w:hAnsi="Calibri" w:cs="Calibri" w:eastAsia="Calibri"/>
          <w:color w:val="auto"/>
          <w:spacing w:val="0"/>
          <w:position w:val="0"/>
          <w:sz w:val="22"/>
          <w:shd w:fill="auto" w:val="clear"/>
        </w:rPr>
      </w:pPr>
    </w:p>
    <w:p>
      <w:pPr>
        <w:numPr>
          <w:ilvl w:val="0"/>
          <w:numId w:val="10"/>
        </w:numPr>
        <w:spacing w:before="0" w:after="0" w:line="240"/>
        <w:ind w:right="0" w:left="720" w:hanging="36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Právny dôvod na zostavenie ú</w:t>
      </w:r>
      <w:r>
        <w:rPr>
          <w:rFonts w:ascii="Calibri" w:hAnsi="Calibri" w:cs="Calibri" w:eastAsia="Calibri"/>
          <w:color w:val="auto"/>
          <w:spacing w:val="0"/>
          <w:position w:val="0"/>
          <w:sz w:val="22"/>
          <w:shd w:fill="auto" w:val="clear"/>
        </w:rPr>
        <w:t xml:space="preserve">čtovnej závierky:</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ú</w:t>
      </w:r>
      <w:r>
        <w:rPr>
          <w:rFonts w:ascii="Calibri" w:hAnsi="Calibri" w:cs="Calibri" w:eastAsia="Calibri"/>
          <w:color w:val="auto"/>
          <w:spacing w:val="0"/>
          <w:position w:val="0"/>
          <w:sz w:val="22"/>
          <w:shd w:fill="auto" w:val="clear"/>
        </w:rPr>
        <w:t xml:space="preserve">čtovná závierka Spoločnosti k 31. Decembru 2015 je zostavená ako riadna účtovná závierka podľa § 17 ods. 6 zákona NR SR č. 431/2002 Z.z. o účtovníctve v znení neskorších predpisov za účtovné obdobie od 1. januára 2015 do 31. decembra 2015.</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r>
    </w:p>
    <w:p>
      <w:pPr>
        <w:numPr>
          <w:ilvl w:val="0"/>
          <w:numId w:val="12"/>
        </w:numPr>
        <w:spacing w:before="0" w:after="0" w:line="240"/>
        <w:ind w:right="0" w:left="720" w:hanging="36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Priemerný prepo</w:t>
      </w:r>
      <w:r>
        <w:rPr>
          <w:rFonts w:ascii="Calibri" w:hAnsi="Calibri" w:cs="Calibri" w:eastAsia="Calibri"/>
          <w:color w:val="auto"/>
          <w:spacing w:val="0"/>
          <w:position w:val="0"/>
          <w:sz w:val="22"/>
          <w:shd w:fill="auto" w:val="clear"/>
        </w:rPr>
        <w:t xml:space="preserve">čítaný počet zamestnancov:</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údaje o po</w:t>
      </w:r>
      <w:r>
        <w:rPr>
          <w:rFonts w:ascii="Calibri" w:hAnsi="Calibri" w:cs="Calibri" w:eastAsia="Calibri"/>
          <w:color w:val="auto"/>
          <w:spacing w:val="0"/>
          <w:position w:val="0"/>
          <w:sz w:val="22"/>
          <w:shd w:fill="auto" w:val="clear"/>
        </w:rPr>
        <w:t xml:space="preserve">čte zamestnancov za bežné účtovné obdobie a bezprostredne predchádzajúce účtovné obdobie sú uvedené v nasledujúcom prehľade:</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w:t>
      </w:r>
      <w:r>
        <w:rPr>
          <w:rFonts w:ascii="Calibri" w:hAnsi="Calibri" w:cs="Calibri" w:eastAsia="Calibri"/>
          <w:color w:val="auto"/>
          <w:spacing w:val="0"/>
          <w:position w:val="0"/>
          <w:sz w:val="22"/>
          <w:shd w:fill="auto" w:val="clear"/>
        </w:rPr>
        <w:t xml:space="preserve">ČO:47320567</w:t>
      </w:r>
    </w:p>
    <w:p>
      <w:pPr>
        <w:spacing w:before="0" w:after="0" w:line="240"/>
        <w:ind w:right="0" w:left="72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DI</w:t>
      </w:r>
      <w:r>
        <w:rPr>
          <w:rFonts w:ascii="Calibri" w:hAnsi="Calibri" w:cs="Calibri" w:eastAsia="Calibri"/>
          <w:color w:val="auto"/>
          <w:spacing w:val="0"/>
          <w:position w:val="0"/>
          <w:sz w:val="22"/>
          <w:shd w:fill="auto" w:val="clear"/>
        </w:rPr>
        <w:t xml:space="preserve">Č:2023815629</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ab/>
        <w:tab/>
        <w:tab/>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Názov položky</w:t>
        <w:tab/>
        <w:tab/>
        <w:t xml:space="preserve">Bežné ú</w:t>
      </w:r>
      <w:r>
        <w:rPr>
          <w:rFonts w:ascii="Calibri" w:hAnsi="Calibri" w:cs="Calibri" w:eastAsia="Calibri"/>
          <w:color w:val="auto"/>
          <w:spacing w:val="0"/>
          <w:position w:val="0"/>
          <w:sz w:val="22"/>
          <w:shd w:fill="auto" w:val="clear"/>
        </w:rPr>
        <w:t xml:space="preserve">čtovné obdobie</w:t>
        <w:tab/>
        <w:tab/>
        <w:t xml:space="preserve">Predchádzajúce účt.obdobie</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Priemerný prepo</w:t>
      </w:r>
      <w:r>
        <w:rPr>
          <w:rFonts w:ascii="Calibri" w:hAnsi="Calibri" w:cs="Calibri" w:eastAsia="Calibri"/>
          <w:color w:val="auto"/>
          <w:spacing w:val="0"/>
          <w:position w:val="0"/>
          <w:sz w:val="22"/>
          <w:shd w:fill="auto" w:val="clear"/>
        </w:rPr>
        <w:t xml:space="preserve">čítaný</w:t>
        <w:tab/>
        <w:tab/>
        <w:t xml:space="preserve">   </w:t>
        <w:tab/>
        <w:t xml:space="preserve"> 3</w:t>
        <w:tab/>
        <w:tab/>
        <w:tab/>
        <w:t xml:space="preserve">                      3</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po</w:t>
      </w:r>
      <w:r>
        <w:rPr>
          <w:rFonts w:ascii="Calibri" w:hAnsi="Calibri" w:cs="Calibri" w:eastAsia="Calibri"/>
          <w:color w:val="auto"/>
          <w:spacing w:val="0"/>
          <w:position w:val="0"/>
          <w:sz w:val="22"/>
          <w:shd w:fill="auto" w:val="clear"/>
        </w:rPr>
        <w:t xml:space="preserve">čet zamestnancov</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2136" w:firstLine="696"/>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      Informácie o orgánoch spolo</w:t>
      </w:r>
      <w:r>
        <w:rPr>
          <w:rFonts w:ascii="Calibri" w:hAnsi="Calibri" w:cs="Calibri" w:eastAsia="Calibri"/>
          <w:color w:val="auto"/>
          <w:spacing w:val="0"/>
          <w:position w:val="0"/>
          <w:sz w:val="22"/>
          <w:shd w:fill="auto" w:val="clear"/>
        </w:rPr>
        <w:t xml:space="preserve">čnosti</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Údaje o štatutárnych orgánoch Spolo</w:t>
      </w:r>
      <w:r>
        <w:rPr>
          <w:rFonts w:ascii="Calibri" w:hAnsi="Calibri" w:cs="Calibri" w:eastAsia="Calibri"/>
          <w:color w:val="auto"/>
          <w:spacing w:val="0"/>
          <w:position w:val="0"/>
          <w:sz w:val="22"/>
          <w:shd w:fill="auto" w:val="clear"/>
        </w:rPr>
        <w:t xml:space="preserve">čnosti sú uvedené v Obchodnom registri.</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Štatutárnym orgánom Spolo</w:t>
      </w:r>
      <w:r>
        <w:rPr>
          <w:rFonts w:ascii="Calibri" w:hAnsi="Calibri" w:cs="Calibri" w:eastAsia="Calibri"/>
          <w:color w:val="auto"/>
          <w:spacing w:val="0"/>
          <w:position w:val="0"/>
          <w:sz w:val="22"/>
          <w:shd w:fill="auto" w:val="clear"/>
        </w:rPr>
        <w:t xml:space="preserve">čnosti je konateľ  Richard Sztruhár</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r>
    </w:p>
    <w:p>
      <w:pPr>
        <w:spacing w:before="0" w:after="0" w:line="240"/>
        <w:ind w:right="0" w:left="72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Čl. III</w:t>
      </w:r>
    </w:p>
    <w:p>
      <w:pPr>
        <w:spacing w:before="0" w:after="0" w:line="240"/>
        <w:ind w:right="0" w:left="2844" w:firstLine="696"/>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Informácie o prijatých postupoch</w:t>
      </w:r>
    </w:p>
    <w:p>
      <w:pPr>
        <w:spacing w:before="0" w:after="0" w:line="240"/>
        <w:ind w:right="0" w:left="720" w:firstLine="0"/>
        <w:jc w:val="left"/>
        <w:rPr>
          <w:rFonts w:ascii="Calibri" w:hAnsi="Calibri" w:cs="Calibri" w:eastAsia="Calibri"/>
          <w:color w:val="auto"/>
          <w:spacing w:val="0"/>
          <w:position w:val="0"/>
          <w:sz w:val="22"/>
          <w:shd w:fill="auto" w:val="clear"/>
        </w:rPr>
      </w:pPr>
    </w:p>
    <w:p>
      <w:pPr>
        <w:numPr>
          <w:ilvl w:val="0"/>
          <w:numId w:val="22"/>
        </w:numPr>
        <w:spacing w:before="0" w:after="0" w:line="240"/>
        <w:ind w:right="0" w:left="1080" w:hanging="36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Východiská pre zostavenie ú</w:t>
      </w:r>
      <w:r>
        <w:rPr>
          <w:rFonts w:ascii="Calibri" w:hAnsi="Calibri" w:cs="Calibri" w:eastAsia="Calibri"/>
          <w:color w:val="auto"/>
          <w:spacing w:val="0"/>
          <w:position w:val="0"/>
          <w:sz w:val="22"/>
          <w:shd w:fill="auto" w:val="clear"/>
        </w:rPr>
        <w:t xml:space="preserve">čtovnej závierky:</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 ú</w:t>
      </w:r>
      <w:r>
        <w:rPr>
          <w:rFonts w:ascii="Calibri" w:hAnsi="Calibri" w:cs="Calibri" w:eastAsia="Calibri"/>
          <w:color w:val="auto"/>
          <w:spacing w:val="0"/>
          <w:position w:val="0"/>
          <w:sz w:val="22"/>
          <w:shd w:fill="auto" w:val="clear"/>
        </w:rPr>
        <w:t xml:space="preserve">čtovná závierka bola zostavená za predpokladu nepretržitého trvania  Spoločnosti.</w:t>
      </w:r>
    </w:p>
    <w:p>
      <w:pPr>
        <w:spacing w:before="0" w:after="0" w:line="240"/>
        <w:ind w:right="0" w:left="720" w:firstLine="0"/>
        <w:jc w:val="left"/>
        <w:rPr>
          <w:rFonts w:ascii="Calibri" w:hAnsi="Calibri" w:cs="Calibri" w:eastAsia="Calibri"/>
          <w:color w:val="auto"/>
          <w:spacing w:val="0"/>
          <w:position w:val="0"/>
          <w:sz w:val="22"/>
          <w:shd w:fill="auto" w:val="clear"/>
        </w:rPr>
      </w:pPr>
    </w:p>
    <w:p>
      <w:pPr>
        <w:numPr>
          <w:ilvl w:val="0"/>
          <w:numId w:val="24"/>
        </w:numPr>
        <w:spacing w:before="0" w:after="0" w:line="240"/>
        <w:ind w:right="0" w:left="1080" w:hanging="36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Ú</w:t>
      </w:r>
      <w:r>
        <w:rPr>
          <w:rFonts w:ascii="Calibri" w:hAnsi="Calibri" w:cs="Calibri" w:eastAsia="Calibri"/>
          <w:color w:val="auto"/>
          <w:spacing w:val="0"/>
          <w:position w:val="0"/>
          <w:sz w:val="22"/>
          <w:shd w:fill="auto" w:val="clear"/>
        </w:rPr>
        <w:t xml:space="preserve">čtovné metódy a  všeobecné účtovné zásady boli  účtovnou jednotkou konzistentne aplikované.</w:t>
      </w:r>
    </w:p>
    <w:p>
      <w:pPr>
        <w:numPr>
          <w:ilvl w:val="0"/>
          <w:numId w:val="24"/>
        </w:numPr>
        <w:spacing w:before="0" w:after="0" w:line="240"/>
        <w:ind w:right="0" w:left="1080" w:hanging="36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V súvahe sú uvedené všetky transakcie, uskuto</w:t>
      </w:r>
      <w:r>
        <w:rPr>
          <w:rFonts w:ascii="Calibri" w:hAnsi="Calibri" w:cs="Calibri" w:eastAsia="Calibri"/>
          <w:color w:val="auto"/>
          <w:spacing w:val="0"/>
          <w:position w:val="0"/>
          <w:sz w:val="22"/>
          <w:shd w:fill="auto" w:val="clear"/>
        </w:rPr>
        <w:t xml:space="preserve">čnené Spoločnosťou v účtovnom období</w:t>
      </w:r>
    </w:p>
    <w:p>
      <w:pPr>
        <w:numPr>
          <w:ilvl w:val="0"/>
          <w:numId w:val="24"/>
        </w:numPr>
        <w:spacing w:before="0" w:after="0" w:line="240"/>
        <w:ind w:right="0" w:left="1080" w:hanging="36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Spôsob a ur</w:t>
      </w:r>
      <w:r>
        <w:rPr>
          <w:rFonts w:ascii="Calibri" w:hAnsi="Calibri" w:cs="Calibri" w:eastAsia="Calibri"/>
          <w:color w:val="auto"/>
          <w:spacing w:val="0"/>
          <w:position w:val="0"/>
          <w:sz w:val="22"/>
          <w:shd w:fill="auto" w:val="clear"/>
        </w:rPr>
        <w:t xml:space="preserve">čenie ocenenia majetku a záväzkov vrátane odhadov:</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a)Dlhodobý nehmotný majetok a dlhodobý hmotný majetok:</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dlhodobý majetok nakupovaný sa oce</w:t>
      </w:r>
      <w:r>
        <w:rPr>
          <w:rFonts w:ascii="Calibri" w:hAnsi="Calibri" w:cs="Calibri" w:eastAsia="Calibri"/>
          <w:color w:val="auto"/>
          <w:spacing w:val="0"/>
          <w:position w:val="0"/>
          <w:sz w:val="22"/>
          <w:shd w:fill="auto" w:val="clear"/>
        </w:rPr>
        <w:t xml:space="preserve">ňuje obstarávacou cenou, ktorá zahŕňa cenu obstarania a náklady súvisiace s obstaraním (preprava, montáž..)</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Sú</w:t>
      </w:r>
      <w:r>
        <w:rPr>
          <w:rFonts w:ascii="Calibri" w:hAnsi="Calibri" w:cs="Calibri" w:eastAsia="Calibri"/>
          <w:color w:val="auto"/>
          <w:spacing w:val="0"/>
          <w:position w:val="0"/>
          <w:sz w:val="22"/>
          <w:shd w:fill="auto" w:val="clear"/>
        </w:rPr>
        <w:t xml:space="preserve">časťou obstarávacej ceny dlhodobého hmotného majetku nie sú úroky z cudzích zdrojov ani realizované kurzové rozdiely, ktoré vznikli do momentu uvedenia dlhodobého majetku do používania.</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Sú</w:t>
      </w:r>
      <w:r>
        <w:rPr>
          <w:rFonts w:ascii="Calibri" w:hAnsi="Calibri" w:cs="Calibri" w:eastAsia="Calibri"/>
          <w:color w:val="auto"/>
          <w:spacing w:val="0"/>
          <w:position w:val="0"/>
          <w:sz w:val="22"/>
          <w:shd w:fill="auto" w:val="clear"/>
        </w:rPr>
        <w:t xml:space="preserve">časťou obstarávacej ceny dlhodobého nehmotného majetku nie sú úroky z cudzích zdrojov, ktoré vznikli do momentu zaradenia dlhodobého nehmotného majetku do používania.</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Odpisy dlhodobého nehmotného majetku sú stanovené vychádzajúc z predpokladanej doby jeho používania a predpokladaného priebehu jeho opotrebenia. Odpisova</w:t>
      </w:r>
      <w:r>
        <w:rPr>
          <w:rFonts w:ascii="Calibri" w:hAnsi="Calibri" w:cs="Calibri" w:eastAsia="Calibri"/>
          <w:color w:val="auto"/>
          <w:spacing w:val="0"/>
          <w:position w:val="0"/>
          <w:sz w:val="22"/>
          <w:shd w:fill="auto" w:val="clear"/>
        </w:rPr>
        <w:t xml:space="preserve">ť sa začína prvým dňom mesiaca nasledujúceho po uvedení dlhodobého majetku do používania.</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Odpisy dlhodobého hmotného majetku sú stanovené vychádzajúc z predpokladanej </w:t>
      </w:r>
    </w:p>
    <w:p>
      <w:pPr>
        <w:spacing w:before="0" w:after="0" w:line="240"/>
        <w:ind w:right="0" w:left="72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ab/>
        <w:tab/>
        <w:tab/>
        <w:t xml:space="preserve">IČO:47320567</w:t>
      </w:r>
    </w:p>
    <w:p>
      <w:pPr>
        <w:spacing w:before="0" w:after="0" w:line="240"/>
        <w:ind w:right="0" w:left="72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ab/>
        <w:tab/>
        <w:tab/>
        <w:t xml:space="preserve">DIČ:2023815629</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doby jeho používania a predpokladaného priebehu jeho opotrebenia. Odpisova</w:t>
      </w:r>
      <w:r>
        <w:rPr>
          <w:rFonts w:ascii="Calibri" w:hAnsi="Calibri" w:cs="Calibri" w:eastAsia="Calibri"/>
          <w:color w:val="auto"/>
          <w:spacing w:val="0"/>
          <w:position w:val="0"/>
          <w:sz w:val="22"/>
          <w:shd w:fill="auto" w:val="clear"/>
        </w:rPr>
        <w:t xml:space="preserve">ť sa začína prvým dňom mesiaca nasledujúceho po uvedení dlhodobého majetku do používania . Účtovné odpisy sa rovnajú daňovým odpisom. Spoločnosť používa lineárne odpisy.</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r>
      <w:r>
        <w:rPr>
          <w:rFonts w:ascii="Calibri" w:hAnsi="Calibri" w:cs="Calibri" w:eastAsia="Calibri"/>
          <w:color w:val="auto"/>
          <w:spacing w:val="0"/>
          <w:position w:val="0"/>
          <w:sz w:val="22"/>
          <w:shd w:fill="auto" w:val="clear"/>
        </w:rPr>
        <w:tab/>
        <w:tab/>
        <w:tab/>
        <w:tab/>
        <w:tab/>
        <w:tab/>
      </w:r>
    </w:p>
    <w:p>
      <w:pPr>
        <w:spacing w:before="0" w:after="0" w:line="240"/>
        <w:ind w:right="0" w:left="720" w:firstLine="0"/>
        <w:jc w:val="righ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 xml:space="preserve">Doba odpisovania</w:t>
        <w:tab/>
        <w:t xml:space="preserve">Odpisová metóda</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Stavby</w:t>
        <w:tab/>
        <w:tab/>
        <w:tab/>
        <w:tab/>
        <w:tab/>
        <w:t xml:space="preserve">20 rokov                             Lineárne</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Stroje a prístroje</w:t>
        <w:tab/>
        <w:tab/>
        <w:tab/>
        <w:t xml:space="preserve">4-6 rokov</w:t>
        <w:tab/>
        <w:t xml:space="preserve">                Lineárne</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O drobnom hmotnom majetku, ktorým sú samostatné hnute</w:t>
      </w:r>
      <w:r>
        <w:rPr>
          <w:rFonts w:ascii="Calibri" w:hAnsi="Calibri" w:cs="Calibri" w:eastAsia="Calibri"/>
          <w:color w:val="auto"/>
          <w:spacing w:val="0"/>
          <w:position w:val="0"/>
          <w:sz w:val="22"/>
          <w:shd w:fill="auto" w:val="clear"/>
        </w:rPr>
        <w:t xml:space="preserve">ľné veci a súbory hnuteľných vecí, ktoré majú samostatné ekonomické určenie, ktorého ocenenie sa rovná alebo je nižšie ako 1 700,-EUR sa účtuje priamo do spotreby na ťarchu účtu  501.</w:t>
      </w:r>
    </w:p>
    <w:p>
      <w:pPr>
        <w:spacing w:before="0" w:after="0" w:line="240"/>
        <w:ind w:right="0" w:left="72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ab/>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b) poh</w:t>
      </w:r>
      <w:r>
        <w:rPr>
          <w:rFonts w:ascii="Calibri" w:hAnsi="Calibri" w:cs="Calibri" w:eastAsia="Calibri"/>
          <w:color w:val="auto"/>
          <w:spacing w:val="0"/>
          <w:position w:val="0"/>
          <w:sz w:val="22"/>
          <w:shd w:fill="auto" w:val="clear"/>
        </w:rPr>
        <w:t xml:space="preserve">ľadávky:</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poh</w:t>
      </w:r>
      <w:r>
        <w:rPr>
          <w:rFonts w:ascii="Calibri" w:hAnsi="Calibri" w:cs="Calibri" w:eastAsia="Calibri"/>
          <w:color w:val="auto"/>
          <w:spacing w:val="0"/>
          <w:position w:val="0"/>
          <w:sz w:val="22"/>
          <w:shd w:fill="auto" w:val="clear"/>
        </w:rPr>
        <w:t xml:space="preserve">ľadávky pri ich vzniku sa oceňujú ich menovitou hodnotou. Toto ocenenie sa znižuje o pochybné a nevymožiteľné pohľadávky vytvorením opravnej položky alebo odpisom pohľadávky.</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c) pe</w:t>
      </w:r>
      <w:r>
        <w:rPr>
          <w:rFonts w:ascii="Calibri" w:hAnsi="Calibri" w:cs="Calibri" w:eastAsia="Calibri"/>
          <w:color w:val="auto"/>
          <w:spacing w:val="0"/>
          <w:position w:val="0"/>
          <w:sz w:val="22"/>
          <w:shd w:fill="auto" w:val="clear"/>
        </w:rPr>
        <w:t xml:space="preserve">ňažné prostriedky a ceniny:</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pe</w:t>
      </w:r>
      <w:r>
        <w:rPr>
          <w:rFonts w:ascii="Calibri" w:hAnsi="Calibri" w:cs="Calibri" w:eastAsia="Calibri"/>
          <w:color w:val="auto"/>
          <w:spacing w:val="0"/>
          <w:position w:val="0"/>
          <w:sz w:val="22"/>
          <w:shd w:fill="auto" w:val="clear"/>
        </w:rPr>
        <w:t xml:space="preserve">ňažné prostriedky a ceniny sa oceňujú ich menovitou hodnotou. Zníženie ich hodnoty sa vyjadruje opravnou položkou.</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d)náklady budúcich období a príjmy budúcich období:</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náklady budúcich období a príjmy budúcich období sa vykazujú vo výške, ktorá je potrebná na dodržanie zásady vecnej a </w:t>
      </w:r>
      <w:r>
        <w:rPr>
          <w:rFonts w:ascii="Calibri" w:hAnsi="Calibri" w:cs="Calibri" w:eastAsia="Calibri"/>
          <w:color w:val="auto"/>
          <w:spacing w:val="0"/>
          <w:position w:val="0"/>
          <w:sz w:val="22"/>
          <w:shd w:fill="auto" w:val="clear"/>
        </w:rPr>
        <w:t xml:space="preserve">časovej súvislosti s účtovným obdobím.</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e)rezervy:</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rezervy sú záväzky s neur</w:t>
      </w:r>
      <w:r>
        <w:rPr>
          <w:rFonts w:ascii="Calibri" w:hAnsi="Calibri" w:cs="Calibri" w:eastAsia="Calibri"/>
          <w:color w:val="auto"/>
          <w:spacing w:val="0"/>
          <w:position w:val="0"/>
          <w:sz w:val="22"/>
          <w:shd w:fill="auto" w:val="clear"/>
        </w:rPr>
        <w:t xml:space="preserve">čitým časovým vymedzením alebo výškou, tvoria sa na krytie známych rizík alebo strát z podnikania. Oceňujú sa v očakávanej výške záväzku.</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f)záväzky:</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záväzky pri ich vzniku sa oce</w:t>
      </w:r>
      <w:r>
        <w:rPr>
          <w:rFonts w:ascii="Calibri" w:hAnsi="Calibri" w:cs="Calibri" w:eastAsia="Calibri"/>
          <w:color w:val="auto"/>
          <w:spacing w:val="0"/>
          <w:position w:val="0"/>
          <w:sz w:val="22"/>
          <w:shd w:fill="auto" w:val="clear"/>
        </w:rPr>
        <w:t xml:space="preserv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g)odložené dane:</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odložené dane (odložená da</w:t>
      </w:r>
      <w:r>
        <w:rPr>
          <w:rFonts w:ascii="Calibri" w:hAnsi="Calibri" w:cs="Calibri" w:eastAsia="Calibri"/>
          <w:color w:val="auto"/>
          <w:spacing w:val="0"/>
          <w:position w:val="0"/>
          <w:sz w:val="22"/>
          <w:shd w:fill="auto" w:val="clear"/>
        </w:rPr>
        <w:t xml:space="preserve">ňová pohľadávka a odložený daňový záväzok) sa vzťahujú na:</w:t>
      </w:r>
    </w:p>
    <w:p>
      <w:pPr>
        <w:spacing w:before="0" w:after="0" w:line="240"/>
        <w:ind w:right="0" w:left="72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ab/>
        <w:tab/>
        <w:tab/>
        <w:t xml:space="preserve">IČO:47320567</w:t>
      </w:r>
    </w:p>
    <w:p>
      <w:pPr>
        <w:spacing w:before="0" w:after="0" w:line="240"/>
        <w:ind w:right="0" w:left="72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ab/>
        <w:tab/>
        <w:tab/>
        <w:t xml:space="preserve">DIČ:2023815629</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a)do</w:t>
      </w:r>
      <w:r>
        <w:rPr>
          <w:rFonts w:ascii="Calibri" w:hAnsi="Calibri" w:cs="Calibri" w:eastAsia="Calibri"/>
          <w:color w:val="auto"/>
          <w:spacing w:val="0"/>
          <w:position w:val="0"/>
          <w:sz w:val="22"/>
          <w:shd w:fill="auto" w:val="clear"/>
        </w:rPr>
        <w:t xml:space="preserve">časné rozdiely medzi účtovnou hodnotou majetku a účtovnou hodnotou záväzkov vykázanou v súvahe a ich daňovou základňou,</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b)možnos</w:t>
      </w:r>
      <w:r>
        <w:rPr>
          <w:rFonts w:ascii="Calibri" w:hAnsi="Calibri" w:cs="Calibri" w:eastAsia="Calibri"/>
          <w:color w:val="auto"/>
          <w:spacing w:val="0"/>
          <w:position w:val="0"/>
          <w:sz w:val="22"/>
          <w:shd w:fill="auto" w:val="clear"/>
        </w:rPr>
        <w:t xml:space="preserve">ť umorovať daňovú stratu v budúcnosti, ktorou sa rozumie možnosť odpočítať daňovú stratu od základu dane v budúcnosti,</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c)možnos</w:t>
      </w:r>
      <w:r>
        <w:rPr>
          <w:rFonts w:ascii="Calibri" w:hAnsi="Calibri" w:cs="Calibri" w:eastAsia="Calibri"/>
          <w:color w:val="auto"/>
          <w:spacing w:val="0"/>
          <w:position w:val="0"/>
          <w:sz w:val="22"/>
          <w:shd w:fill="auto" w:val="clear"/>
        </w:rPr>
        <w:t xml:space="preserve">ť previesť nevyužité daňové odpočty a iné daňové nároky do budúcich období.</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O odloženom da</w:t>
      </w:r>
      <w:r>
        <w:rPr>
          <w:rFonts w:ascii="Calibri" w:hAnsi="Calibri" w:cs="Calibri" w:eastAsia="Calibri"/>
          <w:color w:val="auto"/>
          <w:spacing w:val="0"/>
          <w:position w:val="0"/>
          <w:sz w:val="22"/>
          <w:shd w:fill="auto" w:val="clear"/>
        </w:rPr>
        <w:t xml:space="preserve">ňovom záväzku účtuje spoločnosť vždy, o pohľadávke účtuje, ak je realizovateľná.</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h)výdavky budúcich období a výnosy budúcich období:</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výdavky budúcich období a výnosy budúcich období sa vykazujú vo výške, ktorá je potrebná na dodržanie zásady vecnej a </w:t>
      </w:r>
      <w:r>
        <w:rPr>
          <w:rFonts w:ascii="Calibri" w:hAnsi="Calibri" w:cs="Calibri" w:eastAsia="Calibri"/>
          <w:color w:val="auto"/>
          <w:spacing w:val="0"/>
          <w:position w:val="0"/>
          <w:sz w:val="22"/>
          <w:shd w:fill="auto" w:val="clear"/>
        </w:rPr>
        <w:t xml:space="preserve">časovej súvislosti s účtovným obdobím .</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i)prenájom (leasing):</w:t>
        <w:tab/>
        <w:tab/>
        <w:tab/>
        <w:tab/>
        <w:tab/>
        <w:tab/>
        <w:tab/>
        <w:tab/>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majetok prenajatý na základe operatívneho prenájmu bez kúpnej opcie je považovaný za  operatívny prenájom. Majetok vykazuje ako svoj majetok jeho vlastník, nie nájomca.</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Majetok prenajatý na základe finan</w:t>
      </w:r>
      <w:r>
        <w:rPr>
          <w:rFonts w:ascii="Calibri" w:hAnsi="Calibri" w:cs="Calibri" w:eastAsia="Calibri"/>
          <w:color w:val="auto"/>
          <w:spacing w:val="0"/>
          <w:position w:val="0"/>
          <w:sz w:val="22"/>
          <w:shd w:fill="auto" w:val="clear"/>
        </w:rPr>
        <w:t xml:space="preserve">čného nájmu s kúpnou opciou na základe zmluvy uzatvorenej do 31.decembra 2003 vykazuje ako svoj majetok jeho vlastník, nie nájomca. Majetok prenajatý na základe zmluvy uzatvorenej 1.januára 2004 a neskôr vykazuje ako svoj majetok jeho nájomca, nie vlastník.</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j)výnosy:</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tržby za vlastné výkony a tovar neobsahujú da</w:t>
      </w:r>
      <w:r>
        <w:rPr>
          <w:rFonts w:ascii="Calibri" w:hAnsi="Calibri" w:cs="Calibri" w:eastAsia="Calibri"/>
          <w:color w:val="auto"/>
          <w:spacing w:val="0"/>
          <w:position w:val="0"/>
          <w:sz w:val="22"/>
          <w:shd w:fill="auto" w:val="clear"/>
        </w:rPr>
        <w:t xml:space="preserve">ň z pridanej hodnoty. Sú tiež znížené o zľavy a zrážky (rabaty, bonusy, skontá, dobropisy...), bez ohľadu na to, či zákazník mal vopred na zľavu nárok, alebo či ide o dodatočne uznanú zľavu.</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k)náklady:</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na ú</w:t>
      </w:r>
      <w:r>
        <w:rPr>
          <w:rFonts w:ascii="Calibri" w:hAnsi="Calibri" w:cs="Calibri" w:eastAsia="Calibri"/>
          <w:color w:val="auto"/>
          <w:spacing w:val="0"/>
          <w:position w:val="0"/>
          <w:sz w:val="22"/>
          <w:shd w:fill="auto" w:val="clear"/>
        </w:rPr>
        <w:t xml:space="preserve">čtoch nákladov sa účtujú prvotné náklady alebo daňové náklady narastajúcim spôsobom.</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Ak vo vyú</w:t>
      </w:r>
      <w:r>
        <w:rPr>
          <w:rFonts w:ascii="Calibri" w:hAnsi="Calibri" w:cs="Calibri" w:eastAsia="Calibri"/>
          <w:color w:val="auto"/>
          <w:spacing w:val="0"/>
          <w:position w:val="0"/>
          <w:sz w:val="22"/>
          <w:shd w:fill="auto" w:val="clear"/>
        </w:rPr>
        <w:t xml:space="preserve">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l)poskytnuté dotácie:</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Spolo</w:t>
      </w:r>
      <w:r>
        <w:rPr>
          <w:rFonts w:ascii="Calibri" w:hAnsi="Calibri" w:cs="Calibri" w:eastAsia="Calibri"/>
          <w:color w:val="auto"/>
          <w:spacing w:val="0"/>
          <w:position w:val="0"/>
          <w:sz w:val="22"/>
          <w:shd w:fill="auto" w:val="clear"/>
        </w:rPr>
        <w:t xml:space="preserve">čnosť nedostala dotácie ani na náhradu prevádzkových nákladov, ani na obstaranie dlhodobého majetku.</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m)opravy chýb minulých období:</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opravy významných chýb minulých ú</w:t>
      </w:r>
      <w:r>
        <w:rPr>
          <w:rFonts w:ascii="Calibri" w:hAnsi="Calibri" w:cs="Calibri" w:eastAsia="Calibri"/>
          <w:color w:val="auto"/>
          <w:spacing w:val="0"/>
          <w:position w:val="0"/>
          <w:sz w:val="22"/>
          <w:shd w:fill="auto" w:val="clear"/>
        </w:rPr>
        <w:t xml:space="preserve">čtovných období, účtované s vplyvom na nerozdelený zisk minulých rokov, sa v bežnom účtovnom období nevyskytli.</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Nevýznamné opravy chýb minulých ú</w:t>
      </w:r>
      <w:r>
        <w:rPr>
          <w:rFonts w:ascii="Calibri" w:hAnsi="Calibri" w:cs="Calibri" w:eastAsia="Calibri"/>
          <w:color w:val="auto"/>
          <w:spacing w:val="0"/>
          <w:position w:val="0"/>
          <w:sz w:val="22"/>
          <w:shd w:fill="auto" w:val="clear"/>
        </w:rPr>
        <w:t xml:space="preserve">čtovných období vykonané v bežnom účtovnom období nemajú významný vplyv na výsledok hospodárenia bežného účtovného obdobia.</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ab/>
        <w:tab/>
        <w:tab/>
        <w:t xml:space="preserve">I</w:t>
      </w:r>
      <w:r>
        <w:rPr>
          <w:rFonts w:ascii="Calibri" w:hAnsi="Calibri" w:cs="Calibri" w:eastAsia="Calibri"/>
          <w:color w:val="auto"/>
          <w:spacing w:val="0"/>
          <w:position w:val="0"/>
          <w:sz w:val="22"/>
          <w:shd w:fill="auto" w:val="clear"/>
        </w:rPr>
        <w:t xml:space="preserve">ČO:47320567</w:t>
      </w:r>
    </w:p>
    <w:p>
      <w:pPr>
        <w:spacing w:before="0" w:after="0" w:line="240"/>
        <w:ind w:right="0" w:left="72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ab/>
        <w:tab/>
        <w:tab/>
        <w:t xml:space="preserve">DI</w:t>
      </w:r>
      <w:r>
        <w:rPr>
          <w:rFonts w:ascii="Calibri" w:hAnsi="Calibri" w:cs="Calibri" w:eastAsia="Calibri"/>
          <w:color w:val="auto"/>
          <w:spacing w:val="0"/>
          <w:position w:val="0"/>
          <w:sz w:val="22"/>
          <w:shd w:fill="auto" w:val="clear"/>
        </w:rPr>
        <w:t xml:space="preserve">Č:2023815629</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Čl. IV</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             Informácie, ktoré vysvet</w:t>
      </w:r>
      <w:r>
        <w:rPr>
          <w:rFonts w:ascii="Calibri" w:hAnsi="Calibri" w:cs="Calibri" w:eastAsia="Calibri"/>
          <w:color w:val="auto"/>
          <w:spacing w:val="0"/>
          <w:position w:val="0"/>
          <w:sz w:val="22"/>
          <w:shd w:fill="auto" w:val="clear"/>
        </w:rPr>
        <w:t xml:space="preserve">ľujú a dopĺňajú súvahu a výkaz ziskov a strát</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1)Na ú</w:t>
      </w:r>
      <w:r>
        <w:rPr>
          <w:rFonts w:ascii="Calibri" w:hAnsi="Calibri" w:cs="Calibri" w:eastAsia="Calibri"/>
          <w:color w:val="auto"/>
          <w:spacing w:val="0"/>
          <w:position w:val="0"/>
          <w:sz w:val="22"/>
          <w:shd w:fill="auto" w:val="clear"/>
        </w:rPr>
        <w:t xml:space="preserve">čtovanie goodwillu ani záporného goodwillu nemala Spoločnosť v bežnom účtovnom období náplň.</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ab/>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ab/>
        <w:tab/>
        <w:tab/>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2)Na ú</w:t>
      </w:r>
      <w:r>
        <w:rPr>
          <w:rFonts w:ascii="Calibri" w:hAnsi="Calibri" w:cs="Calibri" w:eastAsia="Calibri"/>
          <w:color w:val="auto"/>
          <w:spacing w:val="0"/>
          <w:position w:val="0"/>
          <w:sz w:val="22"/>
          <w:shd w:fill="auto" w:val="clear"/>
        </w:rPr>
        <w:t xml:space="preserve">čtovanie o derivátoch, ani o majetku a záväzkoch zabezpečených derivátmi nemala  Spoločnosť v bežnom účtovnom období náplň.</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3)Spolo</w:t>
      </w:r>
      <w:r>
        <w:rPr>
          <w:rFonts w:ascii="Calibri" w:hAnsi="Calibri" w:cs="Calibri" w:eastAsia="Calibri"/>
          <w:color w:val="auto"/>
          <w:spacing w:val="0"/>
          <w:position w:val="0"/>
          <w:sz w:val="22"/>
          <w:shd w:fill="auto" w:val="clear"/>
        </w:rPr>
        <w:t xml:space="preserve">čnosť nemá ku koncu bežného účtovného obdobia záväzky so zostatkovou dobou splatnosti dlhšiu ako päť rokov. Spoločnosť neeviduje ku koncu bežného účtovného obdobia žiadne zabezpečené záväzky.</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4)Spolo</w:t>
      </w:r>
      <w:r>
        <w:rPr>
          <w:rFonts w:ascii="Calibri" w:hAnsi="Calibri" w:cs="Calibri" w:eastAsia="Calibri"/>
          <w:color w:val="auto"/>
          <w:spacing w:val="0"/>
          <w:position w:val="0"/>
          <w:sz w:val="22"/>
          <w:shd w:fill="auto" w:val="clear"/>
        </w:rPr>
        <w:t xml:space="preserve">čnosť nenadobudla v bežnom účtovnom období žiadne vlastné obchodné podiely, ani ku koncu bežného účtovného obdobia nevlastní žiadne vlastné obchodné podiely.</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5)Žiadne položky nákladov ani výnosov bežného ú</w:t>
      </w:r>
      <w:r>
        <w:rPr>
          <w:rFonts w:ascii="Calibri" w:hAnsi="Calibri" w:cs="Calibri" w:eastAsia="Calibri"/>
          <w:color w:val="auto"/>
          <w:spacing w:val="0"/>
          <w:position w:val="0"/>
          <w:sz w:val="22"/>
          <w:shd w:fill="auto" w:val="clear"/>
        </w:rPr>
        <w:t xml:space="preserve">čtovného obdobia nemajú výnimočný </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Charakter</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Čl. V</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                                Informácie o iných aktívach a iných pasívach</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1)Spolo</w:t>
      </w:r>
      <w:r>
        <w:rPr>
          <w:rFonts w:ascii="Calibri" w:hAnsi="Calibri" w:cs="Calibri" w:eastAsia="Calibri"/>
          <w:color w:val="auto"/>
          <w:spacing w:val="0"/>
          <w:position w:val="0"/>
          <w:sz w:val="22"/>
          <w:shd w:fill="auto" w:val="clear"/>
        </w:rPr>
        <w:t xml:space="preserve">čnosť neeviduje ku koncu bežného účtovného obdobia žiadny podmienený majetok ani žiadne podmienené záväzky.</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2)Spolo</w:t>
      </w:r>
      <w:r>
        <w:rPr>
          <w:rFonts w:ascii="Calibri" w:hAnsi="Calibri" w:cs="Calibri" w:eastAsia="Calibri"/>
          <w:color w:val="auto"/>
          <w:spacing w:val="0"/>
          <w:position w:val="0"/>
          <w:sz w:val="22"/>
          <w:shd w:fill="auto" w:val="clear"/>
        </w:rPr>
        <w:t xml:space="preserve">čnosť nemá žiadne finančné povinnosti, ktoré nie sú vykazované v súvahe ku koncu bežného účtovného obdobia.</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3)Na podsúvahových ú</w:t>
      </w:r>
      <w:r>
        <w:rPr>
          <w:rFonts w:ascii="Calibri" w:hAnsi="Calibri" w:cs="Calibri" w:eastAsia="Calibri"/>
          <w:color w:val="auto"/>
          <w:spacing w:val="0"/>
          <w:position w:val="0"/>
          <w:sz w:val="22"/>
          <w:shd w:fill="auto" w:val="clear"/>
        </w:rPr>
        <w:t xml:space="preserve">čtoch neeviduje Spoločnosť žiadne významné položky ku koncu bežného účtovného obdobia.</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Čl. VI</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                Udalosti, ktoré nastali po dni, ku ktorému sa zostavuje ú</w:t>
      </w:r>
      <w:r>
        <w:rPr>
          <w:rFonts w:ascii="Calibri" w:hAnsi="Calibri" w:cs="Calibri" w:eastAsia="Calibri"/>
          <w:color w:val="auto"/>
          <w:spacing w:val="0"/>
          <w:position w:val="0"/>
          <w:sz w:val="22"/>
          <w:shd w:fill="auto" w:val="clear"/>
        </w:rPr>
        <w:t xml:space="preserve">čtovná závierka</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Po 31.decembri 2015 nenastali také udalosti, ktoré majú významný vplyv na verné zobrazenie skuto</w:t>
      </w:r>
      <w:r>
        <w:rPr>
          <w:rFonts w:ascii="Calibri" w:hAnsi="Calibri" w:cs="Calibri" w:eastAsia="Calibri"/>
          <w:color w:val="auto"/>
          <w:spacing w:val="0"/>
          <w:position w:val="0"/>
          <w:sz w:val="22"/>
          <w:shd w:fill="auto" w:val="clear"/>
        </w:rPr>
        <w:t xml:space="preserve">čností uvádzaných v tejto účtovnej závierke.</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ab/>
        <w:tab/>
        <w:tab/>
        <w:t xml:space="preserve">IČO:47320567</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ab/>
        <w:tab/>
        <w:tab/>
        <w:tab/>
        <w:t xml:space="preserve">DIČ:2023815629</w:t>
      </w:r>
    </w:p>
    <w:p>
      <w:pPr>
        <w:spacing w:before="0" w:after="0" w:line="240"/>
        <w:ind w:right="0" w:left="72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Čl. VII</w:t>
      </w: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tab/>
        <w:tab/>
        <w:tab/>
        <w:t xml:space="preserve">Ostatné informácie</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1)Spolo</w:t>
      </w:r>
      <w:r>
        <w:rPr>
          <w:rFonts w:ascii="Calibri" w:hAnsi="Calibri" w:cs="Calibri" w:eastAsia="Calibri"/>
          <w:color w:val="auto"/>
          <w:spacing w:val="0"/>
          <w:position w:val="0"/>
          <w:sz w:val="22"/>
          <w:shd w:fill="auto" w:val="clear"/>
        </w:rPr>
        <w:t xml:space="preserve">čnosť nemá výlučné ani osobitné práva poskytovať služby vo verejnom záujme.</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2)Spolo</w:t>
      </w:r>
      <w:r>
        <w:rPr>
          <w:rFonts w:ascii="Calibri" w:hAnsi="Calibri" w:cs="Calibri" w:eastAsia="Calibri"/>
          <w:color w:val="auto"/>
          <w:spacing w:val="0"/>
          <w:position w:val="0"/>
          <w:sz w:val="22"/>
          <w:shd w:fill="auto" w:val="clear"/>
        </w:rPr>
        <w:t xml:space="preserve">čnosť nie je zaradená do kategórie priemyselnej výroby podľa osobitného predpisu s čistým obratom väčším ako 250 000 000,-EUR.</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3)Spolo</w:t>
      </w:r>
      <w:r>
        <w:rPr>
          <w:rFonts w:ascii="Calibri" w:hAnsi="Calibri" w:cs="Calibri" w:eastAsia="Calibri"/>
          <w:color w:val="auto"/>
          <w:spacing w:val="0"/>
          <w:position w:val="0"/>
          <w:sz w:val="22"/>
          <w:shd w:fill="auto" w:val="clear"/>
        </w:rPr>
        <w:t xml:space="preserve">čnosť nie je zaradená do kategórie priemyselnej výroby podľa osobitného predpisu s čistým obratom väčším ako 250 000 000,-EUR. Preto Spoločnosť ani neeviduje finančné vzťahy medzi orgánom verejnej moci a Spoločnosťou.</w:t>
      </w: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0" w:firstLine="0"/>
        <w:jc w:val="both"/>
        <w:rPr>
          <w:rFonts w:ascii="Calibri" w:hAnsi="Calibri" w:cs="Calibri" w:eastAsia="Calibri"/>
          <w:color w:val="auto"/>
          <w:spacing w:val="0"/>
          <w:position w:val="0"/>
          <w:sz w:val="22"/>
          <w:shd w:fill="auto" w:val="clear"/>
        </w:rPr>
      </w:pPr>
    </w:p>
    <w:p>
      <w:pPr>
        <w:spacing w:before="0" w:after="0" w:line="240"/>
        <w:ind w:right="0" w:left="3552" w:firstLine="696"/>
        <w:jc w:val="both"/>
        <w:rPr>
          <w:rFonts w:ascii="Calibri" w:hAnsi="Calibri" w:cs="Calibri" w:eastAsia="Calibri"/>
          <w:color w:val="auto"/>
          <w:spacing w:val="0"/>
          <w:position w:val="0"/>
          <w:sz w:val="22"/>
          <w:shd w:fill="auto" w:val="clear"/>
        </w:rPr>
      </w:pPr>
    </w:p>
    <w:p>
      <w:pPr>
        <w:spacing w:before="0" w:after="0" w:line="240"/>
        <w:ind w:right="0" w:left="3552" w:firstLine="696"/>
        <w:jc w:val="center"/>
        <w:rPr>
          <w:rFonts w:ascii="Calibri" w:hAnsi="Calibri" w:cs="Calibri" w:eastAsia="Calibri"/>
          <w:color w:val="auto"/>
          <w:spacing w:val="0"/>
          <w:position w:val="0"/>
          <w:sz w:val="22"/>
          <w:shd w:fill="auto" w:val="clear"/>
        </w:rPr>
      </w:pPr>
    </w:p>
    <w:p>
      <w:pPr>
        <w:spacing w:before="0" w:after="0" w:line="240"/>
        <w:ind w:right="0" w:left="3552" w:firstLine="696"/>
        <w:jc w:val="center"/>
        <w:rPr>
          <w:rFonts w:ascii="Calibri" w:hAnsi="Calibri" w:cs="Calibri" w:eastAsia="Calibri"/>
          <w:color w:val="auto"/>
          <w:spacing w:val="0"/>
          <w:position w:val="0"/>
          <w:sz w:val="22"/>
          <w:shd w:fill="auto" w:val="clear"/>
        </w:rPr>
      </w:pPr>
    </w:p>
    <w:p>
      <w:pPr>
        <w:spacing w:before="0" w:after="0" w:line="240"/>
        <w:ind w:right="0" w:left="3552" w:firstLine="696"/>
        <w:jc w:val="center"/>
        <w:rPr>
          <w:rFonts w:ascii="Calibri" w:hAnsi="Calibri" w:cs="Calibri" w:eastAsia="Calibri"/>
          <w:color w:val="auto"/>
          <w:spacing w:val="0"/>
          <w:position w:val="0"/>
          <w:sz w:val="22"/>
          <w:shd w:fill="auto" w:val="clear"/>
        </w:rPr>
      </w:pPr>
    </w:p>
    <w:p>
      <w:pPr>
        <w:spacing w:before="0" w:after="0" w:line="240"/>
        <w:ind w:right="0" w:left="3552" w:firstLine="696"/>
        <w:jc w:val="center"/>
        <w:rPr>
          <w:rFonts w:ascii="Calibri" w:hAnsi="Calibri" w:cs="Calibri" w:eastAsia="Calibri"/>
          <w:color w:val="auto"/>
          <w:spacing w:val="0"/>
          <w:position w:val="0"/>
          <w:sz w:val="22"/>
          <w:shd w:fill="auto" w:val="clear"/>
        </w:rPr>
      </w:pPr>
    </w:p>
    <w:p>
      <w:pPr>
        <w:spacing w:before="0" w:after="0" w:line="240"/>
        <w:ind w:right="0" w:left="3552" w:firstLine="696"/>
        <w:jc w:val="center"/>
        <w:rPr>
          <w:rFonts w:ascii="Calibri" w:hAnsi="Calibri" w:cs="Calibri" w:eastAsia="Calibri"/>
          <w:color w:val="auto"/>
          <w:spacing w:val="0"/>
          <w:position w:val="0"/>
          <w:sz w:val="22"/>
          <w:shd w:fill="auto" w:val="clear"/>
        </w:rPr>
      </w:pPr>
    </w:p>
    <w:p>
      <w:pPr>
        <w:spacing w:before="0" w:after="0" w:line="240"/>
        <w:ind w:right="0" w:left="3552" w:firstLine="696"/>
        <w:jc w:val="both"/>
        <w:rPr>
          <w:rFonts w:ascii="Calibri" w:hAnsi="Calibri" w:cs="Calibri" w:eastAsia="Calibri"/>
          <w:color w:val="auto"/>
          <w:spacing w:val="0"/>
          <w:position w:val="0"/>
          <w:sz w:val="22"/>
          <w:shd w:fill="auto" w:val="clear"/>
        </w:rPr>
      </w:pPr>
    </w:p>
    <w:p>
      <w:pPr>
        <w:spacing w:before="0" w:after="0" w:line="240"/>
        <w:ind w:right="0" w:left="3552" w:firstLine="696"/>
        <w:jc w:val="both"/>
        <w:rPr>
          <w:rFonts w:ascii="Calibri" w:hAnsi="Calibri" w:cs="Calibri" w:eastAsia="Calibri"/>
          <w:color w:val="auto"/>
          <w:spacing w:val="0"/>
          <w:position w:val="0"/>
          <w:sz w:val="22"/>
          <w:shd w:fill="auto" w:val="clear"/>
        </w:rPr>
      </w:pPr>
    </w:p>
    <w:p>
      <w:pPr>
        <w:spacing w:before="0" w:after="0" w:line="240"/>
        <w:ind w:right="0" w:left="3552" w:firstLine="696"/>
        <w:jc w:val="both"/>
        <w:rPr>
          <w:rFonts w:ascii="Calibri" w:hAnsi="Calibri" w:cs="Calibri" w:eastAsia="Calibri"/>
          <w:color w:val="auto"/>
          <w:spacing w:val="0"/>
          <w:position w:val="0"/>
          <w:sz w:val="22"/>
          <w:shd w:fill="auto" w:val="clear"/>
        </w:rPr>
      </w:pPr>
    </w:p>
    <w:p>
      <w:pPr>
        <w:spacing w:before="0" w:after="0" w:line="240"/>
        <w:ind w:right="0" w:left="3540" w:firstLine="696"/>
        <w:jc w:val="both"/>
        <w:rPr>
          <w:rFonts w:ascii="Calibri" w:hAnsi="Calibri" w:cs="Calibri" w:eastAsia="Calibri"/>
          <w:color w:val="auto"/>
          <w:spacing w:val="0"/>
          <w:position w:val="0"/>
          <w:sz w:val="22"/>
          <w:shd w:fill="auto" w:val="clear"/>
        </w:rPr>
      </w:pPr>
    </w:p>
    <w:p>
      <w:pPr>
        <w:spacing w:before="0" w:after="0" w:line="240"/>
        <w:ind w:right="0" w:left="3540" w:firstLine="696"/>
        <w:jc w:val="both"/>
        <w:rPr>
          <w:rFonts w:ascii="Calibri" w:hAnsi="Calibri" w:cs="Calibri" w:eastAsia="Calibri"/>
          <w:color w:val="auto"/>
          <w:spacing w:val="0"/>
          <w:position w:val="0"/>
          <w:sz w:val="22"/>
          <w:shd w:fill="auto" w:val="clear"/>
        </w:rPr>
      </w:pPr>
    </w:p>
    <w:p>
      <w:pPr>
        <w:spacing w:before="0" w:after="0" w:line="240"/>
        <w:ind w:right="0" w:left="3552" w:firstLine="696"/>
        <w:jc w:val="both"/>
        <w:rPr>
          <w:rFonts w:ascii="Calibri" w:hAnsi="Calibri" w:cs="Calibri" w:eastAsia="Calibri"/>
          <w:color w:val="auto"/>
          <w:spacing w:val="0"/>
          <w:position w:val="0"/>
          <w:sz w:val="22"/>
          <w:shd w:fill="auto" w:val="clear"/>
        </w:rPr>
      </w:pPr>
    </w:p>
    <w:p>
      <w:pPr>
        <w:spacing w:before="0" w:after="0" w:line="240"/>
        <w:ind w:right="0" w:left="3552" w:firstLine="696"/>
        <w:jc w:val="both"/>
        <w:rPr>
          <w:rFonts w:ascii="Calibri" w:hAnsi="Calibri" w:cs="Calibri" w:eastAsia="Calibri"/>
          <w:color w:val="auto"/>
          <w:spacing w:val="0"/>
          <w:position w:val="0"/>
          <w:sz w:val="22"/>
          <w:shd w:fill="auto" w:val="clear"/>
        </w:rPr>
      </w:pPr>
    </w:p>
    <w:p>
      <w:pPr>
        <w:spacing w:before="0" w:after="0" w:line="240"/>
        <w:ind w:right="0" w:left="3552" w:firstLine="696"/>
        <w:jc w:val="both"/>
        <w:rPr>
          <w:rFonts w:ascii="Calibri" w:hAnsi="Calibri" w:cs="Calibri" w:eastAsia="Calibri"/>
          <w:color w:val="auto"/>
          <w:spacing w:val="0"/>
          <w:position w:val="0"/>
          <w:sz w:val="22"/>
          <w:shd w:fill="auto" w:val="clear"/>
        </w:rPr>
      </w:pPr>
    </w:p>
    <w:p>
      <w:pPr>
        <w:spacing w:before="0" w:after="0" w:line="240"/>
        <w:ind w:right="0" w:left="3552" w:firstLine="696"/>
        <w:jc w:val="left"/>
        <w:rPr>
          <w:rFonts w:ascii="Calibri" w:hAnsi="Calibri" w:cs="Calibri" w:eastAsia="Calibri"/>
          <w:color w:val="auto"/>
          <w:spacing w:val="0"/>
          <w:position w:val="0"/>
          <w:sz w:val="22"/>
          <w:shd w:fill="auto" w:val="clear"/>
        </w:rPr>
      </w:pPr>
    </w:p>
    <w:p>
      <w:pPr>
        <w:spacing w:before="0" w:after="0" w:line="240"/>
        <w:ind w:right="0" w:left="3552" w:firstLine="696"/>
        <w:jc w:val="center"/>
        <w:rPr>
          <w:rFonts w:ascii="Calibri" w:hAnsi="Calibri" w:cs="Calibri" w:eastAsia="Calibri"/>
          <w:color w:val="auto"/>
          <w:spacing w:val="0"/>
          <w:position w:val="0"/>
          <w:sz w:val="22"/>
          <w:shd w:fill="auto" w:val="clear"/>
        </w:rPr>
      </w:pPr>
    </w:p>
    <w:p>
      <w:pPr>
        <w:spacing w:before="0" w:after="0" w:line="240"/>
        <w:ind w:right="0" w:left="3552" w:firstLine="696"/>
        <w:jc w:val="both"/>
        <w:rPr>
          <w:rFonts w:ascii="Calibri" w:hAnsi="Calibri" w:cs="Calibri" w:eastAsia="Calibri"/>
          <w:color w:val="auto"/>
          <w:spacing w:val="0"/>
          <w:position w:val="0"/>
          <w:sz w:val="22"/>
          <w:shd w:fill="auto" w:val="clear"/>
        </w:rPr>
      </w:pPr>
    </w:p>
    <w:p>
      <w:pPr>
        <w:spacing w:before="0" w:after="0" w:line="240"/>
        <w:ind w:right="0" w:left="3552" w:firstLine="696"/>
        <w:jc w:val="center"/>
        <w:rPr>
          <w:rFonts w:ascii="Calibri" w:hAnsi="Calibri" w:cs="Calibri" w:eastAsia="Calibri"/>
          <w:color w:val="auto"/>
          <w:spacing w:val="0"/>
          <w:position w:val="0"/>
          <w:sz w:val="22"/>
          <w:shd w:fill="auto" w:val="clear"/>
        </w:rPr>
      </w:pPr>
    </w:p>
    <w:p>
      <w:pPr>
        <w:spacing w:before="0" w:after="0" w:line="240"/>
        <w:ind w:right="0" w:left="3552" w:firstLine="696"/>
        <w:jc w:val="both"/>
        <w:rPr>
          <w:rFonts w:ascii="Calibri" w:hAnsi="Calibri" w:cs="Calibri" w:eastAsia="Calibri"/>
          <w:color w:val="auto"/>
          <w:spacing w:val="0"/>
          <w:position w:val="0"/>
          <w:sz w:val="22"/>
          <w:shd w:fill="auto" w:val="clear"/>
        </w:rPr>
      </w:pPr>
    </w:p>
    <w:p>
      <w:pPr>
        <w:spacing w:before="0" w:after="0" w:line="240"/>
        <w:ind w:right="0" w:left="3552" w:firstLine="696"/>
        <w:jc w:val="left"/>
        <w:rPr>
          <w:rFonts w:ascii="Calibri" w:hAnsi="Calibri" w:cs="Calibri" w:eastAsia="Calibri"/>
          <w:color w:val="auto"/>
          <w:spacing w:val="0"/>
          <w:position w:val="0"/>
          <w:sz w:val="22"/>
          <w:shd w:fill="auto" w:val="clear"/>
        </w:rPr>
      </w:pPr>
    </w:p>
    <w:p>
      <w:pPr>
        <w:spacing w:before="0" w:after="0" w:line="240"/>
        <w:ind w:right="0" w:left="3552" w:firstLine="696"/>
        <w:jc w:val="left"/>
        <w:rPr>
          <w:rFonts w:ascii="Calibri" w:hAnsi="Calibri" w:cs="Calibri" w:eastAsia="Calibri"/>
          <w:color w:val="auto"/>
          <w:spacing w:val="0"/>
          <w:position w:val="0"/>
          <w:sz w:val="22"/>
          <w:shd w:fill="auto" w:val="clear"/>
        </w:rPr>
      </w:pPr>
    </w:p>
    <w:p>
      <w:pPr>
        <w:spacing w:before="0" w:after="0" w:line="240"/>
        <w:ind w:right="0" w:left="720" w:firstLine="0"/>
        <w:jc w:val="left"/>
        <w:rPr>
          <w:rFonts w:ascii="Calibri" w:hAnsi="Calibri" w:cs="Calibri" w:eastAsia="Calibri"/>
          <w:color w:val="auto"/>
          <w:spacing w:val="0"/>
          <w:position w:val="0"/>
          <w:sz w:val="22"/>
          <w:shd w:fill="auto" w:val="clear"/>
        </w:rPr>
      </w:pPr>
    </w:p>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ab/>
      </w: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abstractNum w:abstractNumId="12">
    <w:lvl w:ilvl="0">
      <w:start w:val="1"/>
      <w:numFmt w:val="bullet"/>
      <w:lvlText w:val="•"/>
    </w:lvl>
  </w:abstractNum>
  <w:abstractNum w:abstractNumId="18">
    <w:lvl w:ilvl="0">
      <w:start w:val="1"/>
      <w:numFmt w:val="bullet"/>
      <w:lvlText w:val="•"/>
    </w:lvl>
  </w:abstractNum>
  <w:abstractNum w:abstractNumId="24">
    <w:lvl w:ilvl="0">
      <w:start w:val="1"/>
      <w:numFmt w:val="bullet"/>
      <w:lvlText w:val="•"/>
    </w:lvl>
  </w:abstractNum>
  <w:abstractNum w:abstractNumId="30">
    <w:lvl w:ilvl="0">
      <w:start w:val="1"/>
      <w:numFmt w:val="bullet"/>
      <w:lvlText w:val="•"/>
    </w:lvl>
  </w:abstractNum>
  <w:num w:numId="6">
    <w:abstractNumId w:val="30"/>
  </w:num>
  <w:num w:numId="8">
    <w:abstractNumId w:val="24"/>
  </w:num>
  <w:num w:numId="10">
    <w:abstractNumId w:val="18"/>
  </w:num>
  <w:num w:numId="12">
    <w:abstractNumId w:val="12"/>
  </w:num>
  <w:num w:numId="22">
    <w:abstractNumId w:val="6"/>
  </w:num>
  <w:num w:numId="24">
    <w:abstractNumId w:val="0"/>
  </w:num>
</w:numbering>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