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F6B" w:rsidRPr="008C1FA6" w:rsidRDefault="00B95F6B" w:rsidP="006E5DCA">
      <w:pPr>
        <w:pStyle w:val="Heading1"/>
        <w:numPr>
          <w:ilvl w:val="0"/>
          <w:numId w:val="10"/>
        </w:numPr>
      </w:pPr>
      <w:bookmarkStart w:id="0" w:name="_Toc530739926"/>
      <w:r>
        <w:t>VŠEOBECNÉ  INFORMÁCIE</w:t>
      </w:r>
      <w:r w:rsidRPr="008C1FA6">
        <w:t xml:space="preserve">   </w:t>
      </w:r>
    </w:p>
    <w:p w:rsidR="00B95F6B" w:rsidRPr="008C1FA6" w:rsidRDefault="00B95F6B">
      <w:pPr>
        <w:pStyle w:val="BodyText"/>
        <w:rPr>
          <w:rFonts w:eastAsia="Times New Roman"/>
          <w:sz w:val="20"/>
          <w:szCs w:val="20"/>
        </w:rPr>
      </w:pPr>
    </w:p>
    <w:p w:rsidR="00B95F6B" w:rsidRDefault="00B95F6B" w:rsidP="003B18B3">
      <w:pPr>
        <w:pStyle w:val="Heading2"/>
        <w:numPr>
          <w:ilvl w:val="0"/>
          <w:numId w:val="2"/>
        </w:numPr>
        <w:rPr>
          <w:rFonts w:eastAsia="Times New Roman"/>
          <w:sz w:val="20"/>
          <w:szCs w:val="20"/>
        </w:rPr>
      </w:pPr>
      <w:bookmarkStart w:id="1" w:name="_Toc530739895"/>
      <w:smartTag w:uri="urn:schemas-microsoft-com:office:smarttags" w:element="PersonName">
        <w:r w:rsidRPr="008C1FA6">
          <w:rPr>
            <w:rFonts w:eastAsia="Times New Roman"/>
            <w:sz w:val="20"/>
            <w:szCs w:val="20"/>
          </w:rPr>
          <w:t>Obchod</w:t>
        </w:r>
      </w:smartTag>
      <w:r w:rsidRPr="008C1FA6">
        <w:rPr>
          <w:rFonts w:eastAsia="Times New Roman"/>
          <w:sz w:val="20"/>
          <w:szCs w:val="20"/>
        </w:rPr>
        <w:t>né meno a sídlo spoločnosti:</w:t>
      </w:r>
      <w:bookmarkEnd w:id="1"/>
    </w:p>
    <w:p w:rsidR="00B95F6B" w:rsidRDefault="00B95F6B" w:rsidP="00022BD1"/>
    <w:p w:rsidR="00B95F6B" w:rsidRDefault="00B95F6B" w:rsidP="00022BD1">
      <w:pPr>
        <w:ind w:left="360"/>
      </w:pPr>
      <w:r>
        <w:t>Fagor Ederlan Slovensko, a.s.</w:t>
      </w:r>
    </w:p>
    <w:p w:rsidR="00B95F6B" w:rsidRDefault="00B95F6B" w:rsidP="00022BD1">
      <w:pPr>
        <w:ind w:left="360"/>
      </w:pPr>
      <w:r>
        <w:t>Priemyselná 12</w:t>
      </w:r>
    </w:p>
    <w:p w:rsidR="00B95F6B" w:rsidRPr="00022BD1" w:rsidRDefault="00B95F6B" w:rsidP="00022BD1">
      <w:pPr>
        <w:ind w:left="360"/>
      </w:pPr>
      <w:r>
        <w:t>965 63 Žiar nad Hronom</w:t>
      </w:r>
    </w:p>
    <w:p w:rsidR="00B95F6B" w:rsidRPr="008C1FA6" w:rsidRDefault="00B95F6B" w:rsidP="00CD2E48">
      <w:pPr>
        <w:rPr>
          <w:rFonts w:eastAsia="Times New Roman"/>
        </w:rPr>
      </w:pPr>
    </w:p>
    <w:p w:rsidR="00B95F6B" w:rsidRPr="008C1FA6" w:rsidRDefault="00B95F6B" w:rsidP="00CD2E48">
      <w:pPr>
        <w:ind w:left="360"/>
        <w:rPr>
          <w:rFonts w:eastAsia="Times New Roman"/>
        </w:rPr>
      </w:pPr>
      <w:r w:rsidRPr="008C1FA6">
        <w:rPr>
          <w:rFonts w:eastAsia="Times New Roman"/>
        </w:rPr>
        <w:t>Spoločnosť Fagor Ederlan Slovensko, a.s. (ďalej len Spoločnosť) bola založená 4. júla 1997 a do obchodného registra bola zapísaná 31. júla 1997 (</w:t>
      </w:r>
      <w:smartTag w:uri="urn:schemas-microsoft-com:office:smarttags" w:element="PersonName">
        <w:r w:rsidRPr="008C1FA6">
          <w:rPr>
            <w:rFonts w:eastAsia="Times New Roman"/>
          </w:rPr>
          <w:t>Obchod</w:t>
        </w:r>
      </w:smartTag>
      <w:r w:rsidRPr="008C1FA6">
        <w:rPr>
          <w:rFonts w:eastAsia="Times New Roman"/>
        </w:rPr>
        <w:t>ný register Okresného súdu Banská Bystrica v Banskej Bystrici, oddiel Sa, vložka  číslo 438/S).</w:t>
      </w:r>
    </w:p>
    <w:p w:rsidR="00B95F6B" w:rsidRPr="008C1FA6" w:rsidRDefault="00B95F6B"/>
    <w:p w:rsidR="00B95F6B" w:rsidRPr="008C1FA6" w:rsidRDefault="00B95F6B" w:rsidP="00D4009D">
      <w:pPr>
        <w:pStyle w:val="Heading2"/>
        <w:ind w:left="360"/>
      </w:pPr>
      <w:bookmarkStart w:id="2" w:name="_Toc530739896"/>
      <w:r w:rsidRPr="008C1FA6">
        <w:t>Hlavnými činnosťami Spoločnosti sú:</w:t>
      </w:r>
      <w:bookmarkEnd w:id="2"/>
    </w:p>
    <w:p w:rsidR="00B95F6B" w:rsidRPr="008C1FA6" w:rsidRDefault="00B95F6B" w:rsidP="006E5DCA">
      <w:pPr>
        <w:pStyle w:val="BodyText"/>
        <w:numPr>
          <w:ilvl w:val="0"/>
          <w:numId w:val="12"/>
        </w:numPr>
        <w:rPr>
          <w:rFonts w:eastAsia="Times New Roman"/>
        </w:rPr>
      </w:pPr>
      <w:r w:rsidRPr="008C1FA6">
        <w:rPr>
          <w:rFonts w:eastAsia="Times New Roman"/>
        </w:rPr>
        <w:t>výroba a predaj výrobkov z hliníka</w:t>
      </w:r>
    </w:p>
    <w:p w:rsidR="00B95F6B" w:rsidRPr="008C1FA6" w:rsidRDefault="00B95F6B" w:rsidP="006E5DCA">
      <w:pPr>
        <w:pStyle w:val="BodyText"/>
        <w:numPr>
          <w:ilvl w:val="0"/>
          <w:numId w:val="12"/>
        </w:numPr>
        <w:rPr>
          <w:rFonts w:eastAsia="Times New Roman"/>
        </w:rPr>
      </w:pPr>
      <w:r w:rsidRPr="008C1FA6">
        <w:rPr>
          <w:rFonts w:eastAsia="Times New Roman"/>
        </w:rPr>
        <w:t>výroba a predaj tlakových odliatkov zo zliatin hliníka a ostatných  kovov a ich opracovanie</w:t>
      </w:r>
    </w:p>
    <w:p w:rsidR="00B95F6B" w:rsidRPr="008C1FA6" w:rsidRDefault="00B95F6B" w:rsidP="006E5DCA">
      <w:pPr>
        <w:pStyle w:val="BodyText"/>
        <w:numPr>
          <w:ilvl w:val="0"/>
          <w:numId w:val="12"/>
        </w:numPr>
        <w:rPr>
          <w:rFonts w:eastAsia="Times New Roman"/>
        </w:rPr>
      </w:pPr>
      <w:r w:rsidRPr="008C1FA6">
        <w:rPr>
          <w:rFonts w:eastAsia="Times New Roman"/>
        </w:rPr>
        <w:t>výroba a predaj  zlievarenského náradia (formy, kokily, jadrovníky)</w:t>
      </w:r>
    </w:p>
    <w:p w:rsidR="00B95F6B" w:rsidRPr="008C1FA6" w:rsidRDefault="00B95F6B" w:rsidP="006E5DCA">
      <w:pPr>
        <w:pStyle w:val="BodyText"/>
        <w:numPr>
          <w:ilvl w:val="0"/>
          <w:numId w:val="12"/>
        </w:numPr>
        <w:rPr>
          <w:rFonts w:eastAsia="Times New Roman"/>
        </w:rPr>
      </w:pPr>
      <w:r w:rsidRPr="008C1FA6">
        <w:rPr>
          <w:rFonts w:eastAsia="Times New Roman"/>
        </w:rPr>
        <w:t>zušľachtenie a kalenie ocelí</w:t>
      </w:r>
    </w:p>
    <w:p w:rsidR="00B95F6B" w:rsidRPr="008C1FA6" w:rsidRDefault="00B95F6B" w:rsidP="006E5DCA">
      <w:pPr>
        <w:pStyle w:val="BodyText"/>
        <w:numPr>
          <w:ilvl w:val="0"/>
          <w:numId w:val="12"/>
        </w:numPr>
        <w:rPr>
          <w:rFonts w:eastAsia="Times New Roman"/>
        </w:rPr>
      </w:pPr>
      <w:r w:rsidRPr="008C1FA6">
        <w:rPr>
          <w:rFonts w:eastAsia="Times New Roman"/>
        </w:rPr>
        <w:t>kúpa tovaru za účelom jeho predaja v rozsahu voľnej živnosti</w:t>
      </w:r>
    </w:p>
    <w:p w:rsidR="00B95F6B" w:rsidRPr="008C1FA6" w:rsidRDefault="00B95F6B" w:rsidP="006E5DCA">
      <w:pPr>
        <w:pStyle w:val="BodyText"/>
        <w:numPr>
          <w:ilvl w:val="0"/>
          <w:numId w:val="12"/>
        </w:numPr>
        <w:rPr>
          <w:rFonts w:eastAsia="Times New Roman"/>
        </w:rPr>
      </w:pPr>
      <w:r w:rsidRPr="008C1FA6">
        <w:rPr>
          <w:rFonts w:eastAsia="Times New Roman"/>
        </w:rPr>
        <w:t>prenájom hnuteľných vecí</w:t>
      </w:r>
    </w:p>
    <w:p w:rsidR="00B95F6B" w:rsidRPr="008C1FA6" w:rsidRDefault="00B95F6B" w:rsidP="006E5DCA">
      <w:pPr>
        <w:pStyle w:val="BodyText"/>
        <w:numPr>
          <w:ilvl w:val="0"/>
          <w:numId w:val="12"/>
        </w:numPr>
        <w:rPr>
          <w:rFonts w:eastAsia="Times New Roman"/>
        </w:rPr>
      </w:pPr>
      <w:r>
        <w:rPr>
          <w:rFonts w:eastAsia="Times New Roman"/>
        </w:rPr>
        <w:t>z</w:t>
      </w:r>
      <w:r w:rsidRPr="008C1FA6">
        <w:rPr>
          <w:rFonts w:eastAsia="Times New Roman"/>
        </w:rPr>
        <w:t>ámočnícke a údržbárske práce, konštrukčná činnosť</w:t>
      </w:r>
    </w:p>
    <w:p w:rsidR="00B95F6B" w:rsidRPr="008C1FA6" w:rsidRDefault="00B95F6B" w:rsidP="006E5DCA">
      <w:pPr>
        <w:pStyle w:val="BodyText"/>
        <w:numPr>
          <w:ilvl w:val="0"/>
          <w:numId w:val="12"/>
        </w:numPr>
        <w:rPr>
          <w:rFonts w:eastAsia="Times New Roman"/>
        </w:rPr>
      </w:pPr>
      <w:r w:rsidRPr="008C1FA6">
        <w:rPr>
          <w:rFonts w:eastAsia="Times New Roman"/>
        </w:rPr>
        <w:t>prepracovanie zliatin hliníka, medi a ostatných neželezných kovov z odpadov</w:t>
      </w:r>
    </w:p>
    <w:p w:rsidR="00B95F6B" w:rsidRPr="008C1FA6" w:rsidRDefault="00B95F6B" w:rsidP="006E5DCA">
      <w:pPr>
        <w:pStyle w:val="BodyText"/>
        <w:numPr>
          <w:ilvl w:val="0"/>
          <w:numId w:val="12"/>
        </w:numPr>
        <w:rPr>
          <w:rFonts w:eastAsia="Times New Roman"/>
        </w:rPr>
      </w:pPr>
      <w:r w:rsidRPr="008C1FA6">
        <w:rPr>
          <w:rFonts w:eastAsia="Times New Roman"/>
        </w:rPr>
        <w:t>predaj a vývoz sterov ľahkých kovov s obsahom hliníka</w:t>
      </w:r>
    </w:p>
    <w:p w:rsidR="00B95F6B" w:rsidRPr="008C1FA6" w:rsidRDefault="00B95F6B">
      <w:pPr>
        <w:pStyle w:val="BodyText"/>
      </w:pPr>
    </w:p>
    <w:p w:rsidR="00B95F6B" w:rsidRDefault="00B95F6B" w:rsidP="004165BD">
      <w:pPr>
        <w:pStyle w:val="Heading2"/>
        <w:numPr>
          <w:ilvl w:val="0"/>
          <w:numId w:val="2"/>
        </w:numPr>
      </w:pPr>
      <w:r>
        <w:t>Údaje o neobmedzenom ručení</w:t>
      </w:r>
    </w:p>
    <w:p w:rsidR="00B95F6B" w:rsidRPr="005E6E03" w:rsidRDefault="00B95F6B" w:rsidP="005E6E03">
      <w:pPr>
        <w:pStyle w:val="Heading2"/>
        <w:ind w:left="360"/>
        <w:rPr>
          <w:b w:val="0"/>
          <w:bCs w:val="0"/>
        </w:rPr>
      </w:pPr>
      <w:r w:rsidRPr="004165BD">
        <w:rPr>
          <w:b w:val="0"/>
          <w:bCs w:val="0"/>
        </w:rPr>
        <w:t xml:space="preserve">Spoločnosť nie je neobmedzene ručiacim spoločníkom v iných spoločnostiach podľa § 56 ods. 5 </w:t>
      </w:r>
      <w:smartTag w:uri="urn:schemas-microsoft-com:office:smarttags" w:element="PersonName">
        <w:r w:rsidRPr="004165BD">
          <w:rPr>
            <w:b w:val="0"/>
            <w:bCs w:val="0"/>
          </w:rPr>
          <w:t>Obchod</w:t>
        </w:r>
      </w:smartTag>
      <w:r w:rsidRPr="004165BD">
        <w:rPr>
          <w:b w:val="0"/>
          <w:bCs w:val="0"/>
        </w:rPr>
        <w:t xml:space="preserve">ného zákonníka.   </w:t>
      </w:r>
    </w:p>
    <w:p w:rsidR="00B95F6B" w:rsidRDefault="00B95F6B" w:rsidP="0081651C"/>
    <w:p w:rsidR="00B95F6B" w:rsidRPr="008C1FA6" w:rsidRDefault="00B95F6B" w:rsidP="005E6E03">
      <w:pPr>
        <w:pStyle w:val="Heading2"/>
        <w:numPr>
          <w:ilvl w:val="0"/>
          <w:numId w:val="2"/>
        </w:numPr>
      </w:pPr>
      <w:r w:rsidRPr="008C1FA6">
        <w:t>Dátum schválenia účtovnej závierky za predchádzajúce účtovné obdobie</w:t>
      </w:r>
    </w:p>
    <w:p w:rsidR="00B95F6B" w:rsidRPr="008C1FA6" w:rsidRDefault="00B95F6B" w:rsidP="005E6E03">
      <w:pPr>
        <w:pStyle w:val="BodyText"/>
        <w:ind w:left="360"/>
        <w:rPr>
          <w:rFonts w:eastAsia="Times New Roman"/>
        </w:rPr>
      </w:pPr>
      <w:r w:rsidRPr="008C1FA6">
        <w:rPr>
          <w:rFonts w:eastAsia="Times New Roman"/>
        </w:rPr>
        <w:t>Účtovná závierka Spoločnosti k 31. dece</w:t>
      </w:r>
      <w:r>
        <w:rPr>
          <w:rFonts w:eastAsia="Times New Roman"/>
        </w:rPr>
        <w:t>mbru 2014</w:t>
      </w:r>
      <w:r w:rsidRPr="008C1FA6">
        <w:rPr>
          <w:rFonts w:eastAsia="Times New Roman"/>
        </w:rPr>
        <w:t xml:space="preserve">, za predchádzajúce účtovné obdobie, bola schválená valným zhromaždením Spoločnosti </w:t>
      </w:r>
      <w:r>
        <w:rPr>
          <w:rFonts w:eastAsia="Times New Roman"/>
        </w:rPr>
        <w:t>dňa 28</w:t>
      </w:r>
      <w:r w:rsidRPr="008C1FA6">
        <w:rPr>
          <w:rFonts w:eastAsia="Times New Roman"/>
        </w:rPr>
        <w:t>.</w:t>
      </w:r>
      <w:r>
        <w:rPr>
          <w:rFonts w:eastAsia="Times New Roman"/>
        </w:rPr>
        <w:t xml:space="preserve"> mája 2015</w:t>
      </w:r>
      <w:r w:rsidRPr="008C1FA6">
        <w:rPr>
          <w:rFonts w:eastAsia="Times New Roman"/>
        </w:rPr>
        <w:t>.</w:t>
      </w:r>
    </w:p>
    <w:p w:rsidR="00B95F6B" w:rsidRDefault="00B95F6B" w:rsidP="0081651C"/>
    <w:p w:rsidR="00B95F6B" w:rsidRPr="008C1FA6" w:rsidRDefault="00B95F6B" w:rsidP="005E6E03">
      <w:pPr>
        <w:pStyle w:val="Heading2"/>
        <w:numPr>
          <w:ilvl w:val="0"/>
          <w:numId w:val="2"/>
        </w:numPr>
      </w:pPr>
      <w:r w:rsidRPr="008C1FA6">
        <w:t>Právny dôvod na zostavenie účtovnej závierky</w:t>
      </w:r>
    </w:p>
    <w:p w:rsidR="00B95F6B" w:rsidRPr="008C1FA6" w:rsidRDefault="00B95F6B" w:rsidP="005E6E03">
      <w:pPr>
        <w:pStyle w:val="BodyText"/>
        <w:ind w:left="360"/>
      </w:pPr>
      <w:r w:rsidRPr="008C1FA6">
        <w:rPr>
          <w:rFonts w:eastAsia="Times New Roman"/>
        </w:rPr>
        <w:t>Účtovná závierka</w:t>
      </w:r>
      <w:r>
        <w:rPr>
          <w:rFonts w:eastAsia="Times New Roman"/>
        </w:rPr>
        <w:t xml:space="preserve"> Spoločnosti k 31. decembru 2015</w:t>
      </w:r>
      <w:r w:rsidRPr="008C1FA6">
        <w:rPr>
          <w:rFonts w:eastAsia="Times New Roman"/>
        </w:rPr>
        <w:t xml:space="preserve"> je zostavená ako riadna účtovná závierka podľa § 17 ods. 6 zákona NR SR č. 431/2002 Z. z. o účtovníctve, za účtovné obdobie od </w:t>
      </w:r>
      <w:r>
        <w:rPr>
          <w:rFonts w:eastAsia="Times New Roman"/>
        </w:rPr>
        <w:t>1. januára 2015</w:t>
      </w:r>
      <w:r w:rsidRPr="008C1FA6">
        <w:rPr>
          <w:rFonts w:eastAsia="Times New Roman"/>
        </w:rPr>
        <w:t xml:space="preserve"> do 31. </w:t>
      </w:r>
      <w:r>
        <w:rPr>
          <w:rFonts w:eastAsia="Times New Roman"/>
        </w:rPr>
        <w:t>decembra 2015</w:t>
      </w:r>
      <w:r w:rsidRPr="008C1FA6">
        <w:rPr>
          <w:rFonts w:eastAsia="Times New Roman"/>
        </w:rPr>
        <w:t>.</w:t>
      </w:r>
    </w:p>
    <w:p w:rsidR="00B95F6B" w:rsidRDefault="00B95F6B" w:rsidP="0081651C"/>
    <w:p w:rsidR="00B95F6B" w:rsidRPr="008C1FA6" w:rsidRDefault="00B95F6B" w:rsidP="005E6E03">
      <w:pPr>
        <w:pStyle w:val="Heading2"/>
        <w:numPr>
          <w:ilvl w:val="0"/>
          <w:numId w:val="2"/>
        </w:numPr>
      </w:pPr>
      <w:r>
        <w:t>Informácie o skupine</w:t>
      </w:r>
    </w:p>
    <w:p w:rsidR="00B95F6B" w:rsidRPr="005E6E03" w:rsidRDefault="00B95F6B" w:rsidP="005E6E03">
      <w:pPr>
        <w:ind w:left="360"/>
      </w:pPr>
      <w:r w:rsidRPr="008C1FA6">
        <w:t>Spoločnosť sa zahŕňa do konsolidovanej účtovnej závierky spoločnosti Fagor Ederlan, S. Coop., so sídlom Torrebaso, 7, 20540 Eskoriatza, Španielsko. Túto konsolidovanú účtovnú závierku je možné dostať priamo v sídle uvedenej spoločnosti.</w:t>
      </w:r>
      <w:r w:rsidRPr="008C1FA6">
        <w:rPr>
          <w:rFonts w:eastAsia="Times New Roman"/>
        </w:rPr>
        <w:t xml:space="preserve"> </w:t>
      </w:r>
    </w:p>
    <w:p w:rsidR="00B95F6B" w:rsidRPr="0081651C" w:rsidRDefault="00B95F6B" w:rsidP="0081651C"/>
    <w:p w:rsidR="00B95F6B" w:rsidRPr="008C1FA6" w:rsidRDefault="00B95F6B" w:rsidP="003B18B3">
      <w:pPr>
        <w:pStyle w:val="Heading2"/>
        <w:numPr>
          <w:ilvl w:val="0"/>
          <w:numId w:val="2"/>
        </w:numPr>
      </w:pPr>
      <w:r w:rsidRPr="008C1FA6">
        <w:t xml:space="preserve">Počet zamestnancov </w:t>
      </w:r>
    </w:p>
    <w:p w:rsidR="00B95F6B" w:rsidRPr="008C1FA6" w:rsidRDefault="00B95F6B" w:rsidP="00CD2E48">
      <w:pPr>
        <w:pStyle w:val="BodyText"/>
        <w:ind w:left="360"/>
        <w:rPr>
          <w:rFonts w:eastAsia="Times New Roman"/>
        </w:rPr>
      </w:pPr>
      <w:r w:rsidRPr="008C1FA6">
        <w:rPr>
          <w:rFonts w:eastAsia="Times New Roman"/>
        </w:rPr>
        <w:t>Údaje o počte zamestnancov za bežné účtovné obdobie a bezprostredne predchádzajúce účtovné obdobie sú uvedené v nasledujúcom prehľade:</w:t>
      </w:r>
    </w:p>
    <w:p w:rsidR="00B95F6B" w:rsidRPr="008C1FA6" w:rsidRDefault="00B95F6B" w:rsidP="002F6607">
      <w:pPr>
        <w:pStyle w:val="BodyText"/>
      </w:pPr>
    </w:p>
    <w:p w:rsidR="00B95F6B" w:rsidRPr="008C1FA6" w:rsidRDefault="00B95F6B" w:rsidP="005E6E03">
      <w:pPr>
        <w:pStyle w:val="BodyText"/>
        <w:ind w:left="284"/>
      </w:pPr>
      <w:r w:rsidRPr="008C1FA6">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35.75pt;height:87.75pt" o:ole="" o:preferrelative="f">
            <v:imagedata r:id="rId7" o:title=""/>
            <o:lock v:ext="edit" aspectratio="f"/>
          </v:shape>
          <o:OLEObject Type="Embed" ProgID="Excel.Sheet.12" ShapeID="_x0000_i1029" DrawAspect="Content" ObjectID="_1519102749" r:id="rId8"/>
        </w:object>
      </w:r>
      <w:r w:rsidRPr="008C1FA6">
        <w:rPr>
          <w:b/>
          <w:bCs/>
        </w:rPr>
        <w:t xml:space="preserve">        </w:t>
      </w:r>
    </w:p>
    <w:p w:rsidR="00B95F6B" w:rsidRPr="008C1FA6" w:rsidRDefault="00B95F6B" w:rsidP="003B18B3">
      <w:pPr>
        <w:pStyle w:val="Heading2"/>
        <w:numPr>
          <w:ilvl w:val="0"/>
          <w:numId w:val="2"/>
        </w:numPr>
      </w:pPr>
      <w:r w:rsidRPr="008C1FA6">
        <w:t>Zverejnenie účtovnej závierky za predchádzajúce účtovné obdobie</w:t>
      </w:r>
    </w:p>
    <w:p w:rsidR="00B95F6B" w:rsidRPr="008C1FA6" w:rsidRDefault="00B95F6B" w:rsidP="00095F78">
      <w:pPr>
        <w:pStyle w:val="BodyText"/>
        <w:ind w:left="360"/>
        <w:rPr>
          <w:rFonts w:eastAsia="Times New Roman"/>
        </w:rPr>
      </w:pPr>
      <w:r w:rsidRPr="008C1FA6">
        <w:rPr>
          <w:rFonts w:eastAsia="Times New Roman"/>
        </w:rPr>
        <w:t>Účtovná závierka</w:t>
      </w:r>
      <w:r>
        <w:rPr>
          <w:rFonts w:eastAsia="Times New Roman"/>
        </w:rPr>
        <w:t xml:space="preserve"> Spoločnosti k 31. decembru 2014</w:t>
      </w:r>
      <w:r w:rsidRPr="008C1FA6">
        <w:rPr>
          <w:rFonts w:eastAsia="Times New Roman"/>
        </w:rPr>
        <w:t xml:space="preserve"> spolu s výročnou správou a správou audítora o overení účtovnej  </w:t>
      </w:r>
      <w:r>
        <w:rPr>
          <w:rFonts w:eastAsia="Times New Roman"/>
        </w:rPr>
        <w:t>závierky k 31. decembru 2014</w:t>
      </w:r>
      <w:r w:rsidRPr="008C1FA6">
        <w:rPr>
          <w:rFonts w:eastAsia="Times New Roman"/>
        </w:rPr>
        <w:t xml:space="preserve"> bola uložená d</w:t>
      </w:r>
      <w:r>
        <w:rPr>
          <w:rFonts w:eastAsia="Times New Roman"/>
        </w:rPr>
        <w:t>o registra účtovných závierok 29. marca 2015</w:t>
      </w:r>
      <w:r w:rsidRPr="008C1FA6">
        <w:rPr>
          <w:rFonts w:eastAsia="Times New Roman"/>
        </w:rPr>
        <w:t xml:space="preserve"> a 30. júna</w:t>
      </w:r>
      <w:r>
        <w:rPr>
          <w:rFonts w:eastAsia="Times New Roman"/>
        </w:rPr>
        <w:t xml:space="preserve"> 2015</w:t>
      </w:r>
      <w:r w:rsidRPr="008C1FA6">
        <w:rPr>
          <w:rFonts w:eastAsia="Times New Roman"/>
        </w:rPr>
        <w:t>.</w:t>
      </w:r>
    </w:p>
    <w:p w:rsidR="00B95F6B" w:rsidRPr="008C1FA6" w:rsidRDefault="00B95F6B" w:rsidP="00095F78">
      <w:pPr>
        <w:pStyle w:val="BodyText"/>
        <w:ind w:left="360"/>
      </w:pPr>
    </w:p>
    <w:p w:rsidR="00B95F6B" w:rsidRPr="008C1FA6" w:rsidRDefault="00B95F6B" w:rsidP="006E5DCA">
      <w:pPr>
        <w:pStyle w:val="Heading2"/>
        <w:numPr>
          <w:ilvl w:val="0"/>
          <w:numId w:val="2"/>
        </w:numPr>
      </w:pPr>
      <w:r w:rsidRPr="008C1FA6">
        <w:t>Schválenie audítora</w:t>
      </w:r>
    </w:p>
    <w:p w:rsidR="00B95F6B" w:rsidRPr="008C1FA6" w:rsidRDefault="00B95F6B" w:rsidP="00CD2E48">
      <w:pPr>
        <w:pStyle w:val="BodyText"/>
        <w:ind w:left="360"/>
        <w:rPr>
          <w:rFonts w:eastAsia="Times New Roman"/>
        </w:rPr>
      </w:pPr>
      <w:r w:rsidRPr="008C1FA6">
        <w:rPr>
          <w:rFonts w:eastAsia="Times New Roman"/>
        </w:rPr>
        <w:t xml:space="preserve">Valné zhromaždenie </w:t>
      </w:r>
      <w:r>
        <w:rPr>
          <w:rFonts w:eastAsia="Times New Roman"/>
        </w:rPr>
        <w:t>28. mája 2015</w:t>
      </w:r>
      <w:r w:rsidRPr="008C1FA6">
        <w:rPr>
          <w:rFonts w:eastAsia="Times New Roman"/>
        </w:rPr>
        <w:t xml:space="preserve"> schválilo spoločnosť KPMG Slovensko spol. s r.o. so sídlom Dvořákovo nábrežie 10,  811 02 Bratislava ako audítora na overenie účtovnej závierky za účtovné obdobie od 1. januára</w:t>
      </w:r>
      <w:r>
        <w:rPr>
          <w:rFonts w:eastAsia="Times New Roman"/>
        </w:rPr>
        <w:t xml:space="preserve"> 2015  do 31. decembra 2015</w:t>
      </w:r>
      <w:r w:rsidRPr="008C1FA6">
        <w:rPr>
          <w:rFonts w:eastAsia="Times New Roman"/>
        </w:rPr>
        <w:t>.</w:t>
      </w:r>
    </w:p>
    <w:p w:rsidR="00B95F6B" w:rsidRPr="008C1FA6" w:rsidRDefault="00B95F6B" w:rsidP="005E6E03">
      <w:pPr>
        <w:pStyle w:val="Heading1"/>
        <w:numPr>
          <w:ilvl w:val="0"/>
          <w:numId w:val="0"/>
        </w:numPr>
      </w:pPr>
    </w:p>
    <w:p w:rsidR="00B95F6B" w:rsidRPr="008C1FA6" w:rsidRDefault="00B95F6B" w:rsidP="005E6E03">
      <w:pPr>
        <w:pStyle w:val="Heading1"/>
        <w:numPr>
          <w:ilvl w:val="0"/>
          <w:numId w:val="10"/>
        </w:numPr>
      </w:pPr>
      <w:r>
        <w:t>INFORMÁCIE O ORGÁNOCH ÚČTOVNEJ JEDNOTKY</w:t>
      </w:r>
      <w:r w:rsidRPr="008C1FA6">
        <w:t xml:space="preserve">  </w:t>
      </w:r>
    </w:p>
    <w:p w:rsidR="00B95F6B" w:rsidRPr="008C1FA6" w:rsidRDefault="00B95F6B"/>
    <w:p w:rsidR="00B95F6B" w:rsidRPr="008C1FA6" w:rsidRDefault="00B95F6B" w:rsidP="003B18B3">
      <w:pPr>
        <w:ind w:left="360"/>
        <w:rPr>
          <w:rFonts w:eastAsia="Times New Roman"/>
          <w:sz w:val="18"/>
          <w:szCs w:val="18"/>
        </w:rPr>
      </w:pPr>
      <w:r w:rsidRPr="008C1FA6">
        <w:rPr>
          <w:rFonts w:eastAsia="Times New Roman"/>
          <w:sz w:val="18"/>
          <w:szCs w:val="18"/>
        </w:rPr>
        <w:t>Orgány Spoločnosti:</w:t>
      </w:r>
    </w:p>
    <w:p w:rsidR="00B95F6B" w:rsidRDefault="00B95F6B" w:rsidP="001A5C38">
      <w:pPr>
        <w:ind w:left="360"/>
        <w:rPr>
          <w:rFonts w:eastAsia="Times New Roman"/>
          <w:sz w:val="18"/>
          <w:szCs w:val="18"/>
        </w:rPr>
      </w:pPr>
      <w:r>
        <w:rPr>
          <w:rFonts w:eastAsia="Times New Roman"/>
          <w:sz w:val="18"/>
          <w:szCs w:val="18"/>
        </w:rPr>
        <w:t>Predstavenstvo</w:t>
      </w:r>
      <w:r>
        <w:rPr>
          <w:rFonts w:eastAsia="Times New Roman"/>
          <w:sz w:val="18"/>
          <w:szCs w:val="18"/>
        </w:rPr>
        <w:tab/>
      </w:r>
      <w:smartTag w:uri="urn:schemas-microsoft-com:office:smarttags" w:element="PersonName">
        <w:r w:rsidRPr="008C1FA6">
          <w:rPr>
            <w:rFonts w:eastAsia="Times New Roman"/>
            <w:sz w:val="18"/>
            <w:szCs w:val="18"/>
          </w:rPr>
          <w:t>Marcial</w:t>
        </w:r>
      </w:smartTag>
      <w:r w:rsidRPr="008C1FA6">
        <w:rPr>
          <w:rFonts w:eastAsia="Times New Roman"/>
          <w:sz w:val="18"/>
          <w:szCs w:val="18"/>
        </w:rPr>
        <w:t xml:space="preserve"> Iruretagoyena Echaniz, predseda</w:t>
      </w:r>
    </w:p>
    <w:p w:rsidR="00B95F6B" w:rsidRPr="008C1FA6" w:rsidRDefault="00B95F6B" w:rsidP="001A5C38">
      <w:pPr>
        <w:ind w:left="360"/>
        <w:rPr>
          <w:rFonts w:eastAsia="Times New Roman"/>
          <w:sz w:val="18"/>
          <w:szCs w:val="18"/>
        </w:rPr>
      </w:pPr>
      <w:r w:rsidRPr="008C1FA6">
        <w:rPr>
          <w:rFonts w:eastAsia="Times New Roman"/>
          <w:sz w:val="18"/>
          <w:szCs w:val="18"/>
        </w:rPr>
        <w:t xml:space="preserve">                                     </w:t>
      </w:r>
      <w:r>
        <w:rPr>
          <w:rFonts w:eastAsia="Times New Roman"/>
          <w:sz w:val="18"/>
          <w:szCs w:val="18"/>
        </w:rPr>
        <w:t xml:space="preserve">   </w:t>
      </w:r>
      <w:r w:rsidRPr="008C1FA6">
        <w:rPr>
          <w:rFonts w:eastAsia="Times New Roman"/>
          <w:sz w:val="18"/>
          <w:szCs w:val="18"/>
        </w:rPr>
        <w:t xml:space="preserve">Juan Mari Palencia Fernandez, člen </w:t>
      </w:r>
    </w:p>
    <w:p w:rsidR="00B95F6B" w:rsidRPr="008C1FA6" w:rsidRDefault="00B95F6B"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Maria Carmen Inurria Landeras, člen</w:t>
      </w:r>
    </w:p>
    <w:p w:rsidR="00B95F6B" w:rsidRPr="008C1FA6" w:rsidRDefault="00B95F6B" w:rsidP="00CD2E48">
      <w:pPr>
        <w:rPr>
          <w:rFonts w:eastAsia="Times New Roman"/>
          <w:sz w:val="18"/>
          <w:szCs w:val="18"/>
        </w:rPr>
      </w:pPr>
    </w:p>
    <w:p w:rsidR="00B95F6B" w:rsidRPr="008C1FA6" w:rsidRDefault="00B95F6B" w:rsidP="00CD2E48">
      <w:pPr>
        <w:ind w:left="360"/>
        <w:rPr>
          <w:rFonts w:eastAsia="Times New Roman"/>
          <w:sz w:val="18"/>
          <w:szCs w:val="18"/>
        </w:rPr>
      </w:pPr>
      <w:r w:rsidRPr="008C1FA6">
        <w:rPr>
          <w:rFonts w:eastAsia="Times New Roman"/>
          <w:sz w:val="18"/>
          <w:szCs w:val="18"/>
        </w:rPr>
        <w:t>Dozorná rada</w:t>
      </w:r>
      <w:r w:rsidRPr="008C1FA6">
        <w:rPr>
          <w:rFonts w:eastAsia="Times New Roman"/>
          <w:sz w:val="18"/>
          <w:szCs w:val="18"/>
        </w:rPr>
        <w:tab/>
      </w:r>
      <w:r w:rsidRPr="008C1FA6">
        <w:rPr>
          <w:rFonts w:eastAsia="Times New Roman"/>
          <w:sz w:val="18"/>
          <w:szCs w:val="18"/>
        </w:rPr>
        <w:tab/>
        <w:t>Isabel Etxaniz Zubia</w:t>
      </w:r>
    </w:p>
    <w:p w:rsidR="00B95F6B" w:rsidRPr="008C1FA6" w:rsidRDefault="00B95F6B" w:rsidP="00CD2E48">
      <w:pPr>
        <w:ind w:left="360"/>
        <w:rPr>
          <w:rFonts w:eastAsia="Times New Roman"/>
          <w:sz w:val="18"/>
          <w:szCs w:val="18"/>
        </w:rPr>
      </w:pPr>
      <w:r w:rsidRPr="008C1FA6">
        <w:rPr>
          <w:rFonts w:eastAsia="Times New Roman"/>
          <w:sz w:val="18"/>
          <w:szCs w:val="18"/>
        </w:rPr>
        <w:t xml:space="preserve">                                   </w:t>
      </w:r>
      <w:r w:rsidRPr="008C1FA6">
        <w:rPr>
          <w:rFonts w:eastAsia="Times New Roman"/>
          <w:sz w:val="18"/>
          <w:szCs w:val="18"/>
        </w:rPr>
        <w:tab/>
        <w:t xml:space="preserve">Amagoia Barrutiabengoa Ortiz de Mendivil </w:t>
      </w:r>
    </w:p>
    <w:p w:rsidR="00B95F6B" w:rsidRPr="008C1FA6" w:rsidRDefault="00B95F6B" w:rsidP="00CD2E48">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t>František Wágner, člen volený zamestnancami</w:t>
      </w:r>
    </w:p>
    <w:p w:rsidR="00B95F6B" w:rsidRPr="008C1FA6" w:rsidRDefault="00B95F6B" w:rsidP="00CD2E48">
      <w:pPr>
        <w:ind w:left="360"/>
        <w:rPr>
          <w:rFonts w:eastAsia="Times New Roman"/>
          <w:sz w:val="18"/>
          <w:szCs w:val="18"/>
        </w:rPr>
      </w:pPr>
      <w:r w:rsidRPr="008C1FA6">
        <w:rPr>
          <w:rFonts w:eastAsia="Times New Roman"/>
          <w:sz w:val="18"/>
          <w:szCs w:val="18"/>
        </w:rPr>
        <w:tab/>
      </w:r>
    </w:p>
    <w:p w:rsidR="00B95F6B" w:rsidRPr="008C1FA6" w:rsidRDefault="00B95F6B" w:rsidP="00CD2E48">
      <w:pPr>
        <w:ind w:left="360"/>
        <w:rPr>
          <w:rFonts w:eastAsia="Times New Roman"/>
          <w:sz w:val="18"/>
          <w:szCs w:val="18"/>
        </w:rPr>
      </w:pPr>
    </w:p>
    <w:p w:rsidR="00B95F6B" w:rsidRPr="008C1FA6" w:rsidRDefault="00B95F6B" w:rsidP="00047810">
      <w:pPr>
        <w:ind w:left="360"/>
        <w:rPr>
          <w:rFonts w:eastAsia="Times New Roman"/>
          <w:sz w:val="18"/>
          <w:szCs w:val="18"/>
        </w:rPr>
      </w:pPr>
      <w:r w:rsidRPr="008C1FA6">
        <w:rPr>
          <w:rFonts w:eastAsia="Times New Roman"/>
          <w:sz w:val="18"/>
          <w:szCs w:val="18"/>
        </w:rPr>
        <w:t xml:space="preserve">Prokurista                     </w:t>
      </w:r>
      <w:r w:rsidRPr="008C1FA6">
        <w:rPr>
          <w:rFonts w:eastAsia="Times New Roman"/>
          <w:sz w:val="18"/>
          <w:szCs w:val="18"/>
        </w:rPr>
        <w:tab/>
        <w:t xml:space="preserve">Joseba Agirre Urzelai    </w:t>
      </w:r>
    </w:p>
    <w:p w:rsidR="00B95F6B" w:rsidRPr="008C1FA6" w:rsidRDefault="00B95F6B" w:rsidP="00CD2E48">
      <w:pPr>
        <w:ind w:left="360"/>
        <w:rPr>
          <w:rFonts w:eastAsia="Times New Roman"/>
          <w:sz w:val="18"/>
          <w:szCs w:val="18"/>
        </w:rPr>
      </w:pPr>
    </w:p>
    <w:p w:rsidR="00B95F6B" w:rsidRPr="008C1FA6" w:rsidRDefault="00B95F6B" w:rsidP="00CD2E48">
      <w:pPr>
        <w:ind w:left="360"/>
        <w:rPr>
          <w:rFonts w:eastAsia="Times New Roman"/>
          <w:sz w:val="18"/>
          <w:szCs w:val="18"/>
        </w:rPr>
      </w:pPr>
    </w:p>
    <w:p w:rsidR="00B95F6B" w:rsidRPr="008C1FA6" w:rsidRDefault="00B95F6B" w:rsidP="00047810">
      <w:pPr>
        <w:ind w:left="360"/>
        <w:rPr>
          <w:rFonts w:eastAsia="Times New Roman"/>
          <w:sz w:val="18"/>
          <w:szCs w:val="18"/>
        </w:rPr>
      </w:pPr>
      <w:r>
        <w:rPr>
          <w:rFonts w:eastAsia="Times New Roman"/>
          <w:sz w:val="18"/>
          <w:szCs w:val="18"/>
        </w:rPr>
        <w:t>Dňa 11. mája 2015</w:t>
      </w:r>
      <w:r w:rsidRPr="008C1FA6">
        <w:rPr>
          <w:rFonts w:eastAsia="Times New Roman"/>
          <w:sz w:val="18"/>
          <w:szCs w:val="18"/>
        </w:rPr>
        <w:t xml:space="preserve"> sa konalo mimoriadne valné zhromaždenie Spoločnosti</w:t>
      </w:r>
      <w:r>
        <w:rPr>
          <w:rFonts w:eastAsia="Times New Roman"/>
          <w:sz w:val="18"/>
          <w:szCs w:val="18"/>
        </w:rPr>
        <w:t xml:space="preserve"> na ktorom došlo k zmene prokuristu</w:t>
      </w:r>
      <w:r w:rsidRPr="008C1FA6">
        <w:rPr>
          <w:rFonts w:eastAsia="Times New Roman"/>
          <w:sz w:val="18"/>
          <w:szCs w:val="18"/>
        </w:rPr>
        <w:t xml:space="preserve"> Spoločnosti:</w:t>
      </w:r>
    </w:p>
    <w:p w:rsidR="00B95F6B" w:rsidRPr="008C1FA6" w:rsidRDefault="00B95F6B" w:rsidP="00047810">
      <w:pPr>
        <w:rPr>
          <w:rFonts w:eastAsia="Times New Roman"/>
          <w:sz w:val="18"/>
          <w:szCs w:val="18"/>
        </w:rPr>
      </w:pPr>
    </w:p>
    <w:p w:rsidR="00B95F6B" w:rsidRDefault="00B95F6B" w:rsidP="00CD2E48">
      <w:pPr>
        <w:ind w:left="360"/>
        <w:rPr>
          <w:rFonts w:eastAsia="Times New Roman"/>
          <w:sz w:val="18"/>
          <w:szCs w:val="18"/>
        </w:rPr>
      </w:pPr>
      <w:r w:rsidRPr="008C1FA6">
        <w:rPr>
          <w:rFonts w:eastAsia="Times New Roman"/>
          <w:sz w:val="18"/>
          <w:szCs w:val="18"/>
        </w:rPr>
        <w:t xml:space="preserve">Prokurista                     </w:t>
      </w:r>
      <w:r w:rsidRPr="008C1FA6">
        <w:rPr>
          <w:rFonts w:eastAsia="Times New Roman"/>
          <w:sz w:val="18"/>
          <w:szCs w:val="18"/>
        </w:rPr>
        <w:tab/>
      </w:r>
      <w:r>
        <w:rPr>
          <w:rFonts w:eastAsia="Times New Roman"/>
          <w:sz w:val="18"/>
          <w:szCs w:val="18"/>
        </w:rPr>
        <w:t>Jon Arano Garitagoitia</w:t>
      </w:r>
      <w:r w:rsidRPr="008C1FA6">
        <w:rPr>
          <w:rFonts w:eastAsia="Times New Roman"/>
          <w:sz w:val="18"/>
          <w:szCs w:val="18"/>
        </w:rPr>
        <w:t xml:space="preserve">  </w:t>
      </w:r>
    </w:p>
    <w:p w:rsidR="00B95F6B" w:rsidRDefault="00B95F6B" w:rsidP="00CD2E48">
      <w:pPr>
        <w:ind w:left="360"/>
        <w:rPr>
          <w:rFonts w:eastAsia="Times New Roman"/>
          <w:sz w:val="18"/>
          <w:szCs w:val="18"/>
        </w:rPr>
      </w:pPr>
    </w:p>
    <w:p w:rsidR="00B95F6B" w:rsidRDefault="00B95F6B" w:rsidP="00CD2E48">
      <w:pPr>
        <w:ind w:left="360"/>
        <w:rPr>
          <w:rFonts w:eastAsia="Times New Roman"/>
          <w:sz w:val="18"/>
          <w:szCs w:val="18"/>
        </w:rPr>
      </w:pPr>
    </w:p>
    <w:p w:rsidR="00B95F6B" w:rsidRDefault="00B95F6B" w:rsidP="00CD2E48">
      <w:pPr>
        <w:ind w:left="360"/>
        <w:rPr>
          <w:rFonts w:eastAsia="Times New Roman"/>
          <w:sz w:val="18"/>
          <w:szCs w:val="18"/>
        </w:rPr>
      </w:pPr>
      <w:r>
        <w:rPr>
          <w:rFonts w:eastAsia="Times New Roman"/>
          <w:sz w:val="18"/>
          <w:szCs w:val="18"/>
        </w:rPr>
        <w:t>Dňa 9. a 10. novembra 2015 sa konali voľby zástupcu zamestnancov do Dozornej rady. Na základe volieb došlo od 11. novembra 2015 k zmene Dozornej rady Spoločnosti:</w:t>
      </w:r>
    </w:p>
    <w:p w:rsidR="00B95F6B" w:rsidRDefault="00B95F6B" w:rsidP="00CD2E48">
      <w:pPr>
        <w:ind w:left="360"/>
        <w:rPr>
          <w:rFonts w:eastAsia="Times New Roman"/>
          <w:sz w:val="18"/>
          <w:szCs w:val="18"/>
        </w:rPr>
      </w:pPr>
    </w:p>
    <w:p w:rsidR="00B95F6B" w:rsidRPr="008C1FA6" w:rsidRDefault="00B95F6B" w:rsidP="00047810">
      <w:pPr>
        <w:ind w:left="360"/>
        <w:rPr>
          <w:rFonts w:eastAsia="Times New Roman"/>
          <w:sz w:val="18"/>
          <w:szCs w:val="18"/>
        </w:rPr>
      </w:pPr>
      <w:r w:rsidRPr="008C1FA6">
        <w:rPr>
          <w:rFonts w:eastAsia="Times New Roman"/>
          <w:sz w:val="18"/>
          <w:szCs w:val="18"/>
        </w:rPr>
        <w:t>Dozorná rada</w:t>
      </w:r>
      <w:r w:rsidRPr="008C1FA6">
        <w:rPr>
          <w:rFonts w:eastAsia="Times New Roman"/>
          <w:sz w:val="18"/>
          <w:szCs w:val="18"/>
        </w:rPr>
        <w:tab/>
      </w:r>
      <w:r w:rsidRPr="008C1FA6">
        <w:rPr>
          <w:rFonts w:eastAsia="Times New Roman"/>
          <w:sz w:val="18"/>
          <w:szCs w:val="18"/>
        </w:rPr>
        <w:tab/>
        <w:t>Isabel Etxaniz Zubia, člen</w:t>
      </w:r>
    </w:p>
    <w:p w:rsidR="00B95F6B" w:rsidRPr="008C1FA6" w:rsidRDefault="00B95F6B" w:rsidP="00047810">
      <w:pPr>
        <w:ind w:left="360"/>
        <w:rPr>
          <w:rFonts w:eastAsia="Times New Roman"/>
          <w:sz w:val="18"/>
          <w:szCs w:val="18"/>
        </w:rPr>
      </w:pPr>
      <w:r w:rsidRPr="008C1FA6">
        <w:rPr>
          <w:rFonts w:eastAsia="Times New Roman"/>
          <w:sz w:val="18"/>
          <w:szCs w:val="18"/>
        </w:rPr>
        <w:t xml:space="preserve">                                   </w:t>
      </w:r>
      <w:r w:rsidRPr="008C1FA6">
        <w:rPr>
          <w:rFonts w:eastAsia="Times New Roman"/>
          <w:sz w:val="18"/>
          <w:szCs w:val="18"/>
        </w:rPr>
        <w:tab/>
        <w:t>Amagoia Barrutiabengoa Ortiz de Mendivil, člen</w:t>
      </w:r>
    </w:p>
    <w:p w:rsidR="00B95F6B" w:rsidRDefault="00B95F6B" w:rsidP="00047810">
      <w:pPr>
        <w:ind w:left="360"/>
        <w:rPr>
          <w:rFonts w:eastAsia="Times New Roman"/>
          <w:sz w:val="18"/>
          <w:szCs w:val="18"/>
        </w:rPr>
      </w:pPr>
      <w:r w:rsidRPr="008C1FA6">
        <w:rPr>
          <w:rFonts w:eastAsia="Times New Roman"/>
          <w:sz w:val="18"/>
          <w:szCs w:val="18"/>
        </w:rPr>
        <w:tab/>
      </w:r>
      <w:r w:rsidRPr="008C1FA6">
        <w:rPr>
          <w:rFonts w:eastAsia="Times New Roman"/>
          <w:sz w:val="18"/>
          <w:szCs w:val="18"/>
        </w:rPr>
        <w:tab/>
      </w:r>
      <w:r w:rsidRPr="008C1FA6">
        <w:rPr>
          <w:rFonts w:eastAsia="Times New Roman"/>
          <w:sz w:val="18"/>
          <w:szCs w:val="18"/>
        </w:rPr>
        <w:tab/>
      </w:r>
      <w:r>
        <w:rPr>
          <w:rFonts w:eastAsia="Times New Roman"/>
          <w:sz w:val="18"/>
          <w:szCs w:val="18"/>
        </w:rPr>
        <w:t>Peter Poliak</w:t>
      </w:r>
      <w:r w:rsidRPr="008C1FA6">
        <w:rPr>
          <w:rFonts w:eastAsia="Times New Roman"/>
          <w:sz w:val="18"/>
          <w:szCs w:val="18"/>
        </w:rPr>
        <w:t>, člen volený zamestnancami</w:t>
      </w:r>
    </w:p>
    <w:p w:rsidR="00B95F6B" w:rsidRDefault="00B95F6B" w:rsidP="00047810">
      <w:pPr>
        <w:ind w:left="360"/>
        <w:rPr>
          <w:rFonts w:eastAsia="Times New Roman"/>
          <w:sz w:val="18"/>
          <w:szCs w:val="18"/>
        </w:rPr>
      </w:pPr>
    </w:p>
    <w:p w:rsidR="00B95F6B" w:rsidRPr="008C1FA6" w:rsidRDefault="00B95F6B" w:rsidP="00047810">
      <w:pPr>
        <w:ind w:left="360"/>
        <w:rPr>
          <w:rFonts w:eastAsia="Times New Roman"/>
          <w:sz w:val="18"/>
          <w:szCs w:val="18"/>
        </w:rPr>
      </w:pPr>
    </w:p>
    <w:p w:rsidR="00B95F6B" w:rsidRDefault="00B95F6B" w:rsidP="00CD2E48">
      <w:pPr>
        <w:ind w:left="360"/>
        <w:rPr>
          <w:rFonts w:eastAsia="Times New Roman"/>
          <w:sz w:val="18"/>
          <w:szCs w:val="18"/>
        </w:rPr>
      </w:pPr>
      <w:r>
        <w:rPr>
          <w:rFonts w:eastAsia="Times New Roman"/>
          <w:sz w:val="18"/>
          <w:szCs w:val="18"/>
        </w:rPr>
        <w:t xml:space="preserve">Uvedená zmena Dozornej rady Spoločnosti </w:t>
      </w:r>
      <w:r w:rsidRPr="008C1FA6">
        <w:rPr>
          <w:rFonts w:eastAsia="Times New Roman"/>
          <w:sz w:val="18"/>
          <w:szCs w:val="18"/>
        </w:rPr>
        <w:t xml:space="preserve">k 31. decembru </w:t>
      </w:r>
      <w:r>
        <w:rPr>
          <w:rFonts w:eastAsia="Times New Roman"/>
          <w:sz w:val="18"/>
          <w:szCs w:val="18"/>
        </w:rPr>
        <w:t>2015</w:t>
      </w:r>
      <w:r w:rsidRPr="008C1FA6">
        <w:rPr>
          <w:rFonts w:eastAsia="Times New Roman"/>
          <w:sz w:val="18"/>
          <w:szCs w:val="18"/>
        </w:rPr>
        <w:t xml:space="preserve"> v </w:t>
      </w:r>
      <w:smartTag w:uri="urn:schemas-microsoft-com:office:smarttags" w:element="PersonName">
        <w:r w:rsidRPr="008C1FA6">
          <w:rPr>
            <w:rFonts w:eastAsia="Times New Roman"/>
            <w:sz w:val="18"/>
            <w:szCs w:val="18"/>
          </w:rPr>
          <w:t>Obchod</w:t>
        </w:r>
      </w:smartTag>
      <w:r w:rsidRPr="008C1FA6">
        <w:rPr>
          <w:rFonts w:eastAsia="Times New Roman"/>
          <w:sz w:val="18"/>
          <w:szCs w:val="18"/>
        </w:rPr>
        <w:t xml:space="preserve">nom registri </w:t>
      </w:r>
      <w:r>
        <w:rPr>
          <w:rFonts w:eastAsia="Times New Roman"/>
          <w:sz w:val="18"/>
          <w:szCs w:val="18"/>
        </w:rPr>
        <w:t>zatiaľ nebola zapísaná</w:t>
      </w:r>
      <w:r w:rsidRPr="008C1FA6">
        <w:rPr>
          <w:rFonts w:eastAsia="Times New Roman"/>
          <w:sz w:val="18"/>
          <w:szCs w:val="18"/>
        </w:rPr>
        <w:t xml:space="preserve">. </w:t>
      </w:r>
    </w:p>
    <w:p w:rsidR="00B95F6B" w:rsidRPr="008C1FA6" w:rsidRDefault="00B95F6B" w:rsidP="00CD2E48">
      <w:pPr>
        <w:ind w:left="360"/>
        <w:rPr>
          <w:rFonts w:eastAsia="Times New Roman"/>
          <w:sz w:val="18"/>
          <w:szCs w:val="18"/>
        </w:rPr>
      </w:pPr>
    </w:p>
    <w:p w:rsidR="00B95F6B" w:rsidRPr="008C1FA6" w:rsidRDefault="00B95F6B" w:rsidP="00AB64C4">
      <w:pPr>
        <w:pStyle w:val="BodyText"/>
        <w:ind w:left="0"/>
      </w:pPr>
    </w:p>
    <w:p w:rsidR="00B95F6B" w:rsidRPr="008C1FA6" w:rsidRDefault="00B95F6B">
      <w:pPr>
        <w:pStyle w:val="Heading1"/>
      </w:pPr>
      <w:bookmarkStart w:id="3" w:name="_Toc530739898"/>
      <w:r w:rsidRPr="008C1FA6">
        <w:t>informácie o</w:t>
      </w:r>
      <w:r>
        <w:t> </w:t>
      </w:r>
      <w:r w:rsidRPr="008C1FA6">
        <w:t>spoločníkoch</w:t>
      </w:r>
      <w:r>
        <w:t xml:space="preserve"> (AKCIONÁROCH)</w:t>
      </w:r>
      <w:r w:rsidRPr="008C1FA6">
        <w:t xml:space="preserve"> účtovnej jednotky</w:t>
      </w:r>
      <w:bookmarkEnd w:id="3"/>
    </w:p>
    <w:p w:rsidR="00B95F6B" w:rsidRDefault="00B95F6B"/>
    <w:p w:rsidR="00B95F6B" w:rsidRPr="008C1FA6" w:rsidRDefault="00B95F6B"/>
    <w:p w:rsidR="00B95F6B" w:rsidRPr="008C1FA6" w:rsidRDefault="00B95F6B" w:rsidP="00CD2E48">
      <w:pPr>
        <w:ind w:left="360"/>
        <w:rPr>
          <w:rFonts w:eastAsia="Times New Roman"/>
          <w:sz w:val="18"/>
          <w:szCs w:val="18"/>
        </w:rPr>
      </w:pPr>
      <w:r w:rsidRPr="008C1FA6">
        <w:rPr>
          <w:rFonts w:eastAsia="Times New Roman"/>
          <w:sz w:val="18"/>
          <w:szCs w:val="18"/>
        </w:rPr>
        <w:t xml:space="preserve">Štruktúra akcionárov Spoločnosti k 31. </w:t>
      </w:r>
      <w:r>
        <w:rPr>
          <w:rFonts w:eastAsia="Times New Roman"/>
          <w:sz w:val="18"/>
          <w:szCs w:val="18"/>
        </w:rPr>
        <w:t>d</w:t>
      </w:r>
      <w:r w:rsidRPr="008C1FA6">
        <w:rPr>
          <w:rFonts w:eastAsia="Times New Roman"/>
          <w:sz w:val="18"/>
          <w:szCs w:val="18"/>
        </w:rPr>
        <w:t>ec</w:t>
      </w:r>
      <w:r>
        <w:rPr>
          <w:rFonts w:eastAsia="Times New Roman"/>
          <w:sz w:val="18"/>
          <w:szCs w:val="18"/>
        </w:rPr>
        <w:t>embru 2015</w:t>
      </w:r>
      <w:r w:rsidRPr="008C1FA6">
        <w:rPr>
          <w:rFonts w:eastAsia="Times New Roman"/>
          <w:sz w:val="18"/>
          <w:szCs w:val="18"/>
        </w:rPr>
        <w:t xml:space="preserve"> je takáto: </w:t>
      </w:r>
    </w:p>
    <w:p w:rsidR="00B95F6B" w:rsidRPr="008C1FA6" w:rsidRDefault="00B95F6B" w:rsidP="002E50C8">
      <w:pPr>
        <w:pStyle w:val="BodyText"/>
      </w:pPr>
    </w:p>
    <w:p w:rsidR="00B95F6B" w:rsidRPr="008C1FA6" w:rsidRDefault="00B95F6B" w:rsidP="00BF7B6F">
      <w:pPr>
        <w:pStyle w:val="BodyText"/>
        <w:ind w:left="284"/>
      </w:pPr>
      <w:r w:rsidRPr="008C1FA6">
        <w:object w:dxaOrig="9615" w:dyaOrig="2182">
          <v:shape id="_x0000_i1030" type="#_x0000_t75" style="width:447pt;height:112.5pt" o:ole="" o:preferrelative="f">
            <v:imagedata r:id="rId9" o:title=""/>
            <o:lock v:ext="edit" aspectratio="f"/>
          </v:shape>
          <o:OLEObject Type="Embed" ProgID="Excel.Sheet.12" ShapeID="_x0000_i1030" DrawAspect="Content" ObjectID="_1519102750" r:id="rId10"/>
        </w:object>
      </w:r>
    </w:p>
    <w:p w:rsidR="00B95F6B" w:rsidRPr="008C1FA6" w:rsidRDefault="00B95F6B" w:rsidP="00FE4896">
      <w:pPr>
        <w:pStyle w:val="BodyText"/>
        <w:ind w:left="0"/>
      </w:pPr>
    </w:p>
    <w:p w:rsidR="00B95F6B" w:rsidRPr="008C1FA6" w:rsidRDefault="00B95F6B">
      <w:pPr>
        <w:pStyle w:val="Heading1"/>
      </w:pPr>
      <w:bookmarkStart w:id="4" w:name="_Toc530739899"/>
      <w:r w:rsidRPr="008C1FA6">
        <w:t>Informácie o</w:t>
      </w:r>
      <w:r>
        <w:t> </w:t>
      </w:r>
      <w:bookmarkEnd w:id="4"/>
      <w:r>
        <w:t>PRIJATÝCH POSTUPOCH</w:t>
      </w:r>
    </w:p>
    <w:p w:rsidR="00B95F6B" w:rsidRPr="008C1FA6" w:rsidRDefault="00B95F6B">
      <w:pPr>
        <w:pStyle w:val="BodyText"/>
      </w:pPr>
    </w:p>
    <w:p w:rsidR="00B95F6B" w:rsidRPr="008C1FA6" w:rsidRDefault="00B95F6B" w:rsidP="00CD2E48">
      <w:pPr>
        <w:pStyle w:val="Pismenka"/>
        <w:tabs>
          <w:tab w:val="clear" w:pos="426"/>
        </w:tabs>
        <w:ind w:left="360" w:hanging="360"/>
        <w:rPr>
          <w:rFonts w:eastAsia="Times New Roman"/>
        </w:rPr>
      </w:pPr>
      <w:r>
        <w:t>1.</w:t>
      </w:r>
      <w:r w:rsidRPr="008C1FA6">
        <w:tab/>
      </w:r>
      <w:r w:rsidRPr="008C1FA6">
        <w:rPr>
          <w:rFonts w:eastAsia="Times New Roman"/>
        </w:rPr>
        <w:t>Východiská pre zostavenie účtovnej závierky</w:t>
      </w: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Účtovná závierka bola zostavená za predpokladu, že Spoločnosť bude nepretržite pokračovať vo svojej činnosti (going concern).</w:t>
      </w:r>
    </w:p>
    <w:p w:rsidR="00B95F6B" w:rsidRPr="008C1FA6" w:rsidRDefault="00B95F6B" w:rsidP="00CD2E48">
      <w:pPr>
        <w:pStyle w:val="Pismenka"/>
        <w:tabs>
          <w:tab w:val="clear" w:pos="426"/>
        </w:tabs>
        <w:ind w:left="360" w:firstLine="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 xml:space="preserve">Účtovné metódy a všeobecné účtovné zásady boli účtovnou jednotkou konzistentne aplikované. </w:t>
      </w:r>
      <w:r>
        <w:rPr>
          <w:rFonts w:eastAsia="Times New Roman"/>
          <w:b w:val="0"/>
          <w:bCs w:val="0"/>
        </w:rPr>
        <w:t>V dôsledku zmeny zákona o dani z príjmov je rezerva na overenie účtovnej závierky a zostavenie daňového priznania k 31. Decembru 2015 vykázaná ako krátkodobá ostatná rezerva, k 31. Decembru 2014 ako krátkodobá zákonná rezerva.</w:t>
      </w:r>
      <w:r w:rsidRPr="008C1FA6">
        <w:rPr>
          <w:rFonts w:eastAsia="Times New Roman"/>
          <w:b w:val="0"/>
          <w:bCs w:val="0"/>
        </w:rPr>
        <w:t xml:space="preserve"> </w:t>
      </w:r>
    </w:p>
    <w:p w:rsidR="00B95F6B" w:rsidRPr="008C1FA6" w:rsidRDefault="00B95F6B" w:rsidP="00CD2E48">
      <w:pPr>
        <w:pStyle w:val="Pismenka"/>
        <w:tabs>
          <w:tab w:val="clear" w:pos="426"/>
        </w:tabs>
        <w:ind w:left="360" w:firstLine="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p>
    <w:p w:rsidR="00B95F6B" w:rsidRDefault="00B95F6B" w:rsidP="00CD2E48">
      <w:pPr>
        <w:pStyle w:val="Pismenka"/>
        <w:tabs>
          <w:tab w:val="clear" w:pos="426"/>
        </w:tabs>
        <w:ind w:left="360" w:firstLine="0"/>
        <w:rPr>
          <w:rFonts w:eastAsia="Times New Roman"/>
          <w:b w:val="0"/>
          <w:bCs w:val="0"/>
        </w:rPr>
      </w:pPr>
      <w:r>
        <w:rPr>
          <w:rFonts w:eastAsia="Times New Roman"/>
          <w:b w:val="0"/>
          <w:bCs w:val="0"/>
        </w:rPr>
        <w:t>V účtovnom období 2015</w:t>
      </w:r>
      <w:r w:rsidRPr="008C1FA6">
        <w:rPr>
          <w:rFonts w:eastAsia="Times New Roman"/>
          <w:b w:val="0"/>
          <w:bCs w:val="0"/>
        </w:rPr>
        <w:t xml:space="preserve"> Spoločnosť nevykonala žiadne opravy významných chýb minulých účtovných období. </w:t>
      </w:r>
    </w:p>
    <w:p w:rsidR="00B95F6B" w:rsidRDefault="00B95F6B" w:rsidP="00CD2E48">
      <w:pPr>
        <w:pStyle w:val="Pismenka"/>
        <w:tabs>
          <w:tab w:val="clear" w:pos="426"/>
        </w:tabs>
        <w:ind w:left="360" w:firstLine="0"/>
        <w:rPr>
          <w:rFonts w:eastAsia="Times New Roman"/>
          <w:b w:val="0"/>
          <w:bCs w:val="0"/>
        </w:rPr>
      </w:pPr>
    </w:p>
    <w:p w:rsidR="00B95F6B" w:rsidRPr="008C1FA6" w:rsidRDefault="00B95F6B" w:rsidP="00EC3338">
      <w:pPr>
        <w:pStyle w:val="Pismenka"/>
        <w:tabs>
          <w:tab w:val="clear" w:pos="426"/>
        </w:tabs>
        <w:ind w:left="360" w:hanging="360"/>
        <w:rPr>
          <w:rFonts w:eastAsia="Times New Roman"/>
        </w:rPr>
      </w:pPr>
      <w:r>
        <w:t>2.</w:t>
      </w:r>
      <w:r w:rsidRPr="008C1FA6">
        <w:tab/>
      </w:r>
      <w:r>
        <w:rPr>
          <w:rFonts w:eastAsia="Times New Roman"/>
        </w:rPr>
        <w:t>Použitie úsudkov a odhadov</w:t>
      </w:r>
    </w:p>
    <w:p w:rsidR="00B95F6B" w:rsidRDefault="00B95F6B" w:rsidP="00EC3338">
      <w:pPr>
        <w:pStyle w:val="Pismenka"/>
        <w:tabs>
          <w:tab w:val="clear" w:pos="426"/>
        </w:tabs>
        <w:ind w:left="360" w:firstLine="0"/>
        <w:rPr>
          <w:rFonts w:eastAsia="Times New Roman"/>
          <w:b w:val="0"/>
          <w:bCs w:val="0"/>
        </w:rPr>
      </w:pPr>
      <w:r>
        <w:rPr>
          <w:rFonts w:eastAsia="Times New Roman"/>
          <w:b w:val="0"/>
          <w:bCs w:val="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95F6B" w:rsidRDefault="00B95F6B" w:rsidP="00EC3338">
      <w:pPr>
        <w:pStyle w:val="Pismenka"/>
        <w:tabs>
          <w:tab w:val="clear" w:pos="426"/>
        </w:tabs>
        <w:ind w:left="360" w:firstLine="0"/>
        <w:rPr>
          <w:rFonts w:eastAsia="Times New Roman"/>
          <w:b w:val="0"/>
          <w:bCs w:val="0"/>
        </w:rPr>
      </w:pPr>
    </w:p>
    <w:p w:rsidR="00B95F6B" w:rsidRDefault="00B95F6B" w:rsidP="00EC3338">
      <w:pPr>
        <w:pStyle w:val="Pismenka"/>
        <w:tabs>
          <w:tab w:val="clear" w:pos="426"/>
        </w:tabs>
        <w:ind w:left="360" w:firstLine="0"/>
        <w:rPr>
          <w:rFonts w:eastAsia="Times New Roman"/>
          <w:b w:val="0"/>
          <w:bCs w:val="0"/>
        </w:rPr>
      </w:pPr>
      <w:r>
        <w:rPr>
          <w:rFonts w:eastAsia="Times New Roman"/>
          <w:b w:val="0"/>
          <w:bCs w:val="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B95F6B" w:rsidRDefault="00B95F6B" w:rsidP="00EC3338">
      <w:pPr>
        <w:pStyle w:val="Pismenka"/>
        <w:tabs>
          <w:tab w:val="clear" w:pos="426"/>
        </w:tabs>
        <w:ind w:left="360" w:firstLine="0"/>
        <w:rPr>
          <w:rFonts w:eastAsia="Times New Roman"/>
          <w:b w:val="0"/>
          <w:bCs w:val="0"/>
        </w:rPr>
      </w:pPr>
    </w:p>
    <w:p w:rsidR="00B95F6B" w:rsidRPr="008C1FA6" w:rsidRDefault="00B95F6B"/>
    <w:p w:rsidR="00B95F6B" w:rsidRPr="008C1FA6" w:rsidRDefault="00B95F6B" w:rsidP="00CD2E48">
      <w:pPr>
        <w:pStyle w:val="Pismenka"/>
        <w:tabs>
          <w:tab w:val="clear" w:pos="426"/>
        </w:tabs>
        <w:ind w:left="360" w:hanging="360"/>
        <w:rPr>
          <w:rFonts w:eastAsia="Times New Roman"/>
        </w:rPr>
      </w:pPr>
      <w:r>
        <w:t>3.</w:t>
      </w:r>
      <w:r w:rsidRPr="008C1FA6">
        <w:tab/>
      </w:r>
      <w:r w:rsidRPr="008C1FA6">
        <w:rPr>
          <w:rFonts w:eastAsia="Times New Roman"/>
        </w:rPr>
        <w:t>Dlhodobý nehmotný a dlhodobý hmotný majetok</w:t>
      </w:r>
    </w:p>
    <w:p w:rsidR="00B95F6B" w:rsidRPr="008C1FA6" w:rsidRDefault="00B95F6B" w:rsidP="00585BF0">
      <w:pPr>
        <w:pStyle w:val="Pismenka"/>
        <w:tabs>
          <w:tab w:val="clear" w:pos="426"/>
        </w:tabs>
        <w:ind w:left="360" w:firstLine="0"/>
        <w:rPr>
          <w:rFonts w:eastAsia="Times New Roman"/>
          <w:b w:val="0"/>
          <w:bCs w:val="0"/>
        </w:rPr>
      </w:pPr>
      <w:r w:rsidRPr="008C1FA6">
        <w:rPr>
          <w:rFonts w:eastAsia="Times New Roman"/>
          <w:b w:val="0"/>
          <w:bCs w:val="0"/>
        </w:rPr>
        <w:t>Dlhodobý majetok nakupovaný sa oceňuje obstarávacou cenou, ktorá zahŕňa cenu obstarania a náklady súvisiace s obstaraním (clo, prepravu, montáž, poistné a pod.)</w:t>
      </w:r>
      <w:r>
        <w:rPr>
          <w:rFonts w:eastAsia="Times New Roman"/>
          <w:b w:val="0"/>
          <w:bCs w:val="0"/>
        </w:rPr>
        <w:t>, zníženú o dobropisy, skontá, rabaty, zľavy z ceny, bonusy a pod</w:t>
      </w:r>
      <w:r w:rsidRPr="008C1FA6">
        <w:rPr>
          <w:rFonts w:eastAsia="Times New Roman"/>
          <w:b w:val="0"/>
          <w:bCs w:val="0"/>
        </w:rPr>
        <w:t xml:space="preserve">. </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Súčasťou obstarávacej ceny dlhodobé</w:t>
      </w:r>
      <w:r>
        <w:rPr>
          <w:rFonts w:eastAsia="Times New Roman"/>
          <w:b w:val="0"/>
          <w:bCs w:val="0"/>
        </w:rPr>
        <w:t xml:space="preserve">ho </w:t>
      </w:r>
      <w:r w:rsidRPr="008C1FA6">
        <w:rPr>
          <w:rFonts w:eastAsia="Times New Roman"/>
          <w:b w:val="0"/>
          <w:bCs w:val="0"/>
        </w:rPr>
        <w:t xml:space="preserve">majetku nie sú </w:t>
      </w:r>
      <w:r>
        <w:rPr>
          <w:rFonts w:eastAsia="Times New Roman"/>
          <w:b w:val="0"/>
          <w:bCs w:val="0"/>
        </w:rPr>
        <w:t>úroky z úverov, ktoré vznikli  do momentu uve</w:t>
      </w:r>
      <w:r w:rsidRPr="008C1FA6">
        <w:rPr>
          <w:rFonts w:eastAsia="Times New Roman"/>
          <w:b w:val="0"/>
          <w:bCs w:val="0"/>
        </w:rPr>
        <w:t>denia</w:t>
      </w:r>
      <w:r>
        <w:rPr>
          <w:rFonts w:eastAsia="Times New Roman"/>
          <w:b w:val="0"/>
          <w:bCs w:val="0"/>
        </w:rPr>
        <w:t xml:space="preserve"> dlhodobého </w:t>
      </w:r>
      <w:r w:rsidRPr="008C1FA6">
        <w:rPr>
          <w:rFonts w:eastAsia="Times New Roman"/>
          <w:b w:val="0"/>
          <w:bCs w:val="0"/>
        </w:rPr>
        <w:t>majetku do používania.</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2 400 EUR a nižšia, sa odpisuje jednorazovo pri uvedení do používania</w:t>
      </w:r>
      <w:r>
        <w:rPr>
          <w:rFonts w:eastAsia="Times New Roman"/>
          <w:b w:val="0"/>
          <w:bCs w:val="0"/>
        </w:rPr>
        <w:t>.</w:t>
      </w:r>
      <w:r w:rsidRPr="008C1FA6">
        <w:rPr>
          <w:rFonts w:eastAsia="Times New Roman"/>
          <w:b w:val="0"/>
          <w:bCs w:val="0"/>
        </w:rPr>
        <w:t xml:space="preserve"> Predpokladaná doba používania, metóda odpisovania a odpisová sadzba sú uvedené v nasledujúcej tabuľke:</w:t>
      </w:r>
    </w:p>
    <w:p w:rsidR="00B95F6B" w:rsidRPr="008C1FA6" w:rsidRDefault="00B95F6B">
      <w:pPr>
        <w:pStyle w:val="BodyText"/>
      </w:pPr>
    </w:p>
    <w:p w:rsidR="00B95F6B" w:rsidRPr="008C1FA6" w:rsidRDefault="00B95F6B">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B95F6B" w:rsidRPr="008C1FA6">
        <w:trPr>
          <w:trHeight w:val="250"/>
        </w:trPr>
        <w:tc>
          <w:tcPr>
            <w:tcW w:w="3118" w:type="dxa"/>
            <w:gridSpan w:val="2"/>
            <w:tcBorders>
              <w:top w:val="nil"/>
              <w:left w:val="nil"/>
              <w:bottom w:val="nil"/>
              <w:right w:val="nil"/>
            </w:tcBorders>
          </w:tcPr>
          <w:p w:rsidR="00B95F6B" w:rsidRPr="008C1FA6" w:rsidRDefault="00B95F6B">
            <w:pPr>
              <w:pStyle w:val="Tabulka"/>
            </w:pPr>
            <w:r w:rsidRPr="008C1FA6">
              <w:br w:type="page"/>
            </w:r>
            <w:r w:rsidRPr="008C1FA6">
              <w:br w:type="page"/>
            </w:r>
          </w:p>
          <w:p w:rsidR="00B95F6B" w:rsidRPr="008C1FA6" w:rsidRDefault="00B95F6B">
            <w:pPr>
              <w:pStyle w:val="Tabulka"/>
            </w:pPr>
          </w:p>
        </w:tc>
        <w:tc>
          <w:tcPr>
            <w:tcW w:w="1985" w:type="dxa"/>
            <w:tcBorders>
              <w:top w:val="nil"/>
              <w:left w:val="nil"/>
              <w:bottom w:val="nil"/>
              <w:right w:val="nil"/>
            </w:tcBorders>
          </w:tcPr>
          <w:p w:rsidR="00B95F6B" w:rsidRPr="008C1FA6" w:rsidRDefault="00B95F6B">
            <w:pPr>
              <w:pStyle w:val="Tabulka"/>
              <w:jc w:val="center"/>
            </w:pPr>
            <w:r w:rsidRPr="008C1FA6">
              <w:t>Predpokladaná</w:t>
            </w:r>
          </w:p>
        </w:tc>
        <w:tc>
          <w:tcPr>
            <w:tcW w:w="141"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Metóda</w:t>
            </w:r>
          </w:p>
        </w:tc>
        <w:tc>
          <w:tcPr>
            <w:tcW w:w="142"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Ročná odpisová</w:t>
            </w:r>
          </w:p>
        </w:tc>
      </w:tr>
      <w:tr w:rsidR="00B95F6B" w:rsidRPr="008C1FA6">
        <w:trPr>
          <w:trHeight w:val="250"/>
        </w:trPr>
        <w:tc>
          <w:tcPr>
            <w:tcW w:w="2976" w:type="dxa"/>
            <w:tcBorders>
              <w:top w:val="nil"/>
              <w:left w:val="nil"/>
              <w:bottom w:val="single" w:sz="4" w:space="0" w:color="auto"/>
              <w:right w:val="nil"/>
            </w:tcBorders>
          </w:tcPr>
          <w:p w:rsidR="00B95F6B" w:rsidRPr="008C1FA6" w:rsidRDefault="00B95F6B">
            <w:pPr>
              <w:pStyle w:val="Tabulka"/>
            </w:pPr>
          </w:p>
        </w:tc>
        <w:tc>
          <w:tcPr>
            <w:tcW w:w="142" w:type="dxa"/>
            <w:tcBorders>
              <w:top w:val="nil"/>
              <w:left w:val="nil"/>
              <w:bottom w:val="single" w:sz="4" w:space="0" w:color="auto"/>
              <w:right w:val="nil"/>
            </w:tcBorders>
          </w:tcPr>
          <w:p w:rsidR="00B95F6B" w:rsidRPr="008C1FA6" w:rsidRDefault="00B95F6B">
            <w:pPr>
              <w:pStyle w:val="Tabulka"/>
            </w:pPr>
          </w:p>
        </w:tc>
        <w:tc>
          <w:tcPr>
            <w:tcW w:w="1985" w:type="dxa"/>
            <w:tcBorders>
              <w:top w:val="nil"/>
              <w:left w:val="nil"/>
              <w:bottom w:val="single" w:sz="4" w:space="0" w:color="auto"/>
              <w:right w:val="nil"/>
            </w:tcBorders>
          </w:tcPr>
          <w:p w:rsidR="00B95F6B" w:rsidRPr="008C1FA6" w:rsidRDefault="00B95F6B">
            <w:pPr>
              <w:pStyle w:val="Tabulka"/>
              <w:jc w:val="center"/>
            </w:pPr>
            <w:r w:rsidRPr="008C1FA6">
              <w:t>doba používania v rokoch</w:t>
            </w:r>
          </w:p>
        </w:tc>
        <w:tc>
          <w:tcPr>
            <w:tcW w:w="141" w:type="dxa"/>
            <w:tcBorders>
              <w:top w:val="nil"/>
              <w:left w:val="nil"/>
              <w:bottom w:val="single" w:sz="4" w:space="0" w:color="auto"/>
              <w:right w:val="nil"/>
            </w:tcBorders>
          </w:tcPr>
          <w:p w:rsidR="00B95F6B" w:rsidRPr="008C1FA6" w:rsidRDefault="00B95F6B">
            <w:pPr>
              <w:pStyle w:val="Tabulka"/>
              <w:jc w:val="center"/>
            </w:pPr>
          </w:p>
        </w:tc>
        <w:tc>
          <w:tcPr>
            <w:tcW w:w="1701" w:type="dxa"/>
            <w:tcBorders>
              <w:top w:val="nil"/>
              <w:left w:val="nil"/>
              <w:bottom w:val="single" w:sz="4" w:space="0" w:color="auto"/>
              <w:right w:val="nil"/>
            </w:tcBorders>
          </w:tcPr>
          <w:p w:rsidR="00B95F6B" w:rsidRPr="008C1FA6" w:rsidRDefault="00B95F6B">
            <w:pPr>
              <w:pStyle w:val="Tabulka"/>
              <w:jc w:val="center"/>
            </w:pPr>
            <w:r w:rsidRPr="008C1FA6">
              <w:t>odpisovania</w:t>
            </w:r>
          </w:p>
        </w:tc>
        <w:tc>
          <w:tcPr>
            <w:tcW w:w="142" w:type="dxa"/>
            <w:tcBorders>
              <w:top w:val="nil"/>
              <w:left w:val="nil"/>
              <w:bottom w:val="single" w:sz="4" w:space="0" w:color="auto"/>
              <w:right w:val="nil"/>
            </w:tcBorders>
          </w:tcPr>
          <w:p w:rsidR="00B95F6B" w:rsidRPr="008C1FA6" w:rsidRDefault="00B95F6B">
            <w:pPr>
              <w:pStyle w:val="Tabulka"/>
              <w:jc w:val="center"/>
            </w:pPr>
          </w:p>
        </w:tc>
        <w:tc>
          <w:tcPr>
            <w:tcW w:w="1701" w:type="dxa"/>
            <w:tcBorders>
              <w:top w:val="nil"/>
              <w:left w:val="nil"/>
              <w:bottom w:val="single" w:sz="4" w:space="0" w:color="auto"/>
              <w:right w:val="nil"/>
            </w:tcBorders>
          </w:tcPr>
          <w:p w:rsidR="00B95F6B" w:rsidRPr="008C1FA6" w:rsidRDefault="00B95F6B">
            <w:pPr>
              <w:pStyle w:val="Tabulka"/>
              <w:jc w:val="center"/>
            </w:pPr>
            <w:r w:rsidRPr="008C1FA6">
              <w:t>sadzba v %</w:t>
            </w:r>
          </w:p>
        </w:tc>
      </w:tr>
      <w:tr w:rsidR="00B95F6B" w:rsidRPr="008C1FA6">
        <w:trPr>
          <w:trHeight w:val="96"/>
        </w:trPr>
        <w:tc>
          <w:tcPr>
            <w:tcW w:w="3118" w:type="dxa"/>
            <w:gridSpan w:val="2"/>
            <w:tcBorders>
              <w:top w:val="nil"/>
              <w:left w:val="nil"/>
              <w:bottom w:val="nil"/>
              <w:right w:val="nil"/>
            </w:tcBorders>
          </w:tcPr>
          <w:p w:rsidR="00B95F6B" w:rsidRPr="008C1FA6" w:rsidRDefault="00B95F6B">
            <w:pPr>
              <w:pStyle w:val="Tabulka"/>
            </w:pPr>
            <w:r w:rsidRPr="008C1FA6">
              <w:t>Softvér</w:t>
            </w:r>
            <w:r>
              <w:t xml:space="preserve"> a oceniteľné práva (licencia)</w:t>
            </w:r>
          </w:p>
        </w:tc>
        <w:tc>
          <w:tcPr>
            <w:tcW w:w="1985" w:type="dxa"/>
            <w:tcBorders>
              <w:top w:val="nil"/>
              <w:left w:val="nil"/>
              <w:bottom w:val="nil"/>
              <w:right w:val="nil"/>
            </w:tcBorders>
          </w:tcPr>
          <w:p w:rsidR="00B95F6B" w:rsidRPr="008C1FA6" w:rsidRDefault="00B95F6B">
            <w:pPr>
              <w:pStyle w:val="Tabulka"/>
              <w:jc w:val="center"/>
            </w:pPr>
            <w:r w:rsidRPr="008C1FA6">
              <w:t xml:space="preserve"> 5</w:t>
            </w:r>
          </w:p>
        </w:tc>
        <w:tc>
          <w:tcPr>
            <w:tcW w:w="141"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lineárna</w:t>
            </w:r>
          </w:p>
        </w:tc>
        <w:tc>
          <w:tcPr>
            <w:tcW w:w="142"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 xml:space="preserve">20 </w:t>
            </w:r>
          </w:p>
        </w:tc>
      </w:tr>
      <w:tr w:rsidR="00B95F6B" w:rsidRPr="008C1FA6">
        <w:trPr>
          <w:trHeight w:val="250"/>
        </w:trPr>
        <w:tc>
          <w:tcPr>
            <w:tcW w:w="3118" w:type="dxa"/>
            <w:gridSpan w:val="2"/>
            <w:tcBorders>
              <w:top w:val="nil"/>
              <w:left w:val="nil"/>
              <w:bottom w:val="nil"/>
              <w:right w:val="nil"/>
            </w:tcBorders>
          </w:tcPr>
          <w:p w:rsidR="00B95F6B" w:rsidRPr="008C1FA6" w:rsidRDefault="00B95F6B">
            <w:pPr>
              <w:pStyle w:val="Tabulka"/>
            </w:pPr>
            <w:r w:rsidRPr="008C1FA6">
              <w:t>Drobný dlhodobý nehmotný majetok</w:t>
            </w:r>
          </w:p>
        </w:tc>
        <w:tc>
          <w:tcPr>
            <w:tcW w:w="1985" w:type="dxa"/>
            <w:tcBorders>
              <w:top w:val="nil"/>
              <w:left w:val="nil"/>
              <w:bottom w:val="nil"/>
              <w:right w:val="nil"/>
            </w:tcBorders>
          </w:tcPr>
          <w:p w:rsidR="00B95F6B" w:rsidRPr="008C1FA6" w:rsidRDefault="00B95F6B">
            <w:pPr>
              <w:pStyle w:val="Tabulka"/>
              <w:jc w:val="center"/>
            </w:pPr>
            <w:r w:rsidRPr="008C1FA6">
              <w:t>Rôzna</w:t>
            </w:r>
          </w:p>
        </w:tc>
        <w:tc>
          <w:tcPr>
            <w:tcW w:w="141"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jednorazový odpis</w:t>
            </w:r>
          </w:p>
        </w:tc>
        <w:tc>
          <w:tcPr>
            <w:tcW w:w="142" w:type="dxa"/>
            <w:tcBorders>
              <w:top w:val="nil"/>
              <w:left w:val="nil"/>
              <w:bottom w:val="nil"/>
              <w:right w:val="nil"/>
            </w:tcBorders>
          </w:tcPr>
          <w:p w:rsidR="00B95F6B" w:rsidRPr="008C1FA6" w:rsidRDefault="00B95F6B">
            <w:pPr>
              <w:pStyle w:val="Tabulka"/>
              <w:jc w:val="center"/>
            </w:pPr>
          </w:p>
        </w:tc>
        <w:tc>
          <w:tcPr>
            <w:tcW w:w="1701" w:type="dxa"/>
            <w:tcBorders>
              <w:top w:val="nil"/>
              <w:left w:val="nil"/>
              <w:bottom w:val="nil"/>
              <w:right w:val="nil"/>
            </w:tcBorders>
          </w:tcPr>
          <w:p w:rsidR="00B95F6B" w:rsidRPr="008C1FA6" w:rsidRDefault="00B95F6B">
            <w:pPr>
              <w:pStyle w:val="Tabulka"/>
              <w:jc w:val="center"/>
            </w:pPr>
            <w:r w:rsidRPr="008C1FA6">
              <w:t>100</w:t>
            </w:r>
          </w:p>
        </w:tc>
      </w:tr>
    </w:tbl>
    <w:p w:rsidR="00B95F6B" w:rsidRDefault="00B95F6B" w:rsidP="0089656D">
      <w:pPr>
        <w:pStyle w:val="BodyText"/>
        <w:ind w:left="0"/>
      </w:pPr>
    </w:p>
    <w:p w:rsidR="00B95F6B" w:rsidRDefault="00B95F6B" w:rsidP="00CE7852">
      <w:pPr>
        <w:pStyle w:val="Pismenka"/>
        <w:tabs>
          <w:tab w:val="clear" w:pos="426"/>
        </w:tabs>
        <w:ind w:left="360" w:firstLine="0"/>
        <w:rPr>
          <w:b w:val="0"/>
          <w:bCs w:val="0"/>
        </w:rPr>
      </w:pPr>
      <w:r>
        <w:t xml:space="preserve"> </w:t>
      </w:r>
      <w:r>
        <w:rPr>
          <w:b w:val="0"/>
          <w:bCs w:val="0"/>
        </w:rPr>
        <w:t xml:space="preserve">Metódy odpisovania, doby použiteľnosti a zostatkové hodnoty sa prehodnocujú ku dňu, ku ktorému sa zostavuje účtovná   závierka, a ak je to potrebné, urobia sa úpravy. </w:t>
      </w:r>
    </w:p>
    <w:p w:rsidR="00B95F6B" w:rsidRPr="008C1FA6" w:rsidRDefault="00B95F6B" w:rsidP="0089656D">
      <w:pPr>
        <w:pStyle w:val="BodyText"/>
        <w:ind w:left="0"/>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Odpisy dlhodobého hmotného majetku 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5F6B" w:rsidRPr="008C1FA6" w:rsidRDefault="00B95F6B">
      <w:pPr>
        <w:pStyle w:val="Body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Predpokladaná</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Metóda</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Ročná odpisová</w:t>
            </w:r>
          </w:p>
        </w:tc>
      </w:tr>
      <w:tr w:rsidR="00B95F6B" w:rsidRPr="008C1FA6">
        <w:trPr>
          <w:trHeight w:val="250"/>
        </w:trPr>
        <w:tc>
          <w:tcPr>
            <w:tcW w:w="2976" w:type="dxa"/>
            <w:tcBorders>
              <w:top w:val="nil"/>
              <w:left w:val="nil"/>
              <w:bottom w:val="single" w:sz="4" w:space="0" w:color="auto"/>
              <w:right w:val="nil"/>
            </w:tcBorders>
          </w:tcPr>
          <w:p w:rsidR="00B95F6B" w:rsidRPr="008C1FA6" w:rsidRDefault="00B95F6B" w:rsidP="00CD2E48">
            <w:pPr>
              <w:pStyle w:val="Tabulka"/>
              <w:ind w:left="-60" w:firstLine="60"/>
            </w:pPr>
          </w:p>
        </w:tc>
        <w:tc>
          <w:tcPr>
            <w:tcW w:w="142" w:type="dxa"/>
            <w:tcBorders>
              <w:top w:val="nil"/>
              <w:left w:val="nil"/>
              <w:bottom w:val="single" w:sz="4" w:space="0" w:color="auto"/>
              <w:right w:val="nil"/>
            </w:tcBorders>
          </w:tcPr>
          <w:p w:rsidR="00B95F6B" w:rsidRPr="008C1FA6" w:rsidRDefault="00B95F6B" w:rsidP="00CD2E48">
            <w:pPr>
              <w:pStyle w:val="Tabulka"/>
              <w:ind w:left="-60" w:firstLine="60"/>
            </w:pPr>
          </w:p>
        </w:tc>
        <w:tc>
          <w:tcPr>
            <w:tcW w:w="1985" w:type="dxa"/>
            <w:tcBorders>
              <w:top w:val="nil"/>
              <w:left w:val="nil"/>
              <w:bottom w:val="single" w:sz="4" w:space="0" w:color="auto"/>
              <w:right w:val="nil"/>
            </w:tcBorders>
          </w:tcPr>
          <w:p w:rsidR="00B95F6B" w:rsidRPr="008C1FA6" w:rsidRDefault="00B95F6B" w:rsidP="00CD2E48">
            <w:pPr>
              <w:pStyle w:val="Tabulka"/>
              <w:ind w:left="-60" w:firstLine="60"/>
              <w:jc w:val="center"/>
            </w:pPr>
            <w:r w:rsidRPr="008C1FA6">
              <w:t>doba používania v rokoch</w:t>
            </w:r>
          </w:p>
        </w:tc>
        <w:tc>
          <w:tcPr>
            <w:tcW w:w="141" w:type="dxa"/>
            <w:tcBorders>
              <w:top w:val="nil"/>
              <w:left w:val="nil"/>
              <w:bottom w:val="single" w:sz="4" w:space="0" w:color="auto"/>
              <w:right w:val="nil"/>
            </w:tcBorders>
          </w:tcPr>
          <w:p w:rsidR="00B95F6B" w:rsidRPr="008C1FA6" w:rsidRDefault="00B95F6B" w:rsidP="00CD2E48">
            <w:pPr>
              <w:pStyle w:val="Tabulka"/>
              <w:ind w:left="-60" w:firstLine="60"/>
              <w:jc w:val="center"/>
            </w:pPr>
          </w:p>
        </w:tc>
        <w:tc>
          <w:tcPr>
            <w:tcW w:w="1701" w:type="dxa"/>
            <w:tcBorders>
              <w:top w:val="nil"/>
              <w:left w:val="nil"/>
              <w:bottom w:val="single" w:sz="4" w:space="0" w:color="auto"/>
              <w:right w:val="nil"/>
            </w:tcBorders>
          </w:tcPr>
          <w:p w:rsidR="00B95F6B" w:rsidRPr="008C1FA6" w:rsidRDefault="00B95F6B" w:rsidP="00CD2E48">
            <w:pPr>
              <w:pStyle w:val="Tabulka"/>
              <w:ind w:left="-60" w:firstLine="60"/>
              <w:jc w:val="center"/>
            </w:pPr>
            <w:r w:rsidRPr="008C1FA6">
              <w:t>odpisovania</w:t>
            </w:r>
          </w:p>
        </w:tc>
        <w:tc>
          <w:tcPr>
            <w:tcW w:w="142" w:type="dxa"/>
            <w:tcBorders>
              <w:top w:val="nil"/>
              <w:left w:val="nil"/>
              <w:bottom w:val="single" w:sz="4" w:space="0" w:color="auto"/>
              <w:right w:val="nil"/>
            </w:tcBorders>
          </w:tcPr>
          <w:p w:rsidR="00B95F6B" w:rsidRPr="008C1FA6" w:rsidRDefault="00B95F6B" w:rsidP="00CD2E48">
            <w:pPr>
              <w:pStyle w:val="Tabulka"/>
              <w:ind w:left="-60" w:firstLine="60"/>
              <w:jc w:val="center"/>
            </w:pPr>
          </w:p>
        </w:tc>
        <w:tc>
          <w:tcPr>
            <w:tcW w:w="1701" w:type="dxa"/>
            <w:tcBorders>
              <w:top w:val="nil"/>
              <w:left w:val="nil"/>
              <w:bottom w:val="single" w:sz="4" w:space="0" w:color="auto"/>
              <w:right w:val="nil"/>
            </w:tcBorders>
          </w:tcPr>
          <w:p w:rsidR="00B95F6B" w:rsidRPr="008C1FA6" w:rsidRDefault="00B95F6B" w:rsidP="00CD2E48">
            <w:pPr>
              <w:pStyle w:val="Tabulka"/>
              <w:ind w:left="-60" w:firstLine="60"/>
              <w:jc w:val="center"/>
            </w:pPr>
            <w:r w:rsidRPr="008C1FA6">
              <w:t>sadzba v %</w:t>
            </w:r>
          </w:p>
        </w:tc>
      </w:tr>
      <w:tr w:rsidR="00B95F6B" w:rsidRPr="008C1FA6">
        <w:trPr>
          <w:trHeight w:val="250"/>
        </w:trPr>
        <w:tc>
          <w:tcPr>
            <w:tcW w:w="3118" w:type="dxa"/>
            <w:gridSpan w:val="2"/>
            <w:tcBorders>
              <w:top w:val="single" w:sz="4" w:space="0" w:color="auto"/>
              <w:left w:val="nil"/>
              <w:bottom w:val="nil"/>
              <w:right w:val="nil"/>
            </w:tcBorders>
          </w:tcPr>
          <w:p w:rsidR="00B95F6B" w:rsidRPr="008C1FA6" w:rsidRDefault="00B95F6B" w:rsidP="00CD2E48">
            <w:pPr>
              <w:pStyle w:val="Tabulka"/>
              <w:ind w:left="-60" w:firstLine="60"/>
            </w:pPr>
            <w:r w:rsidRPr="008C1FA6">
              <w:t>Stavby</w:t>
            </w:r>
          </w:p>
        </w:tc>
        <w:tc>
          <w:tcPr>
            <w:tcW w:w="1985" w:type="dxa"/>
            <w:tcBorders>
              <w:top w:val="single" w:sz="4" w:space="0" w:color="auto"/>
              <w:left w:val="nil"/>
              <w:bottom w:val="nil"/>
              <w:right w:val="nil"/>
            </w:tcBorders>
          </w:tcPr>
          <w:p w:rsidR="00B95F6B" w:rsidRPr="008C1FA6" w:rsidRDefault="00B95F6B" w:rsidP="00CD2E48">
            <w:pPr>
              <w:pStyle w:val="Tabulka"/>
              <w:ind w:left="-60" w:firstLine="60"/>
              <w:jc w:val="center"/>
            </w:pPr>
            <w:r w:rsidRPr="008C1FA6">
              <w:t>25</w:t>
            </w:r>
          </w:p>
        </w:tc>
        <w:tc>
          <w:tcPr>
            <w:tcW w:w="141" w:type="dxa"/>
            <w:tcBorders>
              <w:top w:val="single" w:sz="4" w:space="0" w:color="auto"/>
              <w:left w:val="nil"/>
              <w:bottom w:val="nil"/>
              <w:right w:val="nil"/>
            </w:tcBorders>
          </w:tcPr>
          <w:p w:rsidR="00B95F6B" w:rsidRPr="008C1FA6" w:rsidRDefault="00B95F6B" w:rsidP="00CD2E48">
            <w:pPr>
              <w:pStyle w:val="Tabulka"/>
              <w:ind w:left="-60" w:firstLine="60"/>
              <w:jc w:val="center"/>
            </w:pPr>
          </w:p>
        </w:tc>
        <w:tc>
          <w:tcPr>
            <w:tcW w:w="1701" w:type="dxa"/>
            <w:tcBorders>
              <w:top w:val="single" w:sz="4" w:space="0" w:color="auto"/>
              <w:left w:val="nil"/>
              <w:bottom w:val="nil"/>
              <w:right w:val="nil"/>
            </w:tcBorders>
          </w:tcPr>
          <w:p w:rsidR="00B95F6B" w:rsidRPr="008C1FA6" w:rsidRDefault="00B95F6B" w:rsidP="00CD2E48">
            <w:pPr>
              <w:pStyle w:val="Tabulka"/>
              <w:ind w:left="-60" w:firstLine="60"/>
              <w:jc w:val="center"/>
            </w:pPr>
            <w:r w:rsidRPr="008C1FA6">
              <w:t>lineárna</w:t>
            </w:r>
          </w:p>
        </w:tc>
        <w:tc>
          <w:tcPr>
            <w:tcW w:w="142" w:type="dxa"/>
            <w:tcBorders>
              <w:top w:val="single" w:sz="4" w:space="0" w:color="auto"/>
              <w:left w:val="nil"/>
              <w:bottom w:val="nil"/>
              <w:right w:val="nil"/>
            </w:tcBorders>
          </w:tcPr>
          <w:p w:rsidR="00B95F6B" w:rsidRPr="008C1FA6" w:rsidRDefault="00B95F6B" w:rsidP="00CD2E48">
            <w:pPr>
              <w:pStyle w:val="Tabulka"/>
              <w:ind w:left="-60" w:firstLine="60"/>
              <w:jc w:val="center"/>
            </w:pPr>
          </w:p>
        </w:tc>
        <w:tc>
          <w:tcPr>
            <w:tcW w:w="1701" w:type="dxa"/>
            <w:tcBorders>
              <w:top w:val="single" w:sz="4" w:space="0" w:color="auto"/>
              <w:left w:val="nil"/>
              <w:bottom w:val="nil"/>
              <w:right w:val="nil"/>
            </w:tcBorders>
          </w:tcPr>
          <w:p w:rsidR="00B95F6B" w:rsidRPr="008C1FA6" w:rsidRDefault="00B95F6B" w:rsidP="00CD2E48">
            <w:pPr>
              <w:pStyle w:val="Tabulka"/>
              <w:ind w:left="-60" w:firstLine="60"/>
              <w:jc w:val="center"/>
            </w:pPr>
            <w:r w:rsidRPr="008C1FA6">
              <w:t xml:space="preserve"> 4</w:t>
            </w:r>
          </w:p>
        </w:tc>
      </w:tr>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r w:rsidRPr="008C1FA6">
              <w:t>Stroje, prístroje a zariadenia</w:t>
            </w: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5 - 10</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lineárna, degresívna</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10 až 20</w:t>
            </w:r>
          </w:p>
        </w:tc>
      </w:tr>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r w:rsidRPr="008C1FA6">
              <w:t>Dopravné prostriedky</w:t>
            </w: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5 - 10</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lineárna</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10 až 20</w:t>
            </w:r>
          </w:p>
        </w:tc>
      </w:tr>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r w:rsidRPr="008C1FA6">
              <w:t>Inventár</w:t>
            </w: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10</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lineárna</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 xml:space="preserve">10 </w:t>
            </w:r>
          </w:p>
        </w:tc>
      </w:tr>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r w:rsidRPr="008C1FA6">
              <w:t>Drobný dlhodobý hmotný majetok</w:t>
            </w: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Rôzna</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jednorazový odpis</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100</w:t>
            </w:r>
          </w:p>
        </w:tc>
      </w:tr>
      <w:tr w:rsidR="00B95F6B" w:rsidRPr="008C1FA6">
        <w:trPr>
          <w:trHeight w:val="250"/>
        </w:trPr>
        <w:tc>
          <w:tcPr>
            <w:tcW w:w="3118" w:type="dxa"/>
            <w:gridSpan w:val="2"/>
            <w:tcBorders>
              <w:top w:val="nil"/>
              <w:left w:val="nil"/>
              <w:bottom w:val="nil"/>
              <w:right w:val="nil"/>
            </w:tcBorders>
          </w:tcPr>
          <w:p w:rsidR="00B95F6B" w:rsidRPr="008C1FA6" w:rsidRDefault="00B95F6B" w:rsidP="00CD2E48">
            <w:pPr>
              <w:pStyle w:val="Tabulka"/>
              <w:ind w:left="-60" w:firstLine="60"/>
            </w:pPr>
            <w:r w:rsidRPr="008C1FA6">
              <w:t xml:space="preserve">Formy na odlievanie </w:t>
            </w:r>
          </w:p>
        </w:tc>
        <w:tc>
          <w:tcPr>
            <w:tcW w:w="1985" w:type="dxa"/>
            <w:tcBorders>
              <w:top w:val="nil"/>
              <w:left w:val="nil"/>
              <w:bottom w:val="nil"/>
              <w:right w:val="nil"/>
            </w:tcBorders>
          </w:tcPr>
          <w:p w:rsidR="00B95F6B" w:rsidRPr="008C1FA6" w:rsidRDefault="00B95F6B" w:rsidP="00CD2E48">
            <w:pPr>
              <w:pStyle w:val="Tabulka"/>
              <w:ind w:left="-60" w:firstLine="60"/>
              <w:jc w:val="center"/>
            </w:pPr>
            <w:r w:rsidRPr="008C1FA6">
              <w:t>Rôzna</w:t>
            </w:r>
          </w:p>
        </w:tc>
        <w:tc>
          <w:tcPr>
            <w:tcW w:w="141"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 xml:space="preserve">podľa počtu vyrobených odliatkov </w:t>
            </w:r>
          </w:p>
        </w:tc>
        <w:tc>
          <w:tcPr>
            <w:tcW w:w="142" w:type="dxa"/>
            <w:tcBorders>
              <w:top w:val="nil"/>
              <w:left w:val="nil"/>
              <w:bottom w:val="nil"/>
              <w:right w:val="nil"/>
            </w:tcBorders>
          </w:tcPr>
          <w:p w:rsidR="00B95F6B" w:rsidRPr="008C1FA6" w:rsidRDefault="00B95F6B" w:rsidP="00CD2E48">
            <w:pPr>
              <w:pStyle w:val="Tabulka"/>
              <w:ind w:left="-60" w:firstLine="60"/>
              <w:jc w:val="center"/>
            </w:pPr>
          </w:p>
        </w:tc>
        <w:tc>
          <w:tcPr>
            <w:tcW w:w="1701" w:type="dxa"/>
            <w:tcBorders>
              <w:top w:val="nil"/>
              <w:left w:val="nil"/>
              <w:bottom w:val="nil"/>
              <w:right w:val="nil"/>
            </w:tcBorders>
          </w:tcPr>
          <w:p w:rsidR="00B95F6B" w:rsidRPr="008C1FA6" w:rsidRDefault="00B95F6B" w:rsidP="00CD2E48">
            <w:pPr>
              <w:pStyle w:val="Tabulka"/>
              <w:ind w:left="-60" w:firstLine="60"/>
              <w:jc w:val="center"/>
            </w:pPr>
            <w:r w:rsidRPr="008C1FA6">
              <w:t>-</w:t>
            </w:r>
          </w:p>
        </w:tc>
      </w:tr>
    </w:tbl>
    <w:p w:rsidR="00B95F6B" w:rsidRDefault="00B95F6B" w:rsidP="00CE7852">
      <w:pPr>
        <w:pStyle w:val="Pismenka"/>
        <w:tabs>
          <w:tab w:val="clear" w:pos="426"/>
        </w:tabs>
        <w:ind w:left="360" w:firstLine="0"/>
        <w:rPr>
          <w:b w:val="0"/>
          <w:bCs w:val="0"/>
        </w:rPr>
      </w:pPr>
    </w:p>
    <w:p w:rsidR="00B95F6B" w:rsidRDefault="00B95F6B" w:rsidP="00CE7852">
      <w:pPr>
        <w:pStyle w:val="Pismenka"/>
        <w:tabs>
          <w:tab w:val="clear" w:pos="426"/>
        </w:tabs>
        <w:ind w:left="360" w:firstLine="0"/>
        <w:rPr>
          <w:b w:val="0"/>
          <w:bCs w:val="0"/>
        </w:rPr>
      </w:pPr>
      <w:r>
        <w:rPr>
          <w:b w:val="0"/>
          <w:bCs w:val="0"/>
        </w:rPr>
        <w:t xml:space="preserve">Metódy odpisovania, doby použiteľnosti a zostatkové hodnoty sa prehodnocujú ku dňu, ku ktorému sa zostavuje účtovná   závierka, a ak je to potrebné, urobia sa úpravy. </w:t>
      </w:r>
    </w:p>
    <w:p w:rsidR="00B95F6B" w:rsidRDefault="00B95F6B" w:rsidP="00CE7852">
      <w:pPr>
        <w:pStyle w:val="Pismenka"/>
        <w:tabs>
          <w:tab w:val="clear" w:pos="426"/>
        </w:tabs>
        <w:ind w:left="360" w:firstLine="0"/>
        <w:rPr>
          <w:b w:val="0"/>
          <w:bCs w:val="0"/>
        </w:rPr>
      </w:pPr>
    </w:p>
    <w:p w:rsidR="00B95F6B" w:rsidRPr="00CE7852" w:rsidRDefault="00B95F6B" w:rsidP="00CE7852">
      <w:pPr>
        <w:pStyle w:val="Pismenka"/>
        <w:tabs>
          <w:tab w:val="clear" w:pos="426"/>
        </w:tabs>
        <w:ind w:left="360" w:firstLine="0"/>
        <w:rPr>
          <w:rFonts w:eastAsia="Times New Roman"/>
          <w:b w:val="0"/>
          <w:bCs w:val="0"/>
        </w:rPr>
      </w:pPr>
    </w:p>
    <w:p w:rsidR="00B95F6B" w:rsidRPr="008C1FA6" w:rsidRDefault="00B95F6B" w:rsidP="00CD2E48">
      <w:pPr>
        <w:pStyle w:val="Pismenka"/>
        <w:tabs>
          <w:tab w:val="clear" w:pos="426"/>
        </w:tabs>
        <w:ind w:left="360" w:hanging="360"/>
        <w:rPr>
          <w:rFonts w:eastAsia="Times New Roman"/>
        </w:rPr>
      </w:pPr>
      <w:r>
        <w:t>4.</w:t>
      </w:r>
      <w:r w:rsidRPr="008C1FA6">
        <w:tab/>
      </w:r>
      <w:r w:rsidRPr="008C1FA6">
        <w:rPr>
          <w:rFonts w:eastAsia="Times New Roman"/>
        </w:rPr>
        <w:t xml:space="preserve">Zásoby </w:t>
      </w: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Zásoby sa oceňujú nižšou z nasledujúcich hodnôt: obstarávacou cenou (nakupované zásoby) alebo vlastnými nákladmi (zásoby vytvorené vlastnou činnosťou) alebo čistou realizačnou hodnotou.</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Obstarávacia cena zahŕňa cenu</w:t>
      </w:r>
      <w:r>
        <w:rPr>
          <w:rFonts w:eastAsia="Times New Roman"/>
          <w:b w:val="0"/>
          <w:bCs w:val="0"/>
        </w:rPr>
        <w:t xml:space="preserve">, za ktorú sa zásoby obstarali a náklady súvisiace s obstaraním </w:t>
      </w:r>
      <w:r w:rsidRPr="008C1FA6">
        <w:rPr>
          <w:rFonts w:eastAsia="Times New Roman"/>
          <w:b w:val="0"/>
          <w:bCs w:val="0"/>
        </w:rPr>
        <w:t>(clo, prep</w:t>
      </w:r>
      <w:r>
        <w:rPr>
          <w:rFonts w:eastAsia="Times New Roman"/>
          <w:b w:val="0"/>
          <w:bCs w:val="0"/>
        </w:rPr>
        <w:t xml:space="preserve">ravu, poistné, provízie, </w:t>
      </w:r>
      <w:r w:rsidRPr="008C1FA6">
        <w:rPr>
          <w:rFonts w:eastAsia="Times New Roman"/>
          <w:b w:val="0"/>
          <w:bCs w:val="0"/>
        </w:rPr>
        <w:t>a pod.)</w:t>
      </w:r>
      <w:r>
        <w:rPr>
          <w:rFonts w:eastAsia="Times New Roman"/>
          <w:b w:val="0"/>
          <w:bCs w:val="0"/>
        </w:rPr>
        <w:t>, zníženú o dobropisy, skontá, rabaty, zľavy z ceny, bonusy a pod. Úroky z úverov</w:t>
      </w:r>
      <w:r w:rsidRPr="008C1FA6">
        <w:rPr>
          <w:rFonts w:eastAsia="Times New Roman"/>
          <w:b w:val="0"/>
          <w:bCs w:val="0"/>
        </w:rPr>
        <w:t xml:space="preserve"> nie sú súčasťou obstarávacej ceny. Nakupované zásoby sa oceňujú váženým aritmetickým priemerom z obstarávacích cien.</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w:t>
      </w:r>
      <w:r>
        <w:rPr>
          <w:rFonts w:eastAsia="Times New Roman"/>
          <w:b w:val="0"/>
          <w:bCs w:val="0"/>
        </w:rPr>
        <w:t>v nie sú úroky z úverov</w:t>
      </w:r>
      <w:r w:rsidRPr="008C1FA6">
        <w:rPr>
          <w:rFonts w:eastAsia="Times New Roman"/>
          <w:b w:val="0"/>
          <w:bCs w:val="0"/>
        </w:rPr>
        <w:t>.</w:t>
      </w:r>
    </w:p>
    <w:p w:rsidR="00B95F6B" w:rsidRPr="008C1FA6" w:rsidRDefault="00B95F6B" w:rsidP="00CD2E48">
      <w:pPr>
        <w:pStyle w:val="Pismenka"/>
        <w:tabs>
          <w:tab w:val="clear" w:pos="426"/>
        </w:tabs>
        <w:ind w:left="360" w:hanging="360"/>
        <w:rPr>
          <w:rFonts w:eastAsia="Times New Roman"/>
          <w:b w:val="0"/>
          <w:bCs w:val="0"/>
        </w:rPr>
      </w:pPr>
      <w:r w:rsidRPr="008C1FA6">
        <w:rPr>
          <w:rFonts w:eastAsia="Times New Roman"/>
          <w:b w:val="0"/>
          <w:bCs w:val="0"/>
        </w:rPr>
        <w:tab/>
      </w: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Čistá realizačná hodnota je predpokladaná predajná cena</w:t>
      </w:r>
      <w:r>
        <w:rPr>
          <w:rFonts w:eastAsia="Times New Roman"/>
          <w:b w:val="0"/>
          <w:bCs w:val="0"/>
        </w:rPr>
        <w:t xml:space="preserve"> zásob</w:t>
      </w:r>
      <w:r w:rsidRPr="008C1FA6">
        <w:rPr>
          <w:rFonts w:eastAsia="Times New Roman"/>
          <w:b w:val="0"/>
          <w:bCs w:val="0"/>
        </w:rPr>
        <w:t xml:space="preserve"> znížená o predpokladané náklady na ich dokončenie a o predpokladané náklady súvisiace s ich predajom.  </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 xml:space="preserve">Zníženie hodnoty zásob sa upravuje vytvorením opravnej položky. Pri zásobách materiálu a náhradných dielov sa opravná položka tvorí percentom z hodnoty bezobrátkových zásob podľa internej smernice spoločnosti, pri zásobách NV, HV a polotovarov vlastnej výroby podľa individuálneho posúdenia, ak očakávaná realizačná cena je nižšia ako hodnota ocenenia v účtovníctve. </w:t>
      </w:r>
    </w:p>
    <w:p w:rsidR="00B95F6B" w:rsidRPr="008C1FA6" w:rsidRDefault="00B95F6B">
      <w:pPr>
        <w:pStyle w:val="BodyText"/>
      </w:pPr>
    </w:p>
    <w:p w:rsidR="00B95F6B" w:rsidRPr="008C1FA6" w:rsidRDefault="00B95F6B" w:rsidP="00CD2E48">
      <w:pPr>
        <w:pStyle w:val="Pismenka"/>
        <w:tabs>
          <w:tab w:val="clear" w:pos="426"/>
        </w:tabs>
        <w:ind w:left="360" w:hanging="360"/>
        <w:rPr>
          <w:rFonts w:eastAsia="Times New Roman"/>
        </w:rPr>
      </w:pPr>
      <w:r>
        <w:t>5.</w:t>
      </w:r>
      <w:r w:rsidRPr="008C1FA6">
        <w:tab/>
      </w:r>
      <w:r w:rsidRPr="008C1FA6">
        <w:rPr>
          <w:rFonts w:eastAsia="Times New Roman"/>
        </w:rPr>
        <w:t>Pohľadávky</w:t>
      </w: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B95F6B" w:rsidRPr="008C1FA6" w:rsidRDefault="00B95F6B" w:rsidP="00CD2E48">
      <w:pPr>
        <w:pStyle w:val="Pismenka"/>
        <w:tabs>
          <w:tab w:val="clear" w:pos="426"/>
        </w:tabs>
        <w:ind w:left="360" w:hanging="360"/>
        <w:rPr>
          <w:rFonts w:eastAsia="Times New Roman"/>
          <w:b w:val="0"/>
          <w:bCs w:val="0"/>
        </w:rPr>
      </w:pPr>
    </w:p>
    <w:p w:rsidR="00B95F6B" w:rsidRPr="008C1FA6" w:rsidRDefault="00B95F6B" w:rsidP="00CD2E48">
      <w:pPr>
        <w:pStyle w:val="Pismenka"/>
        <w:tabs>
          <w:tab w:val="clear" w:pos="426"/>
        </w:tabs>
        <w:ind w:left="360" w:firstLine="0"/>
        <w:rPr>
          <w:rFonts w:eastAsia="Times New Roman"/>
          <w:b w:val="0"/>
          <w:bCs w:val="0"/>
        </w:rPr>
      </w:pPr>
      <w:r w:rsidRPr="008C1FA6">
        <w:rPr>
          <w:rFonts w:eastAsia="Times New Roman"/>
          <w:b w:val="0"/>
          <w:bCs w:val="0"/>
        </w:rPr>
        <w:t xml:space="preserve">Pri pohľadávkach z obchodného styku sa opravná položka tvorí % z hodnoty pohľadávok po lehote splatnosti, pričom výška % je diferencovaná  podľa jednotlivých časových pásiem (dní) po lehote splatnosti pohľadávok v súlade s internou smernicou spoločnosti.  </w:t>
      </w:r>
    </w:p>
    <w:p w:rsidR="00B95F6B" w:rsidRPr="008C1FA6" w:rsidRDefault="00B95F6B">
      <w:pPr>
        <w:pStyle w:val="BodyText"/>
      </w:pPr>
    </w:p>
    <w:p w:rsidR="00B95F6B" w:rsidRPr="008C1FA6" w:rsidRDefault="00B95F6B" w:rsidP="00CD2E48">
      <w:pPr>
        <w:pStyle w:val="Pismenka"/>
        <w:tabs>
          <w:tab w:val="clear" w:pos="426"/>
        </w:tabs>
        <w:ind w:left="360" w:hanging="360"/>
        <w:rPr>
          <w:rFonts w:eastAsia="Times New Roman"/>
        </w:rPr>
      </w:pPr>
      <w:r>
        <w:t>6.</w:t>
      </w:r>
      <w:r w:rsidRPr="008C1FA6">
        <w:tab/>
      </w:r>
      <w:r>
        <w:rPr>
          <w:rFonts w:eastAsia="Times New Roman"/>
        </w:rPr>
        <w:t>Finančné účty</w:t>
      </w:r>
    </w:p>
    <w:p w:rsidR="00B95F6B" w:rsidRPr="008C1FA6" w:rsidRDefault="00B95F6B" w:rsidP="00CD2E48">
      <w:pPr>
        <w:pStyle w:val="Pismenka"/>
        <w:tabs>
          <w:tab w:val="clear" w:pos="426"/>
        </w:tabs>
        <w:ind w:left="360" w:firstLine="0"/>
        <w:rPr>
          <w:rFonts w:eastAsia="Times New Roman"/>
          <w:b w:val="0"/>
          <w:bCs w:val="0"/>
        </w:rPr>
      </w:pPr>
      <w:r>
        <w:rPr>
          <w:rFonts w:eastAsia="Times New Roman"/>
          <w:b w:val="0"/>
          <w:bCs w:val="0"/>
        </w:rPr>
        <w:t xml:space="preserve">Finančné účty tvorí peňažná hotovosť, ceniny, zostatky na bankových účtoch a oceňujú sa menovitou hodnotou. </w:t>
      </w:r>
      <w:r w:rsidRPr="008C1FA6">
        <w:rPr>
          <w:rFonts w:eastAsia="Times New Roman"/>
          <w:b w:val="0"/>
          <w:bCs w:val="0"/>
        </w:rPr>
        <w:t>Zníženie ich hodnoty sa vyjadruje opravnou položkou.</w:t>
      </w:r>
    </w:p>
    <w:p w:rsidR="00B95F6B" w:rsidRPr="008C1FA6" w:rsidRDefault="00B95F6B">
      <w:pPr>
        <w:pStyle w:val="BodyText"/>
      </w:pPr>
    </w:p>
    <w:p w:rsidR="00B95F6B" w:rsidRPr="008C1FA6" w:rsidRDefault="00B95F6B" w:rsidP="00E3367A">
      <w:pPr>
        <w:pStyle w:val="Pismenka"/>
        <w:tabs>
          <w:tab w:val="clear" w:pos="426"/>
        </w:tabs>
        <w:ind w:left="360" w:hanging="360"/>
        <w:rPr>
          <w:rFonts w:eastAsia="Times New Roman"/>
        </w:rPr>
      </w:pPr>
      <w:r>
        <w:t>7.</w:t>
      </w:r>
      <w:r w:rsidRPr="008C1FA6">
        <w:tab/>
      </w:r>
      <w:r w:rsidRPr="008C1FA6">
        <w:rPr>
          <w:rFonts w:eastAsia="Times New Roman"/>
        </w:rPr>
        <w:t>Náklady budúcich období a príjmy budúcich období</w:t>
      </w:r>
    </w:p>
    <w:p w:rsidR="00B95F6B" w:rsidRDefault="00B95F6B" w:rsidP="00E3367A">
      <w:pPr>
        <w:pStyle w:val="Pismenka"/>
        <w:tabs>
          <w:tab w:val="clear" w:pos="426"/>
        </w:tabs>
        <w:ind w:left="360" w:firstLine="0"/>
        <w:rPr>
          <w:rFonts w:eastAsia="Times New Roman"/>
          <w:b w:val="0"/>
          <w:bCs w:val="0"/>
        </w:rPr>
      </w:pPr>
      <w:r w:rsidRPr="008C1FA6">
        <w:rPr>
          <w:rFonts w:eastAsia="Times New Roman"/>
          <w:b w:val="0"/>
          <w:bCs w:val="0"/>
        </w:rPr>
        <w:t>Náklady budúcich období a príjmy budúcich období sa vykazujú vo výške, ktorá je potrebná na dodržanie zásady vecnej a časovej súvislosti s účtovným obdobím.</w:t>
      </w:r>
    </w:p>
    <w:p w:rsidR="00B95F6B" w:rsidRDefault="00B95F6B" w:rsidP="00E3367A">
      <w:pPr>
        <w:pStyle w:val="Pismenka"/>
        <w:tabs>
          <w:tab w:val="clear" w:pos="426"/>
        </w:tabs>
        <w:ind w:left="360" w:firstLine="0"/>
        <w:rPr>
          <w:rFonts w:eastAsia="Times New Roman"/>
          <w:b w:val="0"/>
          <w:bCs w:val="0"/>
        </w:rPr>
      </w:pPr>
    </w:p>
    <w:p w:rsidR="00B95F6B" w:rsidRPr="008C1FA6" w:rsidRDefault="00B95F6B" w:rsidP="00842FC7">
      <w:pPr>
        <w:pStyle w:val="Pismenka"/>
        <w:tabs>
          <w:tab w:val="clear" w:pos="426"/>
        </w:tabs>
        <w:ind w:left="360" w:hanging="360"/>
        <w:rPr>
          <w:rFonts w:eastAsia="Times New Roman"/>
        </w:rPr>
      </w:pPr>
      <w:r>
        <w:t>8.</w:t>
      </w:r>
      <w:r w:rsidRPr="008C1FA6">
        <w:tab/>
      </w:r>
      <w:r>
        <w:rPr>
          <w:rFonts w:eastAsia="Times New Roman"/>
        </w:rPr>
        <w:t>Zníženie hodnoty majetku a opravné položky</w:t>
      </w:r>
    </w:p>
    <w:p w:rsidR="00B95F6B" w:rsidRDefault="00B95F6B" w:rsidP="00AB2A31">
      <w:pPr>
        <w:pStyle w:val="Pismenka"/>
        <w:tabs>
          <w:tab w:val="clear" w:pos="426"/>
        </w:tabs>
        <w:ind w:left="360" w:firstLine="0"/>
        <w:rPr>
          <w:rFonts w:eastAsia="Times New Roman"/>
          <w:b w:val="0"/>
          <w:bCs w:val="0"/>
        </w:rPr>
      </w:pPr>
      <w:r>
        <w:rPr>
          <w:rFonts w:eastAsia="Times New Roman"/>
          <w:b w:val="0"/>
          <w:bCs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B95F6B" w:rsidRPr="008C1FA6" w:rsidRDefault="00B95F6B" w:rsidP="00842FC7">
      <w:pPr>
        <w:pStyle w:val="Pismenka"/>
        <w:tabs>
          <w:tab w:val="clear" w:pos="426"/>
        </w:tabs>
        <w:ind w:left="360" w:firstLine="0"/>
        <w:rPr>
          <w:rFonts w:eastAsia="Times New Roman"/>
          <w:b w:val="0"/>
          <w:bCs w:val="0"/>
        </w:rPr>
      </w:pPr>
    </w:p>
    <w:p w:rsidR="00B95F6B" w:rsidRDefault="00B95F6B" w:rsidP="00AB2A31">
      <w:pPr>
        <w:pStyle w:val="Pismenka"/>
        <w:numPr>
          <w:ilvl w:val="0"/>
          <w:numId w:val="2"/>
        </w:numPr>
        <w:rPr>
          <w:rFonts w:eastAsia="Times New Roman"/>
        </w:rPr>
      </w:pPr>
      <w:r w:rsidRPr="00A429B3">
        <w:rPr>
          <w:rFonts w:eastAsia="Times New Roman"/>
        </w:rPr>
        <w:t>Zníženie hodnoty dlhodobého majetku a </w:t>
      </w:r>
      <w:r>
        <w:rPr>
          <w:rFonts w:eastAsia="Times New Roman"/>
        </w:rPr>
        <w:t>zásob</w:t>
      </w:r>
    </w:p>
    <w:p w:rsidR="00B95F6B" w:rsidRDefault="00B95F6B" w:rsidP="001832F7">
      <w:pPr>
        <w:pStyle w:val="Pismenka"/>
        <w:tabs>
          <w:tab w:val="clear" w:pos="426"/>
        </w:tabs>
        <w:ind w:left="360" w:hanging="360"/>
        <w:rPr>
          <w:rFonts w:eastAsia="Times New Roman"/>
          <w:b w:val="0"/>
          <w:bCs w:val="0"/>
        </w:rPr>
      </w:pPr>
      <w:r>
        <w:rPr>
          <w:rFonts w:eastAsia="Times New Roman"/>
          <w:b w:val="0"/>
          <w:bCs w:val="0"/>
        </w:rPr>
        <w:t xml:space="preserve">        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B95F6B" w:rsidRDefault="00B95F6B" w:rsidP="001832F7">
      <w:pPr>
        <w:pStyle w:val="Pismenka"/>
        <w:tabs>
          <w:tab w:val="clear" w:pos="426"/>
        </w:tabs>
        <w:ind w:left="360" w:hanging="360"/>
        <w:rPr>
          <w:rFonts w:eastAsia="Times New Roman"/>
          <w:b w:val="0"/>
          <w:bCs w:val="0"/>
        </w:rPr>
      </w:pPr>
    </w:p>
    <w:p w:rsidR="00B95F6B" w:rsidRDefault="00B95F6B" w:rsidP="00A429B3">
      <w:pPr>
        <w:pStyle w:val="Pismenka"/>
        <w:tabs>
          <w:tab w:val="clear" w:pos="426"/>
        </w:tabs>
        <w:ind w:left="360" w:hanging="360"/>
        <w:rPr>
          <w:rFonts w:eastAsia="Times New Roman"/>
          <w:b w:val="0"/>
          <w:bCs w:val="0"/>
        </w:rPr>
      </w:pPr>
      <w:r>
        <w:rPr>
          <w:rFonts w:eastAsia="Times New Roman"/>
          <w:b w:val="0"/>
          <w:bCs w:val="0"/>
        </w:rPr>
        <w:t xml:space="preserve">        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B95F6B" w:rsidRDefault="00B95F6B" w:rsidP="00A429B3">
      <w:pPr>
        <w:pStyle w:val="Pismenka"/>
        <w:tabs>
          <w:tab w:val="clear" w:pos="426"/>
        </w:tabs>
        <w:ind w:left="360" w:hanging="360"/>
        <w:rPr>
          <w:rFonts w:eastAsia="Times New Roman"/>
          <w:b w:val="0"/>
          <w:bCs w:val="0"/>
        </w:rPr>
      </w:pPr>
    </w:p>
    <w:p w:rsidR="00B95F6B" w:rsidRPr="008C1FA6" w:rsidRDefault="00B95F6B" w:rsidP="007921E8">
      <w:pPr>
        <w:pStyle w:val="Pismenka"/>
        <w:numPr>
          <w:ilvl w:val="0"/>
          <w:numId w:val="2"/>
        </w:numPr>
        <w:rPr>
          <w:rFonts w:eastAsia="Times New Roman"/>
        </w:rPr>
      </w:pPr>
      <w:r>
        <w:t>Zníženie hodnoty pohľadávok</w:t>
      </w:r>
    </w:p>
    <w:p w:rsidR="00B95F6B" w:rsidRDefault="00B95F6B" w:rsidP="007921E8">
      <w:pPr>
        <w:pStyle w:val="Pismenka"/>
        <w:tabs>
          <w:tab w:val="clear" w:pos="426"/>
        </w:tabs>
        <w:ind w:left="360" w:firstLine="0"/>
        <w:rPr>
          <w:rFonts w:eastAsia="Times New Roman"/>
          <w:b w:val="0"/>
          <w:bCs w:val="0"/>
        </w:rPr>
      </w:pPr>
      <w:r>
        <w:rPr>
          <w:rFonts w:eastAsia="Times New Roman"/>
          <w:b w:val="0"/>
          <w:bCs w:val="0"/>
        </w:rPr>
        <w:t>Ku každému dňu, ku ktorému sa zostavuje účtovná závierka sa finančný majetok, ktorý nie je ocenený reálnou hodnotou posudzuje s cieľom zistiť, či existujú objektívne dôkazy zníženia jeho hodnoty.</w:t>
      </w:r>
    </w:p>
    <w:p w:rsidR="00B95F6B" w:rsidRDefault="00B95F6B" w:rsidP="007921E8">
      <w:pPr>
        <w:pStyle w:val="Pismenka"/>
        <w:tabs>
          <w:tab w:val="clear" w:pos="426"/>
        </w:tabs>
        <w:ind w:left="360" w:firstLine="0"/>
        <w:rPr>
          <w:rFonts w:eastAsia="Times New Roman"/>
          <w:b w:val="0"/>
          <w:bCs w:val="0"/>
        </w:rPr>
      </w:pPr>
    </w:p>
    <w:p w:rsidR="00B95F6B" w:rsidRDefault="00B95F6B" w:rsidP="007921E8">
      <w:pPr>
        <w:pStyle w:val="Pismenka"/>
        <w:tabs>
          <w:tab w:val="clear" w:pos="426"/>
        </w:tabs>
        <w:ind w:left="360" w:firstLine="0"/>
        <w:rPr>
          <w:rFonts w:eastAsia="Times New Roman"/>
          <w:b w:val="0"/>
          <w:bCs w:val="0"/>
        </w:rPr>
      </w:pPr>
      <w:r>
        <w:rPr>
          <w:rFonts w:eastAsia="Times New Roman"/>
          <w:b w:val="0"/>
          <w:bCs w:val="0"/>
        </w:rPr>
        <w:t>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bude vyhlásený konkurz. Objektívnym dôkazom zníženia hodnoty pohľadávok je aj významné alebo dlhodobé zníženie ich reálnej hodnoty.</w:t>
      </w:r>
    </w:p>
    <w:p w:rsidR="00B95F6B" w:rsidRDefault="00B95F6B" w:rsidP="007921E8">
      <w:pPr>
        <w:pStyle w:val="Pismenka"/>
        <w:tabs>
          <w:tab w:val="clear" w:pos="426"/>
        </w:tabs>
        <w:ind w:left="360" w:firstLine="0"/>
        <w:rPr>
          <w:rFonts w:eastAsia="Times New Roman"/>
          <w:b w:val="0"/>
          <w:bCs w:val="0"/>
        </w:rPr>
      </w:pPr>
    </w:p>
    <w:p w:rsidR="00B95F6B" w:rsidRDefault="00B95F6B" w:rsidP="007921E8">
      <w:pPr>
        <w:pStyle w:val="Pismenka"/>
        <w:tabs>
          <w:tab w:val="clear" w:pos="426"/>
        </w:tabs>
        <w:ind w:left="360" w:firstLine="0"/>
        <w:rPr>
          <w:rFonts w:eastAsia="Times New Roman"/>
          <w:b w:val="0"/>
          <w:bCs w:val="0"/>
        </w:rPr>
      </w:pPr>
      <w:r>
        <w:rPr>
          <w:rFonts w:eastAsia="Times New Roman"/>
          <w:b w:val="0"/>
          <w:bCs w:val="0"/>
        </w:rPr>
        <w:t>Pri určení návratnej hodnoty pohľadávok sa tiež berie do úvahy schopnosť a výkonnosť dlžníka.</w:t>
      </w:r>
    </w:p>
    <w:p w:rsidR="00B95F6B" w:rsidRDefault="00B95F6B" w:rsidP="007921E8">
      <w:pPr>
        <w:pStyle w:val="Pismenka"/>
        <w:tabs>
          <w:tab w:val="clear" w:pos="426"/>
        </w:tabs>
        <w:ind w:left="360" w:firstLine="0"/>
        <w:rPr>
          <w:rFonts w:eastAsia="Times New Roman"/>
          <w:b w:val="0"/>
          <w:bCs w:val="0"/>
        </w:rPr>
      </w:pPr>
    </w:p>
    <w:p w:rsidR="00B95F6B" w:rsidRDefault="00B95F6B" w:rsidP="00744457">
      <w:pPr>
        <w:pStyle w:val="Pismenka"/>
        <w:tabs>
          <w:tab w:val="clear" w:pos="426"/>
        </w:tabs>
        <w:rPr>
          <w:rFonts w:eastAsia="Times New Roman"/>
          <w:b w:val="0"/>
          <w:bCs w:val="0"/>
        </w:rPr>
      </w:pPr>
      <w:r>
        <w:rPr>
          <w:rFonts w:eastAsia="Times New Roman"/>
          <w:b w:val="0"/>
          <w:bCs w:val="0"/>
        </w:rPr>
        <w:t xml:space="preserve">        Opravná položka sa zruší, ak následné zvýšenie predpokladaných budúcich ekonomických úžitkov možno objektívne spájať s udalosťou, ktorá nastala po vykázaní opravnej položky. </w:t>
      </w:r>
    </w:p>
    <w:p w:rsidR="00B95F6B" w:rsidRPr="008C1FA6" w:rsidRDefault="00B95F6B" w:rsidP="00744457">
      <w:pPr>
        <w:pStyle w:val="Pismenka"/>
        <w:tabs>
          <w:tab w:val="clear" w:pos="426"/>
        </w:tabs>
        <w:rPr>
          <w:rFonts w:eastAsia="Times New Roman"/>
          <w:b w:val="0"/>
          <w:bCs w:val="0"/>
        </w:rPr>
      </w:pPr>
    </w:p>
    <w:p w:rsidR="00B95F6B" w:rsidRPr="008C1FA6" w:rsidRDefault="00B95F6B" w:rsidP="00744457">
      <w:pPr>
        <w:pStyle w:val="Pismenka"/>
        <w:tabs>
          <w:tab w:val="clear" w:pos="426"/>
        </w:tabs>
        <w:ind w:left="360" w:hanging="360"/>
        <w:rPr>
          <w:rFonts w:eastAsia="Times New Roman"/>
        </w:rPr>
      </w:pPr>
      <w:r>
        <w:t>11.</w:t>
      </w:r>
      <w:r w:rsidRPr="008C1FA6">
        <w:tab/>
      </w:r>
      <w:r w:rsidRPr="008C1FA6">
        <w:rPr>
          <w:rFonts w:eastAsia="Times New Roman"/>
        </w:rPr>
        <w:t>Záväzky</w:t>
      </w:r>
    </w:p>
    <w:p w:rsidR="00B95F6B" w:rsidRPr="008C1FA6" w:rsidRDefault="00B95F6B" w:rsidP="00744457">
      <w:pPr>
        <w:pStyle w:val="Pismenka"/>
        <w:tabs>
          <w:tab w:val="clear" w:pos="426"/>
        </w:tabs>
        <w:ind w:left="360" w:firstLine="0"/>
        <w:rPr>
          <w:rFonts w:eastAsia="Times New Roman"/>
          <w:b w:val="0"/>
          <w:bCs w:val="0"/>
        </w:rPr>
      </w:pPr>
      <w:r w:rsidRPr="008C1FA6">
        <w:rPr>
          <w:rFonts w:eastAsia="Times New Roman"/>
          <w:b w:val="0"/>
          <w:bCs w:val="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95F6B" w:rsidRPr="00A429B3" w:rsidRDefault="00B95F6B" w:rsidP="00A429B3">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hanging="360"/>
        <w:rPr>
          <w:rFonts w:eastAsia="Times New Roman"/>
        </w:rPr>
      </w:pPr>
      <w:r>
        <w:t>12.</w:t>
      </w:r>
      <w:r w:rsidRPr="008C1FA6">
        <w:tab/>
      </w:r>
      <w:r>
        <w:rPr>
          <w:rFonts w:eastAsia="Times New Roman"/>
        </w:rPr>
        <w:t>Rezer</w:t>
      </w:r>
      <w:r w:rsidRPr="008C1FA6">
        <w:rPr>
          <w:rFonts w:eastAsia="Times New Roman"/>
        </w:rPr>
        <w:t>vy</w:t>
      </w: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 xml:space="preserve">Rezerva je záväzok predstavujúci existujúcu povinnosť Spoločnosti, ktorá vznikla z minulých udalostí a je pravdepodobné, že v budúcnosti zníži jej ekonomické úžitky.  </w:t>
      </w:r>
      <w:r w:rsidRPr="008C1FA6">
        <w:rPr>
          <w:rFonts w:eastAsia="Times New Roman"/>
          <w:b w:val="0"/>
          <w:bCs w:val="0"/>
        </w:rPr>
        <w:t>Rezervy sú záväzky s neurčitým časovým vymedzením alebo výšk</w:t>
      </w:r>
      <w:r>
        <w:rPr>
          <w:rFonts w:eastAsia="Times New Roman"/>
          <w:b w:val="0"/>
          <w:bCs w:val="0"/>
        </w:rPr>
        <w:t>ou a o</w:t>
      </w:r>
      <w:r w:rsidRPr="008C1FA6">
        <w:rPr>
          <w:rFonts w:eastAsia="Times New Roman"/>
          <w:b w:val="0"/>
          <w:bCs w:val="0"/>
        </w:rPr>
        <w:t xml:space="preserve">ceňujú sa </w:t>
      </w:r>
      <w:r>
        <w:rPr>
          <w:rFonts w:eastAsia="Times New Roman"/>
          <w:b w:val="0"/>
          <w:bCs w:val="0"/>
        </w:rPr>
        <w:t>odhadom v sume potrebnej na splnenie existujúcej povinnosti ku dňu, ku ktorému sa zostavuje účtovná závierka.</w:t>
      </w:r>
    </w:p>
    <w:p w:rsidR="00B95F6B"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B95F6B"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Tvorba rezervy na bonusy, rabaty, skontá a vrátenie kúpnej ceny pri reklamácii sa účtuje ako zníženie dosiahnutých výnosov so súvzťažným zápisom v prospech účtu rezerv.</w:t>
      </w:r>
    </w:p>
    <w:p w:rsidR="00B95F6B"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rPr>
      </w:pPr>
      <w:r w:rsidRPr="007703EF">
        <w:rPr>
          <w:rFonts w:eastAsia="Times New Roman"/>
        </w:rPr>
        <w:t>Rezerva na záručné opravy</w:t>
      </w:r>
      <w:r>
        <w:rPr>
          <w:rFonts w:eastAsia="Times New Roman"/>
        </w:rPr>
        <w:t xml:space="preserve"> a reklamácie</w:t>
      </w: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 xml:space="preserve">Rezerva na záručné opravy a reklamácie bola vytvorená na predpokladané náklady na záručné opravy a reklamácie výrobkov, ktoré boli predané pred 31. decembrom 2015. Bola vypočítaná ako súčet nákladov na záručné opravy a reklamácie výrobkov, ktoré boli ku dňu zostavenia účtovnej závierky už reklamované (táto časť rezervy sa tvorila individuálnym spôsobom) a nákladov na záručné opravy a reklamácie výrobkov, ktoré ku dňu zostavenia účtovnej závierky ešte neboli reklamované (táto časť rezervy sa tvorila paušálnym spôsobom, ako percentuálny podiel z tržieb). Rezerva bude použitá v priebehu účtovného obdobia 2016. </w:t>
      </w:r>
    </w:p>
    <w:p w:rsidR="00B95F6B" w:rsidRDefault="00B95F6B" w:rsidP="00E3367A">
      <w:pPr>
        <w:pStyle w:val="Pismenka"/>
        <w:tabs>
          <w:tab w:val="clear" w:pos="426"/>
        </w:tabs>
        <w:ind w:left="360" w:firstLine="0"/>
        <w:rPr>
          <w:rFonts w:eastAsia="Times New Roman"/>
          <w:b w:val="0"/>
          <w:bCs w:val="0"/>
        </w:rPr>
      </w:pPr>
    </w:p>
    <w:p w:rsidR="00B95F6B" w:rsidRPr="00FB310D" w:rsidRDefault="00B95F6B" w:rsidP="00E3367A">
      <w:pPr>
        <w:pStyle w:val="Pismenka"/>
        <w:tabs>
          <w:tab w:val="clear" w:pos="426"/>
        </w:tabs>
        <w:ind w:left="360" w:firstLine="0"/>
        <w:rPr>
          <w:rFonts w:eastAsia="Times New Roman"/>
        </w:rPr>
      </w:pPr>
      <w:r w:rsidRPr="00FB310D">
        <w:rPr>
          <w:rFonts w:eastAsia="Times New Roman"/>
        </w:rPr>
        <w:t>Rezerva na odchodné do dôchodku a životné a pracovné jubileá</w:t>
      </w:r>
    </w:p>
    <w:p w:rsidR="00B95F6B" w:rsidRDefault="00B95F6B">
      <w:pPr>
        <w:pStyle w:val="Pismenka"/>
        <w:tabs>
          <w:tab w:val="clear" w:pos="426"/>
        </w:tabs>
      </w:pPr>
      <w:r>
        <w:rPr>
          <w:b w:val="0"/>
          <w:bCs w:val="0"/>
        </w:rPr>
        <w:t xml:space="preserve">        Rezerva na odchod</w:t>
      </w:r>
      <w:r w:rsidRPr="00FB310D">
        <w:rPr>
          <w:b w:val="0"/>
          <w:bCs w:val="0"/>
        </w:rPr>
        <w:t>né</w:t>
      </w:r>
      <w:r>
        <w:rPr>
          <w:b w:val="0"/>
          <w:bCs w:val="0"/>
        </w:rPr>
        <w:t xml:space="preserve"> do dôchodku </w:t>
      </w:r>
      <w:r w:rsidRPr="00FB310D">
        <w:rPr>
          <w:b w:val="0"/>
          <w:bCs w:val="0"/>
        </w:rPr>
        <w:t>a</w:t>
      </w:r>
      <w:r>
        <w:rPr>
          <w:b w:val="0"/>
          <w:bCs w:val="0"/>
        </w:rPr>
        <w:t xml:space="preserve"> na</w:t>
      </w:r>
      <w:r w:rsidRPr="00FB310D">
        <w:rPr>
          <w:b w:val="0"/>
          <w:bCs w:val="0"/>
        </w:rPr>
        <w:t> životné a pracovné jubileá bola vytvorená s použitím poistnej matematiky</w:t>
      </w:r>
      <w:r>
        <w:t>.</w:t>
      </w:r>
    </w:p>
    <w:p w:rsidR="00B95F6B" w:rsidRPr="008C1FA6" w:rsidRDefault="00B95F6B">
      <w:pPr>
        <w:pStyle w:val="Pismenka"/>
        <w:tabs>
          <w:tab w:val="clear" w:pos="426"/>
        </w:tabs>
      </w:pPr>
    </w:p>
    <w:p w:rsidR="00B95F6B" w:rsidRPr="008C1FA6" w:rsidRDefault="00B95F6B" w:rsidP="00FB310D">
      <w:pPr>
        <w:pStyle w:val="Pismenka"/>
        <w:tabs>
          <w:tab w:val="clear" w:pos="426"/>
        </w:tabs>
        <w:ind w:left="360" w:hanging="360"/>
        <w:rPr>
          <w:rFonts w:eastAsia="Times New Roman"/>
        </w:rPr>
      </w:pPr>
      <w:r>
        <w:t>13.</w:t>
      </w:r>
      <w:r w:rsidRPr="008C1FA6">
        <w:tab/>
      </w:r>
      <w:r>
        <w:rPr>
          <w:rFonts w:eastAsia="Times New Roman"/>
        </w:rPr>
        <w:t>Zamestnanecké požitky</w:t>
      </w:r>
    </w:p>
    <w:p w:rsidR="00B95F6B" w:rsidRPr="008C1FA6" w:rsidRDefault="00B95F6B" w:rsidP="00FB310D">
      <w:pPr>
        <w:pStyle w:val="Pismenka"/>
        <w:tabs>
          <w:tab w:val="clear" w:pos="426"/>
        </w:tabs>
        <w:ind w:left="360" w:firstLine="0"/>
        <w:rPr>
          <w:rFonts w:eastAsia="Times New Roman"/>
          <w:b w:val="0"/>
          <w:bCs w:val="0"/>
        </w:rPr>
      </w:pPr>
      <w:r>
        <w:rPr>
          <w:rFonts w:eastAsia="Times New Roman"/>
          <w:b w:val="0"/>
          <w:bCs w:val="0"/>
        </w:rPr>
        <w:t>Platy, mzdy, príspevky do dôchodkových a poistných fondov, platená dovolenka, bonusy a ostatné nepeňažné požitky (napr. zdravotná starostlivosť) sa účtujú  v účtovnom období, s ktorým vecne a časovo súvisia.</w:t>
      </w:r>
    </w:p>
    <w:p w:rsidR="00B95F6B" w:rsidRPr="008C1FA6" w:rsidRDefault="00B95F6B">
      <w:pPr>
        <w:pStyle w:val="Pismenka"/>
      </w:pPr>
    </w:p>
    <w:p w:rsidR="00B95F6B" w:rsidRPr="008C1FA6" w:rsidRDefault="00B95F6B" w:rsidP="00E3367A">
      <w:pPr>
        <w:pStyle w:val="Pismenka"/>
        <w:tabs>
          <w:tab w:val="clear" w:pos="426"/>
        </w:tabs>
        <w:ind w:left="360" w:hanging="360"/>
        <w:rPr>
          <w:rFonts w:eastAsia="Times New Roman"/>
        </w:rPr>
      </w:pPr>
      <w:r>
        <w:t>14.</w:t>
      </w:r>
      <w:r w:rsidRPr="008C1FA6">
        <w:tab/>
      </w:r>
      <w:r w:rsidRPr="008C1FA6">
        <w:rPr>
          <w:rFonts w:eastAsia="Times New Roman"/>
        </w:rPr>
        <w:t>Odložené dane</w:t>
      </w: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 xml:space="preserve">Odložené dane (odložená daňová pohľadávka a odložený daňový záväzok) sa vzťahujú na: </w:t>
      </w:r>
    </w:p>
    <w:p w:rsidR="00B95F6B" w:rsidRPr="008C1FA6" w:rsidRDefault="00B95F6B" w:rsidP="006E5DCA">
      <w:pPr>
        <w:pStyle w:val="BodyText"/>
        <w:numPr>
          <w:ilvl w:val="0"/>
          <w:numId w:val="5"/>
        </w:numPr>
        <w:ind w:left="709" w:hanging="283"/>
        <w:rPr>
          <w:rFonts w:eastAsia="Times New Roman"/>
        </w:rPr>
      </w:pPr>
      <w:r w:rsidRPr="008C1FA6">
        <w:rPr>
          <w:rFonts w:eastAsia="Times New Roman"/>
        </w:rPr>
        <w:t>dočasné rozdiely medzi účtovnou hodnotou majetku a účtovnou hodnotou záväzkov vykázanou v súvahe a ich daňovou základňou,</w:t>
      </w:r>
    </w:p>
    <w:p w:rsidR="00B95F6B" w:rsidRPr="008C1FA6" w:rsidRDefault="00B95F6B" w:rsidP="006E5DCA">
      <w:pPr>
        <w:pStyle w:val="BodyText"/>
        <w:numPr>
          <w:ilvl w:val="0"/>
          <w:numId w:val="5"/>
        </w:numPr>
        <w:ind w:left="709" w:hanging="283"/>
        <w:rPr>
          <w:rFonts w:eastAsia="Times New Roman"/>
        </w:rPr>
      </w:pPr>
      <w:r w:rsidRPr="008C1FA6">
        <w:rPr>
          <w:rFonts w:eastAsia="Times New Roman"/>
        </w:rPr>
        <w:t>možnosť umorovať daňovú stratu v budúcnosti, ktorou sa rozumie možnosť odpočítať daňovú stratu od základu dane v budúcnosti,</w:t>
      </w:r>
    </w:p>
    <w:p w:rsidR="00B95F6B" w:rsidRPr="008C1FA6" w:rsidRDefault="00B95F6B" w:rsidP="006E5DCA">
      <w:pPr>
        <w:pStyle w:val="BodyText"/>
        <w:numPr>
          <w:ilvl w:val="0"/>
          <w:numId w:val="5"/>
        </w:numPr>
        <w:ind w:left="709" w:hanging="283"/>
        <w:rPr>
          <w:rFonts w:eastAsia="Times New Roman"/>
        </w:rPr>
      </w:pPr>
      <w:r w:rsidRPr="008C1FA6">
        <w:rPr>
          <w:rFonts w:eastAsia="Times New Roman"/>
        </w:rPr>
        <w:t>možnosť previesť nevyužité daňové odpočty a iné daňové nároky do budúcich období.</w:t>
      </w:r>
    </w:p>
    <w:p w:rsidR="00B95F6B" w:rsidRPr="008C1FA6" w:rsidRDefault="00B95F6B">
      <w:pPr>
        <w:pStyle w:val="BodyText"/>
      </w:pPr>
    </w:p>
    <w:p w:rsidR="00B95F6B" w:rsidRDefault="00B95F6B" w:rsidP="00E3367A">
      <w:pPr>
        <w:pStyle w:val="BodyText"/>
        <w:ind w:left="360"/>
        <w:rPr>
          <w:rFonts w:eastAsia="Times New Roman"/>
        </w:rPr>
      </w:pPr>
      <w:r w:rsidRPr="008C1FA6">
        <w:rPr>
          <w:rFonts w:eastAsia="Times New Roman"/>
        </w:rPr>
        <w:t xml:space="preserve">O odloženej daňovej pohľadávke sa účtuje len vtedy, ak je pravdepodobné, že </w:t>
      </w:r>
      <w:r>
        <w:rPr>
          <w:rFonts w:eastAsia="Times New Roman"/>
        </w:rPr>
        <w:t xml:space="preserve">budúci </w:t>
      </w:r>
      <w:r w:rsidRPr="008C1FA6">
        <w:rPr>
          <w:rFonts w:eastAsia="Times New Roman"/>
        </w:rPr>
        <w:t xml:space="preserve">základ dane, voči ktorému </w:t>
      </w:r>
      <w:r>
        <w:rPr>
          <w:rFonts w:eastAsia="Times New Roman"/>
        </w:rPr>
        <w:t xml:space="preserve">ich </w:t>
      </w:r>
      <w:r w:rsidRPr="008C1FA6">
        <w:rPr>
          <w:rFonts w:eastAsia="Times New Roman"/>
        </w:rPr>
        <w:t xml:space="preserve">bude možné </w:t>
      </w:r>
      <w:r>
        <w:rPr>
          <w:rFonts w:eastAsia="Times New Roman"/>
        </w:rPr>
        <w:t xml:space="preserve">využiť </w:t>
      </w:r>
      <w:r w:rsidRPr="008C1FA6">
        <w:rPr>
          <w:rFonts w:eastAsia="Times New Roman"/>
        </w:rPr>
        <w:t>je dosiahnuteľný.</w:t>
      </w:r>
      <w:r>
        <w:rPr>
          <w:rFonts w:eastAsia="Times New Roman"/>
        </w:rPr>
        <w:t xml:space="preserve"> Odložená daňová pohľadávka sa preveruje ku každému dňu, ku ktorému sa zostavuje účtovná závierka a znižuje sa vo výške, v akej je nepravdepodobné, že základ dane z príjmov bude dosiahnutý.</w:t>
      </w:r>
    </w:p>
    <w:p w:rsidR="00B95F6B" w:rsidRDefault="00B95F6B" w:rsidP="00E3367A">
      <w:pPr>
        <w:pStyle w:val="BodyText"/>
        <w:ind w:left="360"/>
        <w:rPr>
          <w:rFonts w:eastAsia="Times New Roman"/>
        </w:rPr>
      </w:pPr>
      <w:r>
        <w:rPr>
          <w:rFonts w:eastAsia="Times New Roman"/>
        </w:rPr>
        <w:t>Pri výpočte</w:t>
      </w:r>
      <w:r w:rsidRPr="008C1FA6">
        <w:rPr>
          <w:rFonts w:eastAsia="Times New Roman"/>
        </w:rPr>
        <w:t xml:space="preserve"> výšky odloženej dane sa používa sadzba dane z</w:t>
      </w:r>
      <w:r>
        <w:rPr>
          <w:rFonts w:eastAsia="Times New Roman"/>
        </w:rPr>
        <w:t> </w:t>
      </w:r>
      <w:r w:rsidRPr="008C1FA6">
        <w:rPr>
          <w:rFonts w:eastAsia="Times New Roman"/>
        </w:rPr>
        <w:t>príjmov</w:t>
      </w:r>
      <w:r>
        <w:rPr>
          <w:rFonts w:eastAsia="Times New Roman"/>
        </w:rPr>
        <w:t>, o ktorej sa predpokladá, že bude platiť v čase vyrovnania odloženej dane.</w:t>
      </w:r>
    </w:p>
    <w:p w:rsidR="00B95F6B" w:rsidRDefault="00B95F6B" w:rsidP="00E3367A">
      <w:pPr>
        <w:pStyle w:val="BodyText"/>
        <w:ind w:left="360"/>
        <w:rPr>
          <w:rFonts w:eastAsia="Times New Roman"/>
        </w:rPr>
      </w:pPr>
    </w:p>
    <w:p w:rsidR="00B95F6B" w:rsidRDefault="00B95F6B" w:rsidP="00E3367A">
      <w:pPr>
        <w:pStyle w:val="BodyText"/>
        <w:ind w:left="360"/>
        <w:rPr>
          <w:rFonts w:eastAsia="Times New Roman"/>
        </w:rPr>
      </w:pPr>
      <w:r>
        <w:rPr>
          <w:rFonts w:eastAsia="Times New Roman"/>
        </w:rP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B95F6B" w:rsidRPr="008C1FA6" w:rsidRDefault="00B95F6B" w:rsidP="00E3367A">
      <w:pPr>
        <w:pStyle w:val="BodyText"/>
        <w:ind w:left="360"/>
        <w:rPr>
          <w:rFonts w:eastAsia="Times New Roman"/>
        </w:rPr>
      </w:pPr>
    </w:p>
    <w:p w:rsidR="00B95F6B" w:rsidRPr="008C1FA6" w:rsidRDefault="00B95F6B">
      <w:pPr>
        <w:pStyle w:val="BodyText"/>
      </w:pPr>
    </w:p>
    <w:p w:rsidR="00B95F6B" w:rsidRPr="008C1FA6" w:rsidRDefault="00B95F6B" w:rsidP="00E3367A">
      <w:pPr>
        <w:pStyle w:val="Pismenka"/>
        <w:tabs>
          <w:tab w:val="clear" w:pos="426"/>
        </w:tabs>
        <w:ind w:left="360" w:hanging="360"/>
        <w:rPr>
          <w:rFonts w:eastAsia="Times New Roman"/>
        </w:rPr>
      </w:pPr>
      <w:r>
        <w:t>15.</w:t>
      </w:r>
      <w:r w:rsidRPr="008C1FA6">
        <w:tab/>
      </w:r>
      <w:r w:rsidRPr="008C1FA6">
        <w:rPr>
          <w:rFonts w:eastAsia="Times New Roman"/>
        </w:rPr>
        <w:t>Výdavky budúcich období a výnosy budúcich období</w:t>
      </w: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Výdavky budúcich období a výnosy budúcich období sa vykazujú vo výške, ktorá je potrebná na dodržanie zásady vecnej a časovej súvislosti s účtovným obdobím.</w:t>
      </w:r>
    </w:p>
    <w:p w:rsidR="00B95F6B" w:rsidRPr="008C1FA6" w:rsidRDefault="00B95F6B">
      <w:pPr>
        <w:pStyle w:val="BodyText"/>
      </w:pPr>
    </w:p>
    <w:p w:rsidR="00B95F6B" w:rsidRDefault="00B95F6B" w:rsidP="00E3367A">
      <w:pPr>
        <w:pStyle w:val="Pismenka"/>
        <w:tabs>
          <w:tab w:val="clear" w:pos="426"/>
        </w:tabs>
        <w:ind w:left="360" w:hanging="360"/>
      </w:pPr>
    </w:p>
    <w:p w:rsidR="00B95F6B" w:rsidRDefault="00B95F6B" w:rsidP="00E3367A">
      <w:pPr>
        <w:pStyle w:val="Pismenka"/>
        <w:tabs>
          <w:tab w:val="clear" w:pos="426"/>
        </w:tabs>
        <w:ind w:left="360" w:hanging="360"/>
      </w:pPr>
    </w:p>
    <w:p w:rsidR="00B95F6B" w:rsidRPr="008C1FA6" w:rsidRDefault="00B95F6B" w:rsidP="00E3367A">
      <w:pPr>
        <w:pStyle w:val="Pismenka"/>
        <w:tabs>
          <w:tab w:val="clear" w:pos="426"/>
        </w:tabs>
        <w:ind w:left="360" w:hanging="360"/>
        <w:rPr>
          <w:rFonts w:eastAsia="Times New Roman"/>
        </w:rPr>
      </w:pPr>
      <w:r>
        <w:t>16.</w:t>
      </w:r>
      <w:r w:rsidRPr="008C1FA6">
        <w:tab/>
      </w:r>
      <w:r w:rsidRPr="008C1FA6">
        <w:rPr>
          <w:rFonts w:eastAsia="Times New Roman"/>
        </w:rPr>
        <w:t>Dotácie zo štátneho rozpočtu</w:t>
      </w:r>
    </w:p>
    <w:p w:rsidR="00B95F6B" w:rsidRPr="008C1FA6" w:rsidRDefault="00B95F6B" w:rsidP="00BF0C58">
      <w:pPr>
        <w:pStyle w:val="Pismenka"/>
        <w:tabs>
          <w:tab w:val="clear" w:pos="426"/>
        </w:tabs>
        <w:ind w:left="360" w:firstLine="0"/>
        <w:rPr>
          <w:rFonts w:eastAsia="Times New Roman"/>
          <w:b w:val="0"/>
          <w:bCs w:val="0"/>
        </w:rPr>
      </w:pPr>
      <w:r w:rsidRPr="008C1FA6">
        <w:rPr>
          <w:rFonts w:eastAsia="Times New Roman"/>
          <w:b w:val="0"/>
          <w:bCs w:val="0"/>
        </w:rPr>
        <w:t xml:space="preserve">O nároku na dotácie zo štátneho rozpočtu sa účtuje, ak je takmer isté, že sa splnia všetky podmienky súvisiace s dotáciou a súčasne, že sa dotácia poskytne. </w:t>
      </w:r>
    </w:p>
    <w:p w:rsidR="00B95F6B" w:rsidRPr="008C1FA6"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b w:val="0"/>
          <w:bCs w:val="0"/>
        </w:rPr>
      </w:pPr>
      <w:r w:rsidRPr="008C1FA6">
        <w:rPr>
          <w:rFonts w:eastAsia="Times New Roman"/>
          <w:b w:val="0"/>
          <w:bCs w:val="0"/>
        </w:rPr>
        <w:t xml:space="preserve">Dotácie na obstaranie dlhodobého </w:t>
      </w:r>
      <w:r>
        <w:rPr>
          <w:rFonts w:eastAsia="Times New Roman"/>
          <w:b w:val="0"/>
          <w:bCs w:val="0"/>
        </w:rPr>
        <w:t xml:space="preserve">nehmotného majetku a dlhodobého </w:t>
      </w:r>
      <w:r w:rsidRPr="008C1FA6">
        <w:rPr>
          <w:rFonts w:eastAsia="Times New Roman"/>
          <w:b w:val="0"/>
          <w:bCs w:val="0"/>
        </w:rPr>
        <w:t>hmotného majetku sa najskôr vykazujú ako výnosy budúcich období a do výkazu ziskov a strát sa rozpúšťajú</w:t>
      </w:r>
      <w:r>
        <w:rPr>
          <w:rFonts w:eastAsia="Times New Roman"/>
          <w:b w:val="0"/>
          <w:bCs w:val="0"/>
        </w:rPr>
        <w:t xml:space="preserve"> ako výnosy z hospodárskej činnosti </w:t>
      </w:r>
      <w:r w:rsidRPr="008C1FA6">
        <w:rPr>
          <w:rFonts w:eastAsia="Times New Roman"/>
          <w:b w:val="0"/>
          <w:bCs w:val="0"/>
        </w:rPr>
        <w:t>v časovej a vecnej súvislosti so zaúčtovaním odpisov z tohto dlhodobého majetku</w:t>
      </w:r>
      <w:r>
        <w:rPr>
          <w:rFonts w:eastAsia="Times New Roman"/>
          <w:b w:val="0"/>
          <w:bCs w:val="0"/>
        </w:rPr>
        <w:t>.</w:t>
      </w:r>
    </w:p>
    <w:p w:rsidR="00B95F6B" w:rsidRDefault="00B95F6B" w:rsidP="00E3367A">
      <w:pPr>
        <w:pStyle w:val="Pismenka"/>
        <w:tabs>
          <w:tab w:val="clear" w:pos="426"/>
        </w:tabs>
        <w:ind w:left="360" w:firstLine="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Pr>
          <w:rFonts w:eastAsia="Times New Roman"/>
          <w:b w:val="0"/>
          <w:bCs w:val="0"/>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B95F6B" w:rsidRPr="008C1FA6" w:rsidRDefault="00B95F6B">
      <w:pPr>
        <w:pStyle w:val="BodyText"/>
        <w:rPr>
          <w:sz w:val="16"/>
          <w:szCs w:val="16"/>
        </w:rPr>
      </w:pPr>
    </w:p>
    <w:p w:rsidR="00B95F6B" w:rsidRDefault="00B95F6B" w:rsidP="00E3367A">
      <w:pPr>
        <w:pStyle w:val="Pismenka"/>
        <w:tabs>
          <w:tab w:val="clear" w:pos="426"/>
        </w:tabs>
        <w:ind w:left="360" w:hanging="360"/>
        <w:rPr>
          <w:rFonts w:eastAsia="Times New Roman"/>
        </w:rPr>
      </w:pPr>
      <w:r>
        <w:t>17.</w:t>
      </w:r>
      <w:r w:rsidRPr="008C1FA6">
        <w:tab/>
      </w:r>
      <w:r>
        <w:rPr>
          <w:rFonts w:eastAsia="Times New Roman"/>
        </w:rPr>
        <w:t>Prenájom (Spoločnosť ako nájomca</w:t>
      </w:r>
      <w:r w:rsidRPr="008C1FA6">
        <w:rPr>
          <w:rFonts w:eastAsia="Times New Roman"/>
        </w:rPr>
        <w:t>)</w:t>
      </w:r>
    </w:p>
    <w:p w:rsidR="00B95F6B" w:rsidRDefault="00B95F6B" w:rsidP="00423BDE">
      <w:pPr>
        <w:pStyle w:val="Pismenka"/>
        <w:tabs>
          <w:tab w:val="clear" w:pos="426"/>
        </w:tabs>
        <w:ind w:left="0" w:firstLine="0"/>
        <w:rPr>
          <w:rFonts w:eastAsia="Times New Roman"/>
        </w:rPr>
      </w:pPr>
    </w:p>
    <w:p w:rsidR="00B95F6B" w:rsidRPr="008C1FA6" w:rsidRDefault="00B95F6B" w:rsidP="00E3367A">
      <w:pPr>
        <w:pStyle w:val="Pismenka"/>
        <w:tabs>
          <w:tab w:val="clear" w:pos="426"/>
        </w:tabs>
        <w:ind w:left="360" w:hanging="360"/>
        <w:rPr>
          <w:rFonts w:eastAsia="Times New Roman"/>
        </w:rPr>
      </w:pPr>
      <w:r>
        <w:t xml:space="preserve">        Operatívny prenájom</w:t>
      </w:r>
    </w:p>
    <w:p w:rsidR="00B95F6B" w:rsidRPr="008C1FA6" w:rsidRDefault="00B95F6B" w:rsidP="00476974">
      <w:pPr>
        <w:pStyle w:val="Pismenka"/>
        <w:tabs>
          <w:tab w:val="clear" w:pos="426"/>
        </w:tabs>
        <w:ind w:left="360" w:firstLine="0"/>
        <w:rPr>
          <w:rFonts w:eastAsia="Times New Roman"/>
          <w:b w:val="0"/>
          <w:bCs w:val="0"/>
        </w:rPr>
      </w:pPr>
      <w:r w:rsidRPr="008C1FA6">
        <w:rPr>
          <w:rFonts w:eastAsia="Times New Roman"/>
          <w:b w:val="0"/>
          <w:bCs w:val="0"/>
        </w:rPr>
        <w:t>Majetok prenajatý na základe operatívneho prenájmu vykazuje ako svoj majetok jeho vlastník, nie nájomca.</w:t>
      </w:r>
      <w:r>
        <w:rPr>
          <w:rFonts w:eastAsia="Times New Roman"/>
          <w:b w:val="0"/>
          <w:bCs w:val="0"/>
        </w:rPr>
        <w:t xml:space="preserve"> Prenájom majetku formou operatívneho leasingu sa účtuje do nákladov priebežne počas doby trvania operatívneho prenájmu.</w:t>
      </w:r>
    </w:p>
    <w:p w:rsidR="00B95F6B" w:rsidRPr="008C1FA6" w:rsidRDefault="00B95F6B">
      <w:pPr>
        <w:pStyle w:val="BodyText"/>
        <w:rPr>
          <w:sz w:val="16"/>
          <w:szCs w:val="16"/>
        </w:rPr>
      </w:pPr>
    </w:p>
    <w:p w:rsidR="00B95F6B" w:rsidRPr="008C1FA6" w:rsidRDefault="00B95F6B" w:rsidP="00E3367A">
      <w:pPr>
        <w:pStyle w:val="Pismenka"/>
        <w:tabs>
          <w:tab w:val="clear" w:pos="426"/>
        </w:tabs>
        <w:ind w:left="360" w:hanging="360"/>
        <w:rPr>
          <w:rFonts w:eastAsia="Times New Roman"/>
        </w:rPr>
      </w:pPr>
      <w:r>
        <w:t>18.</w:t>
      </w:r>
      <w:r w:rsidRPr="008C1FA6">
        <w:tab/>
      </w:r>
      <w:r w:rsidRPr="008C1FA6">
        <w:rPr>
          <w:rFonts w:eastAsia="Times New Roman"/>
        </w:rPr>
        <w:t>Cudzia mena</w:t>
      </w: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B95F6B" w:rsidRPr="008C1FA6" w:rsidRDefault="00B95F6B" w:rsidP="00E3367A">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Na ocenenie prírastku cudzej meny nakúpenej za euro sa použije kurz, za ktorý bola táto cudzia mena nakúpená.</w:t>
      </w:r>
    </w:p>
    <w:p w:rsidR="00B95F6B" w:rsidRPr="008C1FA6" w:rsidRDefault="00B95F6B" w:rsidP="00E3367A">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B95F6B" w:rsidRPr="008C1FA6" w:rsidRDefault="00B95F6B" w:rsidP="00E3367A">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B95F6B" w:rsidRPr="008C1FA6" w:rsidRDefault="00B95F6B" w:rsidP="00E3367A">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B95F6B" w:rsidRPr="008C1FA6" w:rsidRDefault="00B95F6B" w:rsidP="00E3367A">
      <w:pPr>
        <w:pStyle w:val="Pismenka"/>
        <w:tabs>
          <w:tab w:val="clear" w:pos="426"/>
        </w:tabs>
        <w:ind w:left="360" w:hanging="360"/>
        <w:rPr>
          <w:rFonts w:eastAsia="Times New Roman"/>
          <w:b w:val="0"/>
          <w:bCs w:val="0"/>
        </w:rPr>
      </w:pPr>
    </w:p>
    <w:p w:rsidR="00B95F6B" w:rsidRPr="008C1FA6" w:rsidRDefault="00B95F6B" w:rsidP="00E3367A">
      <w:pPr>
        <w:pStyle w:val="Pismenka"/>
        <w:tabs>
          <w:tab w:val="clear" w:pos="426"/>
        </w:tabs>
        <w:ind w:left="360" w:firstLine="0"/>
        <w:rPr>
          <w:rFonts w:eastAsia="Times New Roman"/>
          <w:b w:val="0"/>
          <w:bCs w:val="0"/>
        </w:rPr>
      </w:pPr>
      <w:r w:rsidRPr="008C1FA6">
        <w:rPr>
          <w:rFonts w:eastAsia="Times New Roman"/>
          <w:b w:val="0"/>
          <w:bCs w:val="0"/>
        </w:rPr>
        <w:t xml:space="preserve">Prijaté a poskytnuté preddavky v cudzej mene na účet zriadený v eurách a z účtu zriadeného v eurách sa prepočítavajú na menu euro kurzom, za ktorý boli tieto hodnoty nakúpené alebo predané. </w:t>
      </w:r>
    </w:p>
    <w:p w:rsidR="00B95F6B" w:rsidRPr="008C1FA6" w:rsidRDefault="00B95F6B">
      <w:pPr>
        <w:pStyle w:val="BodyText"/>
      </w:pPr>
    </w:p>
    <w:p w:rsidR="00B95F6B" w:rsidRPr="008C1FA6" w:rsidRDefault="00B95F6B" w:rsidP="00E3367A">
      <w:pPr>
        <w:pStyle w:val="Pismenka"/>
        <w:tabs>
          <w:tab w:val="clear" w:pos="426"/>
        </w:tabs>
        <w:ind w:left="360" w:hanging="360"/>
        <w:rPr>
          <w:rFonts w:eastAsia="Times New Roman"/>
        </w:rPr>
      </w:pPr>
      <w:r>
        <w:t>19.</w:t>
      </w:r>
      <w:r w:rsidRPr="008C1FA6">
        <w:tab/>
      </w:r>
      <w:r w:rsidRPr="008C1FA6">
        <w:rPr>
          <w:rFonts w:eastAsia="Times New Roman"/>
        </w:rPr>
        <w:t>Výnosy</w:t>
      </w:r>
    </w:p>
    <w:p w:rsidR="00B95F6B" w:rsidRDefault="00B95F6B" w:rsidP="00E3367A">
      <w:pPr>
        <w:pStyle w:val="Pismenka"/>
        <w:tabs>
          <w:tab w:val="clear" w:pos="426"/>
        </w:tabs>
        <w:ind w:left="360" w:firstLine="0"/>
        <w:rPr>
          <w:rFonts w:eastAsia="Times New Roman"/>
          <w:b w:val="0"/>
          <w:bCs w:val="0"/>
        </w:rPr>
      </w:pPr>
      <w:r w:rsidRPr="008C1FA6">
        <w:rPr>
          <w:rFonts w:eastAsia="Times New Roman"/>
          <w:b w:val="0"/>
          <w:bCs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95F6B"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Tržby z predaja služieb sa vykazujú v účtovnom období, v ktorom boli služby poskytnuté.</w:t>
      </w:r>
    </w:p>
    <w:p w:rsidR="00B95F6B" w:rsidRDefault="00B95F6B" w:rsidP="00E3367A">
      <w:pPr>
        <w:pStyle w:val="Pismenka"/>
        <w:tabs>
          <w:tab w:val="clear" w:pos="426"/>
        </w:tabs>
        <w:ind w:left="360" w:firstLine="0"/>
        <w:rPr>
          <w:rFonts w:eastAsia="Times New Roman"/>
          <w:b w:val="0"/>
          <w:bCs w:val="0"/>
        </w:rPr>
      </w:pPr>
    </w:p>
    <w:p w:rsidR="00B95F6B" w:rsidRDefault="00B95F6B" w:rsidP="00E3367A">
      <w:pPr>
        <w:pStyle w:val="Pismenka"/>
        <w:tabs>
          <w:tab w:val="clear" w:pos="426"/>
        </w:tabs>
        <w:ind w:left="360" w:firstLine="0"/>
        <w:rPr>
          <w:rFonts w:eastAsia="Times New Roman"/>
          <w:b w:val="0"/>
          <w:bCs w:val="0"/>
        </w:rPr>
      </w:pPr>
      <w:r>
        <w:rPr>
          <w:rFonts w:eastAsia="Times New Roman"/>
          <w:b w:val="0"/>
          <w:bCs w:val="0"/>
        </w:rPr>
        <w:t>Výnosové úroky sa účtujú rovnomerne v účtovných obdobiach, ktorých sa vecne a časovo týkajú.</w:t>
      </w:r>
    </w:p>
    <w:p w:rsidR="00B95F6B" w:rsidRDefault="00B95F6B" w:rsidP="00E3367A">
      <w:pPr>
        <w:pStyle w:val="Pismenka"/>
        <w:tabs>
          <w:tab w:val="clear" w:pos="426"/>
        </w:tabs>
        <w:ind w:left="360" w:firstLine="0"/>
        <w:rPr>
          <w:rFonts w:eastAsia="Times New Roman"/>
          <w:b w:val="0"/>
          <w:bCs w:val="0"/>
        </w:rPr>
      </w:pPr>
    </w:p>
    <w:p w:rsidR="00B95F6B" w:rsidRPr="008C1FA6" w:rsidRDefault="00B95F6B" w:rsidP="005C478D">
      <w:pPr>
        <w:pStyle w:val="Pismenka"/>
        <w:tabs>
          <w:tab w:val="clear" w:pos="426"/>
        </w:tabs>
        <w:ind w:left="360" w:hanging="360"/>
        <w:rPr>
          <w:rFonts w:eastAsia="Times New Roman"/>
        </w:rPr>
      </w:pPr>
      <w:r>
        <w:t>20.</w:t>
      </w:r>
      <w:r w:rsidRPr="008C1FA6">
        <w:tab/>
      </w:r>
      <w:r>
        <w:rPr>
          <w:rFonts w:eastAsia="Times New Roman"/>
        </w:rPr>
        <w:t>Porovnateľné údaje</w:t>
      </w:r>
    </w:p>
    <w:p w:rsidR="00B95F6B" w:rsidRDefault="00B95F6B" w:rsidP="005C478D">
      <w:pPr>
        <w:pStyle w:val="Pismenka"/>
        <w:tabs>
          <w:tab w:val="clear" w:pos="426"/>
        </w:tabs>
        <w:ind w:left="360" w:firstLine="0"/>
        <w:rPr>
          <w:rFonts w:eastAsia="Times New Roman"/>
          <w:b w:val="0"/>
          <w:bCs w:val="0"/>
        </w:rPr>
      </w:pPr>
      <w:r>
        <w:rPr>
          <w:rFonts w:eastAsia="Times New Roman"/>
          <w:b w:val="0"/>
          <w:bCs w:val="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B95F6B" w:rsidRDefault="00B95F6B" w:rsidP="005C478D">
      <w:pPr>
        <w:pStyle w:val="Pismenka"/>
        <w:tabs>
          <w:tab w:val="clear" w:pos="426"/>
        </w:tabs>
        <w:ind w:left="360" w:firstLine="0"/>
        <w:rPr>
          <w:rFonts w:eastAsia="Times New Roman"/>
          <w:b w:val="0"/>
          <w:bCs w:val="0"/>
        </w:rPr>
      </w:pPr>
    </w:p>
    <w:p w:rsidR="00B95F6B" w:rsidRDefault="00B95F6B" w:rsidP="005C478D">
      <w:pPr>
        <w:pStyle w:val="Pismenka"/>
        <w:tabs>
          <w:tab w:val="clear" w:pos="426"/>
        </w:tabs>
        <w:ind w:left="360" w:firstLine="0"/>
        <w:rPr>
          <w:rFonts w:eastAsia="Times New Roman"/>
          <w:b w:val="0"/>
          <w:bCs w:val="0"/>
        </w:rPr>
      </w:pPr>
      <w:r>
        <w:rPr>
          <w:rFonts w:eastAsia="Times New Roman"/>
          <w:b w:val="0"/>
          <w:bCs w:val="0"/>
        </w:rPr>
        <w:t>V dôsledku zmeny zákona o dani z príjmov je rezerva na overenie účtovnej závierky a zostavenie daňového priznania k 31. decembru 2015 vykázaná ako krátkodobá ostatná rezerva., k 31. decembru 2014 ako krátkodobá zákonná rezerva.</w:t>
      </w:r>
    </w:p>
    <w:p w:rsidR="00B95F6B" w:rsidRDefault="00B95F6B" w:rsidP="005C478D">
      <w:pPr>
        <w:pStyle w:val="Pismenka"/>
        <w:tabs>
          <w:tab w:val="clear" w:pos="426"/>
        </w:tabs>
        <w:ind w:left="360" w:firstLine="0"/>
        <w:rPr>
          <w:rFonts w:eastAsia="Times New Roman"/>
          <w:b w:val="0"/>
          <w:bCs w:val="0"/>
        </w:rPr>
      </w:pPr>
    </w:p>
    <w:p w:rsidR="00B95F6B" w:rsidRDefault="00B95F6B" w:rsidP="005C478D">
      <w:pPr>
        <w:pStyle w:val="Pismenka"/>
        <w:tabs>
          <w:tab w:val="clear" w:pos="426"/>
        </w:tabs>
        <w:ind w:left="360" w:firstLine="0"/>
        <w:rPr>
          <w:rFonts w:eastAsia="Times New Roman"/>
          <w:b w:val="0"/>
          <w:bCs w:val="0"/>
        </w:rPr>
      </w:pPr>
    </w:p>
    <w:p w:rsidR="00B95F6B" w:rsidRPr="008C1FA6" w:rsidRDefault="00B95F6B" w:rsidP="00743448">
      <w:pPr>
        <w:pStyle w:val="Pismenka"/>
        <w:tabs>
          <w:tab w:val="clear" w:pos="426"/>
        </w:tabs>
        <w:ind w:left="360" w:hanging="360"/>
        <w:rPr>
          <w:rFonts w:eastAsia="Times New Roman"/>
        </w:rPr>
      </w:pPr>
      <w:r>
        <w:t>21.</w:t>
      </w:r>
      <w:r w:rsidRPr="008C1FA6">
        <w:tab/>
      </w:r>
      <w:r>
        <w:rPr>
          <w:rFonts w:eastAsia="Times New Roman"/>
        </w:rPr>
        <w:t>Oprava chýb minulých období</w:t>
      </w:r>
    </w:p>
    <w:p w:rsidR="00B95F6B" w:rsidRDefault="00B95F6B" w:rsidP="00743448">
      <w:pPr>
        <w:pStyle w:val="Pismenka"/>
        <w:tabs>
          <w:tab w:val="clear" w:pos="426"/>
        </w:tabs>
        <w:ind w:left="360" w:firstLine="0"/>
        <w:rPr>
          <w:rFonts w:eastAsia="Times New Roman"/>
          <w:b w:val="0"/>
          <w:bCs w:val="0"/>
        </w:rPr>
      </w:pPr>
      <w:r>
        <w:rPr>
          <w:rFonts w:eastAsia="Times New Roman"/>
          <w:b w:val="0"/>
          <w:bCs w:val="0"/>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B95F6B" w:rsidRDefault="00B95F6B" w:rsidP="00743448">
      <w:pPr>
        <w:pStyle w:val="Pismenka"/>
        <w:tabs>
          <w:tab w:val="clear" w:pos="426"/>
        </w:tabs>
        <w:ind w:left="360" w:firstLine="0"/>
        <w:rPr>
          <w:rFonts w:eastAsia="Times New Roman"/>
          <w:b w:val="0"/>
          <w:bCs w:val="0"/>
        </w:rPr>
      </w:pPr>
    </w:p>
    <w:p w:rsidR="00B95F6B" w:rsidRDefault="00B95F6B" w:rsidP="00743448">
      <w:pPr>
        <w:pStyle w:val="Pismenka"/>
        <w:tabs>
          <w:tab w:val="clear" w:pos="426"/>
        </w:tabs>
        <w:ind w:left="360" w:firstLine="0"/>
        <w:rPr>
          <w:rFonts w:eastAsia="Times New Roman"/>
          <w:b w:val="0"/>
          <w:bCs w:val="0"/>
        </w:rPr>
      </w:pPr>
      <w:r>
        <w:rPr>
          <w:rFonts w:eastAsia="Times New Roman"/>
          <w:b w:val="0"/>
          <w:bCs w:val="0"/>
        </w:rPr>
        <w:t>V roku 2015 Spoločnosť neúčtovala o oprave významných chýb minulých účtovných období.</w:t>
      </w:r>
    </w:p>
    <w:p w:rsidR="00B95F6B" w:rsidRDefault="00B95F6B" w:rsidP="00743448">
      <w:pPr>
        <w:pStyle w:val="Pismenka"/>
        <w:tabs>
          <w:tab w:val="clear" w:pos="426"/>
        </w:tabs>
        <w:ind w:left="360" w:firstLine="0"/>
        <w:rPr>
          <w:rFonts w:eastAsia="Times New Roman"/>
          <w:b w:val="0"/>
          <w:bCs w:val="0"/>
        </w:rPr>
      </w:pPr>
    </w:p>
    <w:p w:rsidR="00B95F6B" w:rsidRDefault="00B95F6B" w:rsidP="00CA5BEE">
      <w:pPr>
        <w:pStyle w:val="Pismenka"/>
        <w:tabs>
          <w:tab w:val="clear" w:pos="426"/>
        </w:tabs>
        <w:ind w:left="360" w:firstLine="0"/>
        <w:rPr>
          <w:rFonts w:eastAsia="Times New Roman"/>
          <w:b w:val="0"/>
          <w:bCs w:val="0"/>
        </w:rPr>
      </w:pPr>
      <w:r>
        <w:rPr>
          <w:rFonts w:eastAsia="Times New Roman"/>
          <w:b w:val="0"/>
          <w:bCs w:val="0"/>
        </w:rPr>
        <w:t>V dôsledku zmeny zákona o dani z príjmov je rezerva na overenie účtovnej závierky a zostavenie daňového priznania k 31. decembru 2015 vykázaná ako krátkodobá ostatná rezerva, k 31. decembru 2014 ako krátkodobá zákonná rezerva.</w:t>
      </w:r>
    </w:p>
    <w:p w:rsidR="00B95F6B" w:rsidRPr="00CA5BEE" w:rsidRDefault="00B95F6B" w:rsidP="00CA5BEE">
      <w:pPr>
        <w:pStyle w:val="Pismenka"/>
        <w:tabs>
          <w:tab w:val="clear" w:pos="426"/>
        </w:tabs>
        <w:ind w:left="360" w:firstLine="0"/>
        <w:rPr>
          <w:rFonts w:eastAsia="Times New Roman"/>
          <w:b w:val="0"/>
          <w:bCs w:val="0"/>
        </w:rPr>
      </w:pPr>
    </w:p>
    <w:p w:rsidR="00B95F6B" w:rsidRPr="008C1FA6" w:rsidRDefault="00B95F6B">
      <w:pPr>
        <w:pStyle w:val="Heading1"/>
      </w:pPr>
      <w:bookmarkStart w:id="5" w:name="_Toc530739900"/>
      <w:r w:rsidRPr="008C1FA6">
        <w:t>infor</w:t>
      </w:r>
      <w:r>
        <w:t xml:space="preserve">mácie K POLOŽKÁM </w:t>
      </w:r>
      <w:r w:rsidRPr="008C1FA6">
        <w:t>súvahy</w:t>
      </w:r>
      <w:bookmarkEnd w:id="5"/>
    </w:p>
    <w:p w:rsidR="00B95F6B" w:rsidRPr="008C1FA6" w:rsidRDefault="00B95F6B">
      <w:pPr>
        <w:pStyle w:val="Header"/>
        <w:numPr>
          <w:ilvl w:val="12"/>
          <w:numId w:val="0"/>
        </w:numPr>
        <w:tabs>
          <w:tab w:val="clear" w:pos="4153"/>
          <w:tab w:val="clear" w:pos="8306"/>
        </w:tabs>
        <w:jc w:val="both"/>
        <w:rPr>
          <w:sz w:val="16"/>
          <w:szCs w:val="16"/>
        </w:rPr>
      </w:pPr>
    </w:p>
    <w:p w:rsidR="00B95F6B" w:rsidRPr="008C1FA6" w:rsidRDefault="00B95F6B" w:rsidP="00376CB6">
      <w:pPr>
        <w:pStyle w:val="Heading2"/>
        <w:numPr>
          <w:ilvl w:val="0"/>
          <w:numId w:val="14"/>
        </w:numPr>
        <w:rPr>
          <w:rFonts w:eastAsia="Times New Roman"/>
        </w:rPr>
      </w:pPr>
      <w:bookmarkStart w:id="6" w:name="_Toc530739901"/>
      <w:r w:rsidRPr="008C1FA6">
        <w:rPr>
          <w:rFonts w:eastAsia="Times New Roman"/>
        </w:rPr>
        <w:t>D</w:t>
      </w:r>
      <w:r>
        <w:rPr>
          <w:rFonts w:eastAsia="Times New Roman"/>
        </w:rPr>
        <w:t xml:space="preserve">lhodobý </w:t>
      </w:r>
      <w:r w:rsidRPr="008C1FA6">
        <w:rPr>
          <w:rFonts w:eastAsia="Times New Roman"/>
        </w:rPr>
        <w:t>hmotný majetok</w:t>
      </w:r>
      <w:bookmarkEnd w:id="6"/>
    </w:p>
    <w:p w:rsidR="00B95F6B" w:rsidRPr="008C1FA6" w:rsidRDefault="00B95F6B" w:rsidP="001C64FB">
      <w:pPr>
        <w:pStyle w:val="Heading2"/>
        <w:ind w:left="360"/>
        <w:rPr>
          <w:rFonts w:eastAsia="Times New Roman"/>
          <w:b w:val="0"/>
          <w:bCs w:val="0"/>
        </w:rPr>
      </w:pPr>
    </w:p>
    <w:p w:rsidR="00B95F6B" w:rsidRPr="008C1FA6" w:rsidRDefault="00B95F6B" w:rsidP="001C64FB">
      <w:pPr>
        <w:pStyle w:val="Heading2"/>
        <w:ind w:left="360"/>
        <w:rPr>
          <w:rFonts w:eastAsia="Times New Roman"/>
          <w:b w:val="0"/>
          <w:bCs w:val="0"/>
        </w:rPr>
      </w:pPr>
      <w:r w:rsidRPr="008C1FA6">
        <w:rPr>
          <w:rFonts w:eastAsia="Times New Roman"/>
          <w:b w:val="0"/>
          <w:bCs w:val="0"/>
        </w:rPr>
        <w:t>Prehľa</w:t>
      </w:r>
      <w:r>
        <w:rPr>
          <w:rFonts w:eastAsia="Times New Roman"/>
          <w:b w:val="0"/>
          <w:bCs w:val="0"/>
        </w:rPr>
        <w:t xml:space="preserve">d o pohybe </w:t>
      </w:r>
      <w:r w:rsidRPr="008C1FA6">
        <w:rPr>
          <w:rFonts w:eastAsia="Times New Roman"/>
          <w:b w:val="0"/>
          <w:bCs w:val="0"/>
        </w:rPr>
        <w:t>dlhodobého hmo</w:t>
      </w:r>
      <w:r>
        <w:rPr>
          <w:rFonts w:eastAsia="Times New Roman"/>
          <w:b w:val="0"/>
          <w:bCs w:val="0"/>
        </w:rPr>
        <w:t>tného majetku od 1. januára 2015</w:t>
      </w:r>
      <w:r w:rsidRPr="008C1FA6">
        <w:rPr>
          <w:rFonts w:eastAsia="Times New Roman"/>
          <w:b w:val="0"/>
          <w:bCs w:val="0"/>
        </w:rPr>
        <w:t xml:space="preserve"> do 31. dec</w:t>
      </w:r>
      <w:r>
        <w:rPr>
          <w:rFonts w:eastAsia="Times New Roman"/>
          <w:b w:val="0"/>
          <w:bCs w:val="0"/>
        </w:rPr>
        <w:t>embra 2015</w:t>
      </w:r>
      <w:r w:rsidRPr="008C1FA6">
        <w:rPr>
          <w:rFonts w:eastAsia="Times New Roman"/>
          <w:b w:val="0"/>
          <w:bCs w:val="0"/>
        </w:rPr>
        <w:t xml:space="preserve"> a za porovnateľné obdobie od 1.</w:t>
      </w:r>
      <w:r>
        <w:rPr>
          <w:rFonts w:eastAsia="Times New Roman"/>
          <w:b w:val="0"/>
          <w:bCs w:val="0"/>
        </w:rPr>
        <w:t xml:space="preserve"> januára 2014 do 31. decembra 2014</w:t>
      </w:r>
      <w:r w:rsidRPr="008C1FA6">
        <w:rPr>
          <w:rFonts w:eastAsia="Times New Roman"/>
          <w:b w:val="0"/>
          <w:bCs w:val="0"/>
        </w:rPr>
        <w:t xml:space="preserve">  je uvedený v tabuľke na strane </w:t>
      </w:r>
      <w:r>
        <w:rPr>
          <w:rFonts w:eastAsia="Times New Roman"/>
          <w:b w:val="0"/>
          <w:bCs w:val="0"/>
        </w:rPr>
        <w:t>21 – 22.</w:t>
      </w:r>
    </w:p>
    <w:p w:rsidR="00B95F6B" w:rsidRPr="008C1FA6" w:rsidRDefault="00B95F6B" w:rsidP="001C64FB">
      <w:pPr>
        <w:pStyle w:val="Heading2"/>
        <w:ind w:left="360"/>
        <w:rPr>
          <w:rFonts w:eastAsia="Times New Roman"/>
          <w:b w:val="0"/>
          <w:bCs w:val="0"/>
        </w:rPr>
      </w:pPr>
    </w:p>
    <w:p w:rsidR="00B95F6B" w:rsidRPr="008C1FA6" w:rsidRDefault="00B95F6B" w:rsidP="001C64FB">
      <w:pPr>
        <w:pStyle w:val="Heading2"/>
        <w:ind w:left="360"/>
        <w:rPr>
          <w:rFonts w:eastAsia="Times New Roman"/>
          <w:b w:val="0"/>
          <w:bCs w:val="0"/>
        </w:rPr>
      </w:pPr>
      <w:r w:rsidRPr="008C1FA6">
        <w:rPr>
          <w:rFonts w:eastAsia="Times New Roman"/>
          <w:b w:val="0"/>
          <w:bCs w:val="0"/>
        </w:rPr>
        <w:t xml:space="preserve">Spoločnosť mimo sídla spoločnosti vlastní nehnuteľnosť (dom) v obstarávacej cene  157 348 EUR (zostatková cena k 31. decembru </w:t>
      </w:r>
      <w:r>
        <w:rPr>
          <w:rFonts w:eastAsia="Times New Roman"/>
          <w:b w:val="0"/>
          <w:bCs w:val="0"/>
        </w:rPr>
        <w:t>2015</w:t>
      </w:r>
      <w:r w:rsidRPr="008C1FA6">
        <w:rPr>
          <w:rFonts w:eastAsia="Times New Roman"/>
          <w:b w:val="0"/>
          <w:bCs w:val="0"/>
        </w:rPr>
        <w:t xml:space="preserve">: </w:t>
      </w:r>
      <w:r w:rsidRPr="001C6C81">
        <w:rPr>
          <w:rFonts w:eastAsia="Times New Roman"/>
          <w:b w:val="0"/>
          <w:bCs w:val="0"/>
        </w:rPr>
        <w:t>114 020 EUR</w:t>
      </w:r>
      <w:r w:rsidRPr="008C1FA6">
        <w:rPr>
          <w:rFonts w:eastAsia="Times New Roman"/>
          <w:b w:val="0"/>
          <w:bCs w:val="0"/>
        </w:rPr>
        <w:t>)  a pozemky v hodnote 149 373 EUR.</w:t>
      </w:r>
    </w:p>
    <w:p w:rsidR="00B95F6B" w:rsidRPr="008C1FA6" w:rsidRDefault="00B95F6B">
      <w:pPr>
        <w:pStyle w:val="BodyText"/>
        <w:rPr>
          <w:sz w:val="16"/>
          <w:szCs w:val="16"/>
        </w:rPr>
      </w:pPr>
    </w:p>
    <w:p w:rsidR="00B95F6B" w:rsidRPr="008C1FA6" w:rsidRDefault="00B95F6B" w:rsidP="001C64FB">
      <w:pPr>
        <w:pStyle w:val="BodyText"/>
        <w:ind w:left="360"/>
        <w:rPr>
          <w:rFonts w:eastAsia="Times New Roman"/>
        </w:rPr>
      </w:pPr>
      <w:r w:rsidRPr="008C1FA6">
        <w:rPr>
          <w:rFonts w:eastAsia="Times New Roman"/>
        </w:rPr>
        <w:t>V predchádzajúcich rokoch boli vytvorené opravné položky na 2 formy  z dôvodu neistej ďalšej výroby odliatkov z nich.    V prieb</w:t>
      </w:r>
      <w:r>
        <w:rPr>
          <w:rFonts w:eastAsia="Times New Roman"/>
        </w:rPr>
        <w:t>ehu roka 2015</w:t>
      </w:r>
      <w:r w:rsidRPr="008C1FA6">
        <w:rPr>
          <w:rFonts w:eastAsia="Times New Roman"/>
        </w:rPr>
        <w:t xml:space="preserve"> spoločnosť </w:t>
      </w:r>
      <w:r w:rsidRPr="001C6C81">
        <w:rPr>
          <w:rFonts w:eastAsia="Times New Roman"/>
        </w:rPr>
        <w:t>upravila opravnú položku na jednu z nich – spojka pre zákazníka VW na novú  hodnotu 141 173 EUR z dôvodu aktualizácie časti zostatkovej hodnoty,</w:t>
      </w:r>
      <w:r w:rsidRPr="008C1FA6">
        <w:rPr>
          <w:rFonts w:eastAsia="Times New Roman"/>
        </w:rPr>
        <w:t xml:space="preserve"> ktorá nebude využitá pre ďalšiu výroby odliatkov z tejto formy v budúcnosti. </w:t>
      </w:r>
      <w:r>
        <w:rPr>
          <w:rFonts w:eastAsia="Times New Roman"/>
        </w:rPr>
        <w:t xml:space="preserve">V priebehu roka 2015 došlo k tvorbe opravnej položky na ďalších 8 foriem z toho dôvodu, že celkový počet vyrobených kusov na príslušných formách do konca ukončenia projektov nebude postačovať na pokrytie ich zostatkových hodnôt pri ukončení výroby. </w:t>
      </w:r>
      <w:r w:rsidRPr="008C1FA6">
        <w:rPr>
          <w:rFonts w:eastAsia="Times New Roman"/>
        </w:rPr>
        <w:t>Žiadny iný – ďalší nevyužívaný majetok nebol definovaný.</w:t>
      </w:r>
      <w:r w:rsidRPr="001C6C81">
        <w:rPr>
          <w:rFonts w:eastAsia="Times New Roman"/>
        </w:rPr>
        <w:t xml:space="preserve"> </w:t>
      </w:r>
      <w:r>
        <w:rPr>
          <w:rFonts w:eastAsia="Times New Roman"/>
        </w:rPr>
        <w:t xml:space="preserve">K 31. decembru 2015 má Spoločnosť vytvorené celkovo opravné položky na 10 foriem v hodnote 604 949 EUR. </w:t>
      </w:r>
    </w:p>
    <w:p w:rsidR="00B95F6B" w:rsidRPr="008C1FA6" w:rsidRDefault="00B95F6B" w:rsidP="001C64FB">
      <w:pPr>
        <w:pStyle w:val="BodyText"/>
        <w:ind w:left="360"/>
        <w:rPr>
          <w:rFonts w:eastAsia="Times New Roman"/>
        </w:rPr>
      </w:pPr>
    </w:p>
    <w:p w:rsidR="00B95F6B" w:rsidRDefault="00B95F6B" w:rsidP="001C64FB">
      <w:pPr>
        <w:pStyle w:val="BodyText"/>
        <w:ind w:left="360"/>
        <w:rPr>
          <w:rFonts w:eastAsia="Times New Roman"/>
        </w:rPr>
      </w:pPr>
      <w:r w:rsidRPr="008C1FA6">
        <w:rPr>
          <w:rFonts w:eastAsia="Times New Roman"/>
        </w:rPr>
        <w:t xml:space="preserve">Dlhodobý hmotný majetok je poistený pre prípad škôd spôsobených krádežou a živelnou pohromou až do výšky </w:t>
      </w:r>
      <w:r w:rsidRPr="008C1FA6">
        <w:rPr>
          <w:rFonts w:eastAsia="Times New Roman"/>
        </w:rPr>
        <w:br/>
      </w:r>
      <w:r>
        <w:rPr>
          <w:rFonts w:eastAsia="Times New Roman"/>
        </w:rPr>
        <w:t>29 108 000 EUR (2014: 27 611</w:t>
      </w:r>
      <w:r w:rsidRPr="008C1FA6">
        <w:rPr>
          <w:rFonts w:eastAsia="Times New Roman"/>
        </w:rPr>
        <w:t xml:space="preserve"> 000 EUR). Poistná zmluva je v správe poisťovateľa: Generali Poisťovňa, a.s. Táto zmluva je súčasťou medzinárodného programu pre poistenie majetku a prerušenia prevádzky vystaveného pre spoločnosti skupiny MCC COOP. </w:t>
      </w:r>
    </w:p>
    <w:p w:rsidR="00B95F6B" w:rsidRDefault="00B95F6B" w:rsidP="001C64FB">
      <w:pPr>
        <w:pStyle w:val="BodyText"/>
        <w:ind w:left="360"/>
        <w:rPr>
          <w:rFonts w:eastAsia="Times New Roman"/>
        </w:rPr>
      </w:pPr>
    </w:p>
    <w:p w:rsidR="00B95F6B" w:rsidRDefault="00B95F6B" w:rsidP="001C64FB">
      <w:pPr>
        <w:pStyle w:val="BodyText"/>
        <w:ind w:left="360"/>
        <w:rPr>
          <w:rFonts w:eastAsia="Times New Roman"/>
        </w:rPr>
      </w:pPr>
    </w:p>
    <w:p w:rsidR="00B95F6B" w:rsidRDefault="00B95F6B" w:rsidP="00376CB6">
      <w:pPr>
        <w:pStyle w:val="Heading2"/>
        <w:numPr>
          <w:ilvl w:val="0"/>
          <w:numId w:val="14"/>
        </w:numPr>
        <w:rPr>
          <w:rFonts w:eastAsia="Times New Roman"/>
        </w:rPr>
      </w:pPr>
      <w:r w:rsidRPr="008C1FA6">
        <w:rPr>
          <w:rFonts w:eastAsia="Times New Roman"/>
        </w:rPr>
        <w:t>Dl</w:t>
      </w:r>
      <w:r>
        <w:rPr>
          <w:rFonts w:eastAsia="Times New Roman"/>
        </w:rPr>
        <w:t>hodobý nehmotný majetok</w:t>
      </w:r>
    </w:p>
    <w:p w:rsidR="00B95F6B" w:rsidRPr="0080157C" w:rsidRDefault="00B95F6B" w:rsidP="0080157C"/>
    <w:p w:rsidR="00B95F6B" w:rsidRDefault="00B95F6B" w:rsidP="001C64FB">
      <w:pPr>
        <w:pStyle w:val="BodyText"/>
        <w:ind w:left="360"/>
        <w:rPr>
          <w:rFonts w:eastAsia="Times New Roman"/>
        </w:rPr>
      </w:pPr>
      <w:r w:rsidRPr="0080157C">
        <w:rPr>
          <w:rFonts w:eastAsia="Times New Roman"/>
        </w:rPr>
        <w:t xml:space="preserve">Prehľad o pohybe dlhodobého </w:t>
      </w:r>
      <w:r>
        <w:rPr>
          <w:rFonts w:eastAsia="Times New Roman"/>
        </w:rPr>
        <w:t>ne</w:t>
      </w:r>
      <w:r w:rsidRPr="0080157C">
        <w:rPr>
          <w:rFonts w:eastAsia="Times New Roman"/>
        </w:rPr>
        <w:t>hmotného majetku od 1. januára 2015 do 31. decembra 2015 a za porovnateľné obdobie od 1. januára 2014 do 31. decembra 2014  j</w:t>
      </w:r>
      <w:r>
        <w:rPr>
          <w:rFonts w:eastAsia="Times New Roman"/>
        </w:rPr>
        <w:t>e uvedený v tabuľke na strane 19 - 20</w:t>
      </w:r>
      <w:r w:rsidRPr="0080157C">
        <w:rPr>
          <w:rFonts w:eastAsia="Times New Roman"/>
        </w:rPr>
        <w:t>.</w:t>
      </w:r>
    </w:p>
    <w:p w:rsidR="00B95F6B" w:rsidRDefault="00B95F6B" w:rsidP="001C64FB">
      <w:pPr>
        <w:pStyle w:val="BodyText"/>
        <w:ind w:left="360"/>
        <w:rPr>
          <w:rFonts w:eastAsia="Times New Roman"/>
        </w:rPr>
      </w:pPr>
    </w:p>
    <w:p w:rsidR="00B95F6B" w:rsidRDefault="00B95F6B" w:rsidP="001C64FB">
      <w:pPr>
        <w:pStyle w:val="BodyText"/>
        <w:ind w:left="360"/>
        <w:rPr>
          <w:rFonts w:eastAsia="Times New Roman"/>
        </w:rPr>
      </w:pPr>
      <w:r>
        <w:rPr>
          <w:rFonts w:eastAsia="Times New Roman"/>
        </w:rPr>
        <w:t>Spoločnosť neeviduje v roku 2015 dlhodobý nehmotný majetok, na ktorý je zriadené záložné právo alebo s ktorým má obmedzené právo nakladať (v roku 2014: žiadny)</w:t>
      </w:r>
    </w:p>
    <w:p w:rsidR="00B95F6B" w:rsidRPr="008C1FA6" w:rsidRDefault="00B95F6B" w:rsidP="001C64FB">
      <w:pPr>
        <w:pStyle w:val="BodyText"/>
        <w:ind w:left="360"/>
        <w:rPr>
          <w:rFonts w:eastAsia="Times New Roman"/>
        </w:rPr>
      </w:pPr>
    </w:p>
    <w:p w:rsidR="00B95F6B" w:rsidRPr="008C1FA6" w:rsidRDefault="00B95F6B" w:rsidP="002B016D">
      <w:pPr>
        <w:pStyle w:val="BodyText"/>
      </w:pPr>
    </w:p>
    <w:p w:rsidR="00B95F6B" w:rsidRPr="008C1FA6" w:rsidRDefault="00B95F6B" w:rsidP="002B016D">
      <w:pPr>
        <w:pStyle w:val="BodyText"/>
        <w:sectPr w:rsidR="00B95F6B" w:rsidRPr="008C1FA6" w:rsidSect="00C73952">
          <w:headerReference w:type="default" r:id="rId11"/>
          <w:footerReference w:type="default" r:id="rId12"/>
          <w:headerReference w:type="first" r:id="rId13"/>
          <w:footerReference w:type="first" r:id="rId14"/>
          <w:pgSz w:w="11907" w:h="16840" w:code="9"/>
          <w:pgMar w:top="1725" w:right="1021" w:bottom="357" w:left="1673" w:header="568" w:footer="408" w:gutter="0"/>
          <w:pgNumType w:start="12"/>
          <w:cols w:space="708"/>
          <w:titlePg/>
          <w:docGrid w:linePitch="272"/>
        </w:sectPr>
      </w:pPr>
    </w:p>
    <w:p w:rsidR="00B95F6B" w:rsidRPr="008C1FA6" w:rsidRDefault="00B95F6B">
      <w:pPr>
        <w:pStyle w:val="BodyText"/>
      </w:pPr>
      <w:bookmarkStart w:id="7" w:name="OLE_LINK5"/>
      <w:bookmarkStart w:id="8" w:name="OLE_LINK6"/>
    </w:p>
    <w:p w:rsidR="00B95F6B" w:rsidRPr="008C1FA6" w:rsidRDefault="00B95F6B">
      <w:pPr>
        <w:pStyle w:val="BodyText"/>
      </w:pPr>
    </w:p>
    <w:p w:rsidR="00B95F6B" w:rsidRPr="008C1FA6" w:rsidRDefault="00B95F6B" w:rsidP="00CA5BEE">
      <w:pPr>
        <w:pStyle w:val="BodyText"/>
        <w:ind w:left="0"/>
      </w:pPr>
    </w:p>
    <w:p w:rsidR="00B95F6B" w:rsidRPr="008C1FA6" w:rsidRDefault="00B95F6B" w:rsidP="00CA5BEE">
      <w:pPr>
        <w:pStyle w:val="BodyText"/>
        <w:ind w:left="0"/>
      </w:pPr>
    </w:p>
    <w:p w:rsidR="00B95F6B" w:rsidRPr="008C1FA6" w:rsidRDefault="00B95F6B" w:rsidP="00925C23">
      <w:pPr>
        <w:pStyle w:val="BodyText"/>
      </w:pPr>
      <w:r w:rsidRPr="008C1FA6">
        <w:object w:dxaOrig="14537" w:dyaOrig="7530">
          <v:shape id="_x0000_i1035" type="#_x0000_t75" style="width:726.75pt;height:372.75pt" o:ole="">
            <v:imagedata r:id="rId15" o:title=""/>
          </v:shape>
          <o:OLEObject Type="Embed" ProgID="Excel.Sheet.8" ShapeID="_x0000_i1035" DrawAspect="Content" ObjectID="_1519102751" r:id="rId16"/>
        </w:object>
      </w:r>
    </w:p>
    <w:p w:rsidR="00B95F6B" w:rsidRPr="008C1FA6" w:rsidRDefault="00B95F6B" w:rsidP="00681E82">
      <w:pPr>
        <w:pStyle w:val="BodyText"/>
      </w:pPr>
      <w:r w:rsidRPr="008C1FA6">
        <w:object w:dxaOrig="14537" w:dyaOrig="7530">
          <v:shape id="_x0000_i1036" type="#_x0000_t75" style="width:726.75pt;height:372.75pt" o:ole="">
            <v:imagedata r:id="rId17" o:title=""/>
          </v:shape>
          <o:OLEObject Type="Embed" ProgID="Excel.Sheet.8" ShapeID="_x0000_i1036" DrawAspect="Content" ObjectID="_1519102752" r:id="rId18"/>
        </w:object>
      </w:r>
    </w:p>
    <w:p w:rsidR="00B95F6B" w:rsidRPr="008C1FA6" w:rsidRDefault="00B95F6B" w:rsidP="003F6EC4">
      <w:pPr>
        <w:pStyle w:val="BodyText"/>
        <w:sectPr w:rsidR="00B95F6B" w:rsidRPr="008C1FA6" w:rsidSect="006E4DDB">
          <w:headerReference w:type="default" r:id="rId19"/>
          <w:footerReference w:type="default" r:id="rId20"/>
          <w:headerReference w:type="first" r:id="rId21"/>
          <w:footerReference w:type="first" r:id="rId22"/>
          <w:pgSz w:w="16840" w:h="11907" w:orient="landscape" w:code="9"/>
          <w:pgMar w:top="1555" w:right="714" w:bottom="709" w:left="851" w:header="284" w:footer="408" w:gutter="0"/>
          <w:cols w:space="708"/>
          <w:titlePg/>
        </w:sectPr>
      </w:pPr>
      <w:r w:rsidRPr="008C1FA6">
        <w:object w:dxaOrig="15533" w:dyaOrig="7530">
          <v:shape id="_x0000_i1037" type="#_x0000_t75" style="width:777pt;height:372.75pt" o:ole="">
            <v:imagedata r:id="rId23" o:title=""/>
          </v:shape>
          <o:OLEObject Type="Embed" ProgID="Excel.Sheet.8" ShapeID="_x0000_i1037" DrawAspect="Content" ObjectID="_1519102753" r:id="rId24"/>
        </w:object>
      </w:r>
      <w:r w:rsidRPr="008C1FA6">
        <w:object w:dxaOrig="14679" w:dyaOrig="7530">
          <v:shape id="_x0000_i1038" type="#_x0000_t75" style="width:734.25pt;height:372.75pt" o:ole="">
            <v:imagedata r:id="rId25" o:title=""/>
          </v:shape>
          <o:OLEObject Type="Embed" ProgID="Excel.Sheet.8" ShapeID="_x0000_i1038" DrawAspect="Content" ObjectID="_1519102754" r:id="rId26"/>
        </w:object>
      </w:r>
    </w:p>
    <w:bookmarkEnd w:id="7"/>
    <w:bookmarkEnd w:id="8"/>
    <w:p w:rsidR="00B95F6B" w:rsidRPr="008C1FA6" w:rsidRDefault="00B95F6B" w:rsidP="00376CB6">
      <w:pPr>
        <w:pStyle w:val="Heading2"/>
        <w:numPr>
          <w:ilvl w:val="0"/>
          <w:numId w:val="14"/>
        </w:numPr>
        <w:rPr>
          <w:rFonts w:eastAsia="Times New Roman"/>
        </w:rPr>
      </w:pPr>
      <w:r w:rsidRPr="008C1FA6">
        <w:rPr>
          <w:rFonts w:eastAsia="Times New Roman"/>
        </w:rPr>
        <w:t>Zásoby</w:t>
      </w:r>
    </w:p>
    <w:p w:rsidR="00B95F6B" w:rsidRPr="008C1FA6" w:rsidRDefault="00B95F6B" w:rsidP="00410A25">
      <w:pPr>
        <w:pStyle w:val="BodyText"/>
        <w:ind w:left="360"/>
        <w:rPr>
          <w:rFonts w:eastAsia="Times New Roman"/>
        </w:rPr>
      </w:pPr>
    </w:p>
    <w:p w:rsidR="00B95F6B" w:rsidRPr="008C1FA6" w:rsidRDefault="00B95F6B" w:rsidP="00410A25">
      <w:pPr>
        <w:pStyle w:val="BodyText"/>
        <w:ind w:left="360"/>
        <w:rPr>
          <w:rFonts w:eastAsia="Times New Roman"/>
        </w:rPr>
      </w:pPr>
      <w:r w:rsidRPr="008C1FA6">
        <w:rPr>
          <w:rFonts w:eastAsia="Times New Roman"/>
        </w:rPr>
        <w:t>Vývoj opravnej položky v priebehu účtovného obdobia je uvedený v nasledujúcom prehľade:</w:t>
      </w:r>
    </w:p>
    <w:p w:rsidR="00B95F6B" w:rsidRPr="008C1FA6" w:rsidRDefault="00B95F6B" w:rsidP="00410A25">
      <w:pPr>
        <w:pStyle w:val="BodyText"/>
        <w:ind w:left="360"/>
        <w:rPr>
          <w:rFonts w:eastAsia="Times New Roman"/>
        </w:rPr>
      </w:pPr>
    </w:p>
    <w:p w:rsidR="00B95F6B" w:rsidRPr="008C1FA6" w:rsidRDefault="00B95F6B" w:rsidP="00A71992">
      <w:pPr>
        <w:pStyle w:val="BodyText"/>
        <w:ind w:left="284"/>
      </w:pPr>
      <w:r w:rsidRPr="008C1FA6">
        <w:object w:dxaOrig="9143" w:dyaOrig="3543">
          <v:shape id="_x0000_i1041" type="#_x0000_t75" style="width:438.75pt;height:191.25pt" o:ole="" o:preferrelative="f">
            <v:imagedata r:id="rId27" o:title=""/>
            <o:lock v:ext="edit" aspectratio="f"/>
          </v:shape>
          <o:OLEObject Type="Embed" ProgID="Excel.Sheet.12" ShapeID="_x0000_i1041" DrawAspect="Content" ObjectID="_1519102755" r:id="rId28"/>
        </w:object>
      </w:r>
    </w:p>
    <w:p w:rsidR="00B95F6B" w:rsidRPr="008C1FA6" w:rsidRDefault="00B95F6B" w:rsidP="00FB00E3">
      <w:pPr>
        <w:pStyle w:val="BodyText"/>
      </w:pPr>
    </w:p>
    <w:p w:rsidR="00B95F6B" w:rsidRPr="008C1FA6" w:rsidRDefault="00B95F6B" w:rsidP="00664A20">
      <w:pPr>
        <w:autoSpaceDE w:val="0"/>
        <w:autoSpaceDN w:val="0"/>
        <w:adjustRightInd w:val="0"/>
        <w:ind w:left="360"/>
        <w:jc w:val="both"/>
        <w:rPr>
          <w:rFonts w:eastAsia="Times New Roman"/>
          <w:sz w:val="18"/>
          <w:szCs w:val="18"/>
        </w:rPr>
      </w:pPr>
      <w:r w:rsidRPr="008C1FA6">
        <w:rPr>
          <w:rFonts w:eastAsia="Times New Roman"/>
          <w:sz w:val="18"/>
          <w:szCs w:val="18"/>
        </w:rPr>
        <w:t>Pri zásobách materiálu a náhradných dielov sa opravná položka tvorí percentom z hodnoty bezobrátkových zásob podľa internej smernice spoločnosti, alebo podľa individuálneho posúdenia. Metóda výpočtu opravnej položky je v súlade s metódou používanou v rámci skupiny Fagor Ederlan. Pri zásobách NV, HV a polotovarov vlastnej výroby sa opravná položka tvorí podľa individuálneho posúdenia, ak očakávaná realizačná cena je nižšia ako hodnota ocenenia v účtovníctve.</w:t>
      </w:r>
    </w:p>
    <w:p w:rsidR="00B95F6B" w:rsidRPr="008C1FA6" w:rsidRDefault="00B95F6B" w:rsidP="00664A20">
      <w:pPr>
        <w:autoSpaceDE w:val="0"/>
        <w:autoSpaceDN w:val="0"/>
        <w:adjustRightInd w:val="0"/>
        <w:ind w:left="360"/>
        <w:jc w:val="both"/>
        <w:rPr>
          <w:rFonts w:eastAsia="Times New Roman"/>
          <w:sz w:val="18"/>
          <w:szCs w:val="18"/>
        </w:rPr>
      </w:pPr>
    </w:p>
    <w:p w:rsidR="00B95F6B" w:rsidRPr="008C1FA6" w:rsidRDefault="00B95F6B" w:rsidP="00664A20">
      <w:pPr>
        <w:autoSpaceDE w:val="0"/>
        <w:autoSpaceDN w:val="0"/>
        <w:adjustRightInd w:val="0"/>
        <w:ind w:left="360"/>
        <w:jc w:val="both"/>
        <w:rPr>
          <w:rFonts w:eastAsia="Times New Roman"/>
          <w:sz w:val="18"/>
          <w:szCs w:val="18"/>
        </w:rPr>
      </w:pPr>
      <w:r w:rsidRPr="008C1FA6">
        <w:rPr>
          <w:rFonts w:eastAsia="Times New Roman"/>
          <w:sz w:val="18"/>
          <w:szCs w:val="18"/>
        </w:rPr>
        <w:t>Na zásoby spoločnosti nie je zriadené záložné právo a spoločnosť má neobmedzené právo s nimi nakladať.</w:t>
      </w:r>
    </w:p>
    <w:p w:rsidR="00B95F6B" w:rsidRPr="008C1FA6" w:rsidRDefault="00B95F6B" w:rsidP="00664A20">
      <w:pPr>
        <w:autoSpaceDE w:val="0"/>
        <w:autoSpaceDN w:val="0"/>
        <w:adjustRightInd w:val="0"/>
        <w:ind w:left="360"/>
        <w:jc w:val="both"/>
        <w:rPr>
          <w:rFonts w:eastAsia="Times New Roman"/>
          <w:sz w:val="18"/>
          <w:szCs w:val="18"/>
        </w:rPr>
      </w:pPr>
    </w:p>
    <w:p w:rsidR="00B95F6B" w:rsidRPr="008C1FA6" w:rsidRDefault="00B95F6B" w:rsidP="00664A20">
      <w:pPr>
        <w:autoSpaceDE w:val="0"/>
        <w:autoSpaceDN w:val="0"/>
        <w:adjustRightInd w:val="0"/>
        <w:ind w:left="360"/>
        <w:jc w:val="both"/>
        <w:rPr>
          <w:rFonts w:eastAsia="Times New Roman"/>
          <w:sz w:val="18"/>
          <w:szCs w:val="18"/>
        </w:rPr>
      </w:pPr>
      <w:r w:rsidRPr="008C1FA6">
        <w:rPr>
          <w:rFonts w:eastAsia="Times New Roman"/>
          <w:sz w:val="18"/>
          <w:szCs w:val="18"/>
        </w:rPr>
        <w:t>Zásoby sú poistené pre prípad škôd spôsobených krádežou a živelnou</w:t>
      </w:r>
      <w:r>
        <w:rPr>
          <w:rFonts w:eastAsia="Times New Roman"/>
          <w:sz w:val="18"/>
          <w:szCs w:val="18"/>
        </w:rPr>
        <w:t xml:space="preserve"> pohromou až do výšky  2 955 27</w:t>
      </w:r>
      <w:r w:rsidRPr="008C1FA6">
        <w:rPr>
          <w:rFonts w:eastAsia="Times New Roman"/>
          <w:sz w:val="18"/>
          <w:szCs w:val="18"/>
        </w:rPr>
        <w:t xml:space="preserve">9 EUR </w:t>
      </w:r>
      <w:r w:rsidRPr="008C1FA6">
        <w:rPr>
          <w:rFonts w:eastAsia="Times New Roman"/>
          <w:sz w:val="18"/>
          <w:szCs w:val="18"/>
        </w:rPr>
        <w:br/>
        <w:t>(2</w:t>
      </w:r>
      <w:r>
        <w:rPr>
          <w:rFonts w:eastAsia="Times New Roman"/>
          <w:sz w:val="18"/>
          <w:szCs w:val="18"/>
        </w:rPr>
        <w:t>014</w:t>
      </w:r>
      <w:r w:rsidRPr="008C1FA6">
        <w:rPr>
          <w:rFonts w:eastAsia="Times New Roman"/>
          <w:sz w:val="18"/>
          <w:szCs w:val="18"/>
        </w:rPr>
        <w:t xml:space="preserve">: </w:t>
      </w:r>
      <w:r>
        <w:rPr>
          <w:rFonts w:eastAsia="Times New Roman"/>
          <w:sz w:val="18"/>
          <w:szCs w:val="18"/>
        </w:rPr>
        <w:t>2 288 129</w:t>
      </w:r>
      <w:r w:rsidRPr="008C1FA6">
        <w:rPr>
          <w:rFonts w:eastAsia="Times New Roman"/>
          <w:sz w:val="18"/>
          <w:szCs w:val="18"/>
        </w:rPr>
        <w:t xml:space="preserve"> EUR). Poistná zmluva je v správe poisťovateľa: Generali Poisťovňa, a.s. Táto zmluva je súčasťou medzinárodného programu pre poistenie majetku a prerušenia prevádzky vystaveného pre spoločnosti skupiny MCC COOP.</w:t>
      </w: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rsidP="00E20F8C">
      <w:pPr>
        <w:pStyle w:val="BodyText"/>
        <w:tabs>
          <w:tab w:val="left" w:pos="1755"/>
        </w:tabs>
      </w:pPr>
      <w:r>
        <w:tab/>
      </w: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Pr="008C1FA6" w:rsidRDefault="00B95F6B">
      <w:pPr>
        <w:pStyle w:val="BodyText"/>
      </w:pPr>
    </w:p>
    <w:p w:rsidR="00B95F6B" w:rsidRPr="008C1FA6" w:rsidRDefault="00B95F6B" w:rsidP="008D2D49">
      <w:pPr>
        <w:pStyle w:val="BodyText"/>
        <w:ind w:left="0"/>
      </w:pPr>
    </w:p>
    <w:p w:rsidR="00B95F6B" w:rsidRPr="008C1FA6" w:rsidRDefault="00B95F6B" w:rsidP="00376CB6">
      <w:pPr>
        <w:pStyle w:val="Heading2"/>
        <w:numPr>
          <w:ilvl w:val="0"/>
          <w:numId w:val="14"/>
        </w:numPr>
      </w:pPr>
      <w:bookmarkStart w:id="9" w:name="_Toc530739904"/>
      <w:r w:rsidRPr="008C1FA6">
        <w:t>Pohľadávky</w:t>
      </w:r>
      <w:bookmarkEnd w:id="9"/>
    </w:p>
    <w:p w:rsidR="00B95F6B" w:rsidRPr="008C1FA6" w:rsidRDefault="00B95F6B" w:rsidP="00A71992">
      <w:pPr>
        <w:pStyle w:val="BodyText"/>
        <w:ind w:left="360"/>
        <w:rPr>
          <w:rFonts w:eastAsia="Times New Roman"/>
        </w:rPr>
      </w:pPr>
    </w:p>
    <w:p w:rsidR="00B95F6B" w:rsidRPr="008C1FA6" w:rsidRDefault="00B95F6B" w:rsidP="004E405D">
      <w:pPr>
        <w:pStyle w:val="BodyText"/>
        <w:ind w:left="360"/>
        <w:rPr>
          <w:rFonts w:eastAsia="Times New Roman"/>
        </w:rPr>
      </w:pPr>
      <w:r w:rsidRPr="008C1FA6">
        <w:rPr>
          <w:rFonts w:eastAsia="Times New Roman"/>
        </w:rPr>
        <w:t>Vývoj opravnej položky v priebehu účtovného obdobia je zobrazený v nasledujúcom prehľade:</w:t>
      </w:r>
    </w:p>
    <w:p w:rsidR="00B95F6B" w:rsidRPr="008C1FA6" w:rsidRDefault="00B95F6B" w:rsidP="004E405D">
      <w:pPr>
        <w:pStyle w:val="BodyText"/>
        <w:ind w:left="360"/>
        <w:rPr>
          <w:rFonts w:eastAsia="Times New Roman"/>
        </w:rPr>
      </w:pPr>
    </w:p>
    <w:p w:rsidR="00B95F6B" w:rsidRDefault="00B95F6B" w:rsidP="007E1D74">
      <w:pPr>
        <w:pStyle w:val="BodyText"/>
      </w:pPr>
      <w:r w:rsidRPr="008C1FA6">
        <w:object w:dxaOrig="9013" w:dyaOrig="4419">
          <v:shape id="_x0000_i1042" type="#_x0000_t75" style="width:437.25pt;height:236.25pt" o:ole="" o:preferrelative="f">
            <v:imagedata r:id="rId29" o:title=""/>
            <o:lock v:ext="edit" aspectratio="f"/>
          </v:shape>
          <o:OLEObject Type="Embed" ProgID="Excel.Sheet.12" ShapeID="_x0000_i1042" DrawAspect="Content" ObjectID="_1519102756" r:id="rId30"/>
        </w:object>
      </w:r>
    </w:p>
    <w:p w:rsidR="00B95F6B" w:rsidRDefault="00B95F6B" w:rsidP="007E1D74">
      <w:pPr>
        <w:pStyle w:val="BodyText"/>
      </w:pPr>
    </w:p>
    <w:p w:rsidR="00B95F6B" w:rsidRDefault="00B95F6B" w:rsidP="007E1D74">
      <w:pPr>
        <w:pStyle w:val="BodyText"/>
      </w:pPr>
    </w:p>
    <w:p w:rsidR="00B95F6B" w:rsidRDefault="00B95F6B" w:rsidP="007E1D74">
      <w:pPr>
        <w:pStyle w:val="BodyText"/>
      </w:pPr>
      <w:r>
        <w:t>Opravné položky k pohľadávkam zohľadňujú bonitu klienta a jeho schopnosť splácať svoje záväzky.</w:t>
      </w:r>
    </w:p>
    <w:p w:rsidR="00B95F6B" w:rsidRDefault="00B95F6B" w:rsidP="007E1D74">
      <w:pPr>
        <w:pStyle w:val="BodyText"/>
      </w:pPr>
    </w:p>
    <w:p w:rsidR="00B95F6B" w:rsidRDefault="00B95F6B" w:rsidP="007E1D74">
      <w:pPr>
        <w:pStyle w:val="BodyText"/>
      </w:pPr>
      <w:r>
        <w:t>K použitiu opravnej položky dochádza pri úhrade alebo odpísaní pohľadávky po splatnosti, ku ktorej bola v minulosti vytvorená opravná položka.</w:t>
      </w:r>
    </w:p>
    <w:p w:rsidR="00B95F6B" w:rsidRDefault="00B95F6B" w:rsidP="007E1D74">
      <w:pPr>
        <w:pStyle w:val="BodyText"/>
      </w:pPr>
    </w:p>
    <w:p w:rsidR="00B95F6B" w:rsidRPr="008C1FA6" w:rsidRDefault="00B95F6B" w:rsidP="007E1D74">
      <w:pPr>
        <w:pStyle w:val="BodyText"/>
      </w:pPr>
      <w:r>
        <w:t>K zrušeniu opravnej položky dochádza v prípadoch, kedy pominulo, resp. znížilo sa riziko, že dlžník pohľadávku úplne alebo čiastočne nesplatí.</w:t>
      </w:r>
    </w:p>
    <w:p w:rsidR="00B95F6B" w:rsidRPr="008C1FA6" w:rsidRDefault="00B95F6B" w:rsidP="007E1D74">
      <w:pPr>
        <w:pStyle w:val="BodyText"/>
        <w:ind w:left="0"/>
        <w:rPr>
          <w:i/>
          <w:iCs/>
        </w:rPr>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pPr>
        <w:pStyle w:val="BodyText"/>
      </w:pPr>
    </w:p>
    <w:p w:rsidR="00B95F6B" w:rsidRPr="008C1FA6" w:rsidRDefault="00B95F6B" w:rsidP="000F49AD">
      <w:pPr>
        <w:pStyle w:val="BodyText"/>
        <w:tabs>
          <w:tab w:val="left" w:pos="2968"/>
        </w:tabs>
      </w:pPr>
      <w:r w:rsidRPr="008C1FA6">
        <w:tab/>
      </w:r>
    </w:p>
    <w:p w:rsidR="00B95F6B" w:rsidRPr="008C1FA6" w:rsidRDefault="00B95F6B">
      <w:pPr>
        <w:pStyle w:val="BodyText"/>
      </w:pPr>
    </w:p>
    <w:p w:rsidR="00B95F6B" w:rsidRPr="008C1FA6" w:rsidRDefault="00B95F6B" w:rsidP="005535EB">
      <w:pPr>
        <w:pStyle w:val="BodyText"/>
        <w:ind w:left="0"/>
      </w:pPr>
    </w:p>
    <w:p w:rsidR="00B95F6B" w:rsidRPr="008C1FA6" w:rsidRDefault="00B95F6B" w:rsidP="00A71992">
      <w:pPr>
        <w:pStyle w:val="BodyText"/>
        <w:ind w:left="360"/>
        <w:rPr>
          <w:rFonts w:eastAsia="Times New Roman"/>
        </w:rPr>
      </w:pPr>
    </w:p>
    <w:p w:rsidR="00B95F6B" w:rsidRPr="008C1FA6" w:rsidRDefault="00B95F6B" w:rsidP="00A71992">
      <w:pPr>
        <w:pStyle w:val="BodyText"/>
        <w:ind w:left="360"/>
        <w:rPr>
          <w:rFonts w:eastAsia="Times New Roman"/>
        </w:rPr>
      </w:pPr>
      <w:r w:rsidRPr="008C1FA6">
        <w:rPr>
          <w:rFonts w:eastAsia="Times New Roman"/>
        </w:rPr>
        <w:t>Veková štruktúra pohľadávok za bežné účtovné obdobie je uvedená v nasledujúcom prehľade:</w:t>
      </w:r>
    </w:p>
    <w:p w:rsidR="00B95F6B" w:rsidRPr="008C1FA6" w:rsidRDefault="00B95F6B" w:rsidP="00FB00E3">
      <w:pPr>
        <w:pStyle w:val="BodyText"/>
      </w:pPr>
    </w:p>
    <w:p w:rsidR="00B95F6B" w:rsidRPr="008C1FA6" w:rsidRDefault="00B95F6B" w:rsidP="00FB00E3">
      <w:pPr>
        <w:pStyle w:val="BodyText"/>
      </w:pPr>
    </w:p>
    <w:p w:rsidR="00B95F6B" w:rsidRPr="008C1FA6" w:rsidRDefault="00B95F6B" w:rsidP="007E1D74">
      <w:pPr>
        <w:pStyle w:val="BodyText"/>
      </w:pPr>
      <w:r w:rsidRPr="008C1FA6">
        <w:object w:dxaOrig="9063" w:dyaOrig="6083">
          <v:shape id="_x0000_i1043" type="#_x0000_t75" style="width:439.5pt;height:328.5pt" o:ole="" o:preferrelative="f">
            <v:imagedata r:id="rId31" o:title=""/>
            <o:lock v:ext="edit" aspectratio="f"/>
          </v:shape>
          <o:OLEObject Type="Embed" ProgID="Excel.Sheet.12" ShapeID="_x0000_i1043" DrawAspect="Content" ObjectID="_1519102757" r:id="rId32"/>
        </w:object>
      </w: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Default="00B95F6B" w:rsidP="007E1D74">
      <w:pPr>
        <w:pStyle w:val="BodyText"/>
      </w:pPr>
    </w:p>
    <w:p w:rsidR="00B95F6B"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7E1D74">
      <w:pPr>
        <w:pStyle w:val="BodyText"/>
      </w:pPr>
    </w:p>
    <w:p w:rsidR="00B95F6B" w:rsidRPr="008C1FA6" w:rsidRDefault="00B95F6B" w:rsidP="005535EB">
      <w:pPr>
        <w:pStyle w:val="BodyText"/>
        <w:ind w:left="0"/>
      </w:pPr>
    </w:p>
    <w:p w:rsidR="00B95F6B" w:rsidRPr="008C1FA6" w:rsidRDefault="00B95F6B" w:rsidP="00A71992">
      <w:pPr>
        <w:pStyle w:val="BodyText"/>
        <w:ind w:left="360"/>
      </w:pPr>
      <w:r w:rsidRPr="008C1FA6">
        <w:t xml:space="preserve"> </w:t>
      </w:r>
    </w:p>
    <w:p w:rsidR="00B95F6B" w:rsidRPr="008C1FA6" w:rsidRDefault="00B95F6B" w:rsidP="00FE4896">
      <w:pPr>
        <w:pStyle w:val="BodyText"/>
        <w:ind w:left="0" w:firstLine="284"/>
      </w:pPr>
      <w:r w:rsidRPr="008C1FA6">
        <w:t>Veková štruktúra pohľadávok za predchádzajúce účtovné obdobie je uvedená v nasledujúcom prehľade:</w:t>
      </w:r>
    </w:p>
    <w:p w:rsidR="00B95F6B" w:rsidRPr="008C1FA6" w:rsidRDefault="00B95F6B" w:rsidP="007E1D74">
      <w:pPr>
        <w:pStyle w:val="BodyText"/>
      </w:pPr>
    </w:p>
    <w:p w:rsidR="00B95F6B" w:rsidRPr="008C1FA6" w:rsidRDefault="00B95F6B" w:rsidP="00A71992">
      <w:pPr>
        <w:pStyle w:val="BodyText"/>
        <w:ind w:left="284"/>
      </w:pPr>
      <w:r w:rsidRPr="008C1FA6">
        <w:object w:dxaOrig="9063" w:dyaOrig="6083">
          <v:shape id="_x0000_i1044" type="#_x0000_t75" style="width:439.5pt;height:331.5pt" o:ole="" o:preferrelative="f">
            <v:imagedata r:id="rId33" o:title=""/>
            <o:lock v:ext="edit" aspectratio="f"/>
          </v:shape>
          <o:OLEObject Type="Embed" ProgID="Excel.Sheet.12" ShapeID="_x0000_i1044" DrawAspect="Content" ObjectID="_1519102758" r:id="rId34"/>
        </w:object>
      </w:r>
    </w:p>
    <w:p w:rsidR="00B95F6B" w:rsidRPr="008C1FA6" w:rsidRDefault="00B95F6B" w:rsidP="00A71992">
      <w:pPr>
        <w:pStyle w:val="BodyText"/>
        <w:ind w:left="360"/>
      </w:pPr>
      <w:r w:rsidRPr="008C1FA6">
        <w:t>Súčasťou tabuliek o vekovej štruktúre pohľadávok za bežné a predchádzajúce účtovné obdobie nie je odložená daňová pohľadávka (účet 481). Informácie o odlože</w:t>
      </w:r>
      <w:r>
        <w:t>nej dani sú uvedené v nasledujúcom bode 5.</w:t>
      </w:r>
    </w:p>
    <w:p w:rsidR="00B95F6B" w:rsidRPr="008C1FA6" w:rsidRDefault="00B95F6B" w:rsidP="00A71992">
      <w:pPr>
        <w:pStyle w:val="BodyText"/>
        <w:ind w:left="360"/>
      </w:pPr>
    </w:p>
    <w:p w:rsidR="00B95F6B" w:rsidRPr="008C1FA6" w:rsidRDefault="00B95F6B" w:rsidP="00A71992">
      <w:pPr>
        <w:pStyle w:val="BodyText"/>
        <w:ind w:left="360"/>
      </w:pPr>
    </w:p>
    <w:p w:rsidR="00B95F6B" w:rsidRPr="005148CA" w:rsidRDefault="00B95F6B" w:rsidP="00A71992">
      <w:pPr>
        <w:pStyle w:val="BodyText"/>
        <w:ind w:left="360"/>
      </w:pPr>
      <w:r w:rsidRPr="008C1FA6">
        <w:t>Na zmluvne zabezpečené pohľadávky bolo v prospech banky zriadené záložné právo v prípade čerpania krátkodobého – kontokorentného úveru. K 31. decembru 201</w:t>
      </w:r>
      <w:r>
        <w:t>5</w:t>
      </w:r>
      <w:r w:rsidRPr="008C1FA6">
        <w:t xml:space="preserve"> </w:t>
      </w:r>
      <w:r w:rsidRPr="00E41337">
        <w:t xml:space="preserve">tento úver bol čerpaný v hodnote 109 221 EUR. </w:t>
      </w:r>
      <w:r w:rsidRPr="005148CA">
        <w:t>Bližšie pozri bod E.12</w:t>
      </w:r>
    </w:p>
    <w:p w:rsidR="00B95F6B" w:rsidRPr="00D32F9B" w:rsidRDefault="00B95F6B" w:rsidP="00603381">
      <w:pPr>
        <w:pStyle w:val="BodyText"/>
        <w:ind w:left="0"/>
        <w:rPr>
          <w:color w:val="FF0000"/>
        </w:rPr>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Default="00B95F6B" w:rsidP="00603381">
      <w:pPr>
        <w:pStyle w:val="BodyText"/>
        <w:ind w:left="0"/>
      </w:pPr>
    </w:p>
    <w:p w:rsidR="00B95F6B"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603381">
      <w:pPr>
        <w:pStyle w:val="BodyText"/>
        <w:ind w:left="0"/>
      </w:pPr>
    </w:p>
    <w:p w:rsidR="00B95F6B" w:rsidRPr="008C1FA6" w:rsidRDefault="00B95F6B" w:rsidP="00376CB6">
      <w:pPr>
        <w:pStyle w:val="Heading2"/>
        <w:numPr>
          <w:ilvl w:val="0"/>
          <w:numId w:val="14"/>
        </w:numPr>
      </w:pPr>
      <w:r w:rsidRPr="008C1FA6">
        <w:t>Odložená daňová pohľadávka</w:t>
      </w:r>
    </w:p>
    <w:p w:rsidR="00B95F6B" w:rsidRPr="008C1FA6" w:rsidRDefault="00B95F6B" w:rsidP="00A71992">
      <w:pPr>
        <w:ind w:left="360"/>
        <w:rPr>
          <w:rFonts w:eastAsia="Times New Roman"/>
        </w:rPr>
      </w:pPr>
    </w:p>
    <w:p w:rsidR="00B95F6B" w:rsidRPr="008C1FA6" w:rsidRDefault="00B95F6B" w:rsidP="00A71992">
      <w:pPr>
        <w:ind w:left="360"/>
        <w:rPr>
          <w:rFonts w:eastAsia="Times New Roman"/>
          <w:sz w:val="18"/>
          <w:szCs w:val="18"/>
        </w:rPr>
      </w:pPr>
      <w:r w:rsidRPr="008C1FA6">
        <w:rPr>
          <w:rFonts w:eastAsia="Times New Roman"/>
          <w:sz w:val="18"/>
          <w:szCs w:val="18"/>
        </w:rPr>
        <w:t>Výpočet odloženej daňovej pohľadávky je uvedený v nasledujúcom prehľade:</w:t>
      </w:r>
    </w:p>
    <w:p w:rsidR="00B95F6B" w:rsidRPr="008C1FA6" w:rsidRDefault="00B95F6B" w:rsidP="00E331D8">
      <w:pPr>
        <w:pStyle w:val="BodyText"/>
        <w:ind w:left="360"/>
        <w:rPr>
          <w:rFonts w:eastAsia="Times New Roman"/>
        </w:rPr>
      </w:pPr>
    </w:p>
    <w:p w:rsidR="00B95F6B" w:rsidRPr="008C1FA6" w:rsidRDefault="00B95F6B" w:rsidP="00E24AE6">
      <w:pPr>
        <w:pStyle w:val="BodyText"/>
      </w:pPr>
      <w:r w:rsidRPr="008C1FA6">
        <w:object w:dxaOrig="8984" w:dyaOrig="6534">
          <v:shape id="_x0000_i1045" type="#_x0000_t75" style="width:440.25pt;height:346.5pt" o:ole="" o:preferrelative="f">
            <v:imagedata r:id="rId35" o:title=""/>
            <o:lock v:ext="edit" aspectratio="f"/>
          </v:shape>
          <o:OLEObject Type="Embed" ProgID="Excel.Sheet.12" ShapeID="_x0000_i1045" DrawAspect="Content" ObjectID="_1519102759" r:id="rId36"/>
        </w:object>
      </w:r>
    </w:p>
    <w:p w:rsidR="00B95F6B" w:rsidRPr="008C1FA6" w:rsidRDefault="00B95F6B" w:rsidP="00E24AE6">
      <w:pPr>
        <w:pStyle w:val="BodyText"/>
      </w:pPr>
    </w:p>
    <w:p w:rsidR="00B95F6B" w:rsidRDefault="00B95F6B" w:rsidP="00664A20">
      <w:pPr>
        <w:ind w:left="360"/>
        <w:jc w:val="both"/>
        <w:rPr>
          <w:rFonts w:eastAsia="Times New Roman"/>
          <w:sz w:val="18"/>
          <w:szCs w:val="18"/>
        </w:rPr>
      </w:pPr>
      <w:r w:rsidRPr="008C1FA6">
        <w:rPr>
          <w:rFonts w:eastAsia="Times New Roman"/>
          <w:sz w:val="18"/>
          <w:szCs w:val="18"/>
        </w:rPr>
        <w:t xml:space="preserve">Spoločnosť sa rozhodla zaúčtovať v bežnom období odloženú daňovú pohľadávku v plnej výške, rovnako ako v predchádzajúcom období. </w:t>
      </w:r>
    </w:p>
    <w:p w:rsidR="00B95F6B" w:rsidRDefault="00B95F6B" w:rsidP="00E331D8">
      <w:pPr>
        <w:ind w:left="360"/>
        <w:rPr>
          <w:rFonts w:eastAsia="Times New Roman"/>
          <w:sz w:val="18"/>
          <w:szCs w:val="18"/>
        </w:rPr>
      </w:pPr>
    </w:p>
    <w:p w:rsidR="00B95F6B" w:rsidRDefault="00B95F6B" w:rsidP="00E331D8">
      <w:pPr>
        <w:ind w:left="360"/>
        <w:rPr>
          <w:rFonts w:eastAsia="Times New Roman"/>
          <w:sz w:val="18"/>
          <w:szCs w:val="18"/>
        </w:rPr>
      </w:pPr>
    </w:p>
    <w:p w:rsidR="00B95F6B" w:rsidRPr="008C1FA6" w:rsidRDefault="00B95F6B" w:rsidP="00E331D8">
      <w:pPr>
        <w:ind w:left="360"/>
        <w:rPr>
          <w:rFonts w:eastAsia="Times New Roman"/>
          <w:sz w:val="18"/>
          <w:szCs w:val="18"/>
        </w:rPr>
      </w:pPr>
    </w:p>
    <w:p w:rsidR="00B95F6B" w:rsidRPr="008C1FA6" w:rsidRDefault="00B95F6B">
      <w:pPr>
        <w:pStyle w:val="BodyText"/>
      </w:pPr>
    </w:p>
    <w:p w:rsidR="00B95F6B" w:rsidRPr="008C1FA6" w:rsidRDefault="00B95F6B" w:rsidP="00376CB6">
      <w:pPr>
        <w:pStyle w:val="Heading2"/>
        <w:numPr>
          <w:ilvl w:val="0"/>
          <w:numId w:val="14"/>
        </w:numPr>
      </w:pPr>
      <w:bookmarkStart w:id="10" w:name="_Toc530739905"/>
      <w:r w:rsidRPr="008C1FA6">
        <w:t>Finančné účty</w:t>
      </w:r>
      <w:bookmarkEnd w:id="10"/>
    </w:p>
    <w:p w:rsidR="00B95F6B" w:rsidRPr="008C1FA6" w:rsidRDefault="00B95F6B" w:rsidP="00A71992">
      <w:pPr>
        <w:ind w:left="360"/>
        <w:rPr>
          <w:rFonts w:eastAsia="Times New Roman"/>
          <w:sz w:val="18"/>
          <w:szCs w:val="18"/>
        </w:rPr>
      </w:pPr>
    </w:p>
    <w:p w:rsidR="00B95F6B" w:rsidRPr="008C1FA6" w:rsidRDefault="00B95F6B" w:rsidP="00CB5D7B">
      <w:pPr>
        <w:ind w:left="360"/>
        <w:rPr>
          <w:rFonts w:eastAsia="Times New Roman"/>
          <w:sz w:val="18"/>
          <w:szCs w:val="18"/>
        </w:rPr>
      </w:pPr>
      <w:r w:rsidRPr="008C1FA6">
        <w:rPr>
          <w:rFonts w:eastAsia="Times New Roman"/>
          <w:sz w:val="18"/>
          <w:szCs w:val="18"/>
        </w:rPr>
        <w:t>Ako finančné účty sú vykázané peniaze v pokladnici a účty v bankách. Účtami v bankách môže spoločnosť voľne disponovať.</w:t>
      </w: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Default="00B95F6B" w:rsidP="004A35E9">
      <w:pPr>
        <w:ind w:left="360"/>
        <w:rPr>
          <w:rFonts w:eastAsia="Times New Roman"/>
          <w:sz w:val="18"/>
          <w:szCs w:val="18"/>
        </w:rPr>
      </w:pPr>
    </w:p>
    <w:p w:rsidR="00B95F6B" w:rsidRPr="008C1FA6" w:rsidRDefault="00B95F6B" w:rsidP="004A35E9">
      <w:pPr>
        <w:ind w:left="360"/>
        <w:rPr>
          <w:rFonts w:eastAsia="Times New Roman"/>
          <w:sz w:val="18"/>
          <w:szCs w:val="18"/>
        </w:rPr>
      </w:pPr>
    </w:p>
    <w:p w:rsidR="00B95F6B" w:rsidRDefault="00B95F6B" w:rsidP="00A71992">
      <w:pPr>
        <w:ind w:left="360"/>
        <w:rPr>
          <w:rFonts w:eastAsia="Times New Roman"/>
          <w:sz w:val="18"/>
          <w:szCs w:val="18"/>
        </w:rPr>
      </w:pPr>
    </w:p>
    <w:p w:rsidR="00B95F6B" w:rsidRDefault="00B95F6B" w:rsidP="00A71992">
      <w:pPr>
        <w:ind w:left="360"/>
        <w:rPr>
          <w:rFonts w:eastAsia="Times New Roman"/>
          <w:sz w:val="18"/>
          <w:szCs w:val="18"/>
        </w:rPr>
      </w:pPr>
    </w:p>
    <w:p w:rsidR="00B95F6B" w:rsidRDefault="00B95F6B" w:rsidP="00A71992">
      <w:pPr>
        <w:ind w:left="360"/>
        <w:rPr>
          <w:rFonts w:eastAsia="Times New Roman"/>
          <w:sz w:val="18"/>
          <w:szCs w:val="18"/>
        </w:rPr>
      </w:pPr>
    </w:p>
    <w:p w:rsidR="00B95F6B" w:rsidRDefault="00B95F6B" w:rsidP="00A71992">
      <w:pPr>
        <w:ind w:left="360"/>
        <w:rPr>
          <w:rFonts w:eastAsia="Times New Roman"/>
          <w:sz w:val="18"/>
          <w:szCs w:val="18"/>
        </w:rPr>
      </w:pPr>
    </w:p>
    <w:p w:rsidR="00B95F6B" w:rsidRPr="008C1FA6" w:rsidRDefault="00B95F6B" w:rsidP="00A71992">
      <w:pPr>
        <w:ind w:left="360"/>
        <w:rPr>
          <w:rFonts w:eastAsia="Times New Roman"/>
          <w:sz w:val="18"/>
          <w:szCs w:val="18"/>
        </w:rPr>
      </w:pPr>
      <w:r w:rsidRPr="008C1FA6">
        <w:rPr>
          <w:rFonts w:eastAsia="Times New Roman"/>
          <w:sz w:val="18"/>
          <w:szCs w:val="18"/>
        </w:rPr>
        <w:t>Prehľad jednotlivých položiek finančných účtov:</w:t>
      </w:r>
    </w:p>
    <w:p w:rsidR="00B95F6B" w:rsidRPr="008C1FA6" w:rsidRDefault="00B95F6B" w:rsidP="00204187">
      <w:pPr>
        <w:pStyle w:val="BodyText"/>
      </w:pPr>
    </w:p>
    <w:p w:rsidR="00B95F6B" w:rsidRPr="008C1FA6" w:rsidRDefault="00B95F6B" w:rsidP="002A4AEF">
      <w:pPr>
        <w:ind w:left="360"/>
      </w:pPr>
      <w:r w:rsidRPr="008C1FA6">
        <w:object w:dxaOrig="9052" w:dyaOrig="1892">
          <v:shape id="_x0000_i1046" type="#_x0000_t75" style="width:434.25pt;height:101.25pt" o:ole="" o:preferrelative="f">
            <v:imagedata r:id="rId37" o:title=""/>
            <o:lock v:ext="edit" aspectratio="f"/>
          </v:shape>
          <o:OLEObject Type="Embed" ProgID="Excel.Sheet.12" ShapeID="_x0000_i1046" DrawAspect="Content" ObjectID="_1519102760" r:id="rId38"/>
        </w:object>
      </w:r>
      <w:bookmarkStart w:id="11" w:name="_Toc530739906"/>
    </w:p>
    <w:p w:rsidR="00B95F6B" w:rsidRPr="008C1FA6" w:rsidRDefault="00B95F6B" w:rsidP="00A4691D"/>
    <w:p w:rsidR="00B95F6B" w:rsidRPr="008C1FA6" w:rsidRDefault="00B95F6B" w:rsidP="00376CB6">
      <w:pPr>
        <w:pStyle w:val="Heading2"/>
        <w:numPr>
          <w:ilvl w:val="0"/>
          <w:numId w:val="14"/>
        </w:numPr>
      </w:pPr>
      <w:r w:rsidRPr="008C1FA6">
        <w:t>Časové rozlíšenie</w:t>
      </w:r>
      <w:bookmarkEnd w:id="11"/>
    </w:p>
    <w:p w:rsidR="00B95F6B" w:rsidRPr="008C1FA6" w:rsidRDefault="00B95F6B" w:rsidP="00E331D8">
      <w:pPr>
        <w:ind w:left="360"/>
        <w:rPr>
          <w:rFonts w:eastAsia="Times New Roman"/>
          <w:sz w:val="18"/>
          <w:szCs w:val="18"/>
        </w:rPr>
      </w:pPr>
    </w:p>
    <w:p w:rsidR="00B95F6B" w:rsidRPr="008C1FA6" w:rsidRDefault="00B95F6B" w:rsidP="00E331D8">
      <w:pPr>
        <w:ind w:left="360"/>
        <w:rPr>
          <w:rFonts w:eastAsia="Times New Roman"/>
          <w:sz w:val="18"/>
          <w:szCs w:val="18"/>
        </w:rPr>
      </w:pPr>
      <w:r w:rsidRPr="008C1FA6">
        <w:rPr>
          <w:rFonts w:eastAsia="Times New Roman"/>
          <w:sz w:val="18"/>
          <w:szCs w:val="18"/>
        </w:rPr>
        <w:t>Ide o tieto položky:</w:t>
      </w:r>
    </w:p>
    <w:p w:rsidR="00B95F6B" w:rsidRPr="008C1FA6" w:rsidRDefault="00B95F6B" w:rsidP="00204187">
      <w:pPr>
        <w:pStyle w:val="BodyText"/>
      </w:pPr>
    </w:p>
    <w:p w:rsidR="00B95F6B" w:rsidRDefault="00B95F6B" w:rsidP="002A4AEF">
      <w:pPr>
        <w:ind w:left="426"/>
      </w:pPr>
      <w:r w:rsidRPr="008C1FA6">
        <w:object w:dxaOrig="9035" w:dyaOrig="4427">
          <v:shape id="_x0000_i1047" type="#_x0000_t75" style="width:438pt;height:243.75pt" o:ole="" o:preferrelative="f">
            <v:imagedata r:id="rId39" o:title=""/>
            <o:lock v:ext="edit" aspectratio="f"/>
          </v:shape>
          <o:OLEObject Type="Embed" ProgID="Excel.Sheet.12" ShapeID="_x0000_i1047" DrawAspect="Content" ObjectID="_1519102761" r:id="rId40"/>
        </w:object>
      </w:r>
    </w:p>
    <w:p w:rsidR="00B95F6B" w:rsidRPr="008C1FA6" w:rsidRDefault="00B95F6B" w:rsidP="002A4AEF"/>
    <w:p w:rsidR="00B95F6B" w:rsidRDefault="00B95F6B" w:rsidP="00376CB6">
      <w:pPr>
        <w:pStyle w:val="Heading2"/>
        <w:numPr>
          <w:ilvl w:val="0"/>
          <w:numId w:val="14"/>
        </w:numPr>
      </w:pPr>
      <w:r>
        <w:t>Vlastné imanie</w:t>
      </w:r>
    </w:p>
    <w:p w:rsidR="00B95F6B" w:rsidRPr="002A4AEF" w:rsidRDefault="00B95F6B" w:rsidP="00AE23CC"/>
    <w:p w:rsidR="00B95F6B" w:rsidRPr="008C1FA6" w:rsidRDefault="00B95F6B" w:rsidP="00AE23CC">
      <w:pPr>
        <w:pStyle w:val="BodyText"/>
      </w:pPr>
      <w:r w:rsidRPr="008C1FA6">
        <w:t>Základné imanie Spoločnosti vo vý</w:t>
      </w:r>
      <w:r>
        <w:t>ške 6 577 687 EUR (31. decembra 2014</w:t>
      </w:r>
      <w:r w:rsidRPr="008C1FA6">
        <w:t>: 6 577</w:t>
      </w:r>
      <w:r>
        <w:t> </w:t>
      </w:r>
      <w:r w:rsidRPr="008C1FA6">
        <w:t>687</w:t>
      </w:r>
      <w:r>
        <w:t xml:space="preserve"> </w:t>
      </w:r>
      <w:r w:rsidRPr="008C1FA6">
        <w:t>EUR) tvorí:</w:t>
      </w:r>
    </w:p>
    <w:p w:rsidR="00B95F6B" w:rsidRPr="008C1FA6" w:rsidRDefault="00B95F6B" w:rsidP="00AE23CC">
      <w:pPr>
        <w:pStyle w:val="ListParagraph"/>
        <w:numPr>
          <w:ilvl w:val="0"/>
          <w:numId w:val="12"/>
        </w:numPr>
        <w:ind w:hanging="294"/>
        <w:jc w:val="both"/>
        <w:rPr>
          <w:rFonts w:eastAsia="Times New Roman"/>
          <w:sz w:val="18"/>
          <w:szCs w:val="18"/>
        </w:rPr>
      </w:pPr>
      <w:r w:rsidRPr="008C1FA6">
        <w:rPr>
          <w:rFonts w:eastAsia="Times New Roman"/>
          <w:sz w:val="18"/>
          <w:szCs w:val="18"/>
        </w:rPr>
        <w:t>100 kusov kmeňových akcií s menovitou hodnotou 65 777 EUR, akcia znie na meno a má podobu zaknihovaného cenného papiera (k 31. decembru</w:t>
      </w:r>
      <w:r>
        <w:rPr>
          <w:rFonts w:eastAsia="Times New Roman"/>
          <w:sz w:val="18"/>
          <w:szCs w:val="18"/>
        </w:rPr>
        <w:t xml:space="preserve"> 2014</w:t>
      </w:r>
      <w:r w:rsidRPr="008C1FA6">
        <w:rPr>
          <w:rFonts w:eastAsia="Times New Roman"/>
          <w:sz w:val="18"/>
          <w:szCs w:val="18"/>
        </w:rPr>
        <w:t>: 100 kusov kmeňových akcií s menovitou hodnotou 65 777 EUR),</w:t>
      </w:r>
    </w:p>
    <w:p w:rsidR="00B95F6B" w:rsidRPr="008C1FA6" w:rsidRDefault="00B95F6B" w:rsidP="00AE23CC">
      <w:pPr>
        <w:ind w:left="766"/>
        <w:jc w:val="both"/>
        <w:rPr>
          <w:rFonts w:eastAsia="Times New Roman"/>
          <w:i/>
          <w:iCs/>
          <w:sz w:val="18"/>
          <w:szCs w:val="18"/>
        </w:rPr>
      </w:pPr>
    </w:p>
    <w:p w:rsidR="00B95F6B" w:rsidRPr="008C1FA6" w:rsidRDefault="00B95F6B" w:rsidP="00AE23CC">
      <w:pPr>
        <w:pStyle w:val="BodyText"/>
      </w:pPr>
      <w:r w:rsidRPr="008C1FA6">
        <w:t>Všetky akcie boli riadne splatené.</w:t>
      </w:r>
    </w:p>
    <w:p w:rsidR="00B95F6B" w:rsidRPr="008C1FA6" w:rsidRDefault="00B95F6B" w:rsidP="00AE23CC">
      <w:pPr>
        <w:pStyle w:val="BodyText"/>
      </w:pPr>
    </w:p>
    <w:p w:rsidR="00B95F6B" w:rsidRPr="008C1FA6" w:rsidRDefault="00B95F6B" w:rsidP="00AE23CC">
      <w:pPr>
        <w:pStyle w:val="BodyText"/>
      </w:pPr>
      <w:r w:rsidRPr="008C1FA6">
        <w:t>Držitelia akcií majú nárok na dividendy podľa rozhodnutia valného zhromaždenia a majú právo hlasovať, pričom každých 65 777 EUR predstavuje jeden hlas.</w:t>
      </w:r>
    </w:p>
    <w:p w:rsidR="00B95F6B" w:rsidRPr="008C1FA6"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r>
        <w:t>Účtovný zisk za rok 2014</w:t>
      </w:r>
      <w:r w:rsidRPr="00AE23CC">
        <w:t xml:space="preserve"> bol rozdelený takto:</w:t>
      </w:r>
    </w:p>
    <w:p w:rsidR="00B95F6B" w:rsidRPr="00AE23CC" w:rsidRDefault="00B95F6B" w:rsidP="00AE23CC">
      <w:pPr>
        <w:pStyle w:val="BodyText"/>
      </w:pPr>
    </w:p>
    <w:p w:rsidR="00B95F6B" w:rsidRPr="00AE23CC" w:rsidRDefault="00B95F6B" w:rsidP="00AE23CC">
      <w:pPr>
        <w:pStyle w:val="BodyText"/>
        <w:ind w:left="0"/>
      </w:pPr>
    </w:p>
    <w:p w:rsidR="00B95F6B" w:rsidRPr="00AE23CC" w:rsidRDefault="00B95F6B" w:rsidP="00AE23CC">
      <w:pPr>
        <w:pStyle w:val="BodyText"/>
        <w:ind w:left="0"/>
      </w:pPr>
      <w:r w:rsidRPr="00AE23CC">
        <w:object w:dxaOrig="8919" w:dyaOrig="711">
          <v:shape id="_x0000_i1048" type="#_x0000_t75" style="width:437.25pt;height:36pt" o:ole="" o:preferrelative="f">
            <v:imagedata r:id="rId41" o:title=""/>
          </v:shape>
          <o:OLEObject Type="Embed" ProgID="Excel.Sheet.12" ShapeID="_x0000_i1048" DrawAspect="Content" ObjectID="_1519102762" r:id="rId42"/>
        </w:object>
      </w:r>
    </w:p>
    <w:p w:rsidR="00B95F6B" w:rsidRPr="00AE23CC" w:rsidRDefault="00B95F6B" w:rsidP="00AE23CC">
      <w:pPr>
        <w:pStyle w:val="BodyText"/>
        <w:ind w:left="0"/>
      </w:pPr>
    </w:p>
    <w:p w:rsidR="00B95F6B" w:rsidRPr="008C1FA6" w:rsidRDefault="00B95F6B" w:rsidP="0040053C">
      <w:pPr>
        <w:pStyle w:val="BodyText"/>
        <w:ind w:left="0"/>
      </w:pPr>
      <w:r w:rsidRPr="00AE23CC">
        <w:object w:dxaOrig="8922" w:dyaOrig="2583">
          <v:shape id="_x0000_i1049" type="#_x0000_t75" style="width:437.25pt;height:141pt" o:ole="" o:preferrelative="f">
            <v:imagedata r:id="rId43" o:title=""/>
            <o:lock v:ext="edit" aspectratio="f"/>
          </v:shape>
          <o:OLEObject Type="Embed" ProgID="Excel.Sheet.12" ShapeID="_x0000_i1049" DrawAspect="Content" ObjectID="_1519102763" r:id="rId44"/>
        </w:object>
      </w:r>
    </w:p>
    <w:p w:rsidR="00B95F6B" w:rsidRPr="008C1FA6" w:rsidRDefault="00B95F6B" w:rsidP="00AE23CC">
      <w:pPr>
        <w:pStyle w:val="BodyText"/>
      </w:pPr>
    </w:p>
    <w:p w:rsidR="00B95F6B" w:rsidRPr="008C1FA6" w:rsidRDefault="00B95F6B" w:rsidP="00AE23CC">
      <w:pPr>
        <w:pStyle w:val="BodyText"/>
      </w:pPr>
      <w:r w:rsidRPr="008C1FA6">
        <w:t>O rozdelení výsledku hosp</w:t>
      </w:r>
      <w:r>
        <w:t>odárenia za účtovné obdobie 2015 vo výške 1 153 680</w:t>
      </w:r>
      <w:r w:rsidRPr="008C1FA6">
        <w:t xml:space="preserve"> EUR rozhodne valné zhromaždenie. Návrh štatutárneho orgánu valnému zhromaždeniu je takýto:</w:t>
      </w:r>
    </w:p>
    <w:p w:rsidR="00B95F6B" w:rsidRPr="008C1FA6" w:rsidRDefault="00B95F6B" w:rsidP="00AE23CC">
      <w:pPr>
        <w:pStyle w:val="BodyText"/>
        <w:numPr>
          <w:ilvl w:val="0"/>
          <w:numId w:val="9"/>
        </w:numPr>
      </w:pPr>
      <w:r w:rsidRPr="008C1FA6">
        <w:t>povinný prídel do z</w:t>
      </w:r>
      <w:r>
        <w:t>ákonného rezervného fondu 0</w:t>
      </w:r>
      <w:r w:rsidRPr="008C1FA6">
        <w:t xml:space="preserve"> EUR,</w:t>
      </w:r>
    </w:p>
    <w:p w:rsidR="00B95F6B" w:rsidRPr="008C1FA6" w:rsidRDefault="00B95F6B" w:rsidP="00AE23CC">
      <w:pPr>
        <w:pStyle w:val="BodyText"/>
        <w:numPr>
          <w:ilvl w:val="0"/>
          <w:numId w:val="9"/>
        </w:numPr>
      </w:pPr>
      <w:r w:rsidRPr="008C1FA6">
        <w:t>prevod na nerozdele</w:t>
      </w:r>
      <w:r>
        <w:t>ný zisk minulých rokov 1 153 680</w:t>
      </w:r>
      <w:r w:rsidRPr="008C1FA6">
        <w:t xml:space="preserve">  EUR.</w:t>
      </w:r>
    </w:p>
    <w:p w:rsidR="00B95F6B" w:rsidRPr="008C1FA6" w:rsidRDefault="00B95F6B" w:rsidP="00AE23CC">
      <w:pPr>
        <w:pStyle w:val="BodyText"/>
        <w:ind w:left="766"/>
      </w:pPr>
    </w:p>
    <w:p w:rsidR="00B95F6B" w:rsidRPr="008C1FA6" w:rsidRDefault="00B95F6B" w:rsidP="00AE23CC">
      <w:pPr>
        <w:pStyle w:val="BodyText"/>
        <w:ind w:left="766"/>
      </w:pPr>
    </w:p>
    <w:p w:rsidR="00B95F6B" w:rsidRPr="008C1FA6" w:rsidRDefault="00B95F6B" w:rsidP="00AE23CC">
      <w:pPr>
        <w:pStyle w:val="BodyText"/>
      </w:pPr>
      <w:r>
        <w:t>P</w:t>
      </w:r>
      <w:r w:rsidRPr="008C1FA6">
        <w:t>ovinný prídel do zákonného rezervného fondu nie je potrebný, pretože zákonný</w:t>
      </w:r>
      <w:r>
        <w:t xml:space="preserve"> rezervný fond už dosiahol</w:t>
      </w:r>
      <w:r w:rsidRPr="008C1FA6">
        <w:t xml:space="preserve"> svoju maximálnu hranicu stanovenú v prá</w:t>
      </w:r>
      <w:r>
        <w:t>vnych predpisoch a v stanovách S</w:t>
      </w:r>
      <w:r w:rsidRPr="008C1FA6">
        <w:t>poločnosti.</w:t>
      </w: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AE23CC">
      <w:pPr>
        <w:pStyle w:val="BodyText"/>
      </w:pPr>
    </w:p>
    <w:p w:rsidR="00B95F6B" w:rsidRDefault="00B95F6B" w:rsidP="00376CB6">
      <w:pPr>
        <w:pStyle w:val="Heading2"/>
        <w:numPr>
          <w:ilvl w:val="0"/>
          <w:numId w:val="14"/>
        </w:numPr>
      </w:pPr>
      <w:r>
        <w:t>Rezervy</w:t>
      </w:r>
    </w:p>
    <w:p w:rsidR="00B95F6B" w:rsidRPr="0040053C" w:rsidRDefault="00B95F6B" w:rsidP="0040053C"/>
    <w:p w:rsidR="00B95F6B" w:rsidRPr="008C1FA6" w:rsidRDefault="00B95F6B" w:rsidP="00E331D8">
      <w:pPr>
        <w:pStyle w:val="BodyText"/>
        <w:ind w:left="360"/>
        <w:rPr>
          <w:rFonts w:eastAsia="Times New Roman"/>
        </w:rPr>
      </w:pPr>
      <w:r w:rsidRPr="008C1FA6">
        <w:rPr>
          <w:rFonts w:eastAsia="Times New Roman"/>
        </w:rPr>
        <w:t>Prehľad o rezervách za bežné účtovné obdobie je uvedený v nasledujúcom prehľade:</w:t>
      </w:r>
    </w:p>
    <w:p w:rsidR="00B95F6B" w:rsidRPr="008C1FA6" w:rsidRDefault="00B95F6B" w:rsidP="000E586F">
      <w:pPr>
        <w:pStyle w:val="BodyText"/>
        <w:ind w:left="0" w:firstLine="426"/>
        <w:jc w:val="left"/>
      </w:pPr>
      <w:r w:rsidRPr="008C1FA6">
        <w:object w:dxaOrig="8748" w:dyaOrig="8973">
          <v:shape id="_x0000_i1050" type="#_x0000_t75" style="width:437.25pt;height:502.5pt" o:ole="" o:preferrelative="f">
            <v:imagedata r:id="rId45" o:title=""/>
            <o:lock v:ext="edit" aspectratio="f"/>
          </v:shape>
          <o:OLEObject Type="Embed" ProgID="Excel.Sheet.12" ShapeID="_x0000_i1050" DrawAspect="Content" ObjectID="_1519102764" r:id="rId46"/>
        </w:object>
      </w:r>
    </w:p>
    <w:p w:rsidR="00B95F6B" w:rsidRPr="00DE07DB" w:rsidRDefault="00B95F6B" w:rsidP="00EA54F6">
      <w:pPr>
        <w:pStyle w:val="BodyText"/>
        <w:ind w:left="360"/>
        <w:rPr>
          <w:rFonts w:eastAsia="Times New Roman"/>
        </w:rPr>
      </w:pPr>
      <w:r w:rsidRPr="00DE07DB">
        <w:t>Rezerva na overenie účtovnej závierky a zostavenie daňového priznania vo</w:t>
      </w:r>
      <w:r>
        <w:rPr>
          <w:rFonts w:eastAsia="Times New Roman"/>
        </w:rPr>
        <w:t xml:space="preserve"> výške 21 000 EUR bola v účtovnej závierke k 31. decembru 2014</w:t>
      </w:r>
      <w:r w:rsidRPr="00DE07DB">
        <w:rPr>
          <w:rFonts w:eastAsia="Times New Roman"/>
        </w:rPr>
        <w:t xml:space="preserve"> </w:t>
      </w:r>
      <w:r>
        <w:rPr>
          <w:rFonts w:eastAsia="Times New Roman"/>
        </w:rPr>
        <w:t xml:space="preserve">vykázaná ako krátkodobá zákonná rezerva. V dôsledku zmeny zákona o dani z príjmov sa od 1. januára 2015 táto rezerva považuje za daňovo neuznateľnú rezervu, a preto je k 31. decembru 2015 vykázaná ako krátkodobá ostatná rezerva. </w:t>
      </w:r>
    </w:p>
    <w:p w:rsidR="00B95F6B" w:rsidRPr="00DE07DB" w:rsidRDefault="00B95F6B">
      <w:pPr>
        <w:pStyle w:val="BodyText"/>
        <w:rPr>
          <w:rFonts w:eastAsia="Times New Roman"/>
        </w:rPr>
      </w:pPr>
    </w:p>
    <w:p w:rsidR="00B95F6B" w:rsidRPr="008C1FA6" w:rsidRDefault="00B95F6B" w:rsidP="00BB14D4">
      <w:pPr>
        <w:ind w:left="360"/>
        <w:jc w:val="both"/>
        <w:rPr>
          <w:rFonts w:eastAsia="Times New Roman"/>
          <w:sz w:val="18"/>
          <w:szCs w:val="18"/>
        </w:rPr>
      </w:pPr>
      <w:r w:rsidRPr="008C1FA6">
        <w:rPr>
          <w:rFonts w:eastAsia="Times New Roman"/>
          <w:sz w:val="18"/>
          <w:szCs w:val="18"/>
        </w:rPr>
        <w:t xml:space="preserve">Rezerva na záručné opravy a reklamácie vo výške </w:t>
      </w:r>
      <w:r>
        <w:rPr>
          <w:rFonts w:eastAsia="Times New Roman"/>
          <w:sz w:val="18"/>
          <w:szCs w:val="18"/>
        </w:rPr>
        <w:t> 101 796</w:t>
      </w:r>
      <w:r w:rsidRPr="008C1FA6">
        <w:rPr>
          <w:rFonts w:eastAsia="Times New Roman"/>
          <w:sz w:val="18"/>
          <w:szCs w:val="18"/>
        </w:rPr>
        <w:t xml:space="preserve"> EUR bola vytvorená na predpokladané náklady na záručné opravy výrobkov, ktoré boli</w:t>
      </w:r>
      <w:r>
        <w:rPr>
          <w:rFonts w:eastAsia="Times New Roman"/>
          <w:sz w:val="18"/>
          <w:szCs w:val="18"/>
        </w:rPr>
        <w:t xml:space="preserve"> predané pred 31. decembrom 2015</w:t>
      </w:r>
      <w:r w:rsidRPr="008C1FA6">
        <w:rPr>
          <w:rFonts w:eastAsia="Times New Roman"/>
          <w:sz w:val="18"/>
          <w:szCs w:val="18"/>
        </w:rPr>
        <w:t xml:space="preserve">. Bola vypočítaná ako súčet nákladov na záručné opravy výrobkov, ktoré boli ku dňu zostavenia účtovnej závierky už reklamované, ale reklamácia zatiaľ nebola uzatvorená  (táto časť rezervy sa tvorila individuálnym spôsobom) a nákladov na záručné opravy výrobkov, ktoré ku dňu zostavenia účtovnej závierky ešte neboli reklamované (táto časť rezervy sa tvorila paušálnym spôsobom, ako percentuálny podiel </w:t>
      </w:r>
      <w:r>
        <w:rPr>
          <w:rFonts w:eastAsia="Times New Roman"/>
          <w:sz w:val="18"/>
          <w:szCs w:val="18"/>
        </w:rPr>
        <w:t>z obratu za 2. polrok 2015</w:t>
      </w:r>
      <w:r w:rsidRPr="008C1FA6">
        <w:rPr>
          <w:rFonts w:eastAsia="Times New Roman"/>
          <w:sz w:val="18"/>
          <w:szCs w:val="18"/>
        </w:rPr>
        <w:t xml:space="preserve"> na základe skúseností z predchádzajúcich období). Predpokladá sa, že rezerva bude použitá v nasledujúcom úč</w:t>
      </w:r>
      <w:r>
        <w:rPr>
          <w:rFonts w:eastAsia="Times New Roman"/>
          <w:sz w:val="18"/>
          <w:szCs w:val="18"/>
        </w:rPr>
        <w:t>tovnom období (2016</w:t>
      </w:r>
      <w:r w:rsidRPr="008C1FA6">
        <w:rPr>
          <w:rFonts w:eastAsia="Times New Roman"/>
          <w:sz w:val="18"/>
          <w:szCs w:val="18"/>
        </w:rPr>
        <w:t xml:space="preserve">). </w:t>
      </w:r>
    </w:p>
    <w:p w:rsidR="00B95F6B" w:rsidRPr="008C1FA6" w:rsidRDefault="00B95F6B">
      <w:pPr>
        <w:pStyle w:val="BodyText"/>
        <w:rPr>
          <w:color w:val="FF0000"/>
        </w:rPr>
      </w:pPr>
    </w:p>
    <w:p w:rsidR="00B95F6B" w:rsidRPr="008C1FA6" w:rsidRDefault="00B95F6B" w:rsidP="003F0637">
      <w:pPr>
        <w:pStyle w:val="BodyText"/>
      </w:pPr>
      <w:r>
        <w:t>Rezervu</w:t>
      </w:r>
      <w:r w:rsidRPr="008C1FA6">
        <w:t xml:space="preserve"> na súdne spory </w:t>
      </w:r>
      <w:r>
        <w:t>nie je potrebné tvoriť, nakoľko súdne spory boli ukončené v priebehu roka 2015 a žiadne iné súdne spory v súčasnosti nie sú otvorené.</w:t>
      </w:r>
    </w:p>
    <w:p w:rsidR="00B95F6B" w:rsidRPr="008C1FA6" w:rsidRDefault="00B95F6B" w:rsidP="003037DD">
      <w:pPr>
        <w:pStyle w:val="BodyText"/>
        <w:ind w:left="0"/>
      </w:pPr>
    </w:p>
    <w:p w:rsidR="00B95F6B" w:rsidRPr="008C1FA6" w:rsidRDefault="00B95F6B" w:rsidP="00E46714">
      <w:pPr>
        <w:pStyle w:val="BodyText"/>
      </w:pPr>
      <w:r w:rsidRPr="008C1FA6">
        <w:t>Rezervy na refundáciu amortizačných príspevkov zákazníkom sú rezervy na vopred zaplatené amortizačné príspevky na výrobu foriem, ktorých náklady znáša Spoločnosť. Na tieto formy zákazník prispieva formou platby amortizačného príspevku v období, keď Spoločnosť realizuje výrobu na jeho (zákazníkových) formách. K uzatvoreniu uvedených rezerv medzi Spoločnosťou a zákazníkom dochádza až pri ukončení jednotlivých projektov. Výška uvedených rezerv tvorí k </w:t>
      </w:r>
      <w:r w:rsidRPr="008C1FA6">
        <w:br/>
        <w:t xml:space="preserve">31. decembru </w:t>
      </w:r>
      <w:r>
        <w:t>2015 hodnotu 3 923 996</w:t>
      </w:r>
      <w:r w:rsidRPr="008C1FA6">
        <w:t xml:space="preserve"> EUR.</w:t>
      </w:r>
    </w:p>
    <w:p w:rsidR="00B95F6B" w:rsidRPr="008C1FA6" w:rsidRDefault="00B95F6B" w:rsidP="00387099">
      <w:pPr>
        <w:pStyle w:val="BodyText"/>
      </w:pPr>
    </w:p>
    <w:p w:rsidR="00B95F6B" w:rsidRPr="008C1FA6" w:rsidRDefault="00B95F6B" w:rsidP="00315FED">
      <w:pPr>
        <w:pStyle w:val="BodyText"/>
      </w:pPr>
      <w:r w:rsidRPr="008C1FA6">
        <w:t>Rezerva na odchodné do dôchodku a na životné a pracovné jubileá bola vytvorená s použitím poistnej matematiky.</w:t>
      </w:r>
    </w:p>
    <w:p w:rsidR="00B95F6B" w:rsidRPr="008C1FA6" w:rsidRDefault="00B95F6B" w:rsidP="00315FED">
      <w:pPr>
        <w:pStyle w:val="BodyText"/>
      </w:pPr>
    </w:p>
    <w:p w:rsidR="00B95F6B" w:rsidRPr="008C1FA6" w:rsidRDefault="00B95F6B" w:rsidP="00315FED">
      <w:pPr>
        <w:pStyle w:val="BodyText"/>
        <w:jc w:val="left"/>
      </w:pPr>
      <w:r w:rsidRPr="008C1FA6">
        <w:rPr>
          <w:b/>
          <w:bCs/>
        </w:rPr>
        <w:t>Nevyfakturované služby</w:t>
      </w:r>
    </w:p>
    <w:p w:rsidR="00B95F6B" w:rsidRPr="008C1FA6" w:rsidRDefault="00B95F6B" w:rsidP="001443CC">
      <w:pPr>
        <w:pStyle w:val="BodyText"/>
      </w:pPr>
    </w:p>
    <w:p w:rsidR="00B95F6B" w:rsidRPr="008C1FA6" w:rsidRDefault="00B95F6B" w:rsidP="001443CC">
      <w:pPr>
        <w:pStyle w:val="BodyText"/>
      </w:pPr>
      <w:r w:rsidRPr="008C1FA6">
        <w:t>Rezervy na nevyfakturované služby</w:t>
      </w:r>
      <w:r>
        <w:t xml:space="preserve"> sa v priebehu rokov 2014 a 2015 </w:t>
      </w:r>
      <w:r w:rsidRPr="008C1FA6">
        <w:t>nevytvárali.</w:t>
      </w:r>
    </w:p>
    <w:p w:rsidR="00B95F6B" w:rsidRPr="008C1FA6" w:rsidRDefault="00B95F6B" w:rsidP="001443CC">
      <w:pPr>
        <w:pStyle w:val="BodyText"/>
      </w:pPr>
    </w:p>
    <w:p w:rsidR="00B95F6B" w:rsidRDefault="00B95F6B" w:rsidP="00EA54F6">
      <w:pPr>
        <w:pStyle w:val="BodyText"/>
      </w:pPr>
    </w:p>
    <w:p w:rsidR="00B95F6B" w:rsidRDefault="00B95F6B" w:rsidP="00376CB6">
      <w:pPr>
        <w:pStyle w:val="Heading2"/>
        <w:numPr>
          <w:ilvl w:val="0"/>
          <w:numId w:val="14"/>
        </w:numPr>
      </w:pPr>
      <w:r>
        <w:t>Záväzky</w:t>
      </w:r>
    </w:p>
    <w:p w:rsidR="00B95F6B" w:rsidRPr="008C1FA6" w:rsidRDefault="00B95F6B" w:rsidP="00376CB6">
      <w:pPr>
        <w:pStyle w:val="BodyText"/>
        <w:ind w:left="0"/>
      </w:pPr>
    </w:p>
    <w:p w:rsidR="00B95F6B" w:rsidRPr="008C1FA6" w:rsidRDefault="00B95F6B" w:rsidP="00E33C1C">
      <w:pPr>
        <w:pStyle w:val="BodyText"/>
      </w:pPr>
      <w:r w:rsidRPr="008C1FA6">
        <w:t>Štruktúra záväzkov (okrem bank</w:t>
      </w:r>
      <w:r>
        <w:t xml:space="preserve">ových úverov) podľa  zostatkovej </w:t>
      </w:r>
      <w:r w:rsidRPr="008C1FA6">
        <w:t>doby splatnosti je uvedená v nasledujúcom prehľade:</w:t>
      </w:r>
    </w:p>
    <w:p w:rsidR="00B95F6B" w:rsidRPr="008C1FA6" w:rsidRDefault="00B95F6B" w:rsidP="00E33C1C">
      <w:pPr>
        <w:pStyle w:val="BodyText"/>
      </w:pPr>
    </w:p>
    <w:p w:rsidR="00B95F6B" w:rsidRDefault="00B95F6B" w:rsidP="00FE4896">
      <w:pPr>
        <w:pStyle w:val="BodyText"/>
      </w:pPr>
      <w:r w:rsidRPr="008C1FA6">
        <w:object w:dxaOrig="8972" w:dyaOrig="3022">
          <v:shape id="_x0000_i1051" type="#_x0000_t75" style="width:439.5pt;height:165pt" o:ole="" o:preferrelative="f">
            <v:imagedata r:id="rId47" o:title=""/>
            <o:lock v:ext="edit" aspectratio="f"/>
          </v:shape>
          <o:OLEObject Type="Embed" ProgID="Excel.Sheet.12" ShapeID="_x0000_i1051" DrawAspect="Content" ObjectID="_1519102765" r:id="rId48"/>
        </w:object>
      </w: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FE4896">
      <w:pPr>
        <w:pStyle w:val="BodyText"/>
      </w:pPr>
    </w:p>
    <w:p w:rsidR="00B95F6B" w:rsidRDefault="00B95F6B" w:rsidP="00321568">
      <w:pPr>
        <w:pStyle w:val="Heading2"/>
        <w:numPr>
          <w:ilvl w:val="0"/>
          <w:numId w:val="14"/>
        </w:numPr>
      </w:pPr>
      <w:r>
        <w:t>Sociálny fond</w:t>
      </w:r>
    </w:p>
    <w:p w:rsidR="00B95F6B" w:rsidRPr="008C1FA6" w:rsidRDefault="00B95F6B" w:rsidP="00321568">
      <w:pPr>
        <w:pStyle w:val="Heading2"/>
      </w:pPr>
    </w:p>
    <w:p w:rsidR="00B95F6B" w:rsidRPr="008C1FA6" w:rsidRDefault="00B95F6B" w:rsidP="0093093A">
      <w:pPr>
        <w:pStyle w:val="BodyText"/>
      </w:pPr>
      <w:r w:rsidRPr="008C1FA6">
        <w:t>Tvorba a čerpanie sociálneho fondu v priebehu účtovného obdobia sú znázornené v nasledujúcom prehľade:</w:t>
      </w:r>
    </w:p>
    <w:p w:rsidR="00B95F6B" w:rsidRPr="008C1FA6" w:rsidRDefault="00B95F6B" w:rsidP="0093093A">
      <w:pPr>
        <w:pStyle w:val="BodyText"/>
      </w:pPr>
    </w:p>
    <w:p w:rsidR="00B95F6B" w:rsidRPr="008C1FA6" w:rsidRDefault="00B95F6B" w:rsidP="00E33C1C">
      <w:pPr>
        <w:pStyle w:val="BodyText"/>
      </w:pPr>
      <w:r w:rsidRPr="008C1FA6">
        <w:object w:dxaOrig="8972" w:dyaOrig="2814">
          <v:shape id="_x0000_i1052" type="#_x0000_t75" style="width:439.5pt;height:152.25pt" o:ole="" o:preferrelative="f">
            <v:imagedata r:id="rId49" o:title=""/>
            <o:lock v:ext="edit" aspectratio="f"/>
          </v:shape>
          <o:OLEObject Type="Embed" ProgID="Excel.Sheet.12" ShapeID="_x0000_i1052" DrawAspect="Content" ObjectID="_1519102766" r:id="rId50"/>
        </w:object>
      </w:r>
    </w:p>
    <w:p w:rsidR="00B95F6B" w:rsidRPr="008C1FA6" w:rsidRDefault="00B95F6B" w:rsidP="00E33C1C">
      <w:pPr>
        <w:pStyle w:val="BodyText"/>
      </w:pPr>
    </w:p>
    <w:p w:rsidR="00B95F6B" w:rsidRDefault="00B95F6B" w:rsidP="00FE4896">
      <w:pPr>
        <w:pStyle w:val="BodyText"/>
      </w:pPr>
      <w:r w:rsidRPr="008C1FA6">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95F6B" w:rsidRPr="008C1FA6" w:rsidRDefault="00B95F6B" w:rsidP="00FE4896">
      <w:pPr>
        <w:pStyle w:val="BodyText"/>
      </w:pPr>
    </w:p>
    <w:p w:rsidR="00B95F6B" w:rsidRDefault="00B95F6B" w:rsidP="00367B2C">
      <w:pPr>
        <w:pStyle w:val="BodyText"/>
        <w:ind w:left="0"/>
      </w:pPr>
    </w:p>
    <w:p w:rsidR="00B95F6B" w:rsidRDefault="00B95F6B" w:rsidP="00A76602">
      <w:pPr>
        <w:pStyle w:val="Heading2"/>
        <w:numPr>
          <w:ilvl w:val="0"/>
          <w:numId w:val="14"/>
        </w:numPr>
      </w:pPr>
      <w:r>
        <w:t>Bankové úvery</w:t>
      </w:r>
    </w:p>
    <w:p w:rsidR="00B95F6B" w:rsidRPr="008C1FA6" w:rsidRDefault="00B95F6B" w:rsidP="00A76602">
      <w:pPr>
        <w:pStyle w:val="BodyText"/>
        <w:ind w:left="0"/>
      </w:pPr>
    </w:p>
    <w:p w:rsidR="00B95F6B" w:rsidRPr="008C1FA6" w:rsidRDefault="00B95F6B" w:rsidP="00E33C1C">
      <w:pPr>
        <w:pStyle w:val="BodyText"/>
      </w:pPr>
      <w:r w:rsidRPr="008C1FA6">
        <w:t>Štruktúra bankových úverov je uvedená v nasledujúcom prehľade:</w:t>
      </w:r>
    </w:p>
    <w:p w:rsidR="00B95F6B" w:rsidRPr="008C1FA6" w:rsidRDefault="00B95F6B" w:rsidP="00CA4C21">
      <w:pPr>
        <w:pStyle w:val="BodyText"/>
        <w:ind w:left="0"/>
      </w:pPr>
    </w:p>
    <w:p w:rsidR="00B95F6B" w:rsidRPr="008C1FA6" w:rsidRDefault="00B95F6B" w:rsidP="00E33C1C">
      <w:pPr>
        <w:pStyle w:val="BodyText"/>
      </w:pPr>
    </w:p>
    <w:p w:rsidR="00B95F6B" w:rsidRPr="008C1FA6" w:rsidRDefault="00B95F6B" w:rsidP="00726A28">
      <w:pPr>
        <w:pStyle w:val="BodyText"/>
      </w:pPr>
      <w:r w:rsidRPr="008C1FA6">
        <w:object w:dxaOrig="9215" w:dyaOrig="3992">
          <v:shape id="_x0000_i1053" type="#_x0000_t75" style="width:451.5pt;height:213.75pt" o:ole="" o:preferrelative="f">
            <v:imagedata r:id="rId51" o:title=""/>
            <o:lock v:ext="edit" aspectratio="f"/>
          </v:shape>
          <o:OLEObject Type="Embed" ProgID="Excel.Sheet.12" ShapeID="_x0000_i1053" DrawAspect="Content" ObjectID="_1519102767" r:id="rId52"/>
        </w:object>
      </w:r>
    </w:p>
    <w:p w:rsidR="00B95F6B" w:rsidRPr="008C1FA6" w:rsidRDefault="00B95F6B" w:rsidP="00726A28">
      <w:pPr>
        <w:pStyle w:val="BodyText"/>
        <w:rPr>
          <w:color w:val="FF0000"/>
        </w:rPr>
      </w:pPr>
      <w:r w:rsidRPr="008C1FA6">
        <w:t>Krátkodobý - kontokorentný bankový úver od VÚB, a.s. bol poskytnutý na financovanie bežných prevádzkových potrieb spoločnosti. Úverový rámec je stanovený tak, že jeho výška bude zodpovedať 90 % celkovej čiastky akceptovateľných pohľadávok, najviac však v čiastke 2 000 000 EUR</w:t>
      </w:r>
      <w:r>
        <w:t>. K</w:t>
      </w:r>
      <w:r w:rsidRPr="008C1FA6">
        <w:t xml:space="preserve">  31. decembru</w:t>
      </w:r>
      <w:r>
        <w:t xml:space="preserve"> 2015</w:t>
      </w:r>
      <w:r w:rsidRPr="008C1FA6">
        <w:t xml:space="preserve"> </w:t>
      </w:r>
      <w:r>
        <w:t>bola z kontokorentného úveru vyčerpaná hodnota 109 221 EUR.</w:t>
      </w:r>
    </w:p>
    <w:p w:rsidR="00B95F6B" w:rsidRPr="008C1FA6" w:rsidRDefault="00B95F6B" w:rsidP="00726A28">
      <w:pPr>
        <w:pStyle w:val="BodyText"/>
      </w:pPr>
    </w:p>
    <w:p w:rsidR="00B95F6B" w:rsidRPr="008C1FA6" w:rsidRDefault="00B95F6B" w:rsidP="00B40FC1">
      <w:pPr>
        <w:pStyle w:val="BodyText"/>
      </w:pPr>
    </w:p>
    <w:p w:rsidR="00B95F6B" w:rsidRPr="008C1FA6" w:rsidRDefault="00B95F6B" w:rsidP="00E9379A">
      <w:pPr>
        <w:pStyle w:val="BodyText"/>
        <w:ind w:left="0"/>
      </w:pPr>
    </w:p>
    <w:p w:rsidR="00B95F6B" w:rsidRPr="008C1FA6" w:rsidRDefault="00B95F6B" w:rsidP="00C70C66">
      <w:pPr>
        <w:pStyle w:val="BodyText"/>
      </w:pPr>
    </w:p>
    <w:p w:rsidR="00B95F6B" w:rsidRDefault="00B95F6B" w:rsidP="00C70C66">
      <w:pPr>
        <w:pStyle w:val="BodyText"/>
      </w:pPr>
    </w:p>
    <w:p w:rsidR="00B95F6B" w:rsidRPr="008C1FA6" w:rsidRDefault="00B95F6B" w:rsidP="005148CA">
      <w:pPr>
        <w:pStyle w:val="Heading2"/>
        <w:numPr>
          <w:ilvl w:val="0"/>
          <w:numId w:val="14"/>
        </w:numPr>
      </w:pPr>
      <w:r>
        <w:t>Časové rozlíšenie</w:t>
      </w:r>
    </w:p>
    <w:p w:rsidR="00B95F6B" w:rsidRPr="008C1FA6" w:rsidRDefault="00B95F6B">
      <w:pPr>
        <w:pStyle w:val="BodyText"/>
      </w:pPr>
    </w:p>
    <w:p w:rsidR="00B95F6B" w:rsidRPr="008C1FA6" w:rsidRDefault="00B95F6B" w:rsidP="00E33C1C">
      <w:pPr>
        <w:pStyle w:val="BodyText"/>
      </w:pPr>
      <w:r w:rsidRPr="008C1FA6">
        <w:t>Štruktúra časového rozlíšenia je uvedená v nasledujúcom prehľade:</w:t>
      </w:r>
    </w:p>
    <w:p w:rsidR="00B95F6B" w:rsidRPr="008C1FA6" w:rsidRDefault="00B95F6B" w:rsidP="00E33C1C">
      <w:pPr>
        <w:pStyle w:val="BodyText"/>
      </w:pPr>
    </w:p>
    <w:p w:rsidR="00B95F6B" w:rsidRPr="008C1FA6" w:rsidRDefault="00B95F6B" w:rsidP="00E33C1C">
      <w:pPr>
        <w:pStyle w:val="BodyText"/>
      </w:pPr>
      <w:r w:rsidRPr="008C1FA6">
        <w:object w:dxaOrig="8854" w:dyaOrig="3735">
          <v:shape id="_x0000_i1054" type="#_x0000_t75" style="width:433.5pt;height:205.5pt" o:ole="" o:preferrelative="f">
            <v:imagedata r:id="rId53" o:title=""/>
            <o:lock v:ext="edit" aspectratio="f"/>
          </v:shape>
          <o:OLEObject Type="Embed" ProgID="Excel.Sheet.12" ShapeID="_x0000_i1054" DrawAspect="Content" ObjectID="_1519102768" r:id="rId54"/>
        </w:object>
      </w:r>
    </w:p>
    <w:p w:rsidR="00B95F6B" w:rsidRDefault="00B95F6B" w:rsidP="00CD1C80">
      <w:pPr>
        <w:pStyle w:val="BodyText"/>
      </w:pPr>
      <w:r w:rsidRPr="008C1FA6">
        <w:t>Na účte Výnosov budúcich období Spoločnosť vykazuje hodnotu nenávratného finančného príspevku z prostriedkov EU a štátneho rozpočtu</w:t>
      </w:r>
      <w:r>
        <w:t>.</w:t>
      </w:r>
      <w:r w:rsidRPr="008C1FA6">
        <w:t xml:space="preserve"> </w:t>
      </w:r>
      <w:r>
        <w:t xml:space="preserve">Podávanie žiadostí na čerpanie </w:t>
      </w:r>
      <w:r w:rsidRPr="008C1FA6">
        <w:t>z prostriedkov Európskeho fondu regionálneho rozvoja</w:t>
      </w:r>
      <w:r>
        <w:t xml:space="preserve"> bolo ukončené v roku 2015.</w:t>
      </w:r>
    </w:p>
    <w:p w:rsidR="00B95F6B" w:rsidRDefault="00B95F6B" w:rsidP="00CD1C80">
      <w:pPr>
        <w:pStyle w:val="BodyText"/>
      </w:pPr>
    </w:p>
    <w:p w:rsidR="00B95F6B" w:rsidRDefault="00B95F6B" w:rsidP="00CD1C80">
      <w:pPr>
        <w:pStyle w:val="BodyText"/>
      </w:pPr>
    </w:p>
    <w:p w:rsidR="00B95F6B" w:rsidRDefault="00B95F6B" w:rsidP="00EA7CB4">
      <w:pPr>
        <w:pStyle w:val="Heading1"/>
      </w:pPr>
      <w:r w:rsidRPr="008C1FA6">
        <w:t>Informácie o</w:t>
      </w:r>
      <w:r>
        <w:t> PRENÁJMOCH</w:t>
      </w:r>
    </w:p>
    <w:p w:rsidR="00B95F6B" w:rsidRDefault="00B95F6B" w:rsidP="00EA7CB4"/>
    <w:p w:rsidR="00B95F6B" w:rsidRDefault="00B95F6B" w:rsidP="00EA7CB4">
      <w:pPr>
        <w:ind w:left="360"/>
      </w:pPr>
      <w:r>
        <w:t>Spoločnosť za roky 2014 a 2015 nemá pohľadávky ani záväzky z finančného prenájmu.</w:t>
      </w: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ind w:left="360"/>
      </w:pPr>
    </w:p>
    <w:p w:rsidR="00B95F6B" w:rsidRDefault="00B95F6B" w:rsidP="00EA7CB4">
      <w:pPr>
        <w:pStyle w:val="Heading1"/>
      </w:pPr>
      <w:r w:rsidRPr="008C1FA6">
        <w:t>Informácie o</w:t>
      </w:r>
      <w:r>
        <w:t> DANIACH Z PRÍJMOV</w:t>
      </w:r>
    </w:p>
    <w:p w:rsidR="00B95F6B" w:rsidRDefault="00B95F6B" w:rsidP="00EA7CB4"/>
    <w:p w:rsidR="00B95F6B" w:rsidRPr="008C1FA6" w:rsidRDefault="00B95F6B" w:rsidP="005F74B2">
      <w:pPr>
        <w:pStyle w:val="Pismenka"/>
        <w:tabs>
          <w:tab w:val="clear" w:pos="426"/>
        </w:tabs>
        <w:ind w:left="284" w:firstLine="76"/>
        <w:rPr>
          <w:b w:val="0"/>
          <w:bCs w:val="0"/>
        </w:rPr>
      </w:pPr>
      <w:r w:rsidRPr="008C1FA6">
        <w:rPr>
          <w:b w:val="0"/>
          <w:bCs w:val="0"/>
        </w:rPr>
        <w:t>Prevod od teoretickej dane z príjmov k vykázanej dani z príjmov je uvedený v nasledujúcom prehľade:</w:t>
      </w:r>
    </w:p>
    <w:p w:rsidR="00B95F6B" w:rsidRPr="008C1FA6" w:rsidRDefault="00B95F6B" w:rsidP="005F74B2">
      <w:pPr>
        <w:pStyle w:val="BodyText"/>
      </w:pPr>
    </w:p>
    <w:p w:rsidR="00B95F6B" w:rsidRPr="008C1FA6" w:rsidRDefault="00B95F6B" w:rsidP="005F74B2">
      <w:pPr>
        <w:pStyle w:val="BodyText"/>
      </w:pPr>
      <w:r w:rsidRPr="008C1FA6">
        <w:object w:dxaOrig="9143" w:dyaOrig="4914">
          <v:shape id="_x0000_i1055" type="#_x0000_t75" style="width:438.75pt;height:263.25pt" o:ole="" o:preferrelative="f">
            <v:imagedata r:id="rId55" o:title=""/>
            <o:lock v:ext="edit" aspectratio="f"/>
          </v:shape>
          <o:OLEObject Type="Embed" ProgID="Excel.Sheet.12" ShapeID="_x0000_i1055" DrawAspect="Content" ObjectID="_1519102769" r:id="rId56"/>
        </w:object>
      </w: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Pr="008C1FA6"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5F74B2">
      <w:pPr>
        <w:pStyle w:val="BodyText"/>
      </w:pPr>
    </w:p>
    <w:p w:rsidR="00B95F6B" w:rsidRPr="008C1FA6" w:rsidRDefault="00B95F6B" w:rsidP="00363D4B">
      <w:pPr>
        <w:pStyle w:val="BodyText"/>
        <w:ind w:left="0"/>
      </w:pPr>
    </w:p>
    <w:p w:rsidR="00B95F6B" w:rsidRPr="008C1FA6" w:rsidRDefault="00B95F6B" w:rsidP="005F74B2">
      <w:pPr>
        <w:pStyle w:val="BodyText"/>
      </w:pPr>
      <w:r w:rsidRPr="008C1FA6">
        <w:t>Ďalšie informácie k odloženým daniam:</w:t>
      </w:r>
    </w:p>
    <w:p w:rsidR="00B95F6B" w:rsidRPr="008C1FA6" w:rsidRDefault="00B95F6B" w:rsidP="005F74B2">
      <w:pPr>
        <w:pStyle w:val="BodyText"/>
      </w:pPr>
      <w:r w:rsidRPr="008C1FA6">
        <w:object w:dxaOrig="9112" w:dyaOrig="5660">
          <v:shape id="_x0000_i1056" type="#_x0000_t75" style="width:437.25pt;height:303pt" o:ole="" o:preferrelative="f">
            <v:imagedata r:id="rId57" o:title=""/>
            <o:lock v:ext="edit" aspectratio="f"/>
          </v:shape>
          <o:OLEObject Type="Embed" ProgID="Excel.Sheet.12" ShapeID="_x0000_i1056" DrawAspect="Content" ObjectID="_1519102770" r:id="rId58"/>
        </w:object>
      </w:r>
      <w:r>
        <w:t>Sadzba dane z príjmov v Slovenskej republike je 22 % (v roku 2014: 22 %)</w:t>
      </w:r>
    </w:p>
    <w:p w:rsidR="00B95F6B" w:rsidRPr="008C1FA6" w:rsidRDefault="00B95F6B" w:rsidP="005F74B2">
      <w:pPr>
        <w:pStyle w:val="BodyText"/>
      </w:pPr>
    </w:p>
    <w:p w:rsidR="00B95F6B" w:rsidRPr="008C1FA6" w:rsidRDefault="00B95F6B" w:rsidP="005F74B2">
      <w:pPr>
        <w:pStyle w:val="BodyText"/>
      </w:pPr>
      <w:r w:rsidRPr="008C1FA6">
        <w:t xml:space="preserve">Splatná – zrážková daň  z príjmov z kreditných </w:t>
      </w:r>
      <w:r>
        <w:t>úverov predstavuje hodnotu 440</w:t>
      </w:r>
      <w:r w:rsidRPr="008C1FA6">
        <w:t xml:space="preserve"> EUR. Splatná daň zo zdaniteľného základu d</w:t>
      </w:r>
      <w:r>
        <w:t>ane z príjmov má hodnotu 311 183</w:t>
      </w:r>
      <w:r w:rsidRPr="008C1FA6">
        <w:t xml:space="preserve"> EUR. Z tejto hodnoty si Spoločnosť nárokuje úľavu na dani v zmysle Zákona o dani z príjmu č. 595/2003 Z.z.,  § 30a Úľava na dani pre príjemcov investičnej pomoci. Podľa uvedeného paragrafu bod (2)  Daňovník si môže uplatniť nárok na úľavu na dani do výšky dane pripadajúcej na pomernú časť základu dane. Pomerná časť základu dane sa vypočíta tak, že základ dane sa vynásobí b) koeficientom vo výške</w:t>
      </w:r>
      <w:r>
        <w:t xml:space="preserve"> 0,8. Pre Spoločnosť za rok 2015</w:t>
      </w:r>
      <w:r w:rsidRPr="008C1FA6">
        <w:t xml:space="preserve"> takto vypočítaná výška predstavuje úľavu na splatnej </w:t>
      </w:r>
      <w:r>
        <w:t>dani z príjmov v hodnote 248 947</w:t>
      </w:r>
      <w:r w:rsidRPr="008C1FA6">
        <w:t xml:space="preserve"> EUR. Vykázaná  splatná daň z príjmov vo výkaze zi</w:t>
      </w:r>
      <w:r>
        <w:t>skov a strát je v hodnote 62 237</w:t>
      </w:r>
      <w:r w:rsidRPr="008C1FA6">
        <w:t xml:space="preserve"> EUR.  </w:t>
      </w:r>
    </w:p>
    <w:p w:rsidR="00B95F6B" w:rsidRPr="008C1FA6" w:rsidRDefault="00B95F6B" w:rsidP="005F74B2">
      <w:pPr>
        <w:pStyle w:val="BodyText"/>
        <w:ind w:left="0"/>
      </w:pPr>
    </w:p>
    <w:p w:rsidR="00B95F6B" w:rsidRPr="008C1FA6" w:rsidRDefault="00B95F6B" w:rsidP="005F74B2">
      <w:pPr>
        <w:pStyle w:val="BodyText"/>
      </w:pPr>
      <w:r w:rsidRPr="008C1FA6">
        <w:t>Investičnú pomoc pre Spoločnosť na realizáciu investičného zámeru „Rozšírenie závodu s cieľom navýšenia výrobných kapacít a inovácie technologických zariadení pre komplexnú výrobu odliatkov z hliníkových zliatin v spoločnosti Fagor Ederlan Slovensko, a.s. v okrese Žiar nad Hronom, Banskobystrický kraj“ v maximálnej nominálnej výške 2 600 000 EUR vo forme úľavy na dani</w:t>
      </w:r>
      <w:r>
        <w:t xml:space="preserve"> z príjmu podľa  § 2 ods. 1 pís</w:t>
      </w:r>
      <w:r w:rsidRPr="008C1FA6">
        <w:t xml:space="preserve">m. b) zákona o investičnej pomoci schválilo Ministerstvo hospodárstva Slovenskej republiky rozhodnutím č. 20/2012 zo dňa 22. októbra 2012, číslo: 1674/2012-1000. </w:t>
      </w:r>
    </w:p>
    <w:p w:rsidR="00B95F6B" w:rsidRPr="008C1FA6" w:rsidRDefault="00B95F6B" w:rsidP="005F74B2">
      <w:pPr>
        <w:spacing w:after="200" w:line="276" w:lineRule="auto"/>
        <w:rPr>
          <w:b/>
          <w:bCs/>
          <w:caps/>
          <w:sz w:val="18"/>
          <w:szCs w:val="18"/>
        </w:rPr>
      </w:pPr>
    </w:p>
    <w:p w:rsidR="00B95F6B" w:rsidRPr="008C1FA6" w:rsidRDefault="00B95F6B" w:rsidP="00886C52">
      <w:pPr>
        <w:pStyle w:val="BodyText"/>
        <w:ind w:left="0"/>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Default="00B95F6B" w:rsidP="00CD1C80">
      <w:pPr>
        <w:pStyle w:val="BodyText"/>
      </w:pPr>
    </w:p>
    <w:p w:rsidR="00B95F6B" w:rsidRPr="008C1FA6" w:rsidRDefault="00B95F6B" w:rsidP="00CD1C80">
      <w:pPr>
        <w:pStyle w:val="BodyText"/>
      </w:pPr>
    </w:p>
    <w:p w:rsidR="00B95F6B" w:rsidRPr="008C1FA6" w:rsidRDefault="00B95F6B">
      <w:pPr>
        <w:pStyle w:val="Heading1"/>
      </w:pPr>
      <w:r w:rsidRPr="008C1FA6">
        <w:t>Informácie o</w:t>
      </w:r>
      <w:r>
        <w:t> POLOŽKÁCH VÝKAZU ZISKOV A STRÁT</w:t>
      </w:r>
    </w:p>
    <w:p w:rsidR="00B95F6B" w:rsidRPr="008C1FA6" w:rsidRDefault="00B95F6B" w:rsidP="00C70C66"/>
    <w:p w:rsidR="00B95F6B" w:rsidRPr="008C1FA6" w:rsidRDefault="00B95F6B">
      <w:pPr>
        <w:pStyle w:val="Heading2"/>
      </w:pPr>
      <w:bookmarkStart w:id="12" w:name="_Toc530739914"/>
    </w:p>
    <w:p w:rsidR="00B95F6B" w:rsidRPr="008C1FA6" w:rsidRDefault="00B95F6B" w:rsidP="006E5DCA">
      <w:pPr>
        <w:pStyle w:val="Pismenka"/>
        <w:numPr>
          <w:ilvl w:val="0"/>
          <w:numId w:val="13"/>
        </w:numPr>
        <w:ind w:left="284" w:hanging="284"/>
        <w:rPr>
          <w:rFonts w:eastAsia="Times New Roman"/>
        </w:rPr>
      </w:pPr>
      <w:r w:rsidRPr="008C1FA6">
        <w:rPr>
          <w:rFonts w:eastAsia="Times New Roman"/>
        </w:rPr>
        <w:t xml:space="preserve"> Tržby za vlastné výkony a tovar</w:t>
      </w:r>
      <w:bookmarkEnd w:id="12"/>
    </w:p>
    <w:p w:rsidR="00B95F6B" w:rsidRPr="008C1FA6" w:rsidRDefault="00B95F6B" w:rsidP="00BA4B2E">
      <w:pPr>
        <w:pStyle w:val="Pismenka"/>
        <w:tabs>
          <w:tab w:val="clear" w:pos="426"/>
        </w:tabs>
        <w:ind w:left="360" w:hanging="360"/>
        <w:rPr>
          <w:rFonts w:eastAsia="Times New Roman"/>
        </w:rPr>
      </w:pPr>
    </w:p>
    <w:p w:rsidR="00B95F6B" w:rsidRPr="008C1FA6" w:rsidRDefault="00B95F6B" w:rsidP="00BA4B2E">
      <w:pPr>
        <w:pStyle w:val="Pismenka"/>
        <w:tabs>
          <w:tab w:val="clear" w:pos="426"/>
        </w:tabs>
        <w:ind w:left="360" w:firstLine="0"/>
        <w:rPr>
          <w:rFonts w:eastAsia="Times New Roman"/>
          <w:b w:val="0"/>
          <w:bCs w:val="0"/>
        </w:rPr>
      </w:pPr>
      <w:r w:rsidRPr="008C1FA6">
        <w:rPr>
          <w:rFonts w:eastAsia="Times New Roman"/>
          <w:b w:val="0"/>
          <w:bCs w:val="0"/>
        </w:rPr>
        <w:t>Tržby za vlastné výkony a tovar podľa jednotlivých segmentov, t. j. podľa typov výrobkov a služieb, a podľa hlavných teritórií sú uvedené v nasledujúcom prehľade:</w:t>
      </w:r>
    </w:p>
    <w:p w:rsidR="00B95F6B" w:rsidRPr="008C1FA6" w:rsidRDefault="00B95F6B" w:rsidP="00EF7E9D">
      <w:pPr>
        <w:pStyle w:val="BodyText"/>
      </w:pPr>
    </w:p>
    <w:p w:rsidR="00B95F6B" w:rsidRPr="008C1FA6" w:rsidRDefault="00B95F6B" w:rsidP="00EF7E9D">
      <w:pPr>
        <w:pStyle w:val="BodyText"/>
      </w:pPr>
    </w:p>
    <w:p w:rsidR="00B95F6B" w:rsidRPr="008C1FA6" w:rsidRDefault="00B95F6B" w:rsidP="00F45D20">
      <w:pPr>
        <w:pStyle w:val="BodyText"/>
      </w:pPr>
      <w:r w:rsidRPr="008C1FA6">
        <w:object w:dxaOrig="10023" w:dyaOrig="3361">
          <v:shape id="_x0000_i1057" type="#_x0000_t75" style="width:471pt;height:178.5pt" o:ole="" o:preferrelative="f">
            <v:imagedata r:id="rId59" o:title=""/>
            <o:lock v:ext="edit" aspectratio="f"/>
          </v:shape>
          <o:OLEObject Type="Embed" ProgID="Excel.Sheet.12" ShapeID="_x0000_i1057" DrawAspect="Content" ObjectID="_1519102771" r:id="rId60"/>
        </w:object>
      </w:r>
    </w:p>
    <w:p w:rsidR="00B95F6B" w:rsidRPr="008C1FA6" w:rsidRDefault="00B95F6B" w:rsidP="005D01AA">
      <w:pPr>
        <w:pStyle w:val="BodyText"/>
        <w:ind w:left="0"/>
      </w:pPr>
    </w:p>
    <w:p w:rsidR="00B95F6B" w:rsidRPr="008C1FA6" w:rsidRDefault="00B95F6B" w:rsidP="00F45D20">
      <w:pPr>
        <w:pStyle w:val="BodyText"/>
      </w:pPr>
    </w:p>
    <w:p w:rsidR="00B95F6B" w:rsidRPr="008C1FA6" w:rsidRDefault="00B95F6B" w:rsidP="006E5DCA">
      <w:pPr>
        <w:pStyle w:val="Pismenka"/>
        <w:numPr>
          <w:ilvl w:val="0"/>
          <w:numId w:val="13"/>
        </w:numPr>
        <w:ind w:left="284" w:hanging="284"/>
      </w:pPr>
      <w:bookmarkStart w:id="13" w:name="_Toc530739915"/>
      <w:r w:rsidRPr="008C1FA6">
        <w:t xml:space="preserve"> Zmena stavu zásob vlastnej výroby</w:t>
      </w:r>
    </w:p>
    <w:p w:rsidR="00B95F6B" w:rsidRPr="008C1FA6" w:rsidRDefault="00B95F6B" w:rsidP="00EF7E9D">
      <w:pPr>
        <w:pStyle w:val="BodyText"/>
      </w:pPr>
    </w:p>
    <w:p w:rsidR="00B95F6B" w:rsidRPr="008C1FA6" w:rsidRDefault="00B95F6B" w:rsidP="00BA4B2E">
      <w:pPr>
        <w:pStyle w:val="Pismenka"/>
        <w:tabs>
          <w:tab w:val="clear" w:pos="426"/>
        </w:tabs>
        <w:ind w:left="360" w:firstLine="0"/>
        <w:rPr>
          <w:rFonts w:eastAsia="Times New Roman"/>
          <w:b w:val="0"/>
          <w:bCs w:val="0"/>
        </w:rPr>
      </w:pPr>
      <w:r w:rsidRPr="008C1FA6">
        <w:rPr>
          <w:rFonts w:eastAsia="Times New Roman"/>
          <w:b w:val="0"/>
          <w:bCs w:val="0"/>
        </w:rPr>
        <w:t>Zmena stavu zásob vlastnej výroby vykázaná vo výkaze zi</w:t>
      </w:r>
      <w:r>
        <w:rPr>
          <w:rFonts w:eastAsia="Times New Roman"/>
          <w:b w:val="0"/>
          <w:bCs w:val="0"/>
        </w:rPr>
        <w:t>skov a strát je zníženie</w:t>
      </w:r>
      <w:r w:rsidRPr="008C1FA6">
        <w:rPr>
          <w:rFonts w:eastAsia="Times New Roman"/>
          <w:b w:val="0"/>
          <w:bCs w:val="0"/>
        </w:rPr>
        <w:t xml:space="preserve"> </w:t>
      </w:r>
      <w:r>
        <w:rPr>
          <w:rFonts w:eastAsia="Times New Roman"/>
          <w:b w:val="0"/>
          <w:bCs w:val="0"/>
        </w:rPr>
        <w:t>97 592</w:t>
      </w:r>
      <w:r w:rsidRPr="008C1FA6">
        <w:rPr>
          <w:rFonts w:eastAsia="Times New Roman"/>
          <w:b w:val="0"/>
          <w:bCs w:val="0"/>
        </w:rPr>
        <w:t xml:space="preserve"> EUR</w:t>
      </w:r>
      <w:r>
        <w:rPr>
          <w:rFonts w:eastAsia="Times New Roman"/>
          <w:b w:val="0"/>
          <w:bCs w:val="0"/>
        </w:rPr>
        <w:t xml:space="preserve"> (v roku 2014</w:t>
      </w:r>
      <w:r w:rsidRPr="008C1FA6">
        <w:rPr>
          <w:rFonts w:eastAsia="Times New Roman"/>
          <w:b w:val="0"/>
          <w:bCs w:val="0"/>
        </w:rPr>
        <w:t xml:space="preserve"> zvýšenie  </w:t>
      </w:r>
      <w:r w:rsidRPr="008C1FA6">
        <w:rPr>
          <w:rFonts w:eastAsia="Times New Roman"/>
          <w:b w:val="0"/>
          <w:bCs w:val="0"/>
        </w:rPr>
        <w:br/>
      </w:r>
      <w:r>
        <w:rPr>
          <w:rFonts w:eastAsia="Times New Roman"/>
          <w:b w:val="0"/>
          <w:bCs w:val="0"/>
        </w:rPr>
        <w:t>18 603</w:t>
      </w:r>
      <w:r w:rsidRPr="008C1FA6">
        <w:rPr>
          <w:rFonts w:eastAsia="Times New Roman"/>
          <w:b w:val="0"/>
          <w:bCs w:val="0"/>
        </w:rPr>
        <w:t xml:space="preserve"> EUR). Vychádzajúc zo súvahových položiek predstavuje zvýšenie tú istú hodnotu, ako je to znázornené v nasledujúcom prehľade:</w:t>
      </w:r>
    </w:p>
    <w:p w:rsidR="00B95F6B" w:rsidRPr="008C1FA6" w:rsidRDefault="00B95F6B" w:rsidP="00EF7E9D">
      <w:pPr>
        <w:pStyle w:val="BodyText"/>
      </w:pPr>
    </w:p>
    <w:p w:rsidR="00B95F6B" w:rsidRDefault="00B95F6B" w:rsidP="00A01523">
      <w:pPr>
        <w:pStyle w:val="BodyText"/>
      </w:pPr>
      <w:r w:rsidRPr="008C1FA6">
        <w:object w:dxaOrig="8874" w:dyaOrig="3466">
          <v:shape id="_x0000_i1058" type="#_x0000_t75" style="width:439.5pt;height:190.5pt" o:ole="" o:preferrelative="f">
            <v:imagedata r:id="rId61" o:title=""/>
            <o:lock v:ext="edit" aspectratio="f"/>
          </v:shape>
          <o:OLEObject Type="Embed" ProgID="Excel.Sheet.12" ShapeID="_x0000_i1058" DrawAspect="Content" ObjectID="_1519102772" r:id="rId62"/>
        </w:object>
      </w:r>
      <w:bookmarkStart w:id="14" w:name="_Toc530739916"/>
    </w:p>
    <w:p w:rsidR="00B95F6B" w:rsidRDefault="00B95F6B" w:rsidP="00A01523">
      <w:pPr>
        <w:pStyle w:val="BodyText"/>
      </w:pPr>
    </w:p>
    <w:p w:rsidR="00B95F6B" w:rsidRDefault="00B95F6B" w:rsidP="00A01523">
      <w:pPr>
        <w:pStyle w:val="BodyText"/>
      </w:pPr>
    </w:p>
    <w:p w:rsidR="00B95F6B" w:rsidRDefault="00B95F6B" w:rsidP="00A01523">
      <w:pPr>
        <w:pStyle w:val="BodyText"/>
      </w:pPr>
    </w:p>
    <w:p w:rsidR="00B95F6B" w:rsidRDefault="00B95F6B" w:rsidP="00A01523">
      <w:pPr>
        <w:pStyle w:val="BodyText"/>
      </w:pPr>
    </w:p>
    <w:p w:rsidR="00B95F6B" w:rsidRDefault="00B95F6B" w:rsidP="00A01523">
      <w:pPr>
        <w:pStyle w:val="BodyText"/>
      </w:pPr>
    </w:p>
    <w:p w:rsidR="00B95F6B" w:rsidRDefault="00B95F6B" w:rsidP="00A01523">
      <w:pPr>
        <w:pStyle w:val="BodyText"/>
      </w:pPr>
    </w:p>
    <w:p w:rsidR="00B95F6B" w:rsidRPr="008C1FA6" w:rsidRDefault="00B95F6B" w:rsidP="00A01523">
      <w:pPr>
        <w:pStyle w:val="BodyText"/>
      </w:pPr>
    </w:p>
    <w:p w:rsidR="00B95F6B" w:rsidRPr="008C1FA6" w:rsidRDefault="00B95F6B" w:rsidP="006E5DCA">
      <w:pPr>
        <w:pStyle w:val="Pismenka"/>
        <w:numPr>
          <w:ilvl w:val="0"/>
          <w:numId w:val="13"/>
        </w:numPr>
        <w:ind w:left="284" w:hanging="284"/>
      </w:pPr>
      <w:r w:rsidRPr="008C1FA6">
        <w:t xml:space="preserve"> </w:t>
      </w:r>
      <w:bookmarkEnd w:id="14"/>
      <w:r>
        <w:t>Ostatné v</w:t>
      </w:r>
      <w:r w:rsidRPr="008C1FA6">
        <w:t>ýnosy z hospo</w:t>
      </w:r>
      <w:r>
        <w:t>dárskej činnosti</w:t>
      </w:r>
    </w:p>
    <w:p w:rsidR="00B95F6B" w:rsidRPr="008C1FA6" w:rsidRDefault="00B95F6B" w:rsidP="00A024F1">
      <w:pPr>
        <w:pStyle w:val="Pismenka"/>
        <w:tabs>
          <w:tab w:val="clear" w:pos="426"/>
        </w:tabs>
        <w:ind w:left="0" w:firstLine="0"/>
        <w:rPr>
          <w:rFonts w:eastAsia="Times New Roman"/>
          <w:b w:val="0"/>
          <w:bCs w:val="0"/>
        </w:rPr>
      </w:pPr>
    </w:p>
    <w:p w:rsidR="00B95F6B" w:rsidRDefault="00B95F6B" w:rsidP="009D0DB2">
      <w:pPr>
        <w:pStyle w:val="BodyText"/>
        <w:ind w:left="0"/>
      </w:pPr>
    </w:p>
    <w:p w:rsidR="00B95F6B" w:rsidRDefault="00B95F6B" w:rsidP="00A57457">
      <w:pPr>
        <w:pStyle w:val="BodyText"/>
      </w:pPr>
    </w:p>
    <w:p w:rsidR="00B95F6B" w:rsidRDefault="00B95F6B" w:rsidP="00A57457">
      <w:pPr>
        <w:pStyle w:val="BodyText"/>
      </w:pPr>
      <w:r w:rsidRPr="008C1FA6">
        <w:object w:dxaOrig="9066" w:dyaOrig="4902">
          <v:shape id="_x0000_i1059" type="#_x0000_t75" style="width:439.5pt;height:120pt" o:ole="" o:preferrelative="f">
            <v:imagedata r:id="rId63" o:title="" cropbottom="35469f"/>
            <o:lock v:ext="edit" aspectratio="f"/>
          </v:shape>
          <o:OLEObject Type="Embed" ProgID="Excel.Sheet.12" ShapeID="_x0000_i1059" DrawAspect="Content" ObjectID="_1519102773" r:id="rId64"/>
        </w:object>
      </w:r>
    </w:p>
    <w:p w:rsidR="00B95F6B" w:rsidRDefault="00B95F6B" w:rsidP="00A57457">
      <w:pPr>
        <w:pStyle w:val="BodyText"/>
      </w:pPr>
    </w:p>
    <w:p w:rsidR="00B95F6B" w:rsidRPr="008C1FA6" w:rsidRDefault="00B95F6B" w:rsidP="00A57457">
      <w:pPr>
        <w:pStyle w:val="BodyText"/>
      </w:pPr>
    </w:p>
    <w:p w:rsidR="00B95F6B" w:rsidRPr="008C1FA6" w:rsidRDefault="00B95F6B" w:rsidP="001B793B">
      <w:pPr>
        <w:pStyle w:val="Pismenka"/>
        <w:numPr>
          <w:ilvl w:val="0"/>
          <w:numId w:val="13"/>
        </w:numPr>
        <w:ind w:left="284" w:hanging="284"/>
      </w:pPr>
      <w:r w:rsidRPr="001B793B">
        <w:rPr>
          <w:rFonts w:eastAsia="Times New Roman"/>
        </w:rPr>
        <w:t>Osobné náklady</w:t>
      </w:r>
    </w:p>
    <w:p w:rsidR="00B95F6B" w:rsidRDefault="00B95F6B" w:rsidP="00992440">
      <w:pPr>
        <w:pStyle w:val="BodyText"/>
        <w:ind w:left="0"/>
      </w:pPr>
    </w:p>
    <w:p w:rsidR="00B95F6B" w:rsidRDefault="00B95F6B" w:rsidP="00E56AFF">
      <w:pPr>
        <w:pStyle w:val="BodyText"/>
      </w:pPr>
    </w:p>
    <w:p w:rsidR="00B95F6B" w:rsidRPr="00E56AFF" w:rsidRDefault="00B95F6B" w:rsidP="00E56AFF">
      <w:pPr>
        <w:pStyle w:val="BodyText"/>
      </w:pPr>
      <w:r w:rsidRPr="008C1FA6">
        <w:object w:dxaOrig="9937" w:dyaOrig="5034">
          <v:shape id="_x0000_i1060" type="#_x0000_t75" style="width:492pt;height:101.25pt" o:ole="" o:preferrelative="f">
            <v:imagedata r:id="rId65" o:title="" cropbottom="40293f"/>
            <o:lock v:ext="edit" aspectratio="f"/>
          </v:shape>
          <o:OLEObject Type="Embed" ProgID="Excel.Sheet.12" ShapeID="_x0000_i1060" DrawAspect="Content" ObjectID="_1519102774" r:id="rId66"/>
        </w:object>
      </w:r>
    </w:p>
    <w:p w:rsidR="00B95F6B" w:rsidRDefault="00B95F6B" w:rsidP="007B1869">
      <w:pPr>
        <w:pStyle w:val="BodyText"/>
        <w:ind w:left="0"/>
        <w:rPr>
          <w:b/>
          <w:bCs/>
        </w:rPr>
      </w:pPr>
    </w:p>
    <w:p w:rsidR="00B95F6B" w:rsidRDefault="00B95F6B" w:rsidP="00992440">
      <w:pPr>
        <w:pStyle w:val="BodyText"/>
        <w:ind w:left="0"/>
        <w:rPr>
          <w:b/>
          <w:bCs/>
        </w:rPr>
      </w:pPr>
    </w:p>
    <w:p w:rsidR="00B95F6B" w:rsidRDefault="00B95F6B" w:rsidP="008F74B7">
      <w:pPr>
        <w:pStyle w:val="BodyText"/>
        <w:rPr>
          <w:b/>
          <w:bCs/>
        </w:rPr>
      </w:pPr>
    </w:p>
    <w:p w:rsidR="00B95F6B" w:rsidRPr="001B793B" w:rsidRDefault="00B95F6B" w:rsidP="001B793B">
      <w:pPr>
        <w:pStyle w:val="Pismenka"/>
        <w:numPr>
          <w:ilvl w:val="0"/>
          <w:numId w:val="13"/>
        </w:numPr>
        <w:ind w:left="284" w:hanging="284"/>
        <w:rPr>
          <w:rFonts w:eastAsia="Times New Roman"/>
        </w:rPr>
      </w:pPr>
      <w:r w:rsidRPr="001B793B">
        <w:rPr>
          <w:rFonts w:eastAsia="Times New Roman"/>
        </w:rPr>
        <w:t>Kurzové zisky</w:t>
      </w:r>
    </w:p>
    <w:p w:rsidR="00B95F6B" w:rsidRPr="001B793B" w:rsidRDefault="00B95F6B" w:rsidP="001B793B">
      <w:pPr>
        <w:pStyle w:val="Pismenka"/>
        <w:tabs>
          <w:tab w:val="clear" w:pos="426"/>
        </w:tabs>
        <w:ind w:left="284" w:firstLine="0"/>
        <w:rPr>
          <w:rFonts w:eastAsia="Times New Roman"/>
        </w:rPr>
      </w:pPr>
    </w:p>
    <w:p w:rsidR="00B95F6B" w:rsidRDefault="00B95F6B" w:rsidP="00EE3E73">
      <w:pPr>
        <w:pStyle w:val="BodyText"/>
        <w:ind w:left="720"/>
        <w:rPr>
          <w:b/>
          <w:bCs/>
        </w:rPr>
      </w:pPr>
    </w:p>
    <w:p w:rsidR="00B95F6B" w:rsidRPr="00914269" w:rsidRDefault="00B95F6B" w:rsidP="00EE3E73">
      <w:pPr>
        <w:pStyle w:val="BodyText"/>
        <w:ind w:left="720"/>
        <w:rPr>
          <w:b/>
          <w:bCs/>
        </w:rPr>
      </w:pPr>
    </w:p>
    <w:p w:rsidR="00B95F6B" w:rsidRDefault="00B95F6B" w:rsidP="008F74B7">
      <w:pPr>
        <w:pStyle w:val="BodyText"/>
      </w:pPr>
      <w:r w:rsidRPr="008C1FA6">
        <w:object w:dxaOrig="9066" w:dyaOrig="4902">
          <v:shape id="_x0000_i1061" type="#_x0000_t75" style="width:439.5pt;height:81pt" o:ole="" o:preferrelative="f">
            <v:imagedata r:id="rId67" o:title="" cropbottom="43303f"/>
            <o:lock v:ext="edit" aspectratio="f"/>
          </v:shape>
          <o:OLEObject Type="Embed" ProgID="Excel.Sheet.12" ShapeID="_x0000_i1061" DrawAspect="Content" ObjectID="_1519102775" r:id="rId68"/>
        </w:object>
      </w: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Default="00B95F6B" w:rsidP="008F74B7">
      <w:pPr>
        <w:pStyle w:val="Pismenka"/>
        <w:tabs>
          <w:tab w:val="clear" w:pos="426"/>
        </w:tabs>
      </w:pPr>
    </w:p>
    <w:p w:rsidR="00B95F6B" w:rsidRPr="001B793B" w:rsidRDefault="00B95F6B" w:rsidP="001B793B">
      <w:pPr>
        <w:pStyle w:val="Pismenka"/>
        <w:numPr>
          <w:ilvl w:val="0"/>
          <w:numId w:val="13"/>
        </w:numPr>
        <w:ind w:left="284" w:hanging="284"/>
        <w:rPr>
          <w:rFonts w:eastAsia="Times New Roman"/>
        </w:rPr>
      </w:pPr>
      <w:r w:rsidRPr="001B793B">
        <w:rPr>
          <w:rFonts w:eastAsia="Times New Roman"/>
        </w:rPr>
        <w:t>Finančné výnosy</w:t>
      </w:r>
    </w:p>
    <w:p w:rsidR="00B95F6B" w:rsidRPr="008C1FA6" w:rsidRDefault="00B95F6B" w:rsidP="00FA6058">
      <w:pPr>
        <w:pStyle w:val="Pismenka"/>
        <w:tabs>
          <w:tab w:val="clear" w:pos="426"/>
        </w:tabs>
        <w:ind w:left="360" w:hanging="360"/>
        <w:rPr>
          <w:rFonts w:eastAsia="Times New Roman"/>
        </w:rPr>
      </w:pPr>
    </w:p>
    <w:p w:rsidR="00B95F6B" w:rsidRPr="00FA6058" w:rsidRDefault="00B95F6B" w:rsidP="008F74B7">
      <w:pPr>
        <w:pStyle w:val="BodyText"/>
        <w:ind w:left="0"/>
      </w:pPr>
      <w:r>
        <w:rPr>
          <w:rFonts w:eastAsia="Times New Roman"/>
        </w:rPr>
        <w:t xml:space="preserve">         Štruktúra finančných výnosov je uvedená v nasledujúcom prehľade:</w:t>
      </w:r>
    </w:p>
    <w:p w:rsidR="00B95F6B" w:rsidRDefault="00B95F6B" w:rsidP="00363D4B">
      <w:pPr>
        <w:pStyle w:val="BodyText"/>
      </w:pPr>
      <w:r w:rsidRPr="008C1FA6">
        <w:object w:dxaOrig="9066" w:dyaOrig="4887">
          <v:shape id="_x0000_i1062" type="#_x0000_t75" style="width:444pt;height:85.5pt" o:ole="" o:preferrelative="f">
            <v:imagedata r:id="rId69" o:title="" cropbottom="44281f"/>
            <o:lock v:ext="edit" aspectratio="f"/>
          </v:shape>
          <o:OLEObject Type="Embed" ProgID="Excel.Sheet.12" ShapeID="_x0000_i1062" DrawAspect="Content" ObjectID="_1519102776" r:id="rId70"/>
        </w:object>
      </w:r>
    </w:p>
    <w:p w:rsidR="00B95F6B" w:rsidRPr="008C1FA6" w:rsidRDefault="00B95F6B" w:rsidP="00E56AFF">
      <w:pPr>
        <w:pStyle w:val="BodyText"/>
        <w:ind w:left="0"/>
      </w:pPr>
    </w:p>
    <w:p w:rsidR="00B95F6B" w:rsidRDefault="00B95F6B" w:rsidP="006E5DCA">
      <w:pPr>
        <w:pStyle w:val="Pismenka"/>
        <w:numPr>
          <w:ilvl w:val="0"/>
          <w:numId w:val="13"/>
        </w:numPr>
        <w:ind w:left="284" w:hanging="284"/>
      </w:pPr>
      <w:r>
        <w:t>Náklady na poskytnuté služby</w:t>
      </w:r>
    </w:p>
    <w:p w:rsidR="00B95F6B" w:rsidRDefault="00B95F6B" w:rsidP="008F74B7">
      <w:pPr>
        <w:pStyle w:val="Pismenka"/>
        <w:tabs>
          <w:tab w:val="clear" w:pos="426"/>
        </w:tabs>
        <w:ind w:left="284" w:firstLine="0"/>
      </w:pPr>
    </w:p>
    <w:p w:rsidR="00B95F6B" w:rsidRDefault="00B95F6B" w:rsidP="000F4E3D">
      <w:pPr>
        <w:pStyle w:val="Pismenka"/>
        <w:tabs>
          <w:tab w:val="clear" w:pos="426"/>
        </w:tabs>
        <w:ind w:left="0" w:firstLine="0"/>
      </w:pPr>
      <w:r>
        <w:rPr>
          <w:noProof/>
          <w:lang w:eastAsia="sk-SK"/>
        </w:rPr>
        <w:pict>
          <v:shape id="_x0000_s1026" type="#_x0000_t75" style="position:absolute;left:0;text-align:left;margin-left:-5.7pt;margin-top:20.65pt;width:476.2pt;height:197.55pt;z-index:251658752" o:preferrelative="f">
            <v:imagedata r:id="rId71" o:title=""/>
            <o:lock v:ext="edit" aspectratio="f"/>
            <w10:wrap type="square" side="right"/>
          </v:shape>
          <o:OLEObject Type="Embed" ProgID="Excel.Sheet.12" ShapeID="_x0000_s1026" DrawAspect="Content" ObjectID="_1519102784" r:id="rId72"/>
        </w:pict>
      </w:r>
    </w:p>
    <w:p w:rsidR="00B95F6B" w:rsidRDefault="00B95F6B" w:rsidP="00D3361D">
      <w:pPr>
        <w:pStyle w:val="Pismenka"/>
        <w:tabs>
          <w:tab w:val="clear" w:pos="426"/>
        </w:tabs>
        <w:ind w:left="284" w:firstLine="0"/>
      </w:pPr>
    </w:p>
    <w:p w:rsidR="00B95F6B" w:rsidRDefault="00B95F6B" w:rsidP="00D3361D">
      <w:pPr>
        <w:pStyle w:val="Pismenka"/>
        <w:tabs>
          <w:tab w:val="clear" w:pos="426"/>
        </w:tabs>
        <w:ind w:left="284" w:firstLine="0"/>
      </w:pPr>
    </w:p>
    <w:p w:rsidR="00B95F6B" w:rsidRDefault="00B95F6B" w:rsidP="00D3361D">
      <w:pPr>
        <w:pStyle w:val="Pismenka"/>
        <w:tabs>
          <w:tab w:val="clear" w:pos="426"/>
        </w:tabs>
        <w:ind w:left="284" w:firstLine="0"/>
      </w:pPr>
    </w:p>
    <w:p w:rsidR="00B95F6B" w:rsidRDefault="00B95F6B" w:rsidP="00D3361D">
      <w:pPr>
        <w:pStyle w:val="Pismenka"/>
        <w:tabs>
          <w:tab w:val="clear" w:pos="426"/>
        </w:tabs>
        <w:ind w:left="284" w:firstLine="0"/>
      </w:pPr>
    </w:p>
    <w:p w:rsidR="00B95F6B" w:rsidRDefault="00B95F6B" w:rsidP="001B793B">
      <w:pPr>
        <w:pStyle w:val="Pismenka"/>
        <w:numPr>
          <w:ilvl w:val="0"/>
          <w:numId w:val="13"/>
        </w:numPr>
        <w:ind w:left="284" w:hanging="284"/>
      </w:pPr>
      <w:r>
        <w:t>Ostatné náklady na hospodársku činnosť</w:t>
      </w:r>
    </w:p>
    <w:p w:rsidR="00B95F6B" w:rsidRPr="008C1FA6" w:rsidRDefault="00B95F6B" w:rsidP="00AA3CAE">
      <w:pPr>
        <w:pStyle w:val="Pismenka"/>
        <w:tabs>
          <w:tab w:val="clear" w:pos="426"/>
        </w:tabs>
        <w:ind w:left="360" w:hanging="360"/>
        <w:rPr>
          <w:rFonts w:eastAsia="Times New Roman"/>
        </w:rPr>
      </w:pPr>
    </w:p>
    <w:p w:rsidR="00B95F6B" w:rsidRPr="00FA6058" w:rsidRDefault="00B95F6B" w:rsidP="00AA3CAE">
      <w:pPr>
        <w:pStyle w:val="BodyText"/>
        <w:ind w:left="0"/>
      </w:pPr>
      <w:r>
        <w:rPr>
          <w:noProof/>
          <w:lang w:eastAsia="sk-SK"/>
        </w:rPr>
        <w:pict>
          <v:shape id="_x0000_s1027" type="#_x0000_t75" style="position:absolute;left:0;text-align:left;margin-left:0;margin-top:10.9pt;width:470.5pt;height:130.55pt;z-index:251659776;mso-position-horizontal:left" o:preferrelative="f">
            <v:imagedata r:id="rId73" o:title="" cropbottom="29168f"/>
            <o:lock v:ext="edit" aspectratio="f"/>
            <w10:wrap type="square" side="right"/>
          </v:shape>
          <o:OLEObject Type="Embed" ProgID="Excel.Sheet.12" ShapeID="_x0000_s1027" DrawAspect="Content" ObjectID="_1519102785" r:id="rId74"/>
        </w:pict>
      </w:r>
      <w:r>
        <w:rPr>
          <w:rFonts w:eastAsia="Times New Roman"/>
        </w:rPr>
        <w:t xml:space="preserve">      </w:t>
      </w:r>
    </w:p>
    <w:p w:rsidR="00B95F6B" w:rsidRDefault="00B95F6B" w:rsidP="008F74B7">
      <w:pPr>
        <w:pStyle w:val="Pismenka"/>
        <w:tabs>
          <w:tab w:val="clear" w:pos="426"/>
        </w:tabs>
        <w:ind w:left="284" w:firstLine="0"/>
      </w:pPr>
      <w:r>
        <w:br w:type="textWrapping" w:clear="all"/>
      </w: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Pr="008C1FA6" w:rsidRDefault="00B95F6B" w:rsidP="001B793B">
      <w:pPr>
        <w:pStyle w:val="Pismenka"/>
        <w:numPr>
          <w:ilvl w:val="0"/>
          <w:numId w:val="13"/>
        </w:numPr>
        <w:ind w:left="284" w:hanging="284"/>
      </w:pPr>
      <w:r>
        <w:t>Kurzové straty</w:t>
      </w:r>
    </w:p>
    <w:p w:rsidR="00B95F6B" w:rsidRPr="00FA6058" w:rsidRDefault="00B95F6B" w:rsidP="00AA3CAE">
      <w:pPr>
        <w:pStyle w:val="BodyText"/>
        <w:ind w:left="0"/>
      </w:pPr>
      <w:r>
        <w:rPr>
          <w:rFonts w:eastAsia="Times New Roman"/>
        </w:rPr>
        <w:t xml:space="preserve">      </w:t>
      </w:r>
    </w:p>
    <w:p w:rsidR="00B95F6B" w:rsidRDefault="00B95F6B" w:rsidP="00AA3CAE">
      <w:pPr>
        <w:pStyle w:val="Pismenka"/>
        <w:tabs>
          <w:tab w:val="clear" w:pos="426"/>
        </w:tabs>
        <w:ind w:left="284" w:firstLine="0"/>
      </w:pPr>
      <w:r w:rsidRPr="008C1FA6">
        <w:object w:dxaOrig="9066" w:dyaOrig="4887">
          <v:shape id="_x0000_i1067" type="#_x0000_t75" style="width:448.5pt;height:78.75pt" o:ole="" o:preferrelative="f">
            <v:imagedata r:id="rId75" o:title="" cropbottom="44281f"/>
            <o:lock v:ext="edit" aspectratio="f"/>
          </v:shape>
          <o:OLEObject Type="Embed" ProgID="Excel.Sheet.12" ShapeID="_x0000_i1067" DrawAspect="Content" ObjectID="_1519102777" r:id="rId76"/>
        </w:object>
      </w:r>
    </w:p>
    <w:p w:rsidR="00B95F6B" w:rsidRDefault="00B95F6B" w:rsidP="008F74B7">
      <w:pPr>
        <w:pStyle w:val="Pismenka"/>
        <w:tabs>
          <w:tab w:val="clear" w:pos="426"/>
        </w:tabs>
        <w:ind w:left="284" w:firstLine="0"/>
      </w:pPr>
    </w:p>
    <w:p w:rsidR="00B95F6B" w:rsidRPr="008C1FA6" w:rsidRDefault="00B95F6B" w:rsidP="001B793B">
      <w:pPr>
        <w:pStyle w:val="Pismenka"/>
        <w:numPr>
          <w:ilvl w:val="0"/>
          <w:numId w:val="13"/>
        </w:numPr>
        <w:ind w:left="284" w:hanging="284"/>
      </w:pPr>
      <w:r>
        <w:t>Finančné náklady</w:t>
      </w:r>
    </w:p>
    <w:p w:rsidR="00B95F6B" w:rsidRPr="008C1FA6" w:rsidRDefault="00B95F6B" w:rsidP="00AA3CAE">
      <w:pPr>
        <w:pStyle w:val="Pismenka"/>
        <w:tabs>
          <w:tab w:val="clear" w:pos="426"/>
        </w:tabs>
        <w:ind w:left="360" w:hanging="360"/>
        <w:rPr>
          <w:rFonts w:eastAsia="Times New Roman"/>
        </w:rPr>
      </w:pPr>
    </w:p>
    <w:p w:rsidR="00B95F6B" w:rsidRPr="00FA6058" w:rsidRDefault="00B95F6B" w:rsidP="00AA3CAE">
      <w:pPr>
        <w:pStyle w:val="BodyText"/>
        <w:ind w:left="0"/>
      </w:pPr>
      <w:r>
        <w:rPr>
          <w:rFonts w:eastAsia="Times New Roman"/>
        </w:rPr>
        <w:t xml:space="preserve">         </w:t>
      </w:r>
    </w:p>
    <w:p w:rsidR="00B95F6B" w:rsidRDefault="00B95F6B" w:rsidP="00AA3CAE">
      <w:pPr>
        <w:pStyle w:val="Pismenka"/>
        <w:tabs>
          <w:tab w:val="clear" w:pos="426"/>
        </w:tabs>
        <w:ind w:left="284" w:firstLine="0"/>
      </w:pPr>
      <w:r w:rsidRPr="008C1FA6">
        <w:object w:dxaOrig="9066" w:dyaOrig="4887">
          <v:shape id="_x0000_i1068" type="#_x0000_t75" style="width:439.5pt;height:85.5pt" o:ole="" o:preferrelative="f">
            <v:imagedata r:id="rId77" o:title="" cropbottom="44281f"/>
            <o:lock v:ext="edit" aspectratio="f"/>
          </v:shape>
          <o:OLEObject Type="Embed" ProgID="Excel.Sheet.12" ShapeID="_x0000_i1068" DrawAspect="Content" ObjectID="_1519102778" r:id="rId78"/>
        </w:object>
      </w:r>
    </w:p>
    <w:p w:rsidR="00B95F6B" w:rsidRDefault="00B95F6B" w:rsidP="008F74B7">
      <w:pPr>
        <w:pStyle w:val="Pismenka"/>
        <w:tabs>
          <w:tab w:val="clear" w:pos="426"/>
        </w:tabs>
        <w:ind w:left="284" w:firstLine="0"/>
      </w:pPr>
    </w:p>
    <w:p w:rsidR="00B95F6B" w:rsidRPr="008C1FA6" w:rsidRDefault="00B95F6B" w:rsidP="001B793B">
      <w:pPr>
        <w:pStyle w:val="Pismenka"/>
        <w:numPr>
          <w:ilvl w:val="0"/>
          <w:numId w:val="13"/>
        </w:numPr>
        <w:ind w:left="284" w:hanging="284"/>
      </w:pPr>
      <w:r>
        <w:t>Náklady na audit a poradenstvo</w:t>
      </w:r>
    </w:p>
    <w:p w:rsidR="00B95F6B" w:rsidRPr="008C1FA6" w:rsidRDefault="00B95F6B" w:rsidP="00AA3CAE">
      <w:pPr>
        <w:pStyle w:val="Pismenka"/>
        <w:tabs>
          <w:tab w:val="clear" w:pos="426"/>
        </w:tabs>
        <w:ind w:left="360" w:hanging="360"/>
        <w:rPr>
          <w:rFonts w:eastAsia="Times New Roman"/>
        </w:rPr>
      </w:pPr>
    </w:p>
    <w:p w:rsidR="00B95F6B" w:rsidRPr="00FA6058" w:rsidRDefault="00B95F6B" w:rsidP="00AA3CAE">
      <w:pPr>
        <w:pStyle w:val="BodyText"/>
        <w:ind w:left="0"/>
      </w:pPr>
      <w:r>
        <w:rPr>
          <w:rFonts w:eastAsia="Times New Roman"/>
        </w:rPr>
        <w:t xml:space="preserve">        </w:t>
      </w:r>
    </w:p>
    <w:p w:rsidR="00B95F6B" w:rsidRDefault="00B95F6B" w:rsidP="00AA3CAE">
      <w:pPr>
        <w:pStyle w:val="Pismenka"/>
        <w:tabs>
          <w:tab w:val="clear" w:pos="426"/>
        </w:tabs>
        <w:ind w:left="284" w:firstLine="0"/>
      </w:pPr>
      <w:r w:rsidRPr="008C1FA6">
        <w:object w:dxaOrig="9021" w:dyaOrig="5111">
          <v:shape id="_x0000_i1069" type="#_x0000_t75" style="width:432.75pt;height:125.25pt" o:ole="" o:preferrelative="f">
            <v:imagedata r:id="rId79" o:title="" cropbottom="35429f"/>
            <o:lock v:ext="edit" aspectratio="f"/>
          </v:shape>
          <o:OLEObject Type="Embed" ProgID="Excel.Sheet.12" ShapeID="_x0000_i1069" DrawAspect="Content" ObjectID="_1519102779" r:id="rId80"/>
        </w:object>
      </w: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bookmarkStart w:id="15" w:name="_GoBack"/>
      <w:bookmarkEnd w:id="15"/>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Pr="008C1FA6" w:rsidRDefault="00B95F6B" w:rsidP="008173A8">
      <w:pPr>
        <w:pStyle w:val="Pismenka"/>
        <w:tabs>
          <w:tab w:val="clear" w:pos="426"/>
        </w:tabs>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Default="00B95F6B" w:rsidP="008F74B7">
      <w:pPr>
        <w:pStyle w:val="Pismenka"/>
        <w:tabs>
          <w:tab w:val="clear" w:pos="426"/>
        </w:tabs>
        <w:ind w:left="284" w:firstLine="0"/>
      </w:pPr>
    </w:p>
    <w:p w:rsidR="00B95F6B" w:rsidRPr="008C1FA6" w:rsidRDefault="00B95F6B" w:rsidP="006E5DCA">
      <w:pPr>
        <w:pStyle w:val="Pismenka"/>
        <w:numPr>
          <w:ilvl w:val="0"/>
          <w:numId w:val="13"/>
        </w:numPr>
        <w:ind w:left="284" w:hanging="284"/>
      </w:pPr>
      <w:r w:rsidRPr="008C1FA6">
        <w:t xml:space="preserve">Čistý obrat </w:t>
      </w:r>
    </w:p>
    <w:p w:rsidR="00B95F6B" w:rsidRPr="008C1FA6" w:rsidRDefault="00B95F6B" w:rsidP="00BA4B2E">
      <w:pPr>
        <w:pStyle w:val="Pismenka"/>
        <w:tabs>
          <w:tab w:val="clear" w:pos="426"/>
        </w:tabs>
        <w:ind w:left="284" w:firstLine="0"/>
      </w:pPr>
    </w:p>
    <w:p w:rsidR="00B95F6B" w:rsidRPr="008C1FA6" w:rsidRDefault="00B95F6B" w:rsidP="00B55BA1">
      <w:pPr>
        <w:pStyle w:val="Pismenka"/>
        <w:tabs>
          <w:tab w:val="clear" w:pos="426"/>
        </w:tabs>
        <w:ind w:left="284" w:firstLine="0"/>
        <w:rPr>
          <w:b w:val="0"/>
          <w:bCs w:val="0"/>
        </w:rPr>
      </w:pPr>
      <w:r>
        <w:rPr>
          <w:b w:val="0"/>
          <w:bCs w:val="0"/>
        </w:rPr>
        <w:t xml:space="preserve">Členenie čistého obratu podľa </w:t>
      </w:r>
      <w:r w:rsidRPr="008C1FA6">
        <w:rPr>
          <w:b w:val="0"/>
          <w:bCs w:val="0"/>
        </w:rPr>
        <w:t>§</w:t>
      </w:r>
      <w:r>
        <w:rPr>
          <w:b w:val="0"/>
          <w:bCs w:val="0"/>
        </w:rPr>
        <w:t xml:space="preserve"> 2 ods. 15 zákona o účtovníctve:</w:t>
      </w:r>
    </w:p>
    <w:p w:rsidR="00B95F6B" w:rsidRPr="008C1FA6" w:rsidRDefault="00B95F6B" w:rsidP="00EF7E9D">
      <w:pPr>
        <w:pStyle w:val="BodyText"/>
      </w:pPr>
    </w:p>
    <w:p w:rsidR="00B95F6B" w:rsidRPr="008C1FA6" w:rsidRDefault="00B95F6B" w:rsidP="00EF7E9D">
      <w:pPr>
        <w:pStyle w:val="BodyText"/>
      </w:pPr>
    </w:p>
    <w:p w:rsidR="00B95F6B" w:rsidRPr="008C1FA6" w:rsidRDefault="00B95F6B" w:rsidP="00FE4896">
      <w:pPr>
        <w:pStyle w:val="BodyText"/>
        <w:ind w:left="284"/>
      </w:pPr>
      <w:r w:rsidRPr="008C1FA6">
        <w:object w:dxaOrig="8611" w:dyaOrig="2370">
          <v:shape id="_x0000_i1070" type="#_x0000_t75" style="width:452.25pt;height:130.5pt" o:ole="" o:preferrelative="f">
            <v:imagedata r:id="rId81" o:title=""/>
            <o:lock v:ext="edit" aspectratio="f"/>
          </v:shape>
          <o:OLEObject Type="Embed" ProgID="Excel.Sheet.12" ShapeID="_x0000_i1070" DrawAspect="Content" ObjectID="_1519102780" r:id="rId82"/>
        </w:object>
      </w:r>
      <w:bookmarkStart w:id="16" w:name="_MON_1455507074"/>
      <w:bookmarkEnd w:id="13"/>
      <w:bookmarkEnd w:id="16"/>
    </w:p>
    <w:p w:rsidR="00B95F6B" w:rsidRPr="008C1FA6" w:rsidRDefault="00B95F6B" w:rsidP="00067D84">
      <w:r>
        <w:t xml:space="preserve">      </w:t>
      </w:r>
    </w:p>
    <w:p w:rsidR="00B95F6B" w:rsidRPr="00B55BA1" w:rsidRDefault="00B95F6B" w:rsidP="00067D84">
      <w:r>
        <w:rPr>
          <w:b/>
          <w:bCs/>
        </w:rPr>
        <w:t xml:space="preserve">       </w:t>
      </w:r>
      <w:r>
        <w:t>P</w:t>
      </w:r>
      <w:r w:rsidRPr="00B55BA1">
        <w:t>odľa § 2 ods. 15 zákona o</w:t>
      </w:r>
      <w:r>
        <w:t> </w:t>
      </w:r>
      <w:r w:rsidRPr="00B55BA1">
        <w:t>účtovníctve</w:t>
      </w:r>
      <w:r>
        <w:t xml:space="preserve"> sa do čistého obratu zahrňujú výnosy dosahované z predaja výrobkov,  </w:t>
      </w:r>
    </w:p>
    <w:p w:rsidR="00B95F6B" w:rsidRPr="00B55BA1" w:rsidRDefault="00B95F6B" w:rsidP="00067D84">
      <w:r>
        <w:t xml:space="preserve">       tovarov   a služieb  po odpočítaní zliav. Do  čistého obratu  sa  zahŕňajú aj   iné výnosy po  odpočítaní zliav tej</w:t>
      </w:r>
    </w:p>
    <w:p w:rsidR="00B95F6B" w:rsidRPr="008C1FA6" w:rsidRDefault="00B95F6B" w:rsidP="00067D84">
      <w:r>
        <w:t xml:space="preserve">      účtovnej jednotky, ktorej predmetom činnosti je dosahovanie iných výnosov ako sú výnosy z predaja výrobkov</w:t>
      </w:r>
    </w:p>
    <w:p w:rsidR="00B95F6B" w:rsidRDefault="00B95F6B" w:rsidP="004D1BE6">
      <w:r>
        <w:t xml:space="preserve">      tovarov a služieb.</w:t>
      </w:r>
    </w:p>
    <w:p w:rsidR="00B95F6B" w:rsidRDefault="00B95F6B" w:rsidP="004D1BE6"/>
    <w:p w:rsidR="00B95F6B" w:rsidRDefault="00B95F6B" w:rsidP="004D1BE6"/>
    <w:p w:rsidR="00B95F6B" w:rsidRPr="008C1FA6" w:rsidRDefault="00B95F6B">
      <w:pPr>
        <w:pStyle w:val="Heading1"/>
      </w:pPr>
      <w:r w:rsidRPr="008C1FA6">
        <w:t>Informácie o iných aktívach a iných  pasívach</w:t>
      </w:r>
    </w:p>
    <w:p w:rsidR="00B95F6B" w:rsidRPr="008C1FA6" w:rsidRDefault="00B95F6B">
      <w:pPr>
        <w:pStyle w:val="BodyText"/>
        <w:ind w:left="0"/>
      </w:pPr>
    </w:p>
    <w:p w:rsidR="00B95F6B" w:rsidRPr="008C1FA6" w:rsidRDefault="00B95F6B" w:rsidP="006E5DCA">
      <w:pPr>
        <w:pStyle w:val="Heading2"/>
        <w:numPr>
          <w:ilvl w:val="0"/>
          <w:numId w:val="8"/>
        </w:numPr>
      </w:pPr>
      <w:bookmarkStart w:id="17" w:name="_Toc530739921"/>
      <w:r w:rsidRPr="008C1FA6">
        <w:t>Podmienené záväzky</w:t>
      </w:r>
      <w:bookmarkEnd w:id="17"/>
    </w:p>
    <w:p w:rsidR="00B95F6B" w:rsidRPr="008C1FA6" w:rsidRDefault="00B95F6B" w:rsidP="006372EE">
      <w:pPr>
        <w:pStyle w:val="BodyText"/>
        <w:ind w:left="0"/>
      </w:pPr>
    </w:p>
    <w:p w:rsidR="00B95F6B" w:rsidRPr="008C1FA6" w:rsidRDefault="00B95F6B" w:rsidP="006372EE">
      <w:pPr>
        <w:pStyle w:val="BodyText"/>
        <w:ind w:left="0" w:firstLine="360"/>
      </w:pPr>
      <w:r w:rsidRPr="008C1FA6">
        <w:t>Spoločnosť nemá podmienené záväzky, ktoré sa nesledujú v bežnom účtovníctve a neuvádzajú sa v súvahe.</w:t>
      </w:r>
    </w:p>
    <w:p w:rsidR="00B95F6B" w:rsidRPr="008C1FA6" w:rsidRDefault="00B95F6B" w:rsidP="006372EE">
      <w:pPr>
        <w:pStyle w:val="BodyText"/>
        <w:ind w:left="0"/>
      </w:pPr>
    </w:p>
    <w:p w:rsidR="00B95F6B" w:rsidRPr="008C1FA6" w:rsidRDefault="00B95F6B" w:rsidP="006372EE">
      <w:pPr>
        <w:pStyle w:val="BodyText"/>
        <w:ind w:left="360"/>
      </w:pPr>
      <w:r w:rsidRPr="008C1FA6">
        <w:t>Vzhľadom na to, že mnohé oblasti slovenského daňového práva doteraz neboli dostatočne overené praxou, existuje neistota v tom, ako ich budú daňové orgány aplikovať. Mieru tejto neistoty nie je možné kvantifikovať a zanikne až potom, keď budú k dispozícií právne precedensy, prípadne oficiálne interpretácie príslušných orgánov. Vedenie Spoločnosti si nie je vedomé žiadnych okolností, v dôsledku ktorých by jej vznikol významný náklad.</w:t>
      </w:r>
    </w:p>
    <w:p w:rsidR="00B95F6B" w:rsidRDefault="00B95F6B" w:rsidP="008449E8">
      <w:pPr>
        <w:pStyle w:val="Heading2"/>
        <w:rPr>
          <w:b w:val="0"/>
          <w:bCs w:val="0"/>
        </w:rPr>
      </w:pPr>
    </w:p>
    <w:p w:rsidR="00B95F6B" w:rsidRPr="008C1FA6" w:rsidRDefault="00B95F6B" w:rsidP="008449E8">
      <w:pPr>
        <w:pStyle w:val="Heading2"/>
        <w:numPr>
          <w:ilvl w:val="0"/>
          <w:numId w:val="8"/>
        </w:numPr>
      </w:pPr>
      <w:r w:rsidRPr="008C1FA6">
        <w:t xml:space="preserve">Najatý majetok </w:t>
      </w:r>
    </w:p>
    <w:p w:rsidR="00B95F6B" w:rsidRPr="008C1FA6" w:rsidRDefault="00B95F6B" w:rsidP="00DA0709">
      <w:pPr>
        <w:pStyle w:val="BodyText"/>
      </w:pPr>
    </w:p>
    <w:p w:rsidR="00B95F6B" w:rsidRPr="008C1FA6" w:rsidRDefault="00B95F6B" w:rsidP="00DA0709">
      <w:pPr>
        <w:pStyle w:val="BodyText"/>
        <w:ind w:left="360"/>
      </w:pPr>
      <w:r w:rsidRPr="008C1FA6">
        <w:t>Spoločnosť má v nájme 5 kusov vysokozdvižných vozíkov od tretej osoby v obstarávacej cene 71 263 EUR, ktoré nevykazuje ako svoj majetok. Tak isto má v prenájme fľaše na technické plyn</w:t>
      </w:r>
      <w:r>
        <w:t>y v obstarávacej cene 5 637 EUR, ktoré taktiež nevykazuje ako svoj majetok.</w:t>
      </w:r>
    </w:p>
    <w:p w:rsidR="00B95F6B" w:rsidRPr="008C1FA6" w:rsidRDefault="00B95F6B" w:rsidP="00DA0709">
      <w:pPr>
        <w:pStyle w:val="BodyText"/>
        <w:rPr>
          <w:color w:val="FF0000"/>
        </w:rPr>
      </w:pPr>
    </w:p>
    <w:p w:rsidR="00B95F6B" w:rsidRPr="008C1FA6" w:rsidRDefault="00B95F6B" w:rsidP="00DA0709">
      <w:pPr>
        <w:pStyle w:val="BodyText"/>
        <w:rPr>
          <w:color w:val="FF0000"/>
        </w:rPr>
      </w:pPr>
    </w:p>
    <w:p w:rsidR="00B95F6B" w:rsidRPr="008C1FA6" w:rsidRDefault="00B95F6B" w:rsidP="00DA0709">
      <w:pPr>
        <w:pStyle w:val="Heading2"/>
        <w:numPr>
          <w:ilvl w:val="0"/>
          <w:numId w:val="7"/>
        </w:numPr>
      </w:pPr>
      <w:r w:rsidRPr="008C1FA6">
        <w:t>Prenajatý majetok</w:t>
      </w:r>
    </w:p>
    <w:p w:rsidR="00B95F6B" w:rsidRPr="008C1FA6" w:rsidRDefault="00B95F6B" w:rsidP="00DA0709">
      <w:pPr>
        <w:pStyle w:val="BodyText"/>
        <w:ind w:left="0"/>
      </w:pPr>
    </w:p>
    <w:p w:rsidR="00B95F6B" w:rsidRPr="008C1FA6" w:rsidRDefault="00B95F6B" w:rsidP="00DA0709">
      <w:pPr>
        <w:pStyle w:val="BodyText"/>
        <w:ind w:left="0" w:firstLine="360"/>
      </w:pPr>
      <w:r w:rsidRPr="008C1FA6">
        <w:t>Spoločnosť prenajíma časť nevýrobných priestorov tretím osobám na administratívne a stravovacie účely.</w:t>
      </w:r>
    </w:p>
    <w:p w:rsidR="00B95F6B" w:rsidRPr="008C1FA6" w:rsidRDefault="00B95F6B" w:rsidP="00DA0709">
      <w:pPr>
        <w:pStyle w:val="BodyText"/>
        <w:ind w:left="360"/>
      </w:pPr>
      <w:r w:rsidRPr="008C1FA6">
        <w:t>Taktiež prenajíma časť výrobných priestorov tretím osobám Prenajatú časť nehnuteľností vykazuje v súvahe ako dlhodobý hmotný majetok.</w:t>
      </w:r>
    </w:p>
    <w:p w:rsidR="00B95F6B" w:rsidRPr="008C1FA6" w:rsidRDefault="00B95F6B" w:rsidP="00DA0709">
      <w:pPr>
        <w:pStyle w:val="BodyText"/>
        <w:ind w:left="0"/>
      </w:pPr>
    </w:p>
    <w:p w:rsidR="00B95F6B" w:rsidRPr="008C1FA6" w:rsidRDefault="00B95F6B" w:rsidP="00DA0709">
      <w:pPr>
        <w:pStyle w:val="BodyText"/>
        <w:ind w:left="0" w:firstLine="360"/>
      </w:pPr>
      <w:r w:rsidRPr="008C1FA6">
        <w:t>Ročn</w:t>
      </w:r>
      <w:r>
        <w:t>é výnosy z nájomného boli 12 183</w:t>
      </w:r>
      <w:r w:rsidRPr="008C1FA6">
        <w:t xml:space="preserve"> EUR. </w:t>
      </w:r>
    </w:p>
    <w:p w:rsidR="00B95F6B" w:rsidRPr="008C1FA6" w:rsidRDefault="00B95F6B" w:rsidP="007B1869">
      <w:pPr>
        <w:pStyle w:val="Heading2"/>
      </w:pPr>
    </w:p>
    <w:p w:rsidR="00B95F6B" w:rsidRDefault="00B95F6B" w:rsidP="007B1869">
      <w:pPr>
        <w:pStyle w:val="BodyText"/>
        <w:ind w:left="0"/>
      </w:pPr>
    </w:p>
    <w:p w:rsidR="00B95F6B" w:rsidRDefault="00B95F6B" w:rsidP="007B1869">
      <w:pPr>
        <w:pStyle w:val="BodyText"/>
        <w:ind w:left="0"/>
      </w:pPr>
    </w:p>
    <w:p w:rsidR="00B95F6B" w:rsidRDefault="00B95F6B" w:rsidP="007B1869">
      <w:pPr>
        <w:pStyle w:val="BodyText"/>
        <w:ind w:left="0"/>
      </w:pPr>
    </w:p>
    <w:p w:rsidR="00B95F6B" w:rsidRDefault="00B95F6B" w:rsidP="007B1869">
      <w:pPr>
        <w:pStyle w:val="BodyText"/>
        <w:ind w:left="0"/>
      </w:pPr>
    </w:p>
    <w:p w:rsidR="00B95F6B" w:rsidRDefault="00B95F6B" w:rsidP="007B1869">
      <w:pPr>
        <w:pStyle w:val="BodyText"/>
        <w:ind w:left="0"/>
      </w:pPr>
    </w:p>
    <w:p w:rsidR="00B95F6B" w:rsidRDefault="00B95F6B" w:rsidP="00DA0709">
      <w:pPr>
        <w:pStyle w:val="BodyText"/>
      </w:pPr>
    </w:p>
    <w:p w:rsidR="00B95F6B" w:rsidRPr="008C1FA6" w:rsidRDefault="00B95F6B" w:rsidP="002C62F4">
      <w:pPr>
        <w:pStyle w:val="Heading1"/>
      </w:pPr>
      <w:r w:rsidRPr="008C1FA6">
        <w:t>Informácie o skutočnostiach,  ktoré nastali po dni,  ku ktorému sa zostavuje účtovná závierka,  do dňa zostavenia účtovnej závierky</w:t>
      </w:r>
    </w:p>
    <w:p w:rsidR="00B95F6B" w:rsidRPr="008C1FA6" w:rsidRDefault="00B95F6B" w:rsidP="002C62F4">
      <w:pPr>
        <w:pStyle w:val="BodyText"/>
        <w:ind w:left="360"/>
      </w:pPr>
    </w:p>
    <w:p w:rsidR="00B95F6B" w:rsidRPr="008C1FA6" w:rsidRDefault="00B95F6B" w:rsidP="002C62F4">
      <w:pPr>
        <w:pStyle w:val="BodyText"/>
        <w:ind w:left="360"/>
      </w:pPr>
      <w:r w:rsidRPr="008C1FA6">
        <w:t xml:space="preserve">Po 31. </w:t>
      </w:r>
      <w:r>
        <w:t>decembri 2015</w:t>
      </w:r>
      <w:r w:rsidRPr="008C1FA6">
        <w:t xml:space="preserve"> nenastali udalosti, ktoré majú významný vplyv na verné zobrazenie skutočností, ktoré sú predmetom účtovníctva.</w:t>
      </w:r>
    </w:p>
    <w:p w:rsidR="00B95F6B" w:rsidRPr="008C1FA6" w:rsidRDefault="00B95F6B" w:rsidP="002C62F4">
      <w:pPr>
        <w:pStyle w:val="BodyText"/>
      </w:pPr>
    </w:p>
    <w:p w:rsidR="00B95F6B" w:rsidRPr="008C1FA6" w:rsidRDefault="00B95F6B" w:rsidP="002C62F4">
      <w:pPr>
        <w:pStyle w:val="BodyText"/>
      </w:pPr>
    </w:p>
    <w:p w:rsidR="00B95F6B" w:rsidRPr="008C1FA6" w:rsidRDefault="00B95F6B" w:rsidP="002C62F4">
      <w:pPr>
        <w:pStyle w:val="BodyText"/>
      </w:pPr>
    </w:p>
    <w:p w:rsidR="00B95F6B" w:rsidRPr="008C1FA6" w:rsidRDefault="00B95F6B">
      <w:pPr>
        <w:pStyle w:val="Heading1"/>
      </w:pPr>
      <w:bookmarkStart w:id="18" w:name="_Toc530739924"/>
      <w:r w:rsidRPr="008C1FA6">
        <w:t>Informácie o ekonomických vzťahoch účtovnej jednotky a spriaznených osôb</w:t>
      </w:r>
      <w:bookmarkEnd w:id="18"/>
    </w:p>
    <w:p w:rsidR="00B95F6B" w:rsidRPr="008C1FA6" w:rsidRDefault="00B95F6B" w:rsidP="006372EE">
      <w:pPr>
        <w:pStyle w:val="BodyText"/>
        <w:ind w:left="0"/>
      </w:pPr>
    </w:p>
    <w:p w:rsidR="00B95F6B" w:rsidRPr="008C1FA6" w:rsidRDefault="00B95F6B" w:rsidP="006372EE">
      <w:pPr>
        <w:pStyle w:val="BodyText"/>
        <w:ind w:left="360"/>
      </w:pPr>
      <w:r w:rsidRPr="008C1FA6">
        <w:t xml:space="preserve">Spoločnosť uskutočnila v priebehu účtovného obdobia nasledujúce transakcie so spriaznenými osobami (okrem transakcií s materskou účtovnou jednotkou a dcérskymi účtovnými jednotkami. </w:t>
      </w:r>
    </w:p>
    <w:p w:rsidR="00B95F6B" w:rsidRPr="008C1FA6" w:rsidRDefault="00B95F6B" w:rsidP="00DD2324">
      <w:pPr>
        <w:pStyle w:val="BodyText"/>
      </w:pPr>
      <w:bookmarkStart w:id="19" w:name="_MON_1456136272"/>
      <w:bookmarkEnd w:id="19"/>
    </w:p>
    <w:p w:rsidR="00B95F6B" w:rsidRPr="008C1FA6" w:rsidRDefault="00B95F6B" w:rsidP="00425D38">
      <w:pPr>
        <w:pStyle w:val="BodyText"/>
      </w:pPr>
      <w:r w:rsidRPr="008C1FA6">
        <w:object w:dxaOrig="8984" w:dyaOrig="4431">
          <v:shape id="_x0000_i1071" type="#_x0000_t75" style="width:444.75pt;height:243.75pt" o:ole="" o:preferrelative="f">
            <v:imagedata r:id="rId83" o:title=""/>
            <o:lock v:ext="edit" aspectratio="f"/>
          </v:shape>
          <o:OLEObject Type="Embed" ProgID="Excel.Sheet.12" ShapeID="_x0000_i1071" DrawAspect="Content" ObjectID="_1519102781" r:id="rId84"/>
        </w:object>
      </w:r>
      <w:r w:rsidRPr="008C1FA6">
        <w:t>Vybrané aktíva a pasíva vyplývajúce z transakcií so spriaznenými osobami sú uvedené v nasledujúcom prehľade:</w:t>
      </w:r>
    </w:p>
    <w:p w:rsidR="00B95F6B" w:rsidRPr="008C1FA6" w:rsidRDefault="00B95F6B" w:rsidP="004246FC">
      <w:pPr>
        <w:pStyle w:val="BodyText"/>
        <w:ind w:left="0" w:firstLine="426"/>
      </w:pPr>
    </w:p>
    <w:p w:rsidR="00B95F6B" w:rsidRDefault="00B95F6B">
      <w:pPr>
        <w:pStyle w:val="BodyText"/>
      </w:pPr>
      <w:r w:rsidRPr="008C1FA6">
        <w:object w:dxaOrig="9049" w:dyaOrig="2024">
          <v:shape id="_x0000_i1072" type="#_x0000_t75" style="width:438.75pt;height:109.5pt" o:ole="" o:preferrelative="f">
            <v:imagedata r:id="rId85" o:title=""/>
            <o:lock v:ext="edit" aspectratio="f"/>
          </v:shape>
          <o:OLEObject Type="Embed" ProgID="Excel.Sheet.12" ShapeID="_x0000_i1072" DrawAspect="Content" ObjectID="_1519102782" r:id="rId86"/>
        </w:object>
      </w: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p>
    <w:p w:rsidR="00B95F6B" w:rsidRDefault="00B95F6B">
      <w:pPr>
        <w:pStyle w:val="BodyText"/>
        <w:rPr>
          <w:b/>
          <w:bCs/>
        </w:rPr>
      </w:pPr>
      <w:r w:rsidRPr="00AA15EE">
        <w:rPr>
          <w:b/>
          <w:bCs/>
        </w:rPr>
        <w:t>Transakcie s kľúčovým manažmentom</w:t>
      </w:r>
    </w:p>
    <w:p w:rsidR="00B95F6B" w:rsidRDefault="00B95F6B">
      <w:pPr>
        <w:pStyle w:val="BodyText"/>
        <w:rPr>
          <w:b/>
          <w:bCs/>
        </w:rPr>
      </w:pPr>
    </w:p>
    <w:p w:rsidR="00B95F6B" w:rsidRDefault="00B95F6B">
      <w:pPr>
        <w:pStyle w:val="BodyText"/>
      </w:pPr>
      <w: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rokoch 2015 bol 10 a v roku 2014 bol 10.</w:t>
      </w:r>
    </w:p>
    <w:p w:rsidR="00B95F6B" w:rsidRDefault="00B95F6B">
      <w:pPr>
        <w:pStyle w:val="BodyText"/>
      </w:pPr>
    </w:p>
    <w:p w:rsidR="00B95F6B" w:rsidRDefault="00B95F6B">
      <w:pPr>
        <w:pStyle w:val="BodyText"/>
      </w:pPr>
      <w:r>
        <w:t>Odmeny vyplatené alebo záväzky voči osobám kľúčového manažmentu (ktoré sa vykazujú v rámci osobných nákladov vo výkaze ziskov a strát) sú nasledovné:</w:t>
      </w:r>
    </w:p>
    <w:p w:rsidR="00B95F6B" w:rsidRDefault="00B95F6B">
      <w:pPr>
        <w:pStyle w:val="BodyText"/>
      </w:pPr>
    </w:p>
    <w:p w:rsidR="00B95F6B" w:rsidRDefault="00B95F6B">
      <w:pPr>
        <w:pStyle w:val="BodyText"/>
      </w:pPr>
    </w:p>
    <w:p w:rsidR="00B95F6B" w:rsidRDefault="00B95F6B">
      <w:pPr>
        <w:pStyle w:val="BodyText"/>
      </w:pPr>
      <w:r w:rsidRPr="007A76E1">
        <w:object w:dxaOrig="9066" w:dyaOrig="4887">
          <v:shape id="_x0000_i1073" type="#_x0000_t75" style="width:439.5pt;height:85.5pt" o:ole="" o:preferrelative="f">
            <v:imagedata r:id="rId87" o:title="" cropbottom="44281f"/>
            <o:lock v:ext="edit" aspectratio="f"/>
          </v:shape>
          <o:OLEObject Type="Embed" ProgID="Excel.Sheet.12" ShapeID="_x0000_i1073" DrawAspect="Content" ObjectID="_1519102783" r:id="rId88"/>
        </w:object>
      </w:r>
      <w:r>
        <w:t>Kľúčovému manažmentu neboli poskytnuté žiadne iné významné platby alebo výhody.</w:t>
      </w:r>
    </w:p>
    <w:p w:rsidR="00B95F6B" w:rsidRDefault="00B95F6B" w:rsidP="007A76E1">
      <w:pPr>
        <w:pStyle w:val="BodyText"/>
        <w:ind w:left="0"/>
      </w:pPr>
    </w:p>
    <w:p w:rsidR="00B95F6B" w:rsidRPr="008C1FA6" w:rsidRDefault="00B95F6B" w:rsidP="002C62F4">
      <w:pPr>
        <w:pStyle w:val="Heading1"/>
      </w:pPr>
      <w:r w:rsidRPr="008C1FA6">
        <w:t>Informácie o príjmoch a výhodách členov štatutárnych orgánov, dozorných orgánov a iných orgánov účtovnej jednotky</w:t>
      </w:r>
    </w:p>
    <w:p w:rsidR="00B95F6B" w:rsidRPr="008C1FA6" w:rsidRDefault="00B95F6B" w:rsidP="002C62F4">
      <w:pPr>
        <w:pStyle w:val="BodyText"/>
        <w:ind w:left="0"/>
      </w:pPr>
    </w:p>
    <w:p w:rsidR="00B95F6B" w:rsidRPr="008C1FA6" w:rsidRDefault="00B95F6B" w:rsidP="002C62F4">
      <w:pPr>
        <w:pStyle w:val="BodyText"/>
        <w:ind w:left="360"/>
      </w:pPr>
      <w:r w:rsidRPr="008C1FA6">
        <w:t xml:space="preserve">Odmeny členov štatutárnych orgánov Fagor Ederlan Slovensko, a.s. za ich činnosť pre Fagor Ederlan Slovensko, a.s. v sledovanom </w:t>
      </w:r>
      <w:r>
        <w:t>účtovnom období  ani v roku 2014</w:t>
      </w:r>
      <w:r w:rsidRPr="008C1FA6">
        <w:t xml:space="preserve"> neboli vyplácané, tak isto ako neboli vyplácané ani odmeny dozorných orgánov Fagor Ederlan Slovensko, a. s. za sled</w:t>
      </w:r>
      <w:r>
        <w:t>ované obdobie ako aj za rok 2014</w:t>
      </w:r>
      <w:r w:rsidRPr="008C1FA6">
        <w:t>.</w:t>
      </w:r>
    </w:p>
    <w:p w:rsidR="00B95F6B" w:rsidRPr="008C1FA6" w:rsidRDefault="00B95F6B" w:rsidP="002C62F4">
      <w:pPr>
        <w:pStyle w:val="BodyText"/>
        <w:ind w:left="0"/>
      </w:pPr>
    </w:p>
    <w:p w:rsidR="00B95F6B" w:rsidRPr="008C1FA6" w:rsidRDefault="00B95F6B" w:rsidP="002C62F4">
      <w:pPr>
        <w:pStyle w:val="BodyText"/>
        <w:ind w:left="360"/>
      </w:pPr>
      <w:r w:rsidRPr="008C1FA6">
        <w:t>Členom štatutárneho orgánu, ani členom dozo</w:t>
      </w:r>
      <w:r>
        <w:t>rných orgánov neboli v roku 2015</w:t>
      </w:r>
      <w:r w:rsidRPr="008C1FA6">
        <w:t xml:space="preserve"> poskytnuté žiadne pôžičky, záruky alebo iné formy zabezpečenia, ani finančné prostriedky alebo iné plnenia na súkromné účely členov, kt</w:t>
      </w:r>
      <w:r>
        <w:t>oré sa vyúčtovávajú (v roku 2014</w:t>
      </w:r>
      <w:r w:rsidRPr="008C1FA6">
        <w:t>: žiadne).</w:t>
      </w:r>
    </w:p>
    <w:p w:rsidR="00B95F6B" w:rsidRPr="008C1FA6" w:rsidRDefault="00B95F6B" w:rsidP="002C62F4">
      <w:pPr>
        <w:pStyle w:val="BodyText"/>
        <w:ind w:left="0"/>
      </w:pPr>
    </w:p>
    <w:p w:rsidR="00B95F6B" w:rsidRPr="008C1FA6" w:rsidRDefault="00B95F6B" w:rsidP="002C62F4">
      <w:pPr>
        <w:pStyle w:val="BodyText"/>
        <w:ind w:left="0"/>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BodyText"/>
      </w:pPr>
    </w:p>
    <w:p w:rsidR="00B95F6B" w:rsidRDefault="00B95F6B">
      <w:pPr>
        <w:pStyle w:val="Heading1"/>
      </w:pPr>
      <w:r>
        <w:t>PREHĽAD O POHYBE VLASTNÉHO  IMANIA</w:t>
      </w:r>
    </w:p>
    <w:p w:rsidR="00B95F6B" w:rsidRPr="007A76E1" w:rsidRDefault="00B95F6B" w:rsidP="007A76E1"/>
    <w:p w:rsidR="00B95F6B" w:rsidRPr="008C1FA6" w:rsidRDefault="00B95F6B" w:rsidP="00425D38">
      <w:pPr>
        <w:pStyle w:val="BodyText"/>
        <w:ind w:left="360"/>
      </w:pPr>
    </w:p>
    <w:p w:rsidR="00B95F6B" w:rsidRPr="008C1FA6" w:rsidRDefault="00B95F6B" w:rsidP="00E01EBE">
      <w:pPr>
        <w:pStyle w:val="BodyText"/>
        <w:ind w:left="360"/>
      </w:pPr>
      <w:r w:rsidRPr="008C1FA6">
        <w:t>Prehľad o pohybe vlastného imania v priebehu účtovného obdobia je uvedený v nasledujúcom prehľade:</w:t>
      </w:r>
      <w:bookmarkStart w:id="20" w:name="_MON_1455507449"/>
      <w:bookmarkEnd w:id="20"/>
    </w:p>
    <w:p w:rsidR="00B95F6B" w:rsidRPr="008C1FA6" w:rsidRDefault="00B95F6B" w:rsidP="00E01EBE">
      <w:pPr>
        <w:pStyle w:val="BodyText"/>
        <w:ind w:left="0"/>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r>
        <w:rPr>
          <w:noProof/>
          <w:lang w:eastAsia="sk-SK"/>
        </w:rPr>
        <w:pict>
          <v:shape id="_x0000_s1028" type="#_x0000_t75" style="position:absolute;left:0;text-align:left;margin-left:-6.6pt;margin-top:11.85pt;width:490.7pt;height:348.7pt;z-index:251656704" o:preferrelative="f">
            <v:imagedata r:id="rId89" o:title=""/>
            <o:lock v:ext="edit" aspectratio="f"/>
            <w10:wrap type="square" side="right"/>
          </v:shape>
          <o:OLEObject Type="Embed" ProgID="Excel.Sheet.12" ShapeID="_x0000_s1028" DrawAspect="Content" ObjectID="_1519102786" r:id="rId90"/>
        </w:pict>
      </w: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Pr="008C1FA6" w:rsidRDefault="00B95F6B" w:rsidP="009A0042">
      <w:pPr>
        <w:pStyle w:val="BodyText"/>
      </w:pPr>
    </w:p>
    <w:p w:rsidR="00B95F6B" w:rsidRDefault="00B95F6B" w:rsidP="009A0042">
      <w:pPr>
        <w:pStyle w:val="BodyText"/>
      </w:pPr>
    </w:p>
    <w:p w:rsidR="00B95F6B" w:rsidRDefault="00B95F6B" w:rsidP="009A0042">
      <w:pPr>
        <w:pStyle w:val="BodyText"/>
      </w:pPr>
    </w:p>
    <w:p w:rsidR="00B95F6B" w:rsidRDefault="00B95F6B" w:rsidP="009A0042">
      <w:pPr>
        <w:pStyle w:val="BodyText"/>
      </w:pPr>
    </w:p>
    <w:p w:rsidR="00B95F6B" w:rsidRPr="008C1FA6" w:rsidRDefault="00B95F6B" w:rsidP="009A0042">
      <w:pPr>
        <w:pStyle w:val="BodyText"/>
      </w:pPr>
    </w:p>
    <w:p w:rsidR="00B95F6B" w:rsidRPr="008C1FA6" w:rsidRDefault="00B95F6B" w:rsidP="00C36443">
      <w:pPr>
        <w:pStyle w:val="BodyText"/>
        <w:ind w:left="0" w:firstLine="426"/>
      </w:pPr>
      <w:r w:rsidRPr="008C1FA6">
        <w:t>Prehľad o pohybe vlastného imania za predchádzajúce účtovné obdobie je uvedený v nasledujúcom prehľade:</w:t>
      </w:r>
    </w:p>
    <w:p w:rsidR="00B95F6B" w:rsidRPr="008C1FA6" w:rsidRDefault="00B95F6B" w:rsidP="00C36443">
      <w:pPr>
        <w:pStyle w:val="BodyText"/>
        <w:ind w:left="0" w:firstLine="426"/>
      </w:pPr>
      <w:r>
        <w:rPr>
          <w:noProof/>
          <w:lang w:eastAsia="sk-SK"/>
        </w:rPr>
        <w:pict>
          <v:shape id="_x0000_s1029" type="#_x0000_t75" style="position:absolute;left:0;text-align:left;margin-left:0;margin-top:20.55pt;width:477pt;height:374.85pt;z-index:251657728;mso-position-horizontal:left" o:preferrelative="f">
            <v:imagedata r:id="rId91" o:title=""/>
            <o:lock v:ext="edit" aspectratio="f"/>
            <w10:wrap type="square" side="right"/>
          </v:shape>
          <o:OLEObject Type="Embed" ProgID="Excel.Sheet.12" ShapeID="_x0000_s1029" DrawAspect="Content" ObjectID="_1519102787" r:id="rId92"/>
        </w:pict>
      </w:r>
    </w:p>
    <w:p w:rsidR="00B95F6B" w:rsidRPr="008C1FA6" w:rsidRDefault="00B95F6B" w:rsidP="009A0042">
      <w:pPr>
        <w:pStyle w:val="BodyText"/>
        <w:ind w:left="0"/>
      </w:pPr>
    </w:p>
    <w:p w:rsidR="00B95F6B" w:rsidRPr="008C1FA6" w:rsidRDefault="00B95F6B" w:rsidP="009A0042">
      <w:pPr>
        <w:pStyle w:val="BodyText"/>
      </w:pPr>
      <w:r>
        <w:br w:type="textWrapping" w:clear="all"/>
      </w:r>
    </w:p>
    <w:p w:rsidR="00B95F6B" w:rsidRPr="00F54C42" w:rsidRDefault="00B95F6B" w:rsidP="00F54C42">
      <w:pPr>
        <w:pStyle w:val="BodyText"/>
      </w:pPr>
    </w:p>
    <w:p w:rsidR="00B95F6B" w:rsidRPr="008C1FA6" w:rsidRDefault="00B95F6B" w:rsidP="009A0042">
      <w:pPr>
        <w:pStyle w:val="BodyText"/>
      </w:pPr>
    </w:p>
    <w:p w:rsidR="00B95F6B" w:rsidRPr="008C1FA6" w:rsidRDefault="00B95F6B" w:rsidP="00546E2B">
      <w:pPr>
        <w:pStyle w:val="BodyText"/>
        <w:ind w:left="0"/>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8C1FA6" w:rsidRDefault="00B95F6B" w:rsidP="009A0042">
      <w:pPr>
        <w:pStyle w:val="BodyText"/>
      </w:pPr>
    </w:p>
    <w:p w:rsidR="00B95F6B" w:rsidRPr="00D81746" w:rsidRDefault="00B95F6B" w:rsidP="00D81746">
      <w:pPr>
        <w:pStyle w:val="Heading1"/>
      </w:pPr>
      <w:r>
        <w:rPr>
          <w:noProof/>
          <w:lang w:eastAsia="sk-SK"/>
        </w:rPr>
        <w:pict>
          <v:shape id="_x0000_s1030" type="#_x0000_t75" style="position:absolute;left:0;text-align:left;margin-left:-18.6pt;margin-top:17.5pt;width:459.6pt;height:561.95pt;z-index:251655680">
            <v:imagedata r:id="rId93" o:title=""/>
            <w10:wrap type="topAndBottom" side="right"/>
          </v:shape>
          <o:OLEObject Type="Embed" ProgID="Excel.Sheet.8" ShapeID="_x0000_s1030" DrawAspect="Content" ObjectID="_1519102788" r:id="rId94"/>
        </w:pict>
      </w:r>
      <w:r w:rsidRPr="00D81746">
        <w:t>Prehľad peňažných tokov k 31. decembru 20</w:t>
      </w:r>
      <w:bookmarkEnd w:id="0"/>
      <w:r w:rsidRPr="00D81746">
        <w:t>15</w:t>
      </w:r>
    </w:p>
    <w:p w:rsidR="00B95F6B" w:rsidRPr="008C1FA6" w:rsidRDefault="00B95F6B" w:rsidP="00EA36F9"/>
    <w:p w:rsidR="00B95F6B" w:rsidRDefault="00B95F6B" w:rsidP="00BF10DC">
      <w:pPr>
        <w:pStyle w:val="BodyText"/>
        <w:ind w:left="0"/>
        <w:rPr>
          <w:b/>
          <w:bCs/>
        </w:rPr>
      </w:pPr>
      <w:r>
        <w:rPr>
          <w:b/>
          <w:bCs/>
        </w:rPr>
        <w:t xml:space="preserve">   </w:t>
      </w:r>
      <w:r w:rsidRPr="008C1FA6">
        <w:rPr>
          <w:b/>
          <w:bCs/>
        </w:rPr>
        <w:t xml:space="preserve"> </w:t>
      </w:r>
    </w:p>
    <w:p w:rsidR="00B95F6B" w:rsidRDefault="00B95F6B" w:rsidP="00BF10DC">
      <w:pPr>
        <w:pStyle w:val="BodyText"/>
        <w:ind w:left="0"/>
        <w:rPr>
          <w:b/>
          <w:bCs/>
        </w:rPr>
      </w:pPr>
    </w:p>
    <w:p w:rsidR="00B95F6B" w:rsidRDefault="00B95F6B" w:rsidP="00BF10DC">
      <w:pPr>
        <w:pStyle w:val="BodyText"/>
        <w:ind w:left="0"/>
        <w:rPr>
          <w:b/>
          <w:bCs/>
        </w:rPr>
      </w:pPr>
    </w:p>
    <w:p w:rsidR="00B95F6B" w:rsidRPr="008C1FA6" w:rsidRDefault="00B95F6B" w:rsidP="00BF10DC">
      <w:pPr>
        <w:pStyle w:val="BodyText"/>
        <w:ind w:left="0"/>
        <w:rPr>
          <w:b/>
          <w:bCs/>
        </w:rPr>
      </w:pPr>
    </w:p>
    <w:p w:rsidR="00B95F6B" w:rsidRPr="008C1FA6" w:rsidRDefault="00B95F6B" w:rsidP="00376CB6">
      <w:pPr>
        <w:pStyle w:val="BodyText"/>
        <w:rPr>
          <w:b/>
          <w:bCs/>
        </w:rPr>
      </w:pPr>
      <w:r w:rsidRPr="008C1FA6">
        <w:rPr>
          <w:b/>
          <w:bCs/>
        </w:rPr>
        <w:t>Peňažné prostriedky</w:t>
      </w:r>
    </w:p>
    <w:p w:rsidR="00B95F6B" w:rsidRPr="008C1FA6" w:rsidRDefault="00B95F6B" w:rsidP="00BF10DC">
      <w:pPr>
        <w:pStyle w:val="BodyText"/>
        <w:ind w:left="0"/>
        <w:rPr>
          <w:b/>
          <w:bCs/>
        </w:rPr>
      </w:pPr>
    </w:p>
    <w:p w:rsidR="00B95F6B" w:rsidRPr="008C1FA6" w:rsidRDefault="00B95F6B">
      <w:pPr>
        <w:pStyle w:val="BodyText"/>
      </w:pPr>
      <w:r w:rsidRPr="008C1FA6">
        <w:t>Peňažnými prostriedkami (angl. cash) sa rozumejú peňažné hotovosti, ekvivalenty peňažných hotovostí, peňažné prostrie</w:t>
      </w:r>
      <w:r>
        <w:t>dky na bežných účtoch v bankách alebo pobočkách zahraničných bánk,</w:t>
      </w:r>
      <w:r w:rsidRPr="008C1FA6">
        <w:t xml:space="preserve"> kontokore</w:t>
      </w:r>
      <w:r>
        <w:t>ntný účet a časť zostatku účtu p</w:t>
      </w:r>
      <w:r w:rsidRPr="008C1FA6">
        <w:t xml:space="preserve">eniaze na ceste, ktorý sa viaže na prevod medzi bežným účtom a pokladnicou alebo medzi dvoma bankovými účtami. </w:t>
      </w:r>
    </w:p>
    <w:p w:rsidR="00B95F6B" w:rsidRPr="008C1FA6" w:rsidRDefault="00B95F6B">
      <w:pPr>
        <w:pStyle w:val="BodyText"/>
      </w:pPr>
    </w:p>
    <w:p w:rsidR="00B95F6B" w:rsidRPr="008C1FA6" w:rsidRDefault="00B95F6B">
      <w:pPr>
        <w:pStyle w:val="BodyText"/>
        <w:rPr>
          <w:b/>
          <w:bCs/>
        </w:rPr>
      </w:pPr>
      <w:r w:rsidRPr="008C1FA6">
        <w:rPr>
          <w:b/>
          <w:bCs/>
        </w:rPr>
        <w:t>Peňažné ekvivalenty</w:t>
      </w:r>
    </w:p>
    <w:p w:rsidR="00B95F6B" w:rsidRPr="008C1FA6" w:rsidRDefault="00B95F6B">
      <w:pPr>
        <w:pStyle w:val="BodyText"/>
        <w:rPr>
          <w:b/>
          <w:bCs/>
        </w:rPr>
      </w:pPr>
    </w:p>
    <w:p w:rsidR="00B95F6B" w:rsidRPr="008C1FA6" w:rsidRDefault="00B95F6B">
      <w:pPr>
        <w:pStyle w:val="BodyText"/>
      </w:pPr>
      <w:r w:rsidRPr="008C1FA6">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95F6B" w:rsidRPr="008C1FA6" w:rsidRDefault="00B95F6B">
      <w:pPr>
        <w:pStyle w:val="BodyText"/>
      </w:pPr>
    </w:p>
    <w:p w:rsidR="00B95F6B" w:rsidRPr="008C1FA6" w:rsidRDefault="00B95F6B">
      <w:pPr>
        <w:pStyle w:val="BodyText"/>
      </w:pPr>
    </w:p>
    <w:p w:rsidR="00B95F6B" w:rsidRPr="008C1FA6" w:rsidRDefault="00B95F6B" w:rsidP="00C6464A">
      <w:pPr>
        <w:pStyle w:val="BodyText"/>
      </w:pPr>
      <w:r w:rsidRPr="008C1FA6">
        <w:t xml:space="preserve"> </w:t>
      </w:r>
    </w:p>
    <w:sectPr w:rsidR="00B95F6B" w:rsidRPr="008C1FA6" w:rsidSect="00E576FE">
      <w:headerReference w:type="default" r:id="rId95"/>
      <w:footerReference w:type="default" r:id="rId96"/>
      <w:pgSz w:w="11907" w:h="16840" w:code="9"/>
      <w:pgMar w:top="1980" w:right="1021" w:bottom="357" w:left="1673" w:header="675" w:footer="4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5F6B" w:rsidRDefault="00B95F6B">
      <w:r>
        <w:separator/>
      </w:r>
    </w:p>
  </w:endnote>
  <w:endnote w:type="continuationSeparator" w:id="0">
    <w:p w:rsidR="00B95F6B" w:rsidRDefault="00B95F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
    <w:panose1 w:val="02010600030101010101"/>
    <w:charset w:val="86"/>
    <w:family w:val="auto"/>
    <w:pitch w:val="variable"/>
    <w:sig w:usb0="00000003" w:usb1="080E0000" w:usb2="00000010" w:usb3="00000000" w:csb0="00040001"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Impact">
    <w:panose1 w:val="020B0806030902050204"/>
    <w:charset w:val="EE"/>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pPr>
      <w:pStyle w:val="Footer"/>
      <w:jc w:val="center"/>
    </w:pPr>
    <w:fldSimple w:instr=" PAGE   \* MERGEFORMAT ">
      <w:r>
        <w:rPr>
          <w:noProof/>
        </w:rPr>
        <w:t>18</w:t>
      </w:r>
    </w:fldSimple>
  </w:p>
  <w:p w:rsidR="00B95F6B" w:rsidRDefault="00B95F6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Pr="003B18B3" w:rsidRDefault="00B95F6B">
    <w:pPr>
      <w:pStyle w:val="Footer"/>
      <w:jc w:val="center"/>
      <w:rPr>
        <w:sz w:val="18"/>
        <w:szCs w:val="18"/>
      </w:rPr>
    </w:pPr>
    <w:r w:rsidRPr="003B18B3">
      <w:rPr>
        <w:sz w:val="18"/>
        <w:szCs w:val="18"/>
      </w:rPr>
      <w:fldChar w:fldCharType="begin"/>
    </w:r>
    <w:r w:rsidRPr="003B18B3">
      <w:rPr>
        <w:sz w:val="18"/>
        <w:szCs w:val="18"/>
      </w:rPr>
      <w:instrText xml:space="preserve"> PAGE   \* MERGEFORMAT </w:instrText>
    </w:r>
    <w:r w:rsidRPr="003B18B3">
      <w:rPr>
        <w:sz w:val="18"/>
        <w:szCs w:val="18"/>
      </w:rPr>
      <w:fldChar w:fldCharType="separate"/>
    </w:r>
    <w:r>
      <w:rPr>
        <w:noProof/>
        <w:sz w:val="18"/>
        <w:szCs w:val="18"/>
      </w:rPr>
      <w:t>12</w:t>
    </w:r>
    <w:r w:rsidRPr="003B18B3">
      <w:rPr>
        <w:sz w:val="18"/>
        <w:szCs w:val="18"/>
      </w:rPr>
      <w:fldChar w:fldCharType="end"/>
    </w:r>
  </w:p>
  <w:p w:rsidR="00B95F6B" w:rsidRDefault="00B95F6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pPr>
      <w:autoSpaceDE w:val="0"/>
      <w:autoSpaceDN w:val="0"/>
      <w:adjustRightInd w:val="0"/>
    </w:pPr>
  </w:p>
  <w:p w:rsidR="00B95F6B" w:rsidRDefault="00B95F6B" w:rsidP="00F94EBB">
    <w:pPr>
      <w:autoSpaceDE w:val="0"/>
      <w:autoSpaceDN w:val="0"/>
      <w:adjustRightInd w:val="0"/>
      <w:rPr>
        <w:rStyle w:val="PageNumber"/>
      </w:rPr>
    </w:pPr>
    <w:r>
      <w:rPr>
        <w:rStyle w:val="PageNumber"/>
      </w:rPr>
      <w:t xml:space="preserve">                                                                                                                  </w:t>
    </w:r>
    <w:r>
      <w:rPr>
        <w:rStyle w:val="PageNumber"/>
      </w:rPr>
      <w:tab/>
    </w:r>
    <w:r>
      <w:rPr>
        <w:rStyle w:val="PageNumber"/>
      </w:rPr>
      <w:tab/>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20</w:t>
    </w:r>
    <w:r>
      <w:rPr>
        <w:rStyle w:val="PageNumber"/>
      </w:rPr>
      <w:fldChar w:fldCharType="end"/>
    </w:r>
  </w:p>
  <w:p w:rsidR="00B95F6B" w:rsidRDefault="00B95F6B">
    <w:pPr>
      <w:autoSpaceDE w:val="0"/>
      <w:autoSpaceDN w:val="0"/>
      <w:adjustRightInd w:val="0"/>
    </w:pPr>
  </w:p>
  <w:p w:rsidR="00B95F6B" w:rsidRDefault="00B95F6B">
    <w:pPr>
      <w:pStyle w:val="Footer"/>
      <w:ind w:right="360"/>
    </w:pPr>
    <w:r>
      <w:tab/>
    </w:r>
  </w:p>
  <w:p w:rsidR="00B95F6B" w:rsidRDefault="00B95F6B">
    <w:pPr>
      <w:pStyle w:val="Footer"/>
      <w:ind w:right="360"/>
      <w:rPr>
        <w:sz w:val="18"/>
        <w:szCs w:val="18"/>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pPr>
      <w:autoSpaceDE w:val="0"/>
      <w:autoSpaceDN w:val="0"/>
      <w:adjustRightInd w:val="0"/>
    </w:pPr>
  </w:p>
  <w:p w:rsidR="00B95F6B" w:rsidRDefault="00B95F6B" w:rsidP="00BF2932">
    <w:pPr>
      <w:autoSpaceDE w:val="0"/>
      <w:autoSpaceDN w:val="0"/>
      <w:adjustRightInd w:val="0"/>
      <w:rPr>
        <w:rStyle w:val="PageNumber"/>
      </w:rPr>
    </w:pPr>
    <w:r>
      <w:rPr>
        <w:rStyle w:val="PageNumber"/>
      </w:rPr>
      <w:t xml:space="preserve">                                                                                                                  </w:t>
    </w:r>
    <w:r>
      <w:rPr>
        <w:rStyle w:val="PageNumber"/>
      </w:rPr>
      <w:tab/>
    </w:r>
    <w:r>
      <w:rPr>
        <w:rStyle w:val="PageNumber"/>
      </w:rPr>
      <w:tab/>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19</w:t>
    </w:r>
    <w:r>
      <w:rPr>
        <w:rStyle w:val="PageNumber"/>
      </w:rPr>
      <w:fldChar w:fldCharType="end"/>
    </w:r>
  </w:p>
  <w:p w:rsidR="00B95F6B" w:rsidRDefault="00B95F6B">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pPr>
      <w:autoSpaceDE w:val="0"/>
      <w:autoSpaceDN w:val="0"/>
      <w:adjustRightInd w:val="0"/>
    </w:pPr>
  </w:p>
  <w:p w:rsidR="00B95F6B" w:rsidRDefault="00B95F6B" w:rsidP="00F94EBB">
    <w:pPr>
      <w:tabs>
        <w:tab w:val="left" w:pos="1418"/>
      </w:tabs>
      <w:autoSpaceDE w:val="0"/>
      <w:autoSpaceDN w:val="0"/>
      <w:adjustRightInd w:val="0"/>
      <w:rPr>
        <w:rStyle w:val="PageNumber"/>
      </w:rPr>
    </w:pPr>
    <w:r>
      <w:rPr>
        <w:rStyle w:val="PageNumber"/>
      </w:rPr>
      <w:t xml:space="preserve">                                                                       </w:t>
    </w:r>
    <w:r>
      <w:rPr>
        <w:rStyle w:val="PageNumber"/>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23</w:t>
    </w:r>
    <w:r>
      <w:rPr>
        <w:rStyle w:val="PageNumber"/>
      </w:rPr>
      <w:fldChar w:fldCharType="end"/>
    </w:r>
  </w:p>
  <w:p w:rsidR="00B95F6B" w:rsidRDefault="00B95F6B">
    <w:pPr>
      <w:pStyle w:val="Footer"/>
      <w:ind w:right="360"/>
    </w:pPr>
  </w:p>
  <w:p w:rsidR="00B95F6B" w:rsidRDefault="00B95F6B">
    <w:pPr>
      <w:pStyle w:val="Footer"/>
      <w:ind w:right="360"/>
      <w:rPr>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5F6B" w:rsidRDefault="00B95F6B">
      <w:r>
        <w:separator/>
      </w:r>
    </w:p>
  </w:footnote>
  <w:footnote w:type="continuationSeparator" w:id="0">
    <w:p w:rsidR="00B95F6B" w:rsidRDefault="00B95F6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rsidP="006E4DDB">
    <w:pPr>
      <w:pStyle w:val="Header"/>
      <w:tabs>
        <w:tab w:val="clear" w:pos="4153"/>
        <w:tab w:val="clear" w:pos="8306"/>
        <w:tab w:val="center" w:pos="4820"/>
        <w:tab w:val="right" w:pos="9214"/>
      </w:tabs>
      <w:ind w:right="-1"/>
      <w:rPr>
        <w:sz w:val="18"/>
        <w:szCs w:val="18"/>
      </w:rPr>
    </w:pPr>
    <w:r w:rsidRPr="003878A5">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 o:spid="_x0000_i1026"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B95F6B" w:rsidRDefault="00B95F6B" w:rsidP="006E4DD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2015</w:t>
    </w:r>
    <w:r>
      <w:rPr>
        <w:rFonts w:ascii="Impact" w:hAnsi="Impact" w:cs="Impact"/>
        <w:color w:val="000080"/>
      </w:rPr>
      <w:tab/>
    </w:r>
    <w:r>
      <w:rPr>
        <w:rFonts w:ascii="Impact" w:hAnsi="Impact" w:cs="Impact"/>
        <w:color w:val="000080"/>
      </w:rPr>
      <w:tab/>
    </w:r>
  </w:p>
  <w:p w:rsidR="00B95F6B" w:rsidRDefault="00B95F6B" w:rsidP="006E4DD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B95F6B" w:rsidRPr="007E14EF">
      <w:trPr>
        <w:trHeight w:val="126"/>
      </w:trPr>
      <w:tc>
        <w:tcPr>
          <w:tcW w:w="2062" w:type="dxa"/>
          <w:tcBorders>
            <w:top w:val="nil"/>
            <w:left w:val="nil"/>
            <w:bottom w:val="nil"/>
            <w:right w:val="nil"/>
          </w:tcBorders>
          <w:vAlign w:val="center"/>
        </w:tcPr>
        <w:p w:rsidR="00B95F6B" w:rsidRPr="007E14EF" w:rsidRDefault="00B95F6B"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B95F6B" w:rsidRPr="007E14EF" w:rsidRDefault="00B95F6B" w:rsidP="006E4DDB">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B95F6B" w:rsidRPr="007E14EF">
      <w:trPr>
        <w:trHeight w:val="127"/>
      </w:trPr>
      <w:tc>
        <w:tcPr>
          <w:tcW w:w="2012" w:type="dxa"/>
          <w:tcBorders>
            <w:top w:val="nil"/>
            <w:left w:val="nil"/>
            <w:bottom w:val="nil"/>
            <w:right w:val="nil"/>
          </w:tcBorders>
          <w:vAlign w:val="center"/>
        </w:tcPr>
        <w:p w:rsidR="00B95F6B" w:rsidRPr="007E14EF" w:rsidRDefault="00B95F6B" w:rsidP="006E4DDB">
          <w:pPr>
            <w:spacing w:after="200" w:line="276" w:lineRule="auto"/>
            <w:rPr>
              <w:rFonts w:ascii="Calibri" w:hAnsi="Calibri" w:cs="Calibri"/>
              <w:sz w:val="22"/>
              <w:szCs w:val="22"/>
            </w:rPr>
          </w:pPr>
        </w:p>
      </w:tc>
      <w:tc>
        <w:tcPr>
          <w:tcW w:w="4162" w:type="dxa"/>
          <w:tcBorders>
            <w:top w:val="nil"/>
            <w:left w:val="nil"/>
            <w:bottom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B95F6B" w:rsidRPr="00797BDE" w:rsidRDefault="00B95F6B" w:rsidP="00797BDE">
    <w:pPr>
      <w:pStyle w:val="Header"/>
      <w:tabs>
        <w:tab w:val="clear" w:pos="4153"/>
        <w:tab w:val="clear" w:pos="8306"/>
        <w:tab w:val="center" w:pos="4820"/>
        <w:tab w:val="right" w:pos="9214"/>
      </w:tabs>
      <w:ind w:right="-1"/>
      <w:rPr>
        <w:rFonts w:ascii="Impact" w:hAnsi="Impact" w:cs="Impact"/>
        <w:b/>
        <w:bCs/>
        <w:color w:val="000080"/>
      </w:rPr>
    </w:pPr>
    <w:r>
      <w:rPr>
        <w:b/>
        <w:bCs/>
        <w:sz w:val="18"/>
        <w:szCs w:val="18"/>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rsidP="002A48EB">
    <w:pPr>
      <w:pStyle w:val="Header"/>
      <w:tabs>
        <w:tab w:val="clear" w:pos="4153"/>
        <w:tab w:val="clear" w:pos="8306"/>
        <w:tab w:val="center" w:pos="4820"/>
        <w:tab w:val="right" w:pos="9214"/>
      </w:tabs>
      <w:ind w:right="-1"/>
      <w:rPr>
        <w:sz w:val="18"/>
        <w:szCs w:val="18"/>
      </w:rPr>
    </w:pPr>
    <w:r w:rsidRPr="003878A5">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B95F6B" w:rsidRDefault="00B95F6B" w:rsidP="002A48E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2015</w:t>
    </w:r>
    <w:r>
      <w:rPr>
        <w:rFonts w:ascii="Impact" w:hAnsi="Impact" w:cs="Impact"/>
        <w:color w:val="000080"/>
      </w:rPr>
      <w:tab/>
    </w:r>
    <w:r>
      <w:rPr>
        <w:rFonts w:ascii="Impact" w:hAnsi="Impact" w:cs="Impact"/>
        <w:color w:val="000080"/>
      </w:rPr>
      <w:tab/>
    </w:r>
  </w:p>
  <w:p w:rsidR="00B95F6B" w:rsidRDefault="00B95F6B" w:rsidP="002A48E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B95F6B" w:rsidRPr="007E14EF">
      <w:trPr>
        <w:trHeight w:val="126"/>
      </w:trPr>
      <w:tc>
        <w:tcPr>
          <w:tcW w:w="2062" w:type="dxa"/>
          <w:tcBorders>
            <w:top w:val="nil"/>
            <w:left w:val="nil"/>
            <w:bottom w:val="nil"/>
            <w:right w:val="nil"/>
          </w:tcBorders>
          <w:vAlign w:val="center"/>
        </w:tcPr>
        <w:p w:rsidR="00B95F6B" w:rsidRPr="007E14EF" w:rsidRDefault="00B95F6B" w:rsidP="007E14EF">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B95F6B" w:rsidRPr="007E14EF" w:rsidRDefault="00B95F6B" w:rsidP="007E14EF">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B95F6B" w:rsidRPr="007E14EF">
      <w:trPr>
        <w:trHeight w:val="127"/>
      </w:trPr>
      <w:tc>
        <w:tcPr>
          <w:tcW w:w="2012" w:type="dxa"/>
          <w:tcBorders>
            <w:top w:val="nil"/>
            <w:left w:val="nil"/>
            <w:bottom w:val="nil"/>
            <w:right w:val="nil"/>
          </w:tcBorders>
          <w:vAlign w:val="center"/>
        </w:tcPr>
        <w:p w:rsidR="00B95F6B" w:rsidRPr="007E14EF" w:rsidRDefault="00B95F6B" w:rsidP="007E14EF">
          <w:pPr>
            <w:spacing w:after="200" w:line="276" w:lineRule="auto"/>
            <w:rPr>
              <w:rFonts w:ascii="Calibri" w:hAnsi="Calibri" w:cs="Calibri"/>
              <w:sz w:val="22"/>
              <w:szCs w:val="22"/>
            </w:rPr>
          </w:pPr>
        </w:p>
      </w:tc>
      <w:tc>
        <w:tcPr>
          <w:tcW w:w="4162" w:type="dxa"/>
          <w:tcBorders>
            <w:top w:val="nil"/>
            <w:left w:val="nil"/>
            <w:bottom w:val="nil"/>
          </w:tcBorders>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B95F6B" w:rsidRPr="007E14EF" w:rsidRDefault="00B95F6B" w:rsidP="007E14EF">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B95F6B" w:rsidRPr="007E14EF" w:rsidRDefault="00B95F6B" w:rsidP="007E14EF">
    <w:pPr>
      <w:rPr>
        <w:lang w:eastAsia="sk-SK"/>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rsidP="00EC7399">
    <w:pPr>
      <w:pStyle w:val="Header"/>
      <w:tabs>
        <w:tab w:val="clear" w:pos="4153"/>
        <w:tab w:val="clear" w:pos="8306"/>
        <w:tab w:val="center" w:pos="4820"/>
        <w:tab w:val="left" w:pos="5954"/>
        <w:tab w:val="right" w:pos="9214"/>
      </w:tabs>
      <w:ind w:right="-1"/>
      <w:rPr>
        <w:sz w:val="18"/>
        <w:szCs w:val="18"/>
      </w:rPr>
    </w:pPr>
    <w:r w:rsidRPr="003878A5">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68.25pt;height:21.75pt;visibility:visible">
          <v:imagedata r:id="rId1" o:title=""/>
        </v:shape>
      </w:pict>
    </w:r>
    <w:r>
      <w:rPr>
        <w:rFonts w:ascii="Impact" w:hAnsi="Impact" w:cs="Impact"/>
        <w:color w:val="000080"/>
      </w:rPr>
      <w:t xml:space="preserve">                                      </w:t>
    </w:r>
    <w:r>
      <w:rPr>
        <w:rFonts w:ascii="Impact" w:hAnsi="Impact" w:cs="Impact"/>
        <w:color w:val="000080"/>
      </w:rPr>
      <w:tab/>
    </w:r>
    <w:r>
      <w:rPr>
        <w:rFonts w:ascii="Impact" w:hAnsi="Impact" w:cs="Impact"/>
        <w:color w:val="000080"/>
      </w:rPr>
      <w:tab/>
    </w:r>
    <w:r>
      <w:rPr>
        <w:b/>
        <w:bCs/>
        <w:sz w:val="18"/>
        <w:szCs w:val="18"/>
      </w:rPr>
      <w:t>Fagor Ederlan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B95F6B" w:rsidRDefault="00B95F6B" w:rsidP="00EC7399">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2015</w:t>
    </w:r>
    <w:r>
      <w:rPr>
        <w:rFonts w:ascii="Impact" w:hAnsi="Impact" w:cs="Impact"/>
        <w:color w:val="000080"/>
      </w:rPr>
      <w:tab/>
    </w:r>
    <w:r>
      <w:rPr>
        <w:rFonts w:ascii="Impact" w:hAnsi="Impact" w:cs="Impact"/>
        <w:color w:val="000080"/>
      </w:rPr>
      <w:tab/>
    </w:r>
  </w:p>
  <w:p w:rsidR="00B95F6B" w:rsidRDefault="00B95F6B" w:rsidP="00EC7399">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9490"/>
      <w:gridCol w:w="280"/>
      <w:gridCol w:w="279"/>
      <w:gridCol w:w="283"/>
      <w:gridCol w:w="282"/>
      <w:gridCol w:w="283"/>
      <w:gridCol w:w="282"/>
      <w:gridCol w:w="283"/>
      <w:gridCol w:w="282"/>
      <w:gridCol w:w="283"/>
      <w:gridCol w:w="282"/>
    </w:tblGrid>
    <w:tr w:rsidR="00B95F6B" w:rsidRPr="007E14EF">
      <w:trPr>
        <w:trHeight w:val="126"/>
      </w:trPr>
      <w:tc>
        <w:tcPr>
          <w:tcW w:w="2062" w:type="dxa"/>
          <w:tcBorders>
            <w:top w:val="nil"/>
            <w:left w:val="nil"/>
            <w:bottom w:val="nil"/>
            <w:right w:val="nil"/>
          </w:tcBorders>
          <w:vAlign w:val="center"/>
        </w:tcPr>
        <w:p w:rsidR="00B95F6B" w:rsidRPr="007E14EF" w:rsidRDefault="00B95F6B"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9490" w:type="dxa"/>
          <w:tcBorders>
            <w:top w:val="nil"/>
            <w:left w:val="nil"/>
            <w:bottom w:val="nil"/>
            <w:right w:val="nil"/>
          </w:tcBorders>
          <w:vAlign w:val="center"/>
        </w:tcPr>
        <w:p w:rsidR="00B95F6B" w:rsidRPr="007E14EF" w:rsidRDefault="00B95F6B" w:rsidP="00526BB1">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B95F6B" w:rsidRPr="007E14EF" w:rsidRDefault="00B95F6B" w:rsidP="00EC7399">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9317"/>
      <w:gridCol w:w="279"/>
      <w:gridCol w:w="280"/>
      <w:gridCol w:w="279"/>
      <w:gridCol w:w="287"/>
      <w:gridCol w:w="279"/>
      <w:gridCol w:w="278"/>
      <w:gridCol w:w="279"/>
      <w:gridCol w:w="278"/>
      <w:gridCol w:w="279"/>
      <w:gridCol w:w="278"/>
    </w:tblGrid>
    <w:tr w:rsidR="00B95F6B" w:rsidRPr="007E14EF">
      <w:trPr>
        <w:trHeight w:val="127"/>
      </w:trPr>
      <w:tc>
        <w:tcPr>
          <w:tcW w:w="2012" w:type="dxa"/>
          <w:tcBorders>
            <w:top w:val="nil"/>
            <w:left w:val="nil"/>
            <w:bottom w:val="nil"/>
            <w:right w:val="nil"/>
          </w:tcBorders>
          <w:vAlign w:val="center"/>
        </w:tcPr>
        <w:p w:rsidR="00B95F6B" w:rsidRPr="007E14EF" w:rsidRDefault="00B95F6B" w:rsidP="00526BB1">
          <w:pPr>
            <w:spacing w:after="200" w:line="276" w:lineRule="auto"/>
            <w:rPr>
              <w:rFonts w:ascii="Calibri" w:hAnsi="Calibri" w:cs="Calibri"/>
              <w:sz w:val="22"/>
              <w:szCs w:val="22"/>
            </w:rPr>
          </w:pPr>
        </w:p>
      </w:tc>
      <w:tc>
        <w:tcPr>
          <w:tcW w:w="9317" w:type="dxa"/>
          <w:tcBorders>
            <w:top w:val="nil"/>
            <w:left w:val="nil"/>
            <w:bottom w:val="nil"/>
          </w:tcBorders>
          <w:vAlign w:val="center"/>
        </w:tcPr>
        <w:p w:rsidR="00B95F6B" w:rsidRPr="007E14EF" w:rsidRDefault="00B95F6B" w:rsidP="00526BB1">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B95F6B" w:rsidRPr="006E4DDB" w:rsidRDefault="00B95F6B" w:rsidP="00EC7399">
    <w:pPr>
      <w:pStyle w:val="Header"/>
    </w:pPr>
  </w:p>
  <w:p w:rsidR="00B95F6B" w:rsidRPr="006E4DDB" w:rsidRDefault="00B95F6B" w:rsidP="006E4DDB">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rsidP="006E4DDB">
    <w:pPr>
      <w:pStyle w:val="Header"/>
      <w:tabs>
        <w:tab w:val="clear" w:pos="4153"/>
        <w:tab w:val="clear" w:pos="8306"/>
        <w:tab w:val="center" w:pos="4820"/>
        <w:tab w:val="left" w:pos="5954"/>
        <w:tab w:val="right" w:pos="9214"/>
      </w:tabs>
      <w:ind w:right="-1"/>
      <w:rPr>
        <w:sz w:val="18"/>
        <w:szCs w:val="18"/>
      </w:rPr>
    </w:pPr>
    <w:r w:rsidRPr="003878A5">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68.25pt;height:21.75pt;visibility:visible">
          <v:imagedata r:id="rId1" o:title=""/>
        </v:shape>
      </w:pict>
    </w:r>
    <w:r>
      <w:rPr>
        <w:rFonts w:ascii="Impact" w:hAnsi="Impact" w:cs="Impact"/>
        <w:color w:val="000080"/>
      </w:rPr>
      <w:t xml:space="preserve">                                      </w:t>
    </w:r>
    <w:r>
      <w:rPr>
        <w:rFonts w:ascii="Impact" w:hAnsi="Impact" w:cs="Impact"/>
        <w:color w:val="000080"/>
      </w:rPr>
      <w:tab/>
    </w:r>
    <w:r>
      <w:rPr>
        <w:rFonts w:ascii="Impact" w:hAnsi="Impact" w:cs="Impact"/>
        <w:color w:val="000080"/>
      </w:rPr>
      <w:tab/>
    </w:r>
    <w:r>
      <w:rPr>
        <w:b/>
        <w:bCs/>
        <w:sz w:val="18"/>
        <w:szCs w:val="18"/>
      </w:rPr>
      <w:t>Fagor Ederlan Slovensko, a.s.</w:t>
    </w:r>
    <w:r>
      <w:rPr>
        <w:rFonts w:ascii="Impact" w:hAnsi="Impact" w:cs="Impact"/>
        <w:color w:val="000080"/>
      </w:rPr>
      <w:t xml:space="preserve">                                 </w:t>
    </w:r>
    <w:r>
      <w:rPr>
        <w:rFonts w:ascii="Impact" w:hAnsi="Impact" w:cs="Impact"/>
        <w:color w:val="000080"/>
      </w:rPr>
      <w:tab/>
      <w:t xml:space="preserve"> </w:t>
    </w:r>
    <w:r>
      <w:rPr>
        <w:rFonts w:ascii="Impact" w:hAnsi="Impact" w:cs="Impact"/>
        <w:color w:val="000080"/>
      </w:rPr>
      <w:tab/>
    </w:r>
    <w:r>
      <w:rPr>
        <w:rFonts w:ascii="Impact" w:hAnsi="Impact" w:cs="Impact"/>
        <w:color w:val="000080"/>
      </w:rPr>
      <w:tab/>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B95F6B" w:rsidRDefault="00B95F6B" w:rsidP="006E4DDB">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w:t>
    </w:r>
    <w:r>
      <w:rPr>
        <w:sz w:val="18"/>
        <w:szCs w:val="18"/>
      </w:rPr>
      <w:tab/>
    </w:r>
    <w:r>
      <w:rPr>
        <w:sz w:val="18"/>
        <w:szCs w:val="18"/>
      </w:rPr>
      <w:tab/>
    </w:r>
    <w:r>
      <w:rPr>
        <w:sz w:val="18"/>
        <w:szCs w:val="18"/>
      </w:rPr>
      <w:tab/>
    </w:r>
    <w:r>
      <w:rPr>
        <w:sz w:val="18"/>
        <w:szCs w:val="18"/>
      </w:rPr>
      <w:tab/>
      <w:t xml:space="preserve"> </w:t>
    </w:r>
    <w:r>
      <w:rPr>
        <w:sz w:val="18"/>
        <w:szCs w:val="18"/>
      </w:rPr>
      <w:tab/>
    </w:r>
    <w:r>
      <w:rPr>
        <w:sz w:val="18"/>
        <w:szCs w:val="18"/>
      </w:rPr>
      <w:tab/>
      <w:t xml:space="preserve">  k 31. decembru 2015</w:t>
    </w:r>
    <w:r>
      <w:rPr>
        <w:rFonts w:ascii="Impact" w:hAnsi="Impact" w:cs="Impact"/>
        <w:color w:val="000080"/>
      </w:rPr>
      <w:tab/>
    </w:r>
    <w:r>
      <w:rPr>
        <w:rFonts w:ascii="Impact" w:hAnsi="Impact" w:cs="Impact"/>
        <w:color w:val="000080"/>
      </w:rPr>
      <w:tab/>
    </w:r>
  </w:p>
  <w:p w:rsidR="00B95F6B" w:rsidRDefault="00B95F6B" w:rsidP="006E4DDB">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9490"/>
      <w:gridCol w:w="280"/>
      <w:gridCol w:w="279"/>
      <w:gridCol w:w="283"/>
      <w:gridCol w:w="282"/>
      <w:gridCol w:w="283"/>
      <w:gridCol w:w="282"/>
      <w:gridCol w:w="283"/>
      <w:gridCol w:w="282"/>
      <w:gridCol w:w="283"/>
      <w:gridCol w:w="282"/>
    </w:tblGrid>
    <w:tr w:rsidR="00B95F6B" w:rsidRPr="007E14EF">
      <w:trPr>
        <w:trHeight w:val="126"/>
      </w:trPr>
      <w:tc>
        <w:tcPr>
          <w:tcW w:w="2062" w:type="dxa"/>
          <w:tcBorders>
            <w:top w:val="nil"/>
            <w:left w:val="nil"/>
            <w:bottom w:val="nil"/>
            <w:right w:val="nil"/>
          </w:tcBorders>
          <w:vAlign w:val="center"/>
        </w:tcPr>
        <w:p w:rsidR="00B95F6B" w:rsidRPr="007E14EF" w:rsidRDefault="00B95F6B" w:rsidP="006E4DDB">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9490" w:type="dxa"/>
          <w:tcBorders>
            <w:top w:val="nil"/>
            <w:left w:val="nil"/>
            <w:bottom w:val="nil"/>
            <w:right w:val="nil"/>
          </w:tcBorders>
          <w:vAlign w:val="center"/>
        </w:tcPr>
        <w:p w:rsidR="00B95F6B" w:rsidRPr="007E14EF" w:rsidRDefault="00B95F6B" w:rsidP="006E4DDB">
          <w:pPr>
            <w:tabs>
              <w:tab w:val="center" w:pos="4253"/>
              <w:tab w:val="left" w:pos="7152"/>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B95F6B" w:rsidRPr="007E14EF" w:rsidRDefault="00B95F6B" w:rsidP="006E4DDB">
    <w:pPr>
      <w:tabs>
        <w:tab w:val="center" w:pos="4536"/>
        <w:tab w:val="center" w:pos="4962"/>
        <w:tab w:val="right" w:pos="9072"/>
        <w:tab w:val="right" w:pos="9213"/>
      </w:tabs>
      <w:ind w:right="-1"/>
      <w:jc w:val="right"/>
      <w:rPr>
        <w:rFonts w:eastAsia="Times New Roman"/>
        <w:sz w:val="18"/>
        <w:szCs w:val="18"/>
        <w:lang w:val="en-GB"/>
      </w:rPr>
    </w:pPr>
  </w:p>
  <w:tbl>
    <w:tblPr>
      <w:tblW w:w="14125"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9317"/>
      <w:gridCol w:w="279"/>
      <w:gridCol w:w="280"/>
      <w:gridCol w:w="279"/>
      <w:gridCol w:w="287"/>
      <w:gridCol w:w="279"/>
      <w:gridCol w:w="278"/>
      <w:gridCol w:w="279"/>
      <w:gridCol w:w="278"/>
      <w:gridCol w:w="279"/>
      <w:gridCol w:w="278"/>
    </w:tblGrid>
    <w:tr w:rsidR="00B95F6B" w:rsidRPr="007E14EF">
      <w:trPr>
        <w:trHeight w:val="127"/>
      </w:trPr>
      <w:tc>
        <w:tcPr>
          <w:tcW w:w="2012" w:type="dxa"/>
          <w:tcBorders>
            <w:top w:val="nil"/>
            <w:left w:val="nil"/>
            <w:bottom w:val="nil"/>
            <w:right w:val="nil"/>
          </w:tcBorders>
          <w:vAlign w:val="center"/>
        </w:tcPr>
        <w:p w:rsidR="00B95F6B" w:rsidRPr="007E14EF" w:rsidRDefault="00B95F6B" w:rsidP="006E4DDB">
          <w:pPr>
            <w:spacing w:after="200" w:line="276" w:lineRule="auto"/>
            <w:rPr>
              <w:rFonts w:ascii="Calibri" w:hAnsi="Calibri" w:cs="Calibri"/>
              <w:sz w:val="22"/>
              <w:szCs w:val="22"/>
            </w:rPr>
          </w:pPr>
        </w:p>
      </w:tc>
      <w:tc>
        <w:tcPr>
          <w:tcW w:w="9317" w:type="dxa"/>
          <w:tcBorders>
            <w:top w:val="nil"/>
            <w:left w:val="nil"/>
            <w:bottom w:val="nil"/>
          </w:tcBorders>
          <w:vAlign w:val="center"/>
        </w:tcPr>
        <w:p w:rsidR="00B95F6B" w:rsidRPr="007E14EF" w:rsidRDefault="00B95F6B" w:rsidP="006E4DDB">
          <w:pPr>
            <w:tabs>
              <w:tab w:val="center" w:pos="4253"/>
              <w:tab w:val="right" w:pos="9072"/>
              <w:tab w:val="right" w:pos="9213"/>
            </w:tabs>
            <w:spacing w:line="276" w:lineRule="auto"/>
            <w:jc w:val="right"/>
            <w:rPr>
              <w:rFonts w:eastAsia="Times New Roman"/>
              <w:sz w:val="18"/>
              <w:szCs w:val="18"/>
            </w:rPr>
          </w:pPr>
          <w:r w:rsidRPr="007E14EF">
            <w:rPr>
              <w:rFonts w:eastAsia="Times New Roman"/>
              <w:sz w:val="18"/>
              <w:szCs w:val="18"/>
            </w:rPr>
            <w:t xml:space="preserve">                                                                                DIČ</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B95F6B" w:rsidRPr="007E14EF" w:rsidRDefault="00B95F6B" w:rsidP="006E4DDB">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B95F6B" w:rsidRPr="006E4DDB" w:rsidRDefault="00B95F6B" w:rsidP="006E4DDB">
    <w:pPr>
      <w:pStyle w:val="Heade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5F6B" w:rsidRDefault="00B95F6B" w:rsidP="00EC7399">
    <w:pPr>
      <w:pStyle w:val="Header"/>
      <w:tabs>
        <w:tab w:val="clear" w:pos="4153"/>
        <w:tab w:val="clear" w:pos="8306"/>
        <w:tab w:val="center" w:pos="4820"/>
        <w:tab w:val="right" w:pos="9214"/>
      </w:tabs>
      <w:ind w:right="-1"/>
      <w:rPr>
        <w:sz w:val="18"/>
        <w:szCs w:val="18"/>
      </w:rPr>
    </w:pPr>
    <w:r w:rsidRPr="003878A5">
      <w:rPr>
        <w:rFonts w:ascii="Impact" w:hAnsi="Impact" w:cs="Impact"/>
        <w:noProof/>
        <w:color w:val="000080"/>
        <w:lang w:eastAsia="sk-SK"/>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68.25pt;height:21.75pt;visibility:visible">
          <v:imagedata r:id="rId1" o:title=""/>
        </v:shape>
      </w:pict>
    </w:r>
    <w:r>
      <w:rPr>
        <w:rFonts w:ascii="Impact" w:hAnsi="Impact" w:cs="Impact"/>
        <w:color w:val="000080"/>
      </w:rPr>
      <w:t xml:space="preserve">                                               </w:t>
    </w:r>
    <w:r>
      <w:rPr>
        <w:b/>
        <w:bCs/>
        <w:sz w:val="18"/>
        <w:szCs w:val="18"/>
      </w:rPr>
      <w:t>Fagor Ederlan Slovensko, a.s.</w:t>
    </w:r>
    <w:r>
      <w:rPr>
        <w:rFonts w:ascii="Impact" w:hAnsi="Impact" w:cs="Impact"/>
        <w:color w:val="000080"/>
      </w:rPr>
      <w:t xml:space="preserve">                                       </w:t>
    </w:r>
    <w:r>
      <w:rPr>
        <w:sz w:val="18"/>
        <w:szCs w:val="18"/>
      </w:rPr>
      <w:t xml:space="preserve">Poznámky </w:t>
    </w:r>
    <w:r>
      <w:rPr>
        <w:rFonts w:ascii="Impact" w:hAnsi="Impact" w:cs="Impact"/>
        <w:color w:val="000080"/>
      </w:rPr>
      <w:t xml:space="preserve"> </w:t>
    </w:r>
    <w:r>
      <w:rPr>
        <w:sz w:val="18"/>
        <w:szCs w:val="18"/>
      </w:rPr>
      <w:t>k účtovnej závierke</w:t>
    </w:r>
  </w:p>
  <w:p w:rsidR="00B95F6B" w:rsidRDefault="00B95F6B" w:rsidP="00EC7399">
    <w:pPr>
      <w:pStyle w:val="Header"/>
      <w:tabs>
        <w:tab w:val="clear" w:pos="4153"/>
        <w:tab w:val="clear" w:pos="8306"/>
        <w:tab w:val="center" w:pos="4820"/>
        <w:tab w:val="right" w:pos="9214"/>
      </w:tabs>
      <w:ind w:right="-1"/>
      <w:rPr>
        <w:rFonts w:ascii="Impact" w:hAnsi="Impact" w:cs="Impact"/>
        <w:b/>
        <w:bCs/>
        <w:color w:val="000080"/>
      </w:rPr>
    </w:pPr>
    <w:r>
      <w:rPr>
        <w:sz w:val="18"/>
        <w:szCs w:val="18"/>
      </w:rPr>
      <w:t xml:space="preserve">                                                                                                                                                               k 31. decembru 2015</w:t>
    </w:r>
    <w:r>
      <w:rPr>
        <w:rFonts w:ascii="Impact" w:hAnsi="Impact" w:cs="Impact"/>
        <w:color w:val="000080"/>
      </w:rPr>
      <w:tab/>
    </w:r>
    <w:r>
      <w:rPr>
        <w:rFonts w:ascii="Impact" w:hAnsi="Impact" w:cs="Impact"/>
        <w:color w:val="000080"/>
      </w:rPr>
      <w:tab/>
    </w:r>
  </w:p>
  <w:p w:rsidR="00B95F6B" w:rsidRDefault="00B95F6B" w:rsidP="00EC7399">
    <w:pPr>
      <w:pStyle w:val="Header"/>
      <w:tabs>
        <w:tab w:val="clear" w:pos="4153"/>
        <w:tab w:val="clear" w:pos="8306"/>
        <w:tab w:val="center" w:pos="4820"/>
        <w:tab w:val="right" w:pos="9214"/>
      </w:tabs>
      <w:ind w:right="-1"/>
      <w:rPr>
        <w:b/>
        <w:bCs/>
        <w:sz w:val="18"/>
        <w:szCs w:val="18"/>
      </w:rPr>
    </w:pPr>
    <w:r>
      <w:rPr>
        <w:b/>
        <w:bCs/>
        <w:sz w:val="18"/>
        <w:szCs w:val="1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62"/>
      <w:gridCol w:w="4317"/>
      <w:gridCol w:w="280"/>
      <w:gridCol w:w="279"/>
      <w:gridCol w:w="283"/>
      <w:gridCol w:w="282"/>
      <w:gridCol w:w="283"/>
      <w:gridCol w:w="282"/>
      <w:gridCol w:w="283"/>
      <w:gridCol w:w="282"/>
      <w:gridCol w:w="283"/>
      <w:gridCol w:w="282"/>
    </w:tblGrid>
    <w:tr w:rsidR="00B95F6B" w:rsidRPr="007E14EF">
      <w:trPr>
        <w:trHeight w:val="126"/>
      </w:trPr>
      <w:tc>
        <w:tcPr>
          <w:tcW w:w="2062" w:type="dxa"/>
          <w:tcBorders>
            <w:top w:val="nil"/>
            <w:left w:val="nil"/>
            <w:bottom w:val="nil"/>
            <w:right w:val="nil"/>
          </w:tcBorders>
          <w:vAlign w:val="center"/>
        </w:tcPr>
        <w:p w:rsidR="00B95F6B" w:rsidRPr="007E14EF" w:rsidRDefault="00B95F6B" w:rsidP="00526BB1">
          <w:pPr>
            <w:tabs>
              <w:tab w:val="center" w:pos="4253"/>
              <w:tab w:val="right" w:pos="9072"/>
              <w:tab w:val="right" w:pos="9213"/>
            </w:tabs>
            <w:spacing w:line="276" w:lineRule="auto"/>
            <w:ind w:firstLine="2"/>
            <w:rPr>
              <w:rFonts w:eastAsia="Times New Roman"/>
              <w:sz w:val="18"/>
              <w:szCs w:val="18"/>
            </w:rPr>
          </w:pPr>
          <w:r w:rsidRPr="007E14EF">
            <w:rPr>
              <w:rFonts w:eastAsia="Times New Roman"/>
              <w:sz w:val="18"/>
              <w:szCs w:val="18"/>
            </w:rPr>
            <w:t>Poznámky Úč POD 3 - 01</w:t>
          </w:r>
        </w:p>
      </w:tc>
      <w:tc>
        <w:tcPr>
          <w:tcW w:w="4317" w:type="dxa"/>
          <w:tcBorders>
            <w:top w:val="nil"/>
            <w:left w:val="nil"/>
            <w:bottom w:val="nil"/>
            <w:right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IČO</w:t>
          </w:r>
        </w:p>
      </w:tc>
      <w:tc>
        <w:tcPr>
          <w:tcW w:w="280" w:type="dxa"/>
          <w:tcBorders>
            <w:top w:val="nil"/>
            <w:left w:val="nil"/>
            <w:bottom w:val="nil"/>
            <w:right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p>
      </w:tc>
      <w:tc>
        <w:tcPr>
          <w:tcW w:w="279" w:type="dxa"/>
          <w:tcBorders>
            <w:top w:val="nil"/>
            <w:left w:val="nil"/>
            <w:bottom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9</w:t>
          </w:r>
        </w:p>
      </w:tc>
      <w:tc>
        <w:tcPr>
          <w:tcW w:w="283"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3</w:t>
          </w:r>
        </w:p>
      </w:tc>
      <w:tc>
        <w:tcPr>
          <w:tcW w:w="282"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r>
  </w:tbl>
  <w:p w:rsidR="00B95F6B" w:rsidRPr="007E14EF" w:rsidRDefault="00B95F6B" w:rsidP="00EC7399">
    <w:pPr>
      <w:tabs>
        <w:tab w:val="center" w:pos="4536"/>
        <w:tab w:val="center" w:pos="4962"/>
        <w:tab w:val="right" w:pos="9072"/>
        <w:tab w:val="right" w:pos="9213"/>
      </w:tabs>
      <w:ind w:right="-1"/>
      <w:jc w:val="right"/>
      <w:rPr>
        <w:rFonts w:eastAsia="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tblPr>
    <w:tblGrid>
      <w:gridCol w:w="2012"/>
      <w:gridCol w:w="4162"/>
      <w:gridCol w:w="279"/>
      <w:gridCol w:w="280"/>
      <w:gridCol w:w="279"/>
      <w:gridCol w:w="287"/>
      <w:gridCol w:w="279"/>
      <w:gridCol w:w="278"/>
      <w:gridCol w:w="279"/>
      <w:gridCol w:w="278"/>
      <w:gridCol w:w="279"/>
      <w:gridCol w:w="278"/>
    </w:tblGrid>
    <w:tr w:rsidR="00B95F6B" w:rsidRPr="007E14EF">
      <w:trPr>
        <w:trHeight w:val="127"/>
      </w:trPr>
      <w:tc>
        <w:tcPr>
          <w:tcW w:w="2012" w:type="dxa"/>
          <w:tcBorders>
            <w:top w:val="nil"/>
            <w:left w:val="nil"/>
            <w:bottom w:val="nil"/>
            <w:right w:val="nil"/>
          </w:tcBorders>
          <w:vAlign w:val="center"/>
        </w:tcPr>
        <w:p w:rsidR="00B95F6B" w:rsidRPr="007E14EF" w:rsidRDefault="00B95F6B" w:rsidP="00526BB1">
          <w:pPr>
            <w:spacing w:after="200" w:line="276" w:lineRule="auto"/>
            <w:rPr>
              <w:rFonts w:ascii="Calibri" w:hAnsi="Calibri" w:cs="Calibri"/>
              <w:sz w:val="22"/>
              <w:szCs w:val="22"/>
            </w:rPr>
          </w:pPr>
        </w:p>
      </w:tc>
      <w:tc>
        <w:tcPr>
          <w:tcW w:w="4162" w:type="dxa"/>
          <w:tcBorders>
            <w:top w:val="nil"/>
            <w:left w:val="nil"/>
            <w:bottom w:val="nil"/>
          </w:tcBorders>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sidRPr="007E14EF">
            <w:rPr>
              <w:rFonts w:eastAsia="Times New Roman"/>
              <w:sz w:val="18"/>
              <w:szCs w:val="18"/>
            </w:rPr>
            <w:t xml:space="preserve">                                                                                DIČ</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0"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2</w:t>
          </w:r>
        </w:p>
      </w:tc>
      <w:tc>
        <w:tcPr>
          <w:tcW w:w="287"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6</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4</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0</w:t>
          </w:r>
        </w:p>
      </w:tc>
      <w:tc>
        <w:tcPr>
          <w:tcW w:w="279"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5</w:t>
          </w:r>
        </w:p>
      </w:tc>
      <w:tc>
        <w:tcPr>
          <w:tcW w:w="278" w:type="dxa"/>
          <w:vAlign w:val="center"/>
        </w:tcPr>
        <w:p w:rsidR="00B95F6B" w:rsidRPr="007E14EF" w:rsidRDefault="00B95F6B" w:rsidP="00526BB1">
          <w:pPr>
            <w:tabs>
              <w:tab w:val="center" w:pos="4253"/>
              <w:tab w:val="right" w:pos="9072"/>
              <w:tab w:val="right" w:pos="9213"/>
            </w:tabs>
            <w:spacing w:line="276" w:lineRule="auto"/>
            <w:jc w:val="center"/>
            <w:rPr>
              <w:rFonts w:eastAsia="Times New Roman"/>
              <w:sz w:val="18"/>
              <w:szCs w:val="18"/>
            </w:rPr>
          </w:pPr>
          <w:r>
            <w:rPr>
              <w:rFonts w:eastAsia="Times New Roman"/>
              <w:sz w:val="18"/>
              <w:szCs w:val="18"/>
            </w:rPr>
            <w:t>7</w:t>
          </w:r>
        </w:p>
      </w:tc>
    </w:tr>
  </w:tbl>
  <w:p w:rsidR="00B95F6B" w:rsidRPr="006E4DDB" w:rsidRDefault="00B95F6B" w:rsidP="006E4DD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ascii="Times New Roman" w:hAnsi="Times New Roman" w:cs="Times New Roman"/>
        <w:b w:val="0"/>
        <w:bCs w:val="0"/>
        <w:i w:val="0"/>
        <w:iCs w:val="0"/>
        <w:caps w:val="0"/>
        <w:smallCaps w:val="0"/>
        <w:strike w:val="0"/>
        <w:vanish w:val="0"/>
        <w:color w:val="000000"/>
      </w:rPr>
    </w:lvl>
    <w:lvl w:ilvl="1" w:tplc="04090019">
      <w:start w:val="1"/>
      <w:numFmt w:val="lowerLetter"/>
      <w:lvlText w:val="%2."/>
      <w:lvlJc w:val="left"/>
      <w:pPr>
        <w:tabs>
          <w:tab w:val="num" w:pos="1912"/>
        </w:tabs>
        <w:ind w:left="1912" w:hanging="360"/>
      </w:pPr>
      <w:rPr>
        <w:rFonts w:ascii="Times New Roman" w:hAnsi="Times New Roman" w:cs="Times New Roman"/>
        <w:b w:val="0"/>
        <w:bCs w:val="0"/>
        <w:i w:val="0"/>
        <w:iCs w:val="0"/>
        <w:caps w:val="0"/>
        <w:smallCaps w:val="0"/>
        <w:strike w:val="0"/>
        <w:vanish w:val="0"/>
        <w:color w:val="000000"/>
      </w:rPr>
    </w:lvl>
    <w:lvl w:ilvl="2" w:tplc="0409001B">
      <w:start w:val="1"/>
      <w:numFmt w:val="lowerRoman"/>
      <w:lvlText w:val="%3."/>
      <w:lvlJc w:val="right"/>
      <w:pPr>
        <w:tabs>
          <w:tab w:val="num" w:pos="2632"/>
        </w:tabs>
        <w:ind w:left="2632" w:hanging="180"/>
      </w:pPr>
      <w:rPr>
        <w:rFonts w:ascii="Times New Roman" w:hAnsi="Times New Roman" w:cs="Times New Roman"/>
        <w:b w:val="0"/>
        <w:bCs w:val="0"/>
        <w:i w:val="0"/>
        <w:iCs w:val="0"/>
        <w:caps w:val="0"/>
        <w:smallCaps w:val="0"/>
        <w:strike w:val="0"/>
        <w:vanish w:val="0"/>
        <w:color w:val="000000"/>
      </w:rPr>
    </w:lvl>
    <w:lvl w:ilvl="3" w:tplc="0409000F">
      <w:start w:val="1"/>
      <w:numFmt w:val="decimal"/>
      <w:lvlText w:val="%4."/>
      <w:lvlJc w:val="left"/>
      <w:pPr>
        <w:tabs>
          <w:tab w:val="num" w:pos="3352"/>
        </w:tabs>
        <w:ind w:left="3352" w:hanging="360"/>
      </w:pPr>
      <w:rPr>
        <w:rFonts w:ascii="Times New Roman" w:hAnsi="Times New Roman" w:cs="Times New Roman"/>
        <w:b w:val="0"/>
        <w:bCs w:val="0"/>
        <w:i w:val="0"/>
        <w:iCs w:val="0"/>
        <w:caps w:val="0"/>
        <w:smallCaps w:val="0"/>
        <w:strike w:val="0"/>
        <w:vanish w:val="0"/>
        <w:color w:val="000000"/>
      </w:rPr>
    </w:lvl>
    <w:lvl w:ilvl="4" w:tplc="04090019">
      <w:start w:val="1"/>
      <w:numFmt w:val="lowerLetter"/>
      <w:lvlText w:val="%5."/>
      <w:lvlJc w:val="left"/>
      <w:pPr>
        <w:tabs>
          <w:tab w:val="num" w:pos="4072"/>
        </w:tabs>
        <w:ind w:left="4072" w:hanging="360"/>
      </w:pPr>
      <w:rPr>
        <w:rFonts w:ascii="Times New Roman" w:hAnsi="Times New Roman" w:cs="Times New Roman"/>
        <w:b w:val="0"/>
        <w:bCs w:val="0"/>
        <w:i w:val="0"/>
        <w:iCs w:val="0"/>
        <w:caps w:val="0"/>
        <w:smallCaps w:val="0"/>
        <w:strike w:val="0"/>
        <w:vanish w:val="0"/>
        <w:color w:val="000000"/>
      </w:rPr>
    </w:lvl>
    <w:lvl w:ilvl="5" w:tplc="0409001B">
      <w:start w:val="1"/>
      <w:numFmt w:val="lowerRoman"/>
      <w:lvlText w:val="%6."/>
      <w:lvlJc w:val="right"/>
      <w:pPr>
        <w:tabs>
          <w:tab w:val="num" w:pos="4792"/>
        </w:tabs>
        <w:ind w:left="4792" w:hanging="180"/>
      </w:pPr>
      <w:rPr>
        <w:rFonts w:ascii="Times New Roman" w:hAnsi="Times New Roman" w:cs="Times New Roman"/>
        <w:b w:val="0"/>
        <w:bCs w:val="0"/>
        <w:i w:val="0"/>
        <w:iCs w:val="0"/>
        <w:caps w:val="0"/>
        <w:smallCaps w:val="0"/>
        <w:strike w:val="0"/>
        <w:vanish w:val="0"/>
        <w:color w:val="000000"/>
      </w:rPr>
    </w:lvl>
    <w:lvl w:ilvl="6" w:tplc="0409000F">
      <w:start w:val="1"/>
      <w:numFmt w:val="decimal"/>
      <w:lvlText w:val="%7."/>
      <w:lvlJc w:val="left"/>
      <w:pPr>
        <w:tabs>
          <w:tab w:val="num" w:pos="5512"/>
        </w:tabs>
        <w:ind w:left="5512" w:hanging="360"/>
      </w:pPr>
      <w:rPr>
        <w:rFonts w:ascii="Times New Roman" w:hAnsi="Times New Roman" w:cs="Times New Roman"/>
        <w:b w:val="0"/>
        <w:bCs w:val="0"/>
        <w:i w:val="0"/>
        <w:iCs w:val="0"/>
        <w:caps w:val="0"/>
        <w:smallCaps w:val="0"/>
        <w:strike w:val="0"/>
        <w:vanish w:val="0"/>
        <w:color w:val="000000"/>
      </w:rPr>
    </w:lvl>
    <w:lvl w:ilvl="7" w:tplc="04090019">
      <w:start w:val="1"/>
      <w:numFmt w:val="lowerLetter"/>
      <w:lvlText w:val="%8."/>
      <w:lvlJc w:val="left"/>
      <w:pPr>
        <w:tabs>
          <w:tab w:val="num" w:pos="6232"/>
        </w:tabs>
        <w:ind w:left="6232" w:hanging="360"/>
      </w:pPr>
      <w:rPr>
        <w:rFonts w:ascii="Times New Roman" w:hAnsi="Times New Roman" w:cs="Times New Roman"/>
        <w:b w:val="0"/>
        <w:bCs w:val="0"/>
        <w:i w:val="0"/>
        <w:iCs w:val="0"/>
        <w:caps w:val="0"/>
        <w:smallCaps w:val="0"/>
        <w:strike w:val="0"/>
        <w:vanish w:val="0"/>
        <w:color w:val="000000"/>
      </w:rPr>
    </w:lvl>
    <w:lvl w:ilvl="8" w:tplc="0409001B">
      <w:start w:val="1"/>
      <w:numFmt w:val="lowerRoman"/>
      <w:lvlText w:val="%9."/>
      <w:lvlJc w:val="right"/>
      <w:pPr>
        <w:tabs>
          <w:tab w:val="num" w:pos="6952"/>
        </w:tabs>
        <w:ind w:left="6952" w:hanging="180"/>
      </w:pPr>
      <w:rPr>
        <w:rFonts w:ascii="Times New Roman" w:hAnsi="Times New Roman" w:cs="Times New Roman"/>
        <w:b w:val="0"/>
        <w:bCs w:val="0"/>
        <w:i w:val="0"/>
        <w:iCs w:val="0"/>
        <w:caps w:val="0"/>
        <w:smallCaps w:val="0"/>
        <w:strike w:val="0"/>
        <w:vanish w:val="0"/>
        <w:color w:val="000000"/>
      </w:rPr>
    </w:lvl>
  </w:abstractNum>
  <w:abstractNum w:abstractNumId="1">
    <w:nsid w:val="141343CD"/>
    <w:multiLevelType w:val="singleLevel"/>
    <w:tmpl w:val="55AAC7D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17D0482A"/>
    <w:multiLevelType w:val="hybridMultilevel"/>
    <w:tmpl w:val="81840534"/>
    <w:lvl w:ilvl="0" w:tplc="3C6C6A72">
      <w:start w:val="1"/>
      <w:numFmt w:val="decimal"/>
      <w:lvlText w:val="%1."/>
      <w:lvlJc w:val="left"/>
      <w:pPr>
        <w:tabs>
          <w:tab w:val="num" w:pos="360"/>
        </w:tabs>
        <w:ind w:left="360" w:hanging="360"/>
      </w:pPr>
      <w:rPr>
        <w:rFonts w:ascii="Times New Roman" w:hAnsi="Times New Roman" w:cs="Times New Roman" w:hint="default"/>
        <w:b/>
        <w:bCs/>
        <w:i w:val="0"/>
        <w:iCs w:val="0"/>
        <w:caps w:val="0"/>
        <w:smallCaps w:val="0"/>
        <w:strike w:val="0"/>
        <w:vanish w:val="0"/>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5CD3027"/>
    <w:multiLevelType w:val="hybridMultilevel"/>
    <w:tmpl w:val="39802B2C"/>
    <w:lvl w:ilvl="0" w:tplc="0409000F">
      <w:start w:val="1"/>
      <w:numFmt w:val="decimal"/>
      <w:lvlText w:val="%1."/>
      <w:lvlJc w:val="left"/>
      <w:pPr>
        <w:ind w:left="786"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6BE61C3"/>
    <w:multiLevelType w:val="singleLevel"/>
    <w:tmpl w:val="86FE4BA0"/>
    <w:lvl w:ilvl="0">
      <w:start w:val="1"/>
      <w:numFmt w:val="decimal"/>
      <w:lvlText w:val="%1."/>
      <w:lvlJc w:val="left"/>
      <w:pPr>
        <w:tabs>
          <w:tab w:val="num" w:pos="360"/>
        </w:tabs>
        <w:ind w:left="360" w:hanging="360"/>
      </w:pPr>
      <w:rPr>
        <w:rFonts w:ascii="Times New Roman" w:hAnsi="Times New Roman" w:cs="Times New Roman" w:hint="default"/>
        <w:b/>
        <w:bCs/>
        <w:i w:val="0"/>
        <w:iCs w:val="0"/>
        <w:caps w:val="0"/>
        <w:smallCaps w:val="0"/>
        <w:strike w:val="0"/>
        <w:vanish w:val="0"/>
        <w:color w:val="000000"/>
      </w:rPr>
    </w:lvl>
  </w:abstractNum>
  <w:abstractNum w:abstractNumId="5">
    <w:nsid w:val="408F6BC5"/>
    <w:multiLevelType w:val="hybridMultilevel"/>
    <w:tmpl w:val="DAEC2670"/>
    <w:lvl w:ilvl="0" w:tplc="751AE264">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6">
    <w:nsid w:val="73473C13"/>
    <w:multiLevelType w:val="singleLevel"/>
    <w:tmpl w:val="F77283CE"/>
    <w:lvl w:ilvl="0">
      <w:start w:val="1"/>
      <w:numFmt w:val="upperLetter"/>
      <w:pStyle w:val="Heading1"/>
      <w:lvlText w:val="%1."/>
      <w:lvlJc w:val="left"/>
      <w:pPr>
        <w:tabs>
          <w:tab w:val="num" w:pos="360"/>
        </w:tabs>
        <w:ind w:left="360" w:hanging="360"/>
      </w:pPr>
      <w:rPr>
        <w:rFonts w:ascii="Times New Roman" w:hAnsi="Times New Roman" w:cs="Times New Roman" w:hint="default"/>
        <w:b/>
        <w:bCs/>
        <w:i w:val="0"/>
        <w:iCs w:val="0"/>
        <w:caps w:val="0"/>
        <w:smallCaps w:val="0"/>
        <w:strike w:val="0"/>
        <w:vanish w:val="0"/>
        <w:color w:val="000000"/>
      </w:rPr>
    </w:lvl>
  </w:abstractNum>
  <w:abstractNum w:abstractNumId="7">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b w:val="0"/>
        <w:bCs w:val="0"/>
        <w:i w:val="0"/>
        <w:iCs w:val="0"/>
        <w:caps w:val="0"/>
        <w:smallCaps w:val="0"/>
        <w:strike w:val="0"/>
        <w:vanish w:val="0"/>
        <w:color w:val="000000"/>
      </w:rPr>
    </w:lvl>
    <w:lvl w:ilvl="1" w:tplc="041B0003">
      <w:start w:val="1"/>
      <w:numFmt w:val="bullet"/>
      <w:lvlText w:val="o"/>
      <w:lvlJc w:val="left"/>
      <w:pPr>
        <w:tabs>
          <w:tab w:val="num" w:pos="1866"/>
        </w:tabs>
        <w:ind w:left="1866" w:hanging="360"/>
      </w:pPr>
      <w:rPr>
        <w:rFonts w:ascii="Courier New" w:hAnsi="Courier New" w:cs="Courier New" w:hint="default"/>
        <w:b w:val="0"/>
        <w:bCs w:val="0"/>
        <w:i/>
        <w:iCs/>
        <w:caps w:val="0"/>
        <w:smallCaps w:val="0"/>
        <w:strike w:val="0"/>
        <w:vanish w:val="0"/>
        <w:color w:val="000000"/>
      </w:rPr>
    </w:lvl>
    <w:lvl w:ilvl="2" w:tplc="041B0005">
      <w:start w:val="1"/>
      <w:numFmt w:val="bullet"/>
      <w:lvlText w:val=""/>
      <w:lvlJc w:val="left"/>
      <w:pPr>
        <w:tabs>
          <w:tab w:val="num" w:pos="2586"/>
        </w:tabs>
        <w:ind w:left="2586" w:hanging="360"/>
      </w:pPr>
      <w:rPr>
        <w:rFonts w:ascii="Wingdings" w:hAnsi="Wingdings" w:cs="Wingdings" w:hint="default"/>
        <w:b w:val="0"/>
        <w:bCs w:val="0"/>
        <w:i/>
        <w:iCs/>
        <w:caps w:val="0"/>
        <w:smallCaps w:val="0"/>
        <w:strike w:val="0"/>
        <w:outline/>
        <w:vanish w:val="0"/>
        <w:color w:val="000000"/>
      </w:rPr>
    </w:lvl>
    <w:lvl w:ilvl="3" w:tplc="041B0001">
      <w:start w:val="1"/>
      <w:numFmt w:val="bullet"/>
      <w:lvlText w:val=""/>
      <w:lvlJc w:val="left"/>
      <w:pPr>
        <w:tabs>
          <w:tab w:val="num" w:pos="3306"/>
        </w:tabs>
        <w:ind w:left="3306" w:hanging="360"/>
      </w:pPr>
      <w:rPr>
        <w:rFonts w:ascii="Symbol" w:hAnsi="Symbol" w:cs="Symbol" w:hint="default"/>
        <w:b/>
        <w:bCs/>
        <w:i/>
        <w:iCs/>
        <w:caps w:val="0"/>
        <w:smallCaps w:val="0"/>
        <w:strike w:val="0"/>
        <w:vanish w:val="0"/>
        <w:color w:val="000000"/>
      </w:rPr>
    </w:lvl>
    <w:lvl w:ilvl="4" w:tplc="041B0003">
      <w:start w:val="1"/>
      <w:numFmt w:val="bullet"/>
      <w:lvlText w:val="o"/>
      <w:lvlJc w:val="left"/>
      <w:pPr>
        <w:tabs>
          <w:tab w:val="num" w:pos="4026"/>
        </w:tabs>
        <w:ind w:left="4026" w:hanging="360"/>
      </w:pPr>
      <w:rPr>
        <w:rFonts w:ascii="Courier New" w:hAnsi="Courier New" w:cs="Courier New" w:hint="default"/>
        <w:b w:val="0"/>
        <w:bCs w:val="0"/>
        <w:i/>
        <w:iCs/>
        <w:caps w:val="0"/>
        <w:smallCaps w:val="0"/>
        <w:strike w:val="0"/>
        <w:vanish w:val="0"/>
        <w:color w:val="000000"/>
      </w:rPr>
    </w:lvl>
    <w:lvl w:ilvl="5" w:tplc="041B0005">
      <w:start w:val="1"/>
      <w:numFmt w:val="bullet"/>
      <w:lvlText w:val=""/>
      <w:lvlJc w:val="left"/>
      <w:pPr>
        <w:tabs>
          <w:tab w:val="num" w:pos="4746"/>
        </w:tabs>
        <w:ind w:left="4746" w:hanging="360"/>
      </w:pPr>
      <w:rPr>
        <w:rFonts w:ascii="Wingdings" w:hAnsi="Wingdings" w:cs="Wingdings" w:hint="default"/>
        <w:b w:val="0"/>
        <w:bCs w:val="0"/>
        <w:i/>
        <w:iCs/>
        <w:caps w:val="0"/>
        <w:smallCaps w:val="0"/>
        <w:strike w:val="0"/>
        <w:outline/>
        <w:vanish w:val="0"/>
        <w:color w:val="000000"/>
      </w:rPr>
    </w:lvl>
    <w:lvl w:ilvl="6" w:tplc="041B0001">
      <w:start w:val="1"/>
      <w:numFmt w:val="bullet"/>
      <w:lvlText w:val=""/>
      <w:lvlJc w:val="left"/>
      <w:pPr>
        <w:tabs>
          <w:tab w:val="num" w:pos="5466"/>
        </w:tabs>
        <w:ind w:left="5466" w:hanging="360"/>
      </w:pPr>
      <w:rPr>
        <w:rFonts w:ascii="Symbol" w:hAnsi="Symbol" w:cs="Symbol" w:hint="default"/>
        <w:b/>
        <w:bCs/>
        <w:i/>
        <w:iCs/>
        <w:caps w:val="0"/>
        <w:smallCaps w:val="0"/>
        <w:strike w:val="0"/>
        <w:vanish w:val="0"/>
        <w:color w:val="000000"/>
      </w:rPr>
    </w:lvl>
    <w:lvl w:ilvl="7" w:tplc="041B0003">
      <w:start w:val="1"/>
      <w:numFmt w:val="bullet"/>
      <w:lvlText w:val="o"/>
      <w:lvlJc w:val="left"/>
      <w:pPr>
        <w:tabs>
          <w:tab w:val="num" w:pos="6186"/>
        </w:tabs>
        <w:ind w:left="6186" w:hanging="360"/>
      </w:pPr>
      <w:rPr>
        <w:rFonts w:ascii="Courier New" w:hAnsi="Courier New" w:cs="Courier New" w:hint="default"/>
        <w:b w:val="0"/>
        <w:bCs w:val="0"/>
        <w:i/>
        <w:iCs/>
        <w:caps w:val="0"/>
        <w:smallCaps w:val="0"/>
        <w:strike w:val="0"/>
        <w:vanish w:val="0"/>
        <w:color w:val="000000"/>
      </w:rPr>
    </w:lvl>
    <w:lvl w:ilvl="8" w:tplc="041B0005">
      <w:start w:val="1"/>
      <w:numFmt w:val="bullet"/>
      <w:lvlText w:val=""/>
      <w:lvlJc w:val="left"/>
      <w:pPr>
        <w:tabs>
          <w:tab w:val="num" w:pos="6906"/>
        </w:tabs>
        <w:ind w:left="6906" w:hanging="360"/>
      </w:pPr>
      <w:rPr>
        <w:rFonts w:ascii="Wingdings" w:hAnsi="Wingdings" w:cs="Wingdings" w:hint="default"/>
        <w:b w:val="0"/>
        <w:bCs w:val="0"/>
        <w:i/>
        <w:iCs/>
        <w:caps w:val="0"/>
        <w:smallCaps w:val="0"/>
        <w:strike w:val="0"/>
        <w:outline/>
        <w:vanish w:val="0"/>
        <w:color w:val="000000"/>
      </w:rPr>
    </w:lvl>
  </w:abstractNum>
  <w:num w:numId="1">
    <w:abstractNumId w:val="6"/>
  </w:num>
  <w:num w:numId="2">
    <w:abstractNumId w:val="4"/>
  </w:num>
  <w:num w:numId="3">
    <w:abstractNumId w:val="4"/>
    <w:lvlOverride w:ilvl="0">
      <w:startOverride w:val="1"/>
    </w:lvlOverride>
  </w:num>
  <w:num w:numId="4">
    <w:abstractNumId w:val="4"/>
  </w:num>
  <w:num w:numId="5">
    <w:abstractNumId w:val="0"/>
  </w:num>
  <w:num w:numId="6">
    <w:abstractNumId w:val="4"/>
    <w:lvlOverride w:ilvl="0">
      <w:startOverride w:val="1"/>
    </w:lvlOverride>
  </w:num>
  <w:num w:numId="7">
    <w:abstractNumId w:val="4"/>
  </w:num>
  <w:num w:numId="8">
    <w:abstractNumId w:val="4"/>
    <w:lvlOverride w:ilvl="0">
      <w:startOverride w:val="1"/>
    </w:lvlOverride>
  </w:num>
  <w:num w:numId="9">
    <w:abstractNumId w:val="7"/>
  </w:num>
  <w:num w:numId="10">
    <w:abstractNumId w:val="6"/>
    <w:lvlOverride w:ilvl="0">
      <w:startOverride w:val="1"/>
    </w:lvlOverride>
  </w:num>
  <w:num w:numId="11">
    <w:abstractNumId w:val="1"/>
  </w:num>
  <w:num w:numId="12">
    <w:abstractNumId w:val="5"/>
  </w:num>
  <w:num w:numId="13">
    <w:abstractNumId w:val="3"/>
  </w:num>
  <w:num w:numId="1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embedSystemFonts/>
  <w:stylePaneFormatFilter w:val="3F01"/>
  <w:defaultTabStop w:val="720"/>
  <w:hyphenationZone w:val="357"/>
  <w:doNotHyphenateCaps/>
  <w:drawingGridHorizontalSpacing w:val="100"/>
  <w:drawingGridVerticalSpacing w:val="181"/>
  <w:displayHorizontalDrawingGridEvery w:val="0"/>
  <w:displayVerticalDrawingGridEvery w:val="0"/>
  <w:characterSpacingControl w:val="doNotCompress"/>
  <w:doNotValidateAgainstSchema/>
  <w:doNotDemarcateInvalidXml/>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1140C"/>
    <w:rsid w:val="00001082"/>
    <w:rsid w:val="00002202"/>
    <w:rsid w:val="0000377F"/>
    <w:rsid w:val="00003797"/>
    <w:rsid w:val="000049A7"/>
    <w:rsid w:val="00005B56"/>
    <w:rsid w:val="00005D88"/>
    <w:rsid w:val="00005F3A"/>
    <w:rsid w:val="000067A8"/>
    <w:rsid w:val="000109F8"/>
    <w:rsid w:val="000110C3"/>
    <w:rsid w:val="0001169F"/>
    <w:rsid w:val="00012D37"/>
    <w:rsid w:val="00014926"/>
    <w:rsid w:val="00014D5D"/>
    <w:rsid w:val="00015E76"/>
    <w:rsid w:val="00016AA4"/>
    <w:rsid w:val="000173F7"/>
    <w:rsid w:val="000209FD"/>
    <w:rsid w:val="0002100E"/>
    <w:rsid w:val="00021594"/>
    <w:rsid w:val="0002244C"/>
    <w:rsid w:val="00022A19"/>
    <w:rsid w:val="00022BD1"/>
    <w:rsid w:val="00024049"/>
    <w:rsid w:val="00024DBB"/>
    <w:rsid w:val="00024FA2"/>
    <w:rsid w:val="000275F9"/>
    <w:rsid w:val="00027837"/>
    <w:rsid w:val="0003036B"/>
    <w:rsid w:val="00030936"/>
    <w:rsid w:val="00030F62"/>
    <w:rsid w:val="000312EB"/>
    <w:rsid w:val="00033039"/>
    <w:rsid w:val="00035BFF"/>
    <w:rsid w:val="000377D9"/>
    <w:rsid w:val="0004150B"/>
    <w:rsid w:val="0004233A"/>
    <w:rsid w:val="00045239"/>
    <w:rsid w:val="00046F32"/>
    <w:rsid w:val="00047810"/>
    <w:rsid w:val="0005022B"/>
    <w:rsid w:val="00050302"/>
    <w:rsid w:val="000509C1"/>
    <w:rsid w:val="000509C2"/>
    <w:rsid w:val="00055FBB"/>
    <w:rsid w:val="0005608C"/>
    <w:rsid w:val="000571E3"/>
    <w:rsid w:val="000607DC"/>
    <w:rsid w:val="00063330"/>
    <w:rsid w:val="0006362C"/>
    <w:rsid w:val="000645D1"/>
    <w:rsid w:val="00064EF1"/>
    <w:rsid w:val="000652DF"/>
    <w:rsid w:val="00065AE4"/>
    <w:rsid w:val="00065D9C"/>
    <w:rsid w:val="00067207"/>
    <w:rsid w:val="000676B5"/>
    <w:rsid w:val="00067D84"/>
    <w:rsid w:val="000708C6"/>
    <w:rsid w:val="00071243"/>
    <w:rsid w:val="000729D6"/>
    <w:rsid w:val="000737E2"/>
    <w:rsid w:val="00074EDA"/>
    <w:rsid w:val="00074F69"/>
    <w:rsid w:val="00075FCB"/>
    <w:rsid w:val="00076559"/>
    <w:rsid w:val="00080656"/>
    <w:rsid w:val="00080DB1"/>
    <w:rsid w:val="00081115"/>
    <w:rsid w:val="00081ED4"/>
    <w:rsid w:val="00082B9F"/>
    <w:rsid w:val="00083CE5"/>
    <w:rsid w:val="00084594"/>
    <w:rsid w:val="000858E5"/>
    <w:rsid w:val="00086855"/>
    <w:rsid w:val="00087847"/>
    <w:rsid w:val="00092CE7"/>
    <w:rsid w:val="00093772"/>
    <w:rsid w:val="00093861"/>
    <w:rsid w:val="0009458B"/>
    <w:rsid w:val="00095DBD"/>
    <w:rsid w:val="00095F78"/>
    <w:rsid w:val="00097134"/>
    <w:rsid w:val="000A2194"/>
    <w:rsid w:val="000A2815"/>
    <w:rsid w:val="000A356B"/>
    <w:rsid w:val="000A3700"/>
    <w:rsid w:val="000A6C7D"/>
    <w:rsid w:val="000A742E"/>
    <w:rsid w:val="000B100E"/>
    <w:rsid w:val="000B2433"/>
    <w:rsid w:val="000B2717"/>
    <w:rsid w:val="000B2788"/>
    <w:rsid w:val="000B5DCD"/>
    <w:rsid w:val="000B62FC"/>
    <w:rsid w:val="000B6BAE"/>
    <w:rsid w:val="000B7862"/>
    <w:rsid w:val="000C020F"/>
    <w:rsid w:val="000C0EB2"/>
    <w:rsid w:val="000C1973"/>
    <w:rsid w:val="000C3B97"/>
    <w:rsid w:val="000C633A"/>
    <w:rsid w:val="000D00A5"/>
    <w:rsid w:val="000D600F"/>
    <w:rsid w:val="000D7EA1"/>
    <w:rsid w:val="000E0753"/>
    <w:rsid w:val="000E0854"/>
    <w:rsid w:val="000E3E0E"/>
    <w:rsid w:val="000E4630"/>
    <w:rsid w:val="000E4A47"/>
    <w:rsid w:val="000E5484"/>
    <w:rsid w:val="000E586F"/>
    <w:rsid w:val="000E62CF"/>
    <w:rsid w:val="000E7166"/>
    <w:rsid w:val="000E71D8"/>
    <w:rsid w:val="000E77CC"/>
    <w:rsid w:val="000F1038"/>
    <w:rsid w:val="000F1126"/>
    <w:rsid w:val="000F149B"/>
    <w:rsid w:val="000F1ED5"/>
    <w:rsid w:val="000F26D5"/>
    <w:rsid w:val="000F2F5C"/>
    <w:rsid w:val="000F2F95"/>
    <w:rsid w:val="000F49AD"/>
    <w:rsid w:val="000F4E3D"/>
    <w:rsid w:val="000F642C"/>
    <w:rsid w:val="000F763A"/>
    <w:rsid w:val="00104678"/>
    <w:rsid w:val="00104D07"/>
    <w:rsid w:val="001053E4"/>
    <w:rsid w:val="00105F51"/>
    <w:rsid w:val="00105F59"/>
    <w:rsid w:val="0010664B"/>
    <w:rsid w:val="00106899"/>
    <w:rsid w:val="00110733"/>
    <w:rsid w:val="00110F0E"/>
    <w:rsid w:val="0011140C"/>
    <w:rsid w:val="00111D71"/>
    <w:rsid w:val="00113670"/>
    <w:rsid w:val="001143FF"/>
    <w:rsid w:val="001149E2"/>
    <w:rsid w:val="001157D5"/>
    <w:rsid w:val="00117F2D"/>
    <w:rsid w:val="00120748"/>
    <w:rsid w:val="001209C5"/>
    <w:rsid w:val="00122778"/>
    <w:rsid w:val="00123BEE"/>
    <w:rsid w:val="0012492C"/>
    <w:rsid w:val="001258F8"/>
    <w:rsid w:val="00130BF3"/>
    <w:rsid w:val="00131231"/>
    <w:rsid w:val="00132B10"/>
    <w:rsid w:val="00134720"/>
    <w:rsid w:val="001353EB"/>
    <w:rsid w:val="00135624"/>
    <w:rsid w:val="00136E82"/>
    <w:rsid w:val="00136EC5"/>
    <w:rsid w:val="00137215"/>
    <w:rsid w:val="00140663"/>
    <w:rsid w:val="00141486"/>
    <w:rsid w:val="00142013"/>
    <w:rsid w:val="0014268A"/>
    <w:rsid w:val="001430D5"/>
    <w:rsid w:val="00143C02"/>
    <w:rsid w:val="001443CC"/>
    <w:rsid w:val="00144BA6"/>
    <w:rsid w:val="00146DF1"/>
    <w:rsid w:val="001508BE"/>
    <w:rsid w:val="001522D2"/>
    <w:rsid w:val="001522F3"/>
    <w:rsid w:val="001539B6"/>
    <w:rsid w:val="00154CF2"/>
    <w:rsid w:val="001570FF"/>
    <w:rsid w:val="001572AC"/>
    <w:rsid w:val="0015757C"/>
    <w:rsid w:val="00157773"/>
    <w:rsid w:val="00160CF5"/>
    <w:rsid w:val="00161FFB"/>
    <w:rsid w:val="00163763"/>
    <w:rsid w:val="00164758"/>
    <w:rsid w:val="00166FB6"/>
    <w:rsid w:val="00167973"/>
    <w:rsid w:val="00170B1C"/>
    <w:rsid w:val="00173F12"/>
    <w:rsid w:val="00174F10"/>
    <w:rsid w:val="001775B5"/>
    <w:rsid w:val="001832F7"/>
    <w:rsid w:val="00183A20"/>
    <w:rsid w:val="00183A22"/>
    <w:rsid w:val="00184F27"/>
    <w:rsid w:val="00190789"/>
    <w:rsid w:val="00190832"/>
    <w:rsid w:val="00190B10"/>
    <w:rsid w:val="00190E5A"/>
    <w:rsid w:val="001917BA"/>
    <w:rsid w:val="00192934"/>
    <w:rsid w:val="00193279"/>
    <w:rsid w:val="001936FD"/>
    <w:rsid w:val="00193820"/>
    <w:rsid w:val="00194A64"/>
    <w:rsid w:val="00196866"/>
    <w:rsid w:val="001A2CC6"/>
    <w:rsid w:val="001A34A1"/>
    <w:rsid w:val="001A3733"/>
    <w:rsid w:val="001A5C38"/>
    <w:rsid w:val="001A6A80"/>
    <w:rsid w:val="001A7392"/>
    <w:rsid w:val="001A74E5"/>
    <w:rsid w:val="001A7976"/>
    <w:rsid w:val="001A7F63"/>
    <w:rsid w:val="001B2BAF"/>
    <w:rsid w:val="001B3A26"/>
    <w:rsid w:val="001B3C0D"/>
    <w:rsid w:val="001B49C9"/>
    <w:rsid w:val="001B5AFE"/>
    <w:rsid w:val="001B621A"/>
    <w:rsid w:val="001B64D6"/>
    <w:rsid w:val="001B793B"/>
    <w:rsid w:val="001B79A9"/>
    <w:rsid w:val="001C4A95"/>
    <w:rsid w:val="001C64FB"/>
    <w:rsid w:val="001C6776"/>
    <w:rsid w:val="001C6C81"/>
    <w:rsid w:val="001C6F39"/>
    <w:rsid w:val="001C77C9"/>
    <w:rsid w:val="001C7B0F"/>
    <w:rsid w:val="001D3209"/>
    <w:rsid w:val="001D3A3A"/>
    <w:rsid w:val="001D4431"/>
    <w:rsid w:val="001D6B70"/>
    <w:rsid w:val="001D7903"/>
    <w:rsid w:val="001E07D1"/>
    <w:rsid w:val="001E09D4"/>
    <w:rsid w:val="001E1145"/>
    <w:rsid w:val="001E469A"/>
    <w:rsid w:val="001E4706"/>
    <w:rsid w:val="001E4AA4"/>
    <w:rsid w:val="001E560E"/>
    <w:rsid w:val="001F0124"/>
    <w:rsid w:val="001F06A8"/>
    <w:rsid w:val="001F2007"/>
    <w:rsid w:val="001F23BA"/>
    <w:rsid w:val="001F2688"/>
    <w:rsid w:val="001F2D1F"/>
    <w:rsid w:val="001F2E0D"/>
    <w:rsid w:val="001F31E0"/>
    <w:rsid w:val="001F466C"/>
    <w:rsid w:val="001F603A"/>
    <w:rsid w:val="001F63D5"/>
    <w:rsid w:val="001F6E7B"/>
    <w:rsid w:val="001F7106"/>
    <w:rsid w:val="00200A78"/>
    <w:rsid w:val="002017D4"/>
    <w:rsid w:val="0020226C"/>
    <w:rsid w:val="00204187"/>
    <w:rsid w:val="002054D1"/>
    <w:rsid w:val="00205517"/>
    <w:rsid w:val="00205AA8"/>
    <w:rsid w:val="0020719F"/>
    <w:rsid w:val="00210041"/>
    <w:rsid w:val="002114C6"/>
    <w:rsid w:val="002114F7"/>
    <w:rsid w:val="00212C7D"/>
    <w:rsid w:val="002138F6"/>
    <w:rsid w:val="00213CFC"/>
    <w:rsid w:val="002152DD"/>
    <w:rsid w:val="00217953"/>
    <w:rsid w:val="00217BFB"/>
    <w:rsid w:val="002201D6"/>
    <w:rsid w:val="0022026D"/>
    <w:rsid w:val="00221538"/>
    <w:rsid w:val="00222598"/>
    <w:rsid w:val="002263F8"/>
    <w:rsid w:val="00227A9A"/>
    <w:rsid w:val="00232D85"/>
    <w:rsid w:val="0023305D"/>
    <w:rsid w:val="002337B7"/>
    <w:rsid w:val="002366F7"/>
    <w:rsid w:val="00236BE6"/>
    <w:rsid w:val="00236CEC"/>
    <w:rsid w:val="00236D2C"/>
    <w:rsid w:val="0024148B"/>
    <w:rsid w:val="002427B5"/>
    <w:rsid w:val="00242F9B"/>
    <w:rsid w:val="0024386B"/>
    <w:rsid w:val="00247E2D"/>
    <w:rsid w:val="00250F0A"/>
    <w:rsid w:val="0025176F"/>
    <w:rsid w:val="00251C06"/>
    <w:rsid w:val="00252B4E"/>
    <w:rsid w:val="00254177"/>
    <w:rsid w:val="0025428D"/>
    <w:rsid w:val="00254437"/>
    <w:rsid w:val="002546E2"/>
    <w:rsid w:val="00254DC4"/>
    <w:rsid w:val="002554DA"/>
    <w:rsid w:val="00255539"/>
    <w:rsid w:val="002559E3"/>
    <w:rsid w:val="002560C7"/>
    <w:rsid w:val="002570B0"/>
    <w:rsid w:val="0026029B"/>
    <w:rsid w:val="00260B38"/>
    <w:rsid w:val="0026216B"/>
    <w:rsid w:val="00264966"/>
    <w:rsid w:val="002666B1"/>
    <w:rsid w:val="002678A7"/>
    <w:rsid w:val="0027023F"/>
    <w:rsid w:val="00270E5C"/>
    <w:rsid w:val="00271138"/>
    <w:rsid w:val="00271359"/>
    <w:rsid w:val="0027153A"/>
    <w:rsid w:val="00271735"/>
    <w:rsid w:val="0027222E"/>
    <w:rsid w:val="002731E7"/>
    <w:rsid w:val="0027342E"/>
    <w:rsid w:val="0027418E"/>
    <w:rsid w:val="00274795"/>
    <w:rsid w:val="00275E20"/>
    <w:rsid w:val="00276CC6"/>
    <w:rsid w:val="002818B9"/>
    <w:rsid w:val="002846D6"/>
    <w:rsid w:val="002857F5"/>
    <w:rsid w:val="00287399"/>
    <w:rsid w:val="00287E11"/>
    <w:rsid w:val="002904EE"/>
    <w:rsid w:val="0029078A"/>
    <w:rsid w:val="0029099D"/>
    <w:rsid w:val="00295CDF"/>
    <w:rsid w:val="00295DC1"/>
    <w:rsid w:val="00296442"/>
    <w:rsid w:val="00296F41"/>
    <w:rsid w:val="00297832"/>
    <w:rsid w:val="0029785B"/>
    <w:rsid w:val="002A0B77"/>
    <w:rsid w:val="002A1C1B"/>
    <w:rsid w:val="002A3EFE"/>
    <w:rsid w:val="002A45BE"/>
    <w:rsid w:val="002A48EB"/>
    <w:rsid w:val="002A4AEF"/>
    <w:rsid w:val="002A6C47"/>
    <w:rsid w:val="002A728A"/>
    <w:rsid w:val="002A7583"/>
    <w:rsid w:val="002B016D"/>
    <w:rsid w:val="002B0366"/>
    <w:rsid w:val="002B09A9"/>
    <w:rsid w:val="002B0DCC"/>
    <w:rsid w:val="002B18C2"/>
    <w:rsid w:val="002B1EF6"/>
    <w:rsid w:val="002B28E1"/>
    <w:rsid w:val="002B2904"/>
    <w:rsid w:val="002B30C2"/>
    <w:rsid w:val="002B3178"/>
    <w:rsid w:val="002B389D"/>
    <w:rsid w:val="002B3F83"/>
    <w:rsid w:val="002B4EBA"/>
    <w:rsid w:val="002B6D92"/>
    <w:rsid w:val="002B7D52"/>
    <w:rsid w:val="002C2CFC"/>
    <w:rsid w:val="002C3FF6"/>
    <w:rsid w:val="002C465B"/>
    <w:rsid w:val="002C60DC"/>
    <w:rsid w:val="002C62F4"/>
    <w:rsid w:val="002C694A"/>
    <w:rsid w:val="002C766B"/>
    <w:rsid w:val="002C7732"/>
    <w:rsid w:val="002D088F"/>
    <w:rsid w:val="002D115A"/>
    <w:rsid w:val="002D1F86"/>
    <w:rsid w:val="002D3754"/>
    <w:rsid w:val="002D37FD"/>
    <w:rsid w:val="002D46AC"/>
    <w:rsid w:val="002D4A39"/>
    <w:rsid w:val="002D4E13"/>
    <w:rsid w:val="002D5449"/>
    <w:rsid w:val="002E0088"/>
    <w:rsid w:val="002E0E04"/>
    <w:rsid w:val="002E10ED"/>
    <w:rsid w:val="002E1432"/>
    <w:rsid w:val="002E152E"/>
    <w:rsid w:val="002E50C8"/>
    <w:rsid w:val="002E51B3"/>
    <w:rsid w:val="002E541F"/>
    <w:rsid w:val="002E5A56"/>
    <w:rsid w:val="002E5E2D"/>
    <w:rsid w:val="002E7EAE"/>
    <w:rsid w:val="002F06AA"/>
    <w:rsid w:val="002F1750"/>
    <w:rsid w:val="002F1E4C"/>
    <w:rsid w:val="002F3A4C"/>
    <w:rsid w:val="002F3D49"/>
    <w:rsid w:val="002F4095"/>
    <w:rsid w:val="002F50A2"/>
    <w:rsid w:val="002F58D5"/>
    <w:rsid w:val="002F6029"/>
    <w:rsid w:val="002F6607"/>
    <w:rsid w:val="002F6848"/>
    <w:rsid w:val="002F71F3"/>
    <w:rsid w:val="00301CB8"/>
    <w:rsid w:val="003037DD"/>
    <w:rsid w:val="00303C52"/>
    <w:rsid w:val="0030451D"/>
    <w:rsid w:val="00304E5B"/>
    <w:rsid w:val="0031222F"/>
    <w:rsid w:val="00314355"/>
    <w:rsid w:val="003146D3"/>
    <w:rsid w:val="003153F3"/>
    <w:rsid w:val="00315FED"/>
    <w:rsid w:val="003163E2"/>
    <w:rsid w:val="0031746C"/>
    <w:rsid w:val="00317956"/>
    <w:rsid w:val="00321568"/>
    <w:rsid w:val="00321B57"/>
    <w:rsid w:val="0032212B"/>
    <w:rsid w:val="00322AD1"/>
    <w:rsid w:val="003238FD"/>
    <w:rsid w:val="00324372"/>
    <w:rsid w:val="00326415"/>
    <w:rsid w:val="00326EB4"/>
    <w:rsid w:val="0033140C"/>
    <w:rsid w:val="00334126"/>
    <w:rsid w:val="003350BD"/>
    <w:rsid w:val="00336114"/>
    <w:rsid w:val="003364D1"/>
    <w:rsid w:val="0033759A"/>
    <w:rsid w:val="003378F7"/>
    <w:rsid w:val="003409FA"/>
    <w:rsid w:val="00340A76"/>
    <w:rsid w:val="00340F97"/>
    <w:rsid w:val="00341B23"/>
    <w:rsid w:val="00341B46"/>
    <w:rsid w:val="00342CB1"/>
    <w:rsid w:val="00343775"/>
    <w:rsid w:val="00343905"/>
    <w:rsid w:val="00344A20"/>
    <w:rsid w:val="00345073"/>
    <w:rsid w:val="00345282"/>
    <w:rsid w:val="00345896"/>
    <w:rsid w:val="00347178"/>
    <w:rsid w:val="003471AD"/>
    <w:rsid w:val="00350112"/>
    <w:rsid w:val="00350F6F"/>
    <w:rsid w:val="00351128"/>
    <w:rsid w:val="00351397"/>
    <w:rsid w:val="00351C59"/>
    <w:rsid w:val="00351F55"/>
    <w:rsid w:val="0035215D"/>
    <w:rsid w:val="003521DA"/>
    <w:rsid w:val="00356216"/>
    <w:rsid w:val="003571D0"/>
    <w:rsid w:val="00360A83"/>
    <w:rsid w:val="00360D4A"/>
    <w:rsid w:val="0036198C"/>
    <w:rsid w:val="00362E58"/>
    <w:rsid w:val="00363A24"/>
    <w:rsid w:val="00363D4B"/>
    <w:rsid w:val="003647AA"/>
    <w:rsid w:val="00366D32"/>
    <w:rsid w:val="003670A1"/>
    <w:rsid w:val="00367B2C"/>
    <w:rsid w:val="003701CA"/>
    <w:rsid w:val="00370AA8"/>
    <w:rsid w:val="0037184D"/>
    <w:rsid w:val="003718A5"/>
    <w:rsid w:val="00371C54"/>
    <w:rsid w:val="00371D5C"/>
    <w:rsid w:val="0037254B"/>
    <w:rsid w:val="00374126"/>
    <w:rsid w:val="00376CB6"/>
    <w:rsid w:val="00380AEE"/>
    <w:rsid w:val="00380D77"/>
    <w:rsid w:val="00381151"/>
    <w:rsid w:val="0038116D"/>
    <w:rsid w:val="00381854"/>
    <w:rsid w:val="00381896"/>
    <w:rsid w:val="0038246C"/>
    <w:rsid w:val="00382979"/>
    <w:rsid w:val="00382F6D"/>
    <w:rsid w:val="003833D6"/>
    <w:rsid w:val="00384BED"/>
    <w:rsid w:val="00384F54"/>
    <w:rsid w:val="003853A8"/>
    <w:rsid w:val="00385BEC"/>
    <w:rsid w:val="003862B9"/>
    <w:rsid w:val="00387099"/>
    <w:rsid w:val="003878A5"/>
    <w:rsid w:val="00392973"/>
    <w:rsid w:val="003947C6"/>
    <w:rsid w:val="00395F4D"/>
    <w:rsid w:val="0039675C"/>
    <w:rsid w:val="003A0602"/>
    <w:rsid w:val="003A13B6"/>
    <w:rsid w:val="003A1D62"/>
    <w:rsid w:val="003A1E57"/>
    <w:rsid w:val="003A46C7"/>
    <w:rsid w:val="003A4D47"/>
    <w:rsid w:val="003A5528"/>
    <w:rsid w:val="003A5FFC"/>
    <w:rsid w:val="003A67A1"/>
    <w:rsid w:val="003A7292"/>
    <w:rsid w:val="003A7E53"/>
    <w:rsid w:val="003B038E"/>
    <w:rsid w:val="003B0626"/>
    <w:rsid w:val="003B0743"/>
    <w:rsid w:val="003B08BA"/>
    <w:rsid w:val="003B18B3"/>
    <w:rsid w:val="003B2487"/>
    <w:rsid w:val="003B3350"/>
    <w:rsid w:val="003B50C1"/>
    <w:rsid w:val="003B5A6E"/>
    <w:rsid w:val="003B5BA4"/>
    <w:rsid w:val="003B5FD1"/>
    <w:rsid w:val="003B6E55"/>
    <w:rsid w:val="003C0A1F"/>
    <w:rsid w:val="003C0B05"/>
    <w:rsid w:val="003C1925"/>
    <w:rsid w:val="003C237B"/>
    <w:rsid w:val="003C239F"/>
    <w:rsid w:val="003C4177"/>
    <w:rsid w:val="003C55DD"/>
    <w:rsid w:val="003D2EE3"/>
    <w:rsid w:val="003D40BD"/>
    <w:rsid w:val="003D4201"/>
    <w:rsid w:val="003D625F"/>
    <w:rsid w:val="003D6410"/>
    <w:rsid w:val="003E050D"/>
    <w:rsid w:val="003E05BD"/>
    <w:rsid w:val="003E1889"/>
    <w:rsid w:val="003E252A"/>
    <w:rsid w:val="003E322D"/>
    <w:rsid w:val="003E3F44"/>
    <w:rsid w:val="003E4535"/>
    <w:rsid w:val="003E5E10"/>
    <w:rsid w:val="003E5E71"/>
    <w:rsid w:val="003E67B3"/>
    <w:rsid w:val="003E6D28"/>
    <w:rsid w:val="003E6E3F"/>
    <w:rsid w:val="003F0637"/>
    <w:rsid w:val="003F0FF1"/>
    <w:rsid w:val="003F2231"/>
    <w:rsid w:val="003F271B"/>
    <w:rsid w:val="003F30CE"/>
    <w:rsid w:val="003F4CC6"/>
    <w:rsid w:val="003F52B3"/>
    <w:rsid w:val="003F5906"/>
    <w:rsid w:val="003F5936"/>
    <w:rsid w:val="003F5A1B"/>
    <w:rsid w:val="003F5C66"/>
    <w:rsid w:val="003F5D33"/>
    <w:rsid w:val="003F608F"/>
    <w:rsid w:val="003F6EC4"/>
    <w:rsid w:val="0040053C"/>
    <w:rsid w:val="00400DB1"/>
    <w:rsid w:val="00402873"/>
    <w:rsid w:val="0040628D"/>
    <w:rsid w:val="004068CF"/>
    <w:rsid w:val="0041034C"/>
    <w:rsid w:val="00410661"/>
    <w:rsid w:val="004108D0"/>
    <w:rsid w:val="00410A25"/>
    <w:rsid w:val="0041164A"/>
    <w:rsid w:val="00412657"/>
    <w:rsid w:val="00412840"/>
    <w:rsid w:val="00412B9E"/>
    <w:rsid w:val="00412EE6"/>
    <w:rsid w:val="00412EF8"/>
    <w:rsid w:val="00412F7E"/>
    <w:rsid w:val="004147A0"/>
    <w:rsid w:val="0041592D"/>
    <w:rsid w:val="00415B32"/>
    <w:rsid w:val="004165BD"/>
    <w:rsid w:val="00416AEF"/>
    <w:rsid w:val="0041773B"/>
    <w:rsid w:val="00420208"/>
    <w:rsid w:val="00420663"/>
    <w:rsid w:val="00421C6A"/>
    <w:rsid w:val="00422C5C"/>
    <w:rsid w:val="00423BDE"/>
    <w:rsid w:val="004246FC"/>
    <w:rsid w:val="00425D38"/>
    <w:rsid w:val="00427E28"/>
    <w:rsid w:val="0043008C"/>
    <w:rsid w:val="00430280"/>
    <w:rsid w:val="004306E2"/>
    <w:rsid w:val="004318DC"/>
    <w:rsid w:val="004325BE"/>
    <w:rsid w:val="004326FB"/>
    <w:rsid w:val="00432D32"/>
    <w:rsid w:val="00432EC5"/>
    <w:rsid w:val="004342A4"/>
    <w:rsid w:val="00434CD2"/>
    <w:rsid w:val="00436575"/>
    <w:rsid w:val="00437DAC"/>
    <w:rsid w:val="00442803"/>
    <w:rsid w:val="00443F93"/>
    <w:rsid w:val="00445411"/>
    <w:rsid w:val="00445828"/>
    <w:rsid w:val="00445EB6"/>
    <w:rsid w:val="00446FDE"/>
    <w:rsid w:val="00450C38"/>
    <w:rsid w:val="00450C86"/>
    <w:rsid w:val="00453CDD"/>
    <w:rsid w:val="0045403D"/>
    <w:rsid w:val="004543A7"/>
    <w:rsid w:val="0045591F"/>
    <w:rsid w:val="00455CE0"/>
    <w:rsid w:val="00456101"/>
    <w:rsid w:val="004568F1"/>
    <w:rsid w:val="0045711D"/>
    <w:rsid w:val="004574E5"/>
    <w:rsid w:val="00461240"/>
    <w:rsid w:val="004625FC"/>
    <w:rsid w:val="00463129"/>
    <w:rsid w:val="00463DAA"/>
    <w:rsid w:val="00464F3E"/>
    <w:rsid w:val="00467341"/>
    <w:rsid w:val="00471390"/>
    <w:rsid w:val="00471D20"/>
    <w:rsid w:val="00472041"/>
    <w:rsid w:val="00473F7F"/>
    <w:rsid w:val="004755E0"/>
    <w:rsid w:val="00475C35"/>
    <w:rsid w:val="00476974"/>
    <w:rsid w:val="0048062B"/>
    <w:rsid w:val="00480B5E"/>
    <w:rsid w:val="00480C17"/>
    <w:rsid w:val="00480CFF"/>
    <w:rsid w:val="00481645"/>
    <w:rsid w:val="00481D94"/>
    <w:rsid w:val="004827CD"/>
    <w:rsid w:val="00482D28"/>
    <w:rsid w:val="00483EB4"/>
    <w:rsid w:val="00485476"/>
    <w:rsid w:val="00486851"/>
    <w:rsid w:val="00486EC2"/>
    <w:rsid w:val="00491717"/>
    <w:rsid w:val="0049383A"/>
    <w:rsid w:val="00493CDE"/>
    <w:rsid w:val="00495E4F"/>
    <w:rsid w:val="00496E8C"/>
    <w:rsid w:val="004A1303"/>
    <w:rsid w:val="004A18C2"/>
    <w:rsid w:val="004A2BB0"/>
    <w:rsid w:val="004A3275"/>
    <w:rsid w:val="004A35E9"/>
    <w:rsid w:val="004B193A"/>
    <w:rsid w:val="004B1E21"/>
    <w:rsid w:val="004B222B"/>
    <w:rsid w:val="004B26D2"/>
    <w:rsid w:val="004B2920"/>
    <w:rsid w:val="004B356B"/>
    <w:rsid w:val="004B3E36"/>
    <w:rsid w:val="004B4252"/>
    <w:rsid w:val="004B6D0A"/>
    <w:rsid w:val="004B791C"/>
    <w:rsid w:val="004C0954"/>
    <w:rsid w:val="004C1E6C"/>
    <w:rsid w:val="004C2EA4"/>
    <w:rsid w:val="004C2EB2"/>
    <w:rsid w:val="004C2FC4"/>
    <w:rsid w:val="004C31D2"/>
    <w:rsid w:val="004C5D48"/>
    <w:rsid w:val="004C6FC8"/>
    <w:rsid w:val="004D1BE6"/>
    <w:rsid w:val="004D20E7"/>
    <w:rsid w:val="004D2785"/>
    <w:rsid w:val="004D297A"/>
    <w:rsid w:val="004D66DD"/>
    <w:rsid w:val="004E0530"/>
    <w:rsid w:val="004E0E32"/>
    <w:rsid w:val="004E1144"/>
    <w:rsid w:val="004E1196"/>
    <w:rsid w:val="004E25CC"/>
    <w:rsid w:val="004E2D81"/>
    <w:rsid w:val="004E405D"/>
    <w:rsid w:val="004E4F5C"/>
    <w:rsid w:val="004E6144"/>
    <w:rsid w:val="004F27B9"/>
    <w:rsid w:val="004F391C"/>
    <w:rsid w:val="004F4B05"/>
    <w:rsid w:val="004F4CA6"/>
    <w:rsid w:val="004F5E88"/>
    <w:rsid w:val="004F5EB4"/>
    <w:rsid w:val="004F6314"/>
    <w:rsid w:val="00500A5A"/>
    <w:rsid w:val="005016FE"/>
    <w:rsid w:val="00501CC6"/>
    <w:rsid w:val="00501EEB"/>
    <w:rsid w:val="00502C8C"/>
    <w:rsid w:val="00503E9B"/>
    <w:rsid w:val="005047A4"/>
    <w:rsid w:val="005071B0"/>
    <w:rsid w:val="00510AA5"/>
    <w:rsid w:val="00512A1A"/>
    <w:rsid w:val="00513B66"/>
    <w:rsid w:val="005147E8"/>
    <w:rsid w:val="005148CA"/>
    <w:rsid w:val="00515C57"/>
    <w:rsid w:val="00515F36"/>
    <w:rsid w:val="00516235"/>
    <w:rsid w:val="005178B4"/>
    <w:rsid w:val="00521F01"/>
    <w:rsid w:val="00522872"/>
    <w:rsid w:val="005252D8"/>
    <w:rsid w:val="0052543C"/>
    <w:rsid w:val="00525B90"/>
    <w:rsid w:val="00526BB1"/>
    <w:rsid w:val="005272A7"/>
    <w:rsid w:val="00527EBA"/>
    <w:rsid w:val="00530796"/>
    <w:rsid w:val="00530C18"/>
    <w:rsid w:val="00533398"/>
    <w:rsid w:val="00533C09"/>
    <w:rsid w:val="00534795"/>
    <w:rsid w:val="00540C5E"/>
    <w:rsid w:val="0054160B"/>
    <w:rsid w:val="00541A77"/>
    <w:rsid w:val="005423A0"/>
    <w:rsid w:val="00542E3E"/>
    <w:rsid w:val="005443EE"/>
    <w:rsid w:val="00545192"/>
    <w:rsid w:val="005459B8"/>
    <w:rsid w:val="00546143"/>
    <w:rsid w:val="00546885"/>
    <w:rsid w:val="00546D5B"/>
    <w:rsid w:val="00546E2B"/>
    <w:rsid w:val="0055068F"/>
    <w:rsid w:val="0055098F"/>
    <w:rsid w:val="00551722"/>
    <w:rsid w:val="00552675"/>
    <w:rsid w:val="00552D9F"/>
    <w:rsid w:val="005535EB"/>
    <w:rsid w:val="00553719"/>
    <w:rsid w:val="005551DB"/>
    <w:rsid w:val="0055525F"/>
    <w:rsid w:val="005553FA"/>
    <w:rsid w:val="005554B1"/>
    <w:rsid w:val="00556917"/>
    <w:rsid w:val="00557A23"/>
    <w:rsid w:val="005604E4"/>
    <w:rsid w:val="0056095B"/>
    <w:rsid w:val="0056493F"/>
    <w:rsid w:val="00565BD2"/>
    <w:rsid w:val="005710BD"/>
    <w:rsid w:val="00571193"/>
    <w:rsid w:val="00571FDD"/>
    <w:rsid w:val="005724AF"/>
    <w:rsid w:val="00573673"/>
    <w:rsid w:val="00575485"/>
    <w:rsid w:val="0057729C"/>
    <w:rsid w:val="00577A87"/>
    <w:rsid w:val="00577F69"/>
    <w:rsid w:val="00580FFD"/>
    <w:rsid w:val="00581A46"/>
    <w:rsid w:val="00581F37"/>
    <w:rsid w:val="00582A08"/>
    <w:rsid w:val="00583214"/>
    <w:rsid w:val="005837C0"/>
    <w:rsid w:val="00583C2D"/>
    <w:rsid w:val="00585BF0"/>
    <w:rsid w:val="00586874"/>
    <w:rsid w:val="00587BB3"/>
    <w:rsid w:val="00590473"/>
    <w:rsid w:val="00590E2D"/>
    <w:rsid w:val="00591067"/>
    <w:rsid w:val="005932B8"/>
    <w:rsid w:val="00593DEC"/>
    <w:rsid w:val="00595081"/>
    <w:rsid w:val="00595678"/>
    <w:rsid w:val="0059589C"/>
    <w:rsid w:val="005960FF"/>
    <w:rsid w:val="005968B3"/>
    <w:rsid w:val="0059752E"/>
    <w:rsid w:val="005A00CE"/>
    <w:rsid w:val="005A049D"/>
    <w:rsid w:val="005A0DB0"/>
    <w:rsid w:val="005A42DD"/>
    <w:rsid w:val="005A4351"/>
    <w:rsid w:val="005A5711"/>
    <w:rsid w:val="005B0BF7"/>
    <w:rsid w:val="005B203F"/>
    <w:rsid w:val="005B2253"/>
    <w:rsid w:val="005B2297"/>
    <w:rsid w:val="005B2BEB"/>
    <w:rsid w:val="005B38DE"/>
    <w:rsid w:val="005B4207"/>
    <w:rsid w:val="005B542D"/>
    <w:rsid w:val="005B625C"/>
    <w:rsid w:val="005B7731"/>
    <w:rsid w:val="005C0BD8"/>
    <w:rsid w:val="005C3ABD"/>
    <w:rsid w:val="005C4672"/>
    <w:rsid w:val="005C478D"/>
    <w:rsid w:val="005C4B19"/>
    <w:rsid w:val="005C5FFA"/>
    <w:rsid w:val="005C6D8F"/>
    <w:rsid w:val="005C701F"/>
    <w:rsid w:val="005D01AA"/>
    <w:rsid w:val="005D3AE7"/>
    <w:rsid w:val="005D5608"/>
    <w:rsid w:val="005D6921"/>
    <w:rsid w:val="005E0F24"/>
    <w:rsid w:val="005E10AD"/>
    <w:rsid w:val="005E16BD"/>
    <w:rsid w:val="005E3494"/>
    <w:rsid w:val="005E4843"/>
    <w:rsid w:val="005E6E03"/>
    <w:rsid w:val="005E791D"/>
    <w:rsid w:val="005E7A83"/>
    <w:rsid w:val="005F02A2"/>
    <w:rsid w:val="005F0635"/>
    <w:rsid w:val="005F1391"/>
    <w:rsid w:val="005F1F0D"/>
    <w:rsid w:val="005F200F"/>
    <w:rsid w:val="005F2D1B"/>
    <w:rsid w:val="005F332D"/>
    <w:rsid w:val="005F699D"/>
    <w:rsid w:val="005F74B2"/>
    <w:rsid w:val="00600A5F"/>
    <w:rsid w:val="00603381"/>
    <w:rsid w:val="00604BC5"/>
    <w:rsid w:val="00604D2D"/>
    <w:rsid w:val="006062E0"/>
    <w:rsid w:val="00607269"/>
    <w:rsid w:val="00607FE3"/>
    <w:rsid w:val="0061074E"/>
    <w:rsid w:val="006139A7"/>
    <w:rsid w:val="00616621"/>
    <w:rsid w:val="00617303"/>
    <w:rsid w:val="00617B1F"/>
    <w:rsid w:val="006201F8"/>
    <w:rsid w:val="00621A9C"/>
    <w:rsid w:val="00624788"/>
    <w:rsid w:val="0062583C"/>
    <w:rsid w:val="00625DE7"/>
    <w:rsid w:val="00626213"/>
    <w:rsid w:val="006268CC"/>
    <w:rsid w:val="00626A90"/>
    <w:rsid w:val="00626C86"/>
    <w:rsid w:val="00627741"/>
    <w:rsid w:val="0063015D"/>
    <w:rsid w:val="006315B9"/>
    <w:rsid w:val="00631D97"/>
    <w:rsid w:val="006342BF"/>
    <w:rsid w:val="006360CB"/>
    <w:rsid w:val="00636FFA"/>
    <w:rsid w:val="006370BF"/>
    <w:rsid w:val="006372EE"/>
    <w:rsid w:val="00637CC9"/>
    <w:rsid w:val="006413B3"/>
    <w:rsid w:val="00641898"/>
    <w:rsid w:val="00641949"/>
    <w:rsid w:val="00645430"/>
    <w:rsid w:val="006466F4"/>
    <w:rsid w:val="0064791A"/>
    <w:rsid w:val="00647EF2"/>
    <w:rsid w:val="006525F9"/>
    <w:rsid w:val="00652BD1"/>
    <w:rsid w:val="006537C2"/>
    <w:rsid w:val="00653D12"/>
    <w:rsid w:val="0065447C"/>
    <w:rsid w:val="00654A7D"/>
    <w:rsid w:val="00655F58"/>
    <w:rsid w:val="00656396"/>
    <w:rsid w:val="00656AA5"/>
    <w:rsid w:val="006577FC"/>
    <w:rsid w:val="00657B92"/>
    <w:rsid w:val="00657E00"/>
    <w:rsid w:val="00660312"/>
    <w:rsid w:val="00660672"/>
    <w:rsid w:val="00661BEA"/>
    <w:rsid w:val="00662B94"/>
    <w:rsid w:val="0066337A"/>
    <w:rsid w:val="00664A20"/>
    <w:rsid w:val="006654AD"/>
    <w:rsid w:val="006667EF"/>
    <w:rsid w:val="00666FFD"/>
    <w:rsid w:val="006670FF"/>
    <w:rsid w:val="0066764F"/>
    <w:rsid w:val="0067090A"/>
    <w:rsid w:val="00671ADF"/>
    <w:rsid w:val="00671CB4"/>
    <w:rsid w:val="006725D5"/>
    <w:rsid w:val="00672831"/>
    <w:rsid w:val="00672A99"/>
    <w:rsid w:val="00673B46"/>
    <w:rsid w:val="006740A5"/>
    <w:rsid w:val="00674190"/>
    <w:rsid w:val="00676641"/>
    <w:rsid w:val="006769CF"/>
    <w:rsid w:val="00680DB6"/>
    <w:rsid w:val="00681E82"/>
    <w:rsid w:val="00681E83"/>
    <w:rsid w:val="00682705"/>
    <w:rsid w:val="0068383E"/>
    <w:rsid w:val="006859AC"/>
    <w:rsid w:val="00685FD5"/>
    <w:rsid w:val="00686954"/>
    <w:rsid w:val="00691389"/>
    <w:rsid w:val="00694417"/>
    <w:rsid w:val="00697AE3"/>
    <w:rsid w:val="006A0824"/>
    <w:rsid w:val="006A32EA"/>
    <w:rsid w:val="006A37D4"/>
    <w:rsid w:val="006A39F8"/>
    <w:rsid w:val="006A4B04"/>
    <w:rsid w:val="006A54E7"/>
    <w:rsid w:val="006A5D1A"/>
    <w:rsid w:val="006A6085"/>
    <w:rsid w:val="006A77B0"/>
    <w:rsid w:val="006B2092"/>
    <w:rsid w:val="006B288F"/>
    <w:rsid w:val="006B4868"/>
    <w:rsid w:val="006B56F7"/>
    <w:rsid w:val="006B5C32"/>
    <w:rsid w:val="006B6B13"/>
    <w:rsid w:val="006B6C4D"/>
    <w:rsid w:val="006C34D7"/>
    <w:rsid w:val="006C5294"/>
    <w:rsid w:val="006C6138"/>
    <w:rsid w:val="006C6180"/>
    <w:rsid w:val="006D010F"/>
    <w:rsid w:val="006D01D1"/>
    <w:rsid w:val="006D10B7"/>
    <w:rsid w:val="006D4655"/>
    <w:rsid w:val="006D4F5F"/>
    <w:rsid w:val="006D52DA"/>
    <w:rsid w:val="006D7C6B"/>
    <w:rsid w:val="006E00B3"/>
    <w:rsid w:val="006E048C"/>
    <w:rsid w:val="006E226C"/>
    <w:rsid w:val="006E3CCF"/>
    <w:rsid w:val="006E4DDB"/>
    <w:rsid w:val="006E5CE4"/>
    <w:rsid w:val="006E5DCA"/>
    <w:rsid w:val="006E5DE6"/>
    <w:rsid w:val="006E5F9E"/>
    <w:rsid w:val="006E61B5"/>
    <w:rsid w:val="006E6581"/>
    <w:rsid w:val="006E6D2D"/>
    <w:rsid w:val="006E7611"/>
    <w:rsid w:val="006E77C5"/>
    <w:rsid w:val="006E7A84"/>
    <w:rsid w:val="006E7D03"/>
    <w:rsid w:val="006F099C"/>
    <w:rsid w:val="006F30DC"/>
    <w:rsid w:val="006F3ED1"/>
    <w:rsid w:val="006F490C"/>
    <w:rsid w:val="006F49F1"/>
    <w:rsid w:val="006F5420"/>
    <w:rsid w:val="006F7883"/>
    <w:rsid w:val="006F78DF"/>
    <w:rsid w:val="006F7CAA"/>
    <w:rsid w:val="00701490"/>
    <w:rsid w:val="0070196B"/>
    <w:rsid w:val="00701E07"/>
    <w:rsid w:val="00702DC7"/>
    <w:rsid w:val="007036B9"/>
    <w:rsid w:val="0070461C"/>
    <w:rsid w:val="00704B45"/>
    <w:rsid w:val="00705268"/>
    <w:rsid w:val="00706A1A"/>
    <w:rsid w:val="00706B1C"/>
    <w:rsid w:val="00706FF6"/>
    <w:rsid w:val="007074C5"/>
    <w:rsid w:val="007102E7"/>
    <w:rsid w:val="00712CEF"/>
    <w:rsid w:val="007133E1"/>
    <w:rsid w:val="00713980"/>
    <w:rsid w:val="007151DA"/>
    <w:rsid w:val="007168CD"/>
    <w:rsid w:val="007168DA"/>
    <w:rsid w:val="00717DCA"/>
    <w:rsid w:val="007214B1"/>
    <w:rsid w:val="00723456"/>
    <w:rsid w:val="00726A28"/>
    <w:rsid w:val="00727258"/>
    <w:rsid w:val="00727A1F"/>
    <w:rsid w:val="00730252"/>
    <w:rsid w:val="0073081F"/>
    <w:rsid w:val="0073248C"/>
    <w:rsid w:val="007340EF"/>
    <w:rsid w:val="00734ADD"/>
    <w:rsid w:val="00736FEF"/>
    <w:rsid w:val="00737F36"/>
    <w:rsid w:val="00741DF8"/>
    <w:rsid w:val="00741FA9"/>
    <w:rsid w:val="00742073"/>
    <w:rsid w:val="007425B8"/>
    <w:rsid w:val="00743448"/>
    <w:rsid w:val="0074357F"/>
    <w:rsid w:val="00743693"/>
    <w:rsid w:val="00744457"/>
    <w:rsid w:val="007451B3"/>
    <w:rsid w:val="007456AD"/>
    <w:rsid w:val="00745C18"/>
    <w:rsid w:val="0074666C"/>
    <w:rsid w:val="00746C45"/>
    <w:rsid w:val="00747611"/>
    <w:rsid w:val="0075188D"/>
    <w:rsid w:val="00751A70"/>
    <w:rsid w:val="0075219E"/>
    <w:rsid w:val="00752FFF"/>
    <w:rsid w:val="00760714"/>
    <w:rsid w:val="00762430"/>
    <w:rsid w:val="00763BE4"/>
    <w:rsid w:val="00764110"/>
    <w:rsid w:val="00765303"/>
    <w:rsid w:val="007703EF"/>
    <w:rsid w:val="00771768"/>
    <w:rsid w:val="00771D36"/>
    <w:rsid w:val="00772305"/>
    <w:rsid w:val="00772FEC"/>
    <w:rsid w:val="00773B07"/>
    <w:rsid w:val="0077446A"/>
    <w:rsid w:val="00775197"/>
    <w:rsid w:val="007757A5"/>
    <w:rsid w:val="00776523"/>
    <w:rsid w:val="0078012E"/>
    <w:rsid w:val="007821A5"/>
    <w:rsid w:val="00782260"/>
    <w:rsid w:val="007835FE"/>
    <w:rsid w:val="00783F16"/>
    <w:rsid w:val="007873CC"/>
    <w:rsid w:val="00787524"/>
    <w:rsid w:val="007879BA"/>
    <w:rsid w:val="00787D63"/>
    <w:rsid w:val="007921E8"/>
    <w:rsid w:val="007931D4"/>
    <w:rsid w:val="00796422"/>
    <w:rsid w:val="00797191"/>
    <w:rsid w:val="00797BDE"/>
    <w:rsid w:val="00797D24"/>
    <w:rsid w:val="007A004B"/>
    <w:rsid w:val="007A1E9C"/>
    <w:rsid w:val="007A4EF5"/>
    <w:rsid w:val="007A52F9"/>
    <w:rsid w:val="007A601B"/>
    <w:rsid w:val="007A63A3"/>
    <w:rsid w:val="007A6A83"/>
    <w:rsid w:val="007A721C"/>
    <w:rsid w:val="007A7647"/>
    <w:rsid w:val="007A76E1"/>
    <w:rsid w:val="007A7B05"/>
    <w:rsid w:val="007B0891"/>
    <w:rsid w:val="007B1869"/>
    <w:rsid w:val="007B1958"/>
    <w:rsid w:val="007B240C"/>
    <w:rsid w:val="007B3931"/>
    <w:rsid w:val="007B562D"/>
    <w:rsid w:val="007B5DA5"/>
    <w:rsid w:val="007B7757"/>
    <w:rsid w:val="007C0F0A"/>
    <w:rsid w:val="007C19BB"/>
    <w:rsid w:val="007C429C"/>
    <w:rsid w:val="007C49C7"/>
    <w:rsid w:val="007C4C58"/>
    <w:rsid w:val="007C61D2"/>
    <w:rsid w:val="007C70BC"/>
    <w:rsid w:val="007C7BFA"/>
    <w:rsid w:val="007D06EF"/>
    <w:rsid w:val="007D2266"/>
    <w:rsid w:val="007D2942"/>
    <w:rsid w:val="007D3513"/>
    <w:rsid w:val="007D4C5B"/>
    <w:rsid w:val="007D68F9"/>
    <w:rsid w:val="007D7BCA"/>
    <w:rsid w:val="007E14EF"/>
    <w:rsid w:val="007E1D74"/>
    <w:rsid w:val="007E2075"/>
    <w:rsid w:val="007E2C1B"/>
    <w:rsid w:val="007E447A"/>
    <w:rsid w:val="007E4966"/>
    <w:rsid w:val="007E4EF8"/>
    <w:rsid w:val="007E52D2"/>
    <w:rsid w:val="007E5311"/>
    <w:rsid w:val="007E6A03"/>
    <w:rsid w:val="007E6FEC"/>
    <w:rsid w:val="007F147F"/>
    <w:rsid w:val="007F164E"/>
    <w:rsid w:val="007F17BB"/>
    <w:rsid w:val="007F2558"/>
    <w:rsid w:val="007F29C4"/>
    <w:rsid w:val="007F307A"/>
    <w:rsid w:val="007F3E08"/>
    <w:rsid w:val="007F4320"/>
    <w:rsid w:val="007F47F6"/>
    <w:rsid w:val="007F551B"/>
    <w:rsid w:val="007F7DB2"/>
    <w:rsid w:val="00801572"/>
    <w:rsid w:val="0080157C"/>
    <w:rsid w:val="0080189E"/>
    <w:rsid w:val="00801B65"/>
    <w:rsid w:val="00801E75"/>
    <w:rsid w:val="00806656"/>
    <w:rsid w:val="008072B8"/>
    <w:rsid w:val="00807ACE"/>
    <w:rsid w:val="0081079E"/>
    <w:rsid w:val="00810B92"/>
    <w:rsid w:val="008113F6"/>
    <w:rsid w:val="008114CC"/>
    <w:rsid w:val="0081157C"/>
    <w:rsid w:val="00812B93"/>
    <w:rsid w:val="008130B8"/>
    <w:rsid w:val="0081651C"/>
    <w:rsid w:val="008166E2"/>
    <w:rsid w:val="008173A8"/>
    <w:rsid w:val="00821F61"/>
    <w:rsid w:val="008232AA"/>
    <w:rsid w:val="008251FD"/>
    <w:rsid w:val="00825685"/>
    <w:rsid w:val="00826878"/>
    <w:rsid w:val="00827611"/>
    <w:rsid w:val="00827C91"/>
    <w:rsid w:val="00830A0A"/>
    <w:rsid w:val="00830C97"/>
    <w:rsid w:val="008320A1"/>
    <w:rsid w:val="00832897"/>
    <w:rsid w:val="0083320E"/>
    <w:rsid w:val="008339D0"/>
    <w:rsid w:val="00833E4D"/>
    <w:rsid w:val="00833EF5"/>
    <w:rsid w:val="00834913"/>
    <w:rsid w:val="00834D3D"/>
    <w:rsid w:val="00834ED0"/>
    <w:rsid w:val="008369B4"/>
    <w:rsid w:val="00840743"/>
    <w:rsid w:val="00840D7D"/>
    <w:rsid w:val="00841532"/>
    <w:rsid w:val="008422D4"/>
    <w:rsid w:val="00842E31"/>
    <w:rsid w:val="00842F8E"/>
    <w:rsid w:val="00842FC7"/>
    <w:rsid w:val="008433D0"/>
    <w:rsid w:val="008437E8"/>
    <w:rsid w:val="00843A81"/>
    <w:rsid w:val="008449E8"/>
    <w:rsid w:val="00845B00"/>
    <w:rsid w:val="00846113"/>
    <w:rsid w:val="00850963"/>
    <w:rsid w:val="008515D8"/>
    <w:rsid w:val="008523E4"/>
    <w:rsid w:val="008538C4"/>
    <w:rsid w:val="008552A3"/>
    <w:rsid w:val="0085774B"/>
    <w:rsid w:val="00857826"/>
    <w:rsid w:val="00857989"/>
    <w:rsid w:val="0086201F"/>
    <w:rsid w:val="008620C4"/>
    <w:rsid w:val="008627B8"/>
    <w:rsid w:val="008639F3"/>
    <w:rsid w:val="0086435A"/>
    <w:rsid w:val="008649A9"/>
    <w:rsid w:val="00865524"/>
    <w:rsid w:val="00865BD6"/>
    <w:rsid w:val="008677B8"/>
    <w:rsid w:val="00870478"/>
    <w:rsid w:val="0087196B"/>
    <w:rsid w:val="008727EB"/>
    <w:rsid w:val="00873DD7"/>
    <w:rsid w:val="00874CFB"/>
    <w:rsid w:val="00874EB8"/>
    <w:rsid w:val="00876B4E"/>
    <w:rsid w:val="00877425"/>
    <w:rsid w:val="00882832"/>
    <w:rsid w:val="008829C9"/>
    <w:rsid w:val="0088303F"/>
    <w:rsid w:val="00883828"/>
    <w:rsid w:val="008851A4"/>
    <w:rsid w:val="008852BA"/>
    <w:rsid w:val="008855F3"/>
    <w:rsid w:val="00885755"/>
    <w:rsid w:val="00885D99"/>
    <w:rsid w:val="00886005"/>
    <w:rsid w:val="00886C52"/>
    <w:rsid w:val="00886D06"/>
    <w:rsid w:val="008871A1"/>
    <w:rsid w:val="00890701"/>
    <w:rsid w:val="00890C72"/>
    <w:rsid w:val="00892526"/>
    <w:rsid w:val="00892C2E"/>
    <w:rsid w:val="00893709"/>
    <w:rsid w:val="00894C90"/>
    <w:rsid w:val="00895147"/>
    <w:rsid w:val="00896403"/>
    <w:rsid w:val="0089656D"/>
    <w:rsid w:val="00896FB7"/>
    <w:rsid w:val="00897970"/>
    <w:rsid w:val="008A09D3"/>
    <w:rsid w:val="008A0F0F"/>
    <w:rsid w:val="008A1507"/>
    <w:rsid w:val="008A2BDA"/>
    <w:rsid w:val="008A2F64"/>
    <w:rsid w:val="008A2F71"/>
    <w:rsid w:val="008A3322"/>
    <w:rsid w:val="008A4B93"/>
    <w:rsid w:val="008A4F84"/>
    <w:rsid w:val="008A5A86"/>
    <w:rsid w:val="008A60BB"/>
    <w:rsid w:val="008A6567"/>
    <w:rsid w:val="008A7C7B"/>
    <w:rsid w:val="008B43B2"/>
    <w:rsid w:val="008C027B"/>
    <w:rsid w:val="008C0891"/>
    <w:rsid w:val="008C1FA6"/>
    <w:rsid w:val="008C3602"/>
    <w:rsid w:val="008D0C5A"/>
    <w:rsid w:val="008D0F7F"/>
    <w:rsid w:val="008D15A2"/>
    <w:rsid w:val="008D2145"/>
    <w:rsid w:val="008D2D49"/>
    <w:rsid w:val="008D39F1"/>
    <w:rsid w:val="008D6CFE"/>
    <w:rsid w:val="008D7790"/>
    <w:rsid w:val="008D7AAF"/>
    <w:rsid w:val="008E0009"/>
    <w:rsid w:val="008E085A"/>
    <w:rsid w:val="008E248F"/>
    <w:rsid w:val="008E2CBF"/>
    <w:rsid w:val="008E340B"/>
    <w:rsid w:val="008E6F9B"/>
    <w:rsid w:val="008F051D"/>
    <w:rsid w:val="008F1D8D"/>
    <w:rsid w:val="008F269B"/>
    <w:rsid w:val="008F3281"/>
    <w:rsid w:val="008F3BE9"/>
    <w:rsid w:val="008F6358"/>
    <w:rsid w:val="008F6FF2"/>
    <w:rsid w:val="008F727E"/>
    <w:rsid w:val="008F72AE"/>
    <w:rsid w:val="008F74B7"/>
    <w:rsid w:val="008F7AA3"/>
    <w:rsid w:val="008F7CE0"/>
    <w:rsid w:val="008F7EB8"/>
    <w:rsid w:val="00900417"/>
    <w:rsid w:val="00900596"/>
    <w:rsid w:val="009011D5"/>
    <w:rsid w:val="0090256F"/>
    <w:rsid w:val="009029D2"/>
    <w:rsid w:val="0090475E"/>
    <w:rsid w:val="009047D2"/>
    <w:rsid w:val="0090484F"/>
    <w:rsid w:val="0090518E"/>
    <w:rsid w:val="0090566F"/>
    <w:rsid w:val="00905D5F"/>
    <w:rsid w:val="009077C6"/>
    <w:rsid w:val="0091038C"/>
    <w:rsid w:val="00911B1F"/>
    <w:rsid w:val="0091210F"/>
    <w:rsid w:val="0091247C"/>
    <w:rsid w:val="0091291A"/>
    <w:rsid w:val="00914269"/>
    <w:rsid w:val="009144F2"/>
    <w:rsid w:val="00915E45"/>
    <w:rsid w:val="00921999"/>
    <w:rsid w:val="009221DD"/>
    <w:rsid w:val="00922D64"/>
    <w:rsid w:val="00922E67"/>
    <w:rsid w:val="00923593"/>
    <w:rsid w:val="009247F1"/>
    <w:rsid w:val="00925B54"/>
    <w:rsid w:val="00925C23"/>
    <w:rsid w:val="009300D7"/>
    <w:rsid w:val="00930744"/>
    <w:rsid w:val="0093093A"/>
    <w:rsid w:val="009313EE"/>
    <w:rsid w:val="009316A2"/>
    <w:rsid w:val="00931AFC"/>
    <w:rsid w:val="00931F85"/>
    <w:rsid w:val="009320B6"/>
    <w:rsid w:val="00932D06"/>
    <w:rsid w:val="00934B04"/>
    <w:rsid w:val="00934C11"/>
    <w:rsid w:val="00934E97"/>
    <w:rsid w:val="009376F4"/>
    <w:rsid w:val="0094133F"/>
    <w:rsid w:val="009421A7"/>
    <w:rsid w:val="00943ACB"/>
    <w:rsid w:val="00944D10"/>
    <w:rsid w:val="00947927"/>
    <w:rsid w:val="00947AD7"/>
    <w:rsid w:val="00951096"/>
    <w:rsid w:val="00952758"/>
    <w:rsid w:val="009529CD"/>
    <w:rsid w:val="00954F20"/>
    <w:rsid w:val="00955807"/>
    <w:rsid w:val="00956552"/>
    <w:rsid w:val="00956A49"/>
    <w:rsid w:val="00957651"/>
    <w:rsid w:val="00957BFE"/>
    <w:rsid w:val="00957FBF"/>
    <w:rsid w:val="00960387"/>
    <w:rsid w:val="009625EC"/>
    <w:rsid w:val="00962BD4"/>
    <w:rsid w:val="0096376A"/>
    <w:rsid w:val="009639DC"/>
    <w:rsid w:val="00963A7F"/>
    <w:rsid w:val="00964474"/>
    <w:rsid w:val="009670CE"/>
    <w:rsid w:val="0096714B"/>
    <w:rsid w:val="00967E6D"/>
    <w:rsid w:val="009720BD"/>
    <w:rsid w:val="009732EA"/>
    <w:rsid w:val="00973AEF"/>
    <w:rsid w:val="00973D3D"/>
    <w:rsid w:val="00973D55"/>
    <w:rsid w:val="00976627"/>
    <w:rsid w:val="00976711"/>
    <w:rsid w:val="009771F0"/>
    <w:rsid w:val="00977B5D"/>
    <w:rsid w:val="0098082F"/>
    <w:rsid w:val="00980A28"/>
    <w:rsid w:val="009813A1"/>
    <w:rsid w:val="00981F19"/>
    <w:rsid w:val="00983863"/>
    <w:rsid w:val="00984474"/>
    <w:rsid w:val="009876CE"/>
    <w:rsid w:val="009879FA"/>
    <w:rsid w:val="00987CDB"/>
    <w:rsid w:val="009909AC"/>
    <w:rsid w:val="00990D41"/>
    <w:rsid w:val="00991596"/>
    <w:rsid w:val="00992440"/>
    <w:rsid w:val="0099324E"/>
    <w:rsid w:val="00994167"/>
    <w:rsid w:val="00994EB7"/>
    <w:rsid w:val="0099593E"/>
    <w:rsid w:val="00996D72"/>
    <w:rsid w:val="00996E14"/>
    <w:rsid w:val="00997079"/>
    <w:rsid w:val="009A0042"/>
    <w:rsid w:val="009A07C3"/>
    <w:rsid w:val="009A0B53"/>
    <w:rsid w:val="009A3C63"/>
    <w:rsid w:val="009A444F"/>
    <w:rsid w:val="009A44E7"/>
    <w:rsid w:val="009A6047"/>
    <w:rsid w:val="009B077C"/>
    <w:rsid w:val="009B17E7"/>
    <w:rsid w:val="009B6978"/>
    <w:rsid w:val="009B700F"/>
    <w:rsid w:val="009B73E3"/>
    <w:rsid w:val="009B77C0"/>
    <w:rsid w:val="009C01B3"/>
    <w:rsid w:val="009C112D"/>
    <w:rsid w:val="009C1E84"/>
    <w:rsid w:val="009C3B9D"/>
    <w:rsid w:val="009C516C"/>
    <w:rsid w:val="009C58E6"/>
    <w:rsid w:val="009C627A"/>
    <w:rsid w:val="009D02D3"/>
    <w:rsid w:val="009D0C76"/>
    <w:rsid w:val="009D0DB2"/>
    <w:rsid w:val="009D2832"/>
    <w:rsid w:val="009D3372"/>
    <w:rsid w:val="009D72C8"/>
    <w:rsid w:val="009D7663"/>
    <w:rsid w:val="009D7882"/>
    <w:rsid w:val="009E0E63"/>
    <w:rsid w:val="009E3165"/>
    <w:rsid w:val="009F04D3"/>
    <w:rsid w:val="009F0A00"/>
    <w:rsid w:val="009F2252"/>
    <w:rsid w:val="009F50A5"/>
    <w:rsid w:val="009F7221"/>
    <w:rsid w:val="00A00966"/>
    <w:rsid w:val="00A01523"/>
    <w:rsid w:val="00A01868"/>
    <w:rsid w:val="00A024E2"/>
    <w:rsid w:val="00A024F1"/>
    <w:rsid w:val="00A02C9C"/>
    <w:rsid w:val="00A03604"/>
    <w:rsid w:val="00A03FE3"/>
    <w:rsid w:val="00A063CD"/>
    <w:rsid w:val="00A10891"/>
    <w:rsid w:val="00A115ED"/>
    <w:rsid w:val="00A1234B"/>
    <w:rsid w:val="00A15007"/>
    <w:rsid w:val="00A15302"/>
    <w:rsid w:val="00A15A62"/>
    <w:rsid w:val="00A1728B"/>
    <w:rsid w:val="00A212F2"/>
    <w:rsid w:val="00A2411F"/>
    <w:rsid w:val="00A2445E"/>
    <w:rsid w:val="00A255B4"/>
    <w:rsid w:val="00A25D3A"/>
    <w:rsid w:val="00A31207"/>
    <w:rsid w:val="00A313D7"/>
    <w:rsid w:val="00A32269"/>
    <w:rsid w:val="00A32475"/>
    <w:rsid w:val="00A33451"/>
    <w:rsid w:val="00A338C0"/>
    <w:rsid w:val="00A35B55"/>
    <w:rsid w:val="00A36CF9"/>
    <w:rsid w:val="00A4096C"/>
    <w:rsid w:val="00A41B6F"/>
    <w:rsid w:val="00A41D4D"/>
    <w:rsid w:val="00A429B3"/>
    <w:rsid w:val="00A42C1E"/>
    <w:rsid w:val="00A43ACC"/>
    <w:rsid w:val="00A43C05"/>
    <w:rsid w:val="00A44210"/>
    <w:rsid w:val="00A462CF"/>
    <w:rsid w:val="00A4657C"/>
    <w:rsid w:val="00A4691D"/>
    <w:rsid w:val="00A50256"/>
    <w:rsid w:val="00A512A6"/>
    <w:rsid w:val="00A54E68"/>
    <w:rsid w:val="00A55BD4"/>
    <w:rsid w:val="00A5641B"/>
    <w:rsid w:val="00A56EA8"/>
    <w:rsid w:val="00A57457"/>
    <w:rsid w:val="00A57667"/>
    <w:rsid w:val="00A57F5A"/>
    <w:rsid w:val="00A600AB"/>
    <w:rsid w:val="00A600F0"/>
    <w:rsid w:val="00A60915"/>
    <w:rsid w:val="00A623F5"/>
    <w:rsid w:val="00A62464"/>
    <w:rsid w:val="00A63027"/>
    <w:rsid w:val="00A63D48"/>
    <w:rsid w:val="00A64AAD"/>
    <w:rsid w:val="00A64C90"/>
    <w:rsid w:val="00A64E3E"/>
    <w:rsid w:val="00A65823"/>
    <w:rsid w:val="00A668DF"/>
    <w:rsid w:val="00A66F76"/>
    <w:rsid w:val="00A709AD"/>
    <w:rsid w:val="00A70F54"/>
    <w:rsid w:val="00A718EE"/>
    <w:rsid w:val="00A71992"/>
    <w:rsid w:val="00A731CD"/>
    <w:rsid w:val="00A74001"/>
    <w:rsid w:val="00A753A3"/>
    <w:rsid w:val="00A75469"/>
    <w:rsid w:val="00A76602"/>
    <w:rsid w:val="00A8297F"/>
    <w:rsid w:val="00A832B7"/>
    <w:rsid w:val="00A83B5E"/>
    <w:rsid w:val="00A83C82"/>
    <w:rsid w:val="00A84B5D"/>
    <w:rsid w:val="00A84B64"/>
    <w:rsid w:val="00A8533C"/>
    <w:rsid w:val="00A86919"/>
    <w:rsid w:val="00A87849"/>
    <w:rsid w:val="00A90AF8"/>
    <w:rsid w:val="00A90FEB"/>
    <w:rsid w:val="00A927E3"/>
    <w:rsid w:val="00A9293F"/>
    <w:rsid w:val="00A936EB"/>
    <w:rsid w:val="00A945BC"/>
    <w:rsid w:val="00A95AB4"/>
    <w:rsid w:val="00AA06E3"/>
    <w:rsid w:val="00AA0E55"/>
    <w:rsid w:val="00AA15EE"/>
    <w:rsid w:val="00AA1AE5"/>
    <w:rsid w:val="00AA2ED4"/>
    <w:rsid w:val="00AA387A"/>
    <w:rsid w:val="00AA3CAE"/>
    <w:rsid w:val="00AA3F6C"/>
    <w:rsid w:val="00AA4728"/>
    <w:rsid w:val="00AA6073"/>
    <w:rsid w:val="00AA6A49"/>
    <w:rsid w:val="00AB27C1"/>
    <w:rsid w:val="00AB2A31"/>
    <w:rsid w:val="00AB2A41"/>
    <w:rsid w:val="00AB31B2"/>
    <w:rsid w:val="00AB64C4"/>
    <w:rsid w:val="00AB7F24"/>
    <w:rsid w:val="00AC04DE"/>
    <w:rsid w:val="00AC08F4"/>
    <w:rsid w:val="00AC0A4C"/>
    <w:rsid w:val="00AC1349"/>
    <w:rsid w:val="00AC2093"/>
    <w:rsid w:val="00AC2157"/>
    <w:rsid w:val="00AC4B89"/>
    <w:rsid w:val="00AC6124"/>
    <w:rsid w:val="00AC6240"/>
    <w:rsid w:val="00AC6371"/>
    <w:rsid w:val="00AC6BEF"/>
    <w:rsid w:val="00AD0710"/>
    <w:rsid w:val="00AD148E"/>
    <w:rsid w:val="00AD2BF2"/>
    <w:rsid w:val="00AD2DF6"/>
    <w:rsid w:val="00AD364D"/>
    <w:rsid w:val="00AD6144"/>
    <w:rsid w:val="00AD79B6"/>
    <w:rsid w:val="00AE15E7"/>
    <w:rsid w:val="00AE1A3E"/>
    <w:rsid w:val="00AE1BF5"/>
    <w:rsid w:val="00AE23CC"/>
    <w:rsid w:val="00AE2C02"/>
    <w:rsid w:val="00AE2D9E"/>
    <w:rsid w:val="00AE425C"/>
    <w:rsid w:val="00AE4807"/>
    <w:rsid w:val="00AE7549"/>
    <w:rsid w:val="00AE7C06"/>
    <w:rsid w:val="00AF0D7C"/>
    <w:rsid w:val="00AF3F1D"/>
    <w:rsid w:val="00AF442C"/>
    <w:rsid w:val="00AF501E"/>
    <w:rsid w:val="00AF6541"/>
    <w:rsid w:val="00B00287"/>
    <w:rsid w:val="00B01A45"/>
    <w:rsid w:val="00B01AF4"/>
    <w:rsid w:val="00B01B38"/>
    <w:rsid w:val="00B02946"/>
    <w:rsid w:val="00B030B3"/>
    <w:rsid w:val="00B03903"/>
    <w:rsid w:val="00B03988"/>
    <w:rsid w:val="00B04227"/>
    <w:rsid w:val="00B043A5"/>
    <w:rsid w:val="00B05C2E"/>
    <w:rsid w:val="00B115E8"/>
    <w:rsid w:val="00B11D8D"/>
    <w:rsid w:val="00B14D8C"/>
    <w:rsid w:val="00B161B8"/>
    <w:rsid w:val="00B16727"/>
    <w:rsid w:val="00B17A98"/>
    <w:rsid w:val="00B208D6"/>
    <w:rsid w:val="00B20ACC"/>
    <w:rsid w:val="00B2232B"/>
    <w:rsid w:val="00B223CA"/>
    <w:rsid w:val="00B22EFD"/>
    <w:rsid w:val="00B230DF"/>
    <w:rsid w:val="00B25011"/>
    <w:rsid w:val="00B2675D"/>
    <w:rsid w:val="00B26AB5"/>
    <w:rsid w:val="00B26B67"/>
    <w:rsid w:val="00B26ED8"/>
    <w:rsid w:val="00B27247"/>
    <w:rsid w:val="00B275C8"/>
    <w:rsid w:val="00B306E4"/>
    <w:rsid w:val="00B308D2"/>
    <w:rsid w:val="00B31F64"/>
    <w:rsid w:val="00B32023"/>
    <w:rsid w:val="00B32E1B"/>
    <w:rsid w:val="00B33593"/>
    <w:rsid w:val="00B36691"/>
    <w:rsid w:val="00B36912"/>
    <w:rsid w:val="00B37844"/>
    <w:rsid w:val="00B40502"/>
    <w:rsid w:val="00B40684"/>
    <w:rsid w:val="00B40885"/>
    <w:rsid w:val="00B40FC1"/>
    <w:rsid w:val="00B41748"/>
    <w:rsid w:val="00B41F35"/>
    <w:rsid w:val="00B425DD"/>
    <w:rsid w:val="00B461A4"/>
    <w:rsid w:val="00B4791C"/>
    <w:rsid w:val="00B55888"/>
    <w:rsid w:val="00B55BA1"/>
    <w:rsid w:val="00B560EB"/>
    <w:rsid w:val="00B603DA"/>
    <w:rsid w:val="00B6161D"/>
    <w:rsid w:val="00B61C52"/>
    <w:rsid w:val="00B63842"/>
    <w:rsid w:val="00B656DE"/>
    <w:rsid w:val="00B701AE"/>
    <w:rsid w:val="00B71BD6"/>
    <w:rsid w:val="00B71EA3"/>
    <w:rsid w:val="00B74026"/>
    <w:rsid w:val="00B7488E"/>
    <w:rsid w:val="00B74D87"/>
    <w:rsid w:val="00B750B1"/>
    <w:rsid w:val="00B81F54"/>
    <w:rsid w:val="00B836CA"/>
    <w:rsid w:val="00B853A5"/>
    <w:rsid w:val="00B85CF4"/>
    <w:rsid w:val="00B8672C"/>
    <w:rsid w:val="00B86B16"/>
    <w:rsid w:val="00B87D1F"/>
    <w:rsid w:val="00B87DA1"/>
    <w:rsid w:val="00B87EA4"/>
    <w:rsid w:val="00B9102D"/>
    <w:rsid w:val="00B92406"/>
    <w:rsid w:val="00B93D44"/>
    <w:rsid w:val="00B94973"/>
    <w:rsid w:val="00B95404"/>
    <w:rsid w:val="00B95EE0"/>
    <w:rsid w:val="00B95F6B"/>
    <w:rsid w:val="00B96351"/>
    <w:rsid w:val="00B96C6D"/>
    <w:rsid w:val="00B97655"/>
    <w:rsid w:val="00B97719"/>
    <w:rsid w:val="00B97B4B"/>
    <w:rsid w:val="00BA0CDD"/>
    <w:rsid w:val="00BA4709"/>
    <w:rsid w:val="00BA4B2E"/>
    <w:rsid w:val="00BA5E7A"/>
    <w:rsid w:val="00BA6B40"/>
    <w:rsid w:val="00BA6BAD"/>
    <w:rsid w:val="00BA7E8C"/>
    <w:rsid w:val="00BB008B"/>
    <w:rsid w:val="00BB0728"/>
    <w:rsid w:val="00BB0DCD"/>
    <w:rsid w:val="00BB14D4"/>
    <w:rsid w:val="00BB193C"/>
    <w:rsid w:val="00BB3A27"/>
    <w:rsid w:val="00BB42C2"/>
    <w:rsid w:val="00BB4492"/>
    <w:rsid w:val="00BB4C0E"/>
    <w:rsid w:val="00BB678C"/>
    <w:rsid w:val="00BB6B3E"/>
    <w:rsid w:val="00BB6D7D"/>
    <w:rsid w:val="00BC014E"/>
    <w:rsid w:val="00BC34AF"/>
    <w:rsid w:val="00BC3D73"/>
    <w:rsid w:val="00BC65D5"/>
    <w:rsid w:val="00BD0657"/>
    <w:rsid w:val="00BD1DA5"/>
    <w:rsid w:val="00BD2292"/>
    <w:rsid w:val="00BD2492"/>
    <w:rsid w:val="00BD5774"/>
    <w:rsid w:val="00BD61CB"/>
    <w:rsid w:val="00BE434F"/>
    <w:rsid w:val="00BE462B"/>
    <w:rsid w:val="00BE495B"/>
    <w:rsid w:val="00BE4E6B"/>
    <w:rsid w:val="00BE5B77"/>
    <w:rsid w:val="00BE68D8"/>
    <w:rsid w:val="00BE6ACE"/>
    <w:rsid w:val="00BF0718"/>
    <w:rsid w:val="00BF0C58"/>
    <w:rsid w:val="00BF10DC"/>
    <w:rsid w:val="00BF15C5"/>
    <w:rsid w:val="00BF1830"/>
    <w:rsid w:val="00BF24EC"/>
    <w:rsid w:val="00BF2932"/>
    <w:rsid w:val="00BF2B3E"/>
    <w:rsid w:val="00BF4BCD"/>
    <w:rsid w:val="00BF4C22"/>
    <w:rsid w:val="00BF57E7"/>
    <w:rsid w:val="00BF59D5"/>
    <w:rsid w:val="00BF60A0"/>
    <w:rsid w:val="00BF6D43"/>
    <w:rsid w:val="00BF7B6F"/>
    <w:rsid w:val="00BF7E5E"/>
    <w:rsid w:val="00C01B81"/>
    <w:rsid w:val="00C026CF"/>
    <w:rsid w:val="00C0359F"/>
    <w:rsid w:val="00C040DB"/>
    <w:rsid w:val="00C041FD"/>
    <w:rsid w:val="00C042BB"/>
    <w:rsid w:val="00C04F64"/>
    <w:rsid w:val="00C06195"/>
    <w:rsid w:val="00C11074"/>
    <w:rsid w:val="00C11F7D"/>
    <w:rsid w:val="00C124B7"/>
    <w:rsid w:val="00C12587"/>
    <w:rsid w:val="00C12B92"/>
    <w:rsid w:val="00C13744"/>
    <w:rsid w:val="00C13E3F"/>
    <w:rsid w:val="00C16AD9"/>
    <w:rsid w:val="00C17153"/>
    <w:rsid w:val="00C17F62"/>
    <w:rsid w:val="00C2051A"/>
    <w:rsid w:val="00C20A53"/>
    <w:rsid w:val="00C210A0"/>
    <w:rsid w:val="00C215DF"/>
    <w:rsid w:val="00C216DA"/>
    <w:rsid w:val="00C2195B"/>
    <w:rsid w:val="00C223B3"/>
    <w:rsid w:val="00C24665"/>
    <w:rsid w:val="00C2493F"/>
    <w:rsid w:val="00C24D64"/>
    <w:rsid w:val="00C311CE"/>
    <w:rsid w:val="00C321D7"/>
    <w:rsid w:val="00C32ADC"/>
    <w:rsid w:val="00C336DF"/>
    <w:rsid w:val="00C349FD"/>
    <w:rsid w:val="00C35793"/>
    <w:rsid w:val="00C36443"/>
    <w:rsid w:val="00C37559"/>
    <w:rsid w:val="00C40E1D"/>
    <w:rsid w:val="00C42839"/>
    <w:rsid w:val="00C445F0"/>
    <w:rsid w:val="00C47430"/>
    <w:rsid w:val="00C5125A"/>
    <w:rsid w:val="00C51F10"/>
    <w:rsid w:val="00C535B2"/>
    <w:rsid w:val="00C542D4"/>
    <w:rsid w:val="00C54737"/>
    <w:rsid w:val="00C54846"/>
    <w:rsid w:val="00C550B0"/>
    <w:rsid w:val="00C5589D"/>
    <w:rsid w:val="00C55B37"/>
    <w:rsid w:val="00C5687F"/>
    <w:rsid w:val="00C579B7"/>
    <w:rsid w:val="00C63AC1"/>
    <w:rsid w:val="00C6464A"/>
    <w:rsid w:val="00C66F48"/>
    <w:rsid w:val="00C670A6"/>
    <w:rsid w:val="00C70C66"/>
    <w:rsid w:val="00C73339"/>
    <w:rsid w:val="00C73675"/>
    <w:rsid w:val="00C73952"/>
    <w:rsid w:val="00C74208"/>
    <w:rsid w:val="00C7444D"/>
    <w:rsid w:val="00C74C07"/>
    <w:rsid w:val="00C767D2"/>
    <w:rsid w:val="00C8019B"/>
    <w:rsid w:val="00C84EF9"/>
    <w:rsid w:val="00C85CE1"/>
    <w:rsid w:val="00C85ED0"/>
    <w:rsid w:val="00C86CE2"/>
    <w:rsid w:val="00C8705C"/>
    <w:rsid w:val="00C8765A"/>
    <w:rsid w:val="00C90026"/>
    <w:rsid w:val="00C91573"/>
    <w:rsid w:val="00C91738"/>
    <w:rsid w:val="00C91883"/>
    <w:rsid w:val="00C926D4"/>
    <w:rsid w:val="00C933F3"/>
    <w:rsid w:val="00C9340C"/>
    <w:rsid w:val="00C94161"/>
    <w:rsid w:val="00C9650B"/>
    <w:rsid w:val="00C97B38"/>
    <w:rsid w:val="00CA0223"/>
    <w:rsid w:val="00CA137B"/>
    <w:rsid w:val="00CA23F9"/>
    <w:rsid w:val="00CA2A2A"/>
    <w:rsid w:val="00CA3559"/>
    <w:rsid w:val="00CA4C21"/>
    <w:rsid w:val="00CA5BEE"/>
    <w:rsid w:val="00CB0EC6"/>
    <w:rsid w:val="00CB111F"/>
    <w:rsid w:val="00CB179D"/>
    <w:rsid w:val="00CB3E6E"/>
    <w:rsid w:val="00CB5D7B"/>
    <w:rsid w:val="00CB5E9C"/>
    <w:rsid w:val="00CB67D6"/>
    <w:rsid w:val="00CB7715"/>
    <w:rsid w:val="00CC0F11"/>
    <w:rsid w:val="00CC10A2"/>
    <w:rsid w:val="00CC1514"/>
    <w:rsid w:val="00CC1C76"/>
    <w:rsid w:val="00CC2420"/>
    <w:rsid w:val="00CC3586"/>
    <w:rsid w:val="00CC408D"/>
    <w:rsid w:val="00CC7835"/>
    <w:rsid w:val="00CD1C80"/>
    <w:rsid w:val="00CD2E48"/>
    <w:rsid w:val="00CD2FE7"/>
    <w:rsid w:val="00CD3868"/>
    <w:rsid w:val="00CD38FB"/>
    <w:rsid w:val="00CD603B"/>
    <w:rsid w:val="00CD6E51"/>
    <w:rsid w:val="00CD7726"/>
    <w:rsid w:val="00CD7F53"/>
    <w:rsid w:val="00CE04E6"/>
    <w:rsid w:val="00CE169D"/>
    <w:rsid w:val="00CE1E16"/>
    <w:rsid w:val="00CE2ABD"/>
    <w:rsid w:val="00CE3D8F"/>
    <w:rsid w:val="00CE584A"/>
    <w:rsid w:val="00CE6065"/>
    <w:rsid w:val="00CE7852"/>
    <w:rsid w:val="00CE7BA5"/>
    <w:rsid w:val="00CF0797"/>
    <w:rsid w:val="00CF0AFF"/>
    <w:rsid w:val="00CF11F0"/>
    <w:rsid w:val="00CF14DA"/>
    <w:rsid w:val="00CF1BA4"/>
    <w:rsid w:val="00CF1BF8"/>
    <w:rsid w:val="00CF20C9"/>
    <w:rsid w:val="00CF28DC"/>
    <w:rsid w:val="00CF2A43"/>
    <w:rsid w:val="00CF2C17"/>
    <w:rsid w:val="00CF3029"/>
    <w:rsid w:val="00CF53C0"/>
    <w:rsid w:val="00CF5CCB"/>
    <w:rsid w:val="00CF7711"/>
    <w:rsid w:val="00D003FE"/>
    <w:rsid w:val="00D00BF4"/>
    <w:rsid w:val="00D01518"/>
    <w:rsid w:val="00D0257A"/>
    <w:rsid w:val="00D06B98"/>
    <w:rsid w:val="00D073B9"/>
    <w:rsid w:val="00D07493"/>
    <w:rsid w:val="00D0766F"/>
    <w:rsid w:val="00D07B48"/>
    <w:rsid w:val="00D10189"/>
    <w:rsid w:val="00D1239B"/>
    <w:rsid w:val="00D13E32"/>
    <w:rsid w:val="00D13EA0"/>
    <w:rsid w:val="00D17BA4"/>
    <w:rsid w:val="00D17F27"/>
    <w:rsid w:val="00D2026C"/>
    <w:rsid w:val="00D202ED"/>
    <w:rsid w:val="00D20586"/>
    <w:rsid w:val="00D20A15"/>
    <w:rsid w:val="00D217C9"/>
    <w:rsid w:val="00D23866"/>
    <w:rsid w:val="00D32C21"/>
    <w:rsid w:val="00D32F9B"/>
    <w:rsid w:val="00D3361D"/>
    <w:rsid w:val="00D34174"/>
    <w:rsid w:val="00D365D1"/>
    <w:rsid w:val="00D36CFC"/>
    <w:rsid w:val="00D378D5"/>
    <w:rsid w:val="00D37CDE"/>
    <w:rsid w:val="00D4009D"/>
    <w:rsid w:val="00D42718"/>
    <w:rsid w:val="00D47D49"/>
    <w:rsid w:val="00D51D8C"/>
    <w:rsid w:val="00D5259A"/>
    <w:rsid w:val="00D525D2"/>
    <w:rsid w:val="00D52946"/>
    <w:rsid w:val="00D52B5A"/>
    <w:rsid w:val="00D5338A"/>
    <w:rsid w:val="00D56E8B"/>
    <w:rsid w:val="00D5728F"/>
    <w:rsid w:val="00D5748B"/>
    <w:rsid w:val="00D614A7"/>
    <w:rsid w:val="00D62381"/>
    <w:rsid w:val="00D63141"/>
    <w:rsid w:val="00D6332B"/>
    <w:rsid w:val="00D64D7C"/>
    <w:rsid w:val="00D64F60"/>
    <w:rsid w:val="00D65D70"/>
    <w:rsid w:val="00D708DA"/>
    <w:rsid w:val="00D70E84"/>
    <w:rsid w:val="00D72147"/>
    <w:rsid w:val="00D72F54"/>
    <w:rsid w:val="00D75D4F"/>
    <w:rsid w:val="00D76D3C"/>
    <w:rsid w:val="00D76F26"/>
    <w:rsid w:val="00D776C9"/>
    <w:rsid w:val="00D80C89"/>
    <w:rsid w:val="00D81746"/>
    <w:rsid w:val="00D83F16"/>
    <w:rsid w:val="00D843D5"/>
    <w:rsid w:val="00D84E29"/>
    <w:rsid w:val="00D84F3F"/>
    <w:rsid w:val="00D85564"/>
    <w:rsid w:val="00D85D6D"/>
    <w:rsid w:val="00D8669F"/>
    <w:rsid w:val="00D86A3D"/>
    <w:rsid w:val="00D8715B"/>
    <w:rsid w:val="00D90A12"/>
    <w:rsid w:val="00D91605"/>
    <w:rsid w:val="00D91D46"/>
    <w:rsid w:val="00D91DEB"/>
    <w:rsid w:val="00D93F23"/>
    <w:rsid w:val="00D94989"/>
    <w:rsid w:val="00D9503A"/>
    <w:rsid w:val="00D97F43"/>
    <w:rsid w:val="00DA0558"/>
    <w:rsid w:val="00DA0709"/>
    <w:rsid w:val="00DA21B3"/>
    <w:rsid w:val="00DA3C87"/>
    <w:rsid w:val="00DA3FCD"/>
    <w:rsid w:val="00DA508F"/>
    <w:rsid w:val="00DA620E"/>
    <w:rsid w:val="00DA740E"/>
    <w:rsid w:val="00DB010F"/>
    <w:rsid w:val="00DB2D85"/>
    <w:rsid w:val="00DB38A8"/>
    <w:rsid w:val="00DB3DB3"/>
    <w:rsid w:val="00DB518E"/>
    <w:rsid w:val="00DB55C3"/>
    <w:rsid w:val="00DC01A8"/>
    <w:rsid w:val="00DC02AE"/>
    <w:rsid w:val="00DC0C52"/>
    <w:rsid w:val="00DC14CE"/>
    <w:rsid w:val="00DC3E21"/>
    <w:rsid w:val="00DC443E"/>
    <w:rsid w:val="00DC5540"/>
    <w:rsid w:val="00DC5C37"/>
    <w:rsid w:val="00DC6278"/>
    <w:rsid w:val="00DC63E0"/>
    <w:rsid w:val="00DC7BFB"/>
    <w:rsid w:val="00DD02C5"/>
    <w:rsid w:val="00DD17F5"/>
    <w:rsid w:val="00DD2324"/>
    <w:rsid w:val="00DD57F9"/>
    <w:rsid w:val="00DD6E18"/>
    <w:rsid w:val="00DD6EED"/>
    <w:rsid w:val="00DE03AD"/>
    <w:rsid w:val="00DE07DB"/>
    <w:rsid w:val="00DE2E5A"/>
    <w:rsid w:val="00DE3868"/>
    <w:rsid w:val="00DE424F"/>
    <w:rsid w:val="00DE5C3F"/>
    <w:rsid w:val="00DE5CB8"/>
    <w:rsid w:val="00DE624A"/>
    <w:rsid w:val="00DE69D7"/>
    <w:rsid w:val="00DE76ED"/>
    <w:rsid w:val="00DF1E53"/>
    <w:rsid w:val="00DF29C9"/>
    <w:rsid w:val="00DF2C2B"/>
    <w:rsid w:val="00DF5F1D"/>
    <w:rsid w:val="00DF6150"/>
    <w:rsid w:val="00E005F0"/>
    <w:rsid w:val="00E00CA8"/>
    <w:rsid w:val="00E00E78"/>
    <w:rsid w:val="00E01EBE"/>
    <w:rsid w:val="00E02AFE"/>
    <w:rsid w:val="00E04C57"/>
    <w:rsid w:val="00E063C5"/>
    <w:rsid w:val="00E06C77"/>
    <w:rsid w:val="00E0701E"/>
    <w:rsid w:val="00E07DD8"/>
    <w:rsid w:val="00E10BE2"/>
    <w:rsid w:val="00E11194"/>
    <w:rsid w:val="00E12655"/>
    <w:rsid w:val="00E14844"/>
    <w:rsid w:val="00E15A9D"/>
    <w:rsid w:val="00E15E4C"/>
    <w:rsid w:val="00E17489"/>
    <w:rsid w:val="00E20240"/>
    <w:rsid w:val="00E202A0"/>
    <w:rsid w:val="00E20BD9"/>
    <w:rsid w:val="00E20F8C"/>
    <w:rsid w:val="00E2105C"/>
    <w:rsid w:val="00E21EAA"/>
    <w:rsid w:val="00E2270B"/>
    <w:rsid w:val="00E24AE6"/>
    <w:rsid w:val="00E26B61"/>
    <w:rsid w:val="00E26BD9"/>
    <w:rsid w:val="00E30686"/>
    <w:rsid w:val="00E331D8"/>
    <w:rsid w:val="00E33498"/>
    <w:rsid w:val="00E3363D"/>
    <w:rsid w:val="00E3367A"/>
    <w:rsid w:val="00E33A28"/>
    <w:rsid w:val="00E33C1C"/>
    <w:rsid w:val="00E34053"/>
    <w:rsid w:val="00E34787"/>
    <w:rsid w:val="00E34CF4"/>
    <w:rsid w:val="00E35705"/>
    <w:rsid w:val="00E35FAB"/>
    <w:rsid w:val="00E36C51"/>
    <w:rsid w:val="00E371FE"/>
    <w:rsid w:val="00E37682"/>
    <w:rsid w:val="00E41337"/>
    <w:rsid w:val="00E41597"/>
    <w:rsid w:val="00E41DEF"/>
    <w:rsid w:val="00E43112"/>
    <w:rsid w:val="00E43D2A"/>
    <w:rsid w:val="00E43FFB"/>
    <w:rsid w:val="00E4533F"/>
    <w:rsid w:val="00E459BE"/>
    <w:rsid w:val="00E45F1A"/>
    <w:rsid w:val="00E46699"/>
    <w:rsid w:val="00E46714"/>
    <w:rsid w:val="00E47150"/>
    <w:rsid w:val="00E4754B"/>
    <w:rsid w:val="00E47FE0"/>
    <w:rsid w:val="00E500DB"/>
    <w:rsid w:val="00E5158B"/>
    <w:rsid w:val="00E51A79"/>
    <w:rsid w:val="00E53875"/>
    <w:rsid w:val="00E541D3"/>
    <w:rsid w:val="00E56225"/>
    <w:rsid w:val="00E5629B"/>
    <w:rsid w:val="00E56AFF"/>
    <w:rsid w:val="00E576FE"/>
    <w:rsid w:val="00E57AE9"/>
    <w:rsid w:val="00E61536"/>
    <w:rsid w:val="00E6470B"/>
    <w:rsid w:val="00E64C3E"/>
    <w:rsid w:val="00E658EB"/>
    <w:rsid w:val="00E67012"/>
    <w:rsid w:val="00E6770F"/>
    <w:rsid w:val="00E713CD"/>
    <w:rsid w:val="00E73EEC"/>
    <w:rsid w:val="00E742C9"/>
    <w:rsid w:val="00E74CB0"/>
    <w:rsid w:val="00E75BBA"/>
    <w:rsid w:val="00E77104"/>
    <w:rsid w:val="00E81177"/>
    <w:rsid w:val="00E8303B"/>
    <w:rsid w:val="00E832F0"/>
    <w:rsid w:val="00E87166"/>
    <w:rsid w:val="00E90EC5"/>
    <w:rsid w:val="00E91BDB"/>
    <w:rsid w:val="00E92DBF"/>
    <w:rsid w:val="00E9379A"/>
    <w:rsid w:val="00E954B9"/>
    <w:rsid w:val="00E9790D"/>
    <w:rsid w:val="00E97F23"/>
    <w:rsid w:val="00EA1CC8"/>
    <w:rsid w:val="00EA36F9"/>
    <w:rsid w:val="00EA378A"/>
    <w:rsid w:val="00EA3C53"/>
    <w:rsid w:val="00EA3F35"/>
    <w:rsid w:val="00EA4655"/>
    <w:rsid w:val="00EA54F6"/>
    <w:rsid w:val="00EA67CD"/>
    <w:rsid w:val="00EA783C"/>
    <w:rsid w:val="00EA7A17"/>
    <w:rsid w:val="00EA7CB4"/>
    <w:rsid w:val="00EB31AD"/>
    <w:rsid w:val="00EB3D86"/>
    <w:rsid w:val="00EB7521"/>
    <w:rsid w:val="00EC0427"/>
    <w:rsid w:val="00EC06E6"/>
    <w:rsid w:val="00EC0A8A"/>
    <w:rsid w:val="00EC23EC"/>
    <w:rsid w:val="00EC251E"/>
    <w:rsid w:val="00EC3338"/>
    <w:rsid w:val="00EC4665"/>
    <w:rsid w:val="00EC4A77"/>
    <w:rsid w:val="00EC4AF8"/>
    <w:rsid w:val="00EC4C41"/>
    <w:rsid w:val="00EC51FC"/>
    <w:rsid w:val="00EC598C"/>
    <w:rsid w:val="00EC618E"/>
    <w:rsid w:val="00EC652F"/>
    <w:rsid w:val="00EC717F"/>
    <w:rsid w:val="00EC7399"/>
    <w:rsid w:val="00EC76DA"/>
    <w:rsid w:val="00ED1F78"/>
    <w:rsid w:val="00ED7555"/>
    <w:rsid w:val="00ED7B8B"/>
    <w:rsid w:val="00EE02E8"/>
    <w:rsid w:val="00EE0BD7"/>
    <w:rsid w:val="00EE1F3D"/>
    <w:rsid w:val="00EE3E73"/>
    <w:rsid w:val="00EE55A1"/>
    <w:rsid w:val="00EE5C88"/>
    <w:rsid w:val="00EF0375"/>
    <w:rsid w:val="00EF0BCC"/>
    <w:rsid w:val="00EF0F77"/>
    <w:rsid w:val="00EF105E"/>
    <w:rsid w:val="00EF167A"/>
    <w:rsid w:val="00EF277A"/>
    <w:rsid w:val="00EF44D3"/>
    <w:rsid w:val="00EF4812"/>
    <w:rsid w:val="00EF4FE6"/>
    <w:rsid w:val="00EF5C34"/>
    <w:rsid w:val="00EF7203"/>
    <w:rsid w:val="00EF7E9D"/>
    <w:rsid w:val="00EF7F53"/>
    <w:rsid w:val="00F02C48"/>
    <w:rsid w:val="00F03215"/>
    <w:rsid w:val="00F068BA"/>
    <w:rsid w:val="00F10127"/>
    <w:rsid w:val="00F121F9"/>
    <w:rsid w:val="00F1302D"/>
    <w:rsid w:val="00F13578"/>
    <w:rsid w:val="00F14ACF"/>
    <w:rsid w:val="00F14DD5"/>
    <w:rsid w:val="00F15EEB"/>
    <w:rsid w:val="00F165AF"/>
    <w:rsid w:val="00F1761E"/>
    <w:rsid w:val="00F17BF0"/>
    <w:rsid w:val="00F17C05"/>
    <w:rsid w:val="00F17F86"/>
    <w:rsid w:val="00F203B2"/>
    <w:rsid w:val="00F21D70"/>
    <w:rsid w:val="00F23379"/>
    <w:rsid w:val="00F23660"/>
    <w:rsid w:val="00F257D3"/>
    <w:rsid w:val="00F25BAB"/>
    <w:rsid w:val="00F3097D"/>
    <w:rsid w:val="00F325D0"/>
    <w:rsid w:val="00F33260"/>
    <w:rsid w:val="00F3502A"/>
    <w:rsid w:val="00F3797B"/>
    <w:rsid w:val="00F416B5"/>
    <w:rsid w:val="00F41950"/>
    <w:rsid w:val="00F4326F"/>
    <w:rsid w:val="00F44FA1"/>
    <w:rsid w:val="00F45301"/>
    <w:rsid w:val="00F45527"/>
    <w:rsid w:val="00F45A28"/>
    <w:rsid w:val="00F45D20"/>
    <w:rsid w:val="00F462EE"/>
    <w:rsid w:val="00F47144"/>
    <w:rsid w:val="00F47907"/>
    <w:rsid w:val="00F509CB"/>
    <w:rsid w:val="00F50D80"/>
    <w:rsid w:val="00F5171A"/>
    <w:rsid w:val="00F5203C"/>
    <w:rsid w:val="00F526CA"/>
    <w:rsid w:val="00F531DB"/>
    <w:rsid w:val="00F53BF7"/>
    <w:rsid w:val="00F54843"/>
    <w:rsid w:val="00F54C42"/>
    <w:rsid w:val="00F57F12"/>
    <w:rsid w:val="00F63B9D"/>
    <w:rsid w:val="00F67463"/>
    <w:rsid w:val="00F70330"/>
    <w:rsid w:val="00F708F3"/>
    <w:rsid w:val="00F7264E"/>
    <w:rsid w:val="00F72BA5"/>
    <w:rsid w:val="00F73B73"/>
    <w:rsid w:val="00F74419"/>
    <w:rsid w:val="00F75571"/>
    <w:rsid w:val="00F77668"/>
    <w:rsid w:val="00F8287C"/>
    <w:rsid w:val="00F82F2A"/>
    <w:rsid w:val="00F83A1C"/>
    <w:rsid w:val="00F86725"/>
    <w:rsid w:val="00F870C3"/>
    <w:rsid w:val="00F87D55"/>
    <w:rsid w:val="00F91559"/>
    <w:rsid w:val="00F923F8"/>
    <w:rsid w:val="00F933EA"/>
    <w:rsid w:val="00F9478B"/>
    <w:rsid w:val="00F94EBB"/>
    <w:rsid w:val="00F953D5"/>
    <w:rsid w:val="00F96FEC"/>
    <w:rsid w:val="00FA04BD"/>
    <w:rsid w:val="00FA1ADC"/>
    <w:rsid w:val="00FA3346"/>
    <w:rsid w:val="00FA6058"/>
    <w:rsid w:val="00FA701F"/>
    <w:rsid w:val="00FB00E3"/>
    <w:rsid w:val="00FB04D4"/>
    <w:rsid w:val="00FB0957"/>
    <w:rsid w:val="00FB0B84"/>
    <w:rsid w:val="00FB1810"/>
    <w:rsid w:val="00FB26F6"/>
    <w:rsid w:val="00FB2E70"/>
    <w:rsid w:val="00FB310D"/>
    <w:rsid w:val="00FB3E06"/>
    <w:rsid w:val="00FB452F"/>
    <w:rsid w:val="00FB4EE2"/>
    <w:rsid w:val="00FB58A3"/>
    <w:rsid w:val="00FB6497"/>
    <w:rsid w:val="00FB7962"/>
    <w:rsid w:val="00FB7CD9"/>
    <w:rsid w:val="00FB7D03"/>
    <w:rsid w:val="00FC0925"/>
    <w:rsid w:val="00FC4053"/>
    <w:rsid w:val="00FC4363"/>
    <w:rsid w:val="00FC440F"/>
    <w:rsid w:val="00FC6113"/>
    <w:rsid w:val="00FC624F"/>
    <w:rsid w:val="00FC6648"/>
    <w:rsid w:val="00FC6A83"/>
    <w:rsid w:val="00FC7821"/>
    <w:rsid w:val="00FD11DC"/>
    <w:rsid w:val="00FD1A2B"/>
    <w:rsid w:val="00FD2269"/>
    <w:rsid w:val="00FD4909"/>
    <w:rsid w:val="00FD5977"/>
    <w:rsid w:val="00FE14D3"/>
    <w:rsid w:val="00FE2549"/>
    <w:rsid w:val="00FE3566"/>
    <w:rsid w:val="00FE4896"/>
    <w:rsid w:val="00FE5A49"/>
    <w:rsid w:val="00FE5E71"/>
    <w:rsid w:val="00FE768F"/>
    <w:rsid w:val="00FF00CE"/>
    <w:rsid w:val="00FF033B"/>
    <w:rsid w:val="00FF07E4"/>
    <w:rsid w:val="00FF124D"/>
    <w:rsid w:val="00FF1361"/>
    <w:rsid w:val="00FF2862"/>
    <w:rsid w:val="00FF3D19"/>
    <w:rsid w:val="00FF428D"/>
    <w:rsid w:val="00FF4DD0"/>
    <w:rsid w:val="00FF64E7"/>
    <w:rsid w:val="00FF76D3"/>
    <w:rsid w:val="00FF7878"/>
    <w:rsid w:val="00FF7D2E"/>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Normal Indent" w:unhideWhenUsed="1"/>
    <w:lsdException w:name="footnote text" w:unhideWhenUsed="1"/>
    <w:lsdException w:name="index heading" w:unhideWhenUsed="1"/>
    <w:lsdException w:name="caption" w:uiPriority="35" w:unhideWhenUsed="1" w:qFormat="1"/>
    <w:lsdException w:name="table of figures" w:unhideWhenUsed="1"/>
    <w:lsdException w:name="envelope address" w:unhideWhenUsed="1"/>
    <w:lsdException w:name="envelope return" w:unhideWhenUsed="1"/>
    <w:lsdException w:name="footnote reference" w:unhideWhenUsed="1"/>
    <w:lsdException w:name="lin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ody Text Indent 2" w:unhideWhenUsed="1"/>
    <w:lsdException w:name="Body Text Indent 3" w:unhideWhenUsed="1"/>
    <w:lsdException w:name="Block Text" w:unhideWhenUsed="1"/>
    <w:lsdException w:name="Strong" w:semiHidden="0" w:uiPriority="22" w:qFormat="1"/>
    <w:lsdException w:name="Emphasis" w:semiHidden="0" w:uiPriority="20" w:qFormat="1"/>
    <w:lsdException w:name="Document Map"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6725D5"/>
    <w:rPr>
      <w:rFonts w:eastAsia="SimSun"/>
      <w:sz w:val="20"/>
      <w:szCs w:val="20"/>
      <w:lang w:eastAsia="en-US"/>
    </w:rPr>
  </w:style>
  <w:style w:type="paragraph" w:styleId="Heading1">
    <w:name w:val="heading 1"/>
    <w:basedOn w:val="Normal"/>
    <w:next w:val="Normal"/>
    <w:link w:val="Heading1Char"/>
    <w:uiPriority w:val="99"/>
    <w:qFormat/>
    <w:rsid w:val="006725D5"/>
    <w:pPr>
      <w:keepNext/>
      <w:numPr>
        <w:numId w:val="1"/>
      </w:numPr>
      <w:spacing w:before="120" w:after="60"/>
      <w:outlineLvl w:val="0"/>
    </w:pPr>
    <w:rPr>
      <w:b/>
      <w:bCs/>
      <w:caps/>
      <w:sz w:val="18"/>
      <w:szCs w:val="18"/>
    </w:rPr>
  </w:style>
  <w:style w:type="paragraph" w:styleId="Heading2">
    <w:name w:val="heading 2"/>
    <w:basedOn w:val="Normal"/>
    <w:next w:val="Normal"/>
    <w:link w:val="Heading2Char"/>
    <w:uiPriority w:val="99"/>
    <w:qFormat/>
    <w:rsid w:val="006725D5"/>
    <w:pPr>
      <w:keepNext/>
      <w:outlineLvl w:val="1"/>
    </w:pPr>
    <w:rPr>
      <w:b/>
      <w:bCs/>
      <w:sz w:val="18"/>
      <w:szCs w:val="18"/>
    </w:rPr>
  </w:style>
  <w:style w:type="paragraph" w:styleId="Heading3">
    <w:name w:val="heading 3"/>
    <w:basedOn w:val="Normal"/>
    <w:next w:val="Normal"/>
    <w:link w:val="Heading3Char"/>
    <w:uiPriority w:val="99"/>
    <w:qFormat/>
    <w:rsid w:val="006725D5"/>
    <w:pPr>
      <w:keepNext/>
      <w:outlineLvl w:val="2"/>
    </w:pPr>
    <w:rPr>
      <w:rFonts w:ascii="Geneva" w:hAnsi="Geneva" w:cs="Geneva"/>
      <w:b/>
      <w:bCs/>
      <w:i/>
      <w:iCs/>
      <w:color w:val="000000"/>
      <w:sz w:val="16"/>
      <w:szCs w:val="16"/>
      <w:lang w:val="en-GB"/>
    </w:rPr>
  </w:style>
  <w:style w:type="paragraph" w:styleId="Heading4">
    <w:name w:val="heading 4"/>
    <w:basedOn w:val="Normal"/>
    <w:next w:val="Normal"/>
    <w:link w:val="Heading4Char"/>
    <w:uiPriority w:val="99"/>
    <w:qFormat/>
    <w:rsid w:val="006725D5"/>
    <w:pPr>
      <w:keepNext/>
      <w:outlineLvl w:val="3"/>
    </w:pPr>
    <w:rPr>
      <w:b/>
      <w:bCs/>
    </w:rPr>
  </w:style>
  <w:style w:type="paragraph" w:styleId="Heading5">
    <w:name w:val="heading 5"/>
    <w:basedOn w:val="Normal"/>
    <w:next w:val="Normal"/>
    <w:link w:val="Heading5Char"/>
    <w:uiPriority w:val="99"/>
    <w:qFormat/>
    <w:rsid w:val="006725D5"/>
    <w:pPr>
      <w:keepNext/>
      <w:outlineLvl w:val="4"/>
    </w:pPr>
    <w:rPr>
      <w:b/>
      <w:bCs/>
      <w:sz w:val="28"/>
      <w:szCs w:val="28"/>
    </w:rPr>
  </w:style>
  <w:style w:type="paragraph" w:styleId="Heading6">
    <w:name w:val="heading 6"/>
    <w:basedOn w:val="Normal"/>
    <w:next w:val="Normal"/>
    <w:link w:val="Heading6Char"/>
    <w:uiPriority w:val="99"/>
    <w:qFormat/>
    <w:rsid w:val="006725D5"/>
    <w:pPr>
      <w:keepNext/>
      <w:outlineLvl w:val="5"/>
    </w:pPr>
    <w:rPr>
      <w:b/>
      <w:bCs/>
      <w:caps/>
      <w:sz w:val="32"/>
      <w:szCs w:val="32"/>
    </w:rPr>
  </w:style>
  <w:style w:type="paragraph" w:styleId="Heading7">
    <w:name w:val="heading 7"/>
    <w:basedOn w:val="Normal"/>
    <w:next w:val="Normal"/>
    <w:link w:val="Heading7Char"/>
    <w:uiPriority w:val="99"/>
    <w:qFormat/>
    <w:rsid w:val="006725D5"/>
    <w:pPr>
      <w:keepNext/>
      <w:jc w:val="center"/>
      <w:outlineLvl w:val="6"/>
    </w:pPr>
    <w:rPr>
      <w:b/>
      <w:bCs/>
      <w:sz w:val="52"/>
      <w:szCs w:val="52"/>
    </w:rPr>
  </w:style>
  <w:style w:type="paragraph" w:styleId="Heading8">
    <w:name w:val="heading 8"/>
    <w:basedOn w:val="Normal"/>
    <w:next w:val="Normal"/>
    <w:link w:val="Heading8Char"/>
    <w:uiPriority w:val="99"/>
    <w:qFormat/>
    <w:rsid w:val="006725D5"/>
    <w:pPr>
      <w:keepNext/>
      <w:jc w:val="center"/>
      <w:outlineLvl w:val="7"/>
    </w:pPr>
    <w:rPr>
      <w:rFonts w:ascii="Geneva" w:hAnsi="Geneva" w:cs="Geneva"/>
      <w:color w:val="000000"/>
      <w:sz w:val="14"/>
      <w:szCs w:val="14"/>
      <w:u w:val="single"/>
    </w:rPr>
  </w:style>
  <w:style w:type="paragraph" w:styleId="Heading9">
    <w:name w:val="heading 9"/>
    <w:basedOn w:val="Normal"/>
    <w:next w:val="Normal"/>
    <w:link w:val="Heading9Char"/>
    <w:uiPriority w:val="99"/>
    <w:qFormat/>
    <w:rsid w:val="006725D5"/>
    <w:pPr>
      <w:keepNext/>
      <w:jc w:val="center"/>
      <w:outlineLvl w:val="8"/>
    </w:pPr>
    <w:rPr>
      <w:sz w:val="32"/>
      <w:szCs w:val="3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rsid w:val="001C64FB"/>
    <w:rPr>
      <w:rFonts w:eastAsia="SimSun"/>
      <w:b/>
      <w:bCs/>
      <w:sz w:val="18"/>
      <w:szCs w:val="18"/>
      <w:lang w:eastAsia="en-US"/>
    </w:rPr>
  </w:style>
  <w:style w:type="character" w:customStyle="1" w:styleId="Heading3Char">
    <w:name w:val="Heading 3 Char"/>
    <w:basedOn w:val="DefaultParagraphFont"/>
    <w:link w:val="Heading3"/>
    <w:uiPriority w:val="99"/>
    <w:semiHidden/>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rsid w:val="00EB7521"/>
    <w:rPr>
      <w:rFonts w:eastAsia="SimSun"/>
      <w:b/>
      <w:bCs/>
      <w:lang w:val="sk-SK" w:eastAsia="en-US"/>
    </w:rPr>
  </w:style>
  <w:style w:type="character" w:customStyle="1" w:styleId="Heading5Char">
    <w:name w:val="Heading 5 Char"/>
    <w:basedOn w:val="DefaultParagraphFont"/>
    <w:link w:val="Heading5"/>
    <w:uiPriority w:val="99"/>
    <w:semiHidden/>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rPr>
      <w:rFonts w:ascii="Calibri" w:hAnsi="Calibri" w:cs="Calibri"/>
      <w:b/>
      <w:bCs/>
      <w:lang w:eastAsia="en-US"/>
    </w:rPr>
  </w:style>
  <w:style w:type="character" w:customStyle="1" w:styleId="Heading7Char">
    <w:name w:val="Heading 7 Char"/>
    <w:basedOn w:val="DefaultParagraphFont"/>
    <w:link w:val="Heading7"/>
    <w:uiPriority w:val="99"/>
    <w:semiHidden/>
    <w:rPr>
      <w:rFonts w:ascii="Calibri" w:hAnsi="Calibri" w:cs="Calibri"/>
      <w:sz w:val="24"/>
      <w:szCs w:val="24"/>
      <w:lang w:eastAsia="en-US"/>
    </w:rPr>
  </w:style>
  <w:style w:type="character" w:customStyle="1" w:styleId="Heading8Char">
    <w:name w:val="Heading 8 Char"/>
    <w:basedOn w:val="DefaultParagraphFont"/>
    <w:link w:val="Heading8"/>
    <w:uiPriority w:val="99"/>
    <w:semiHidden/>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rPr>
      <w:rFonts w:ascii="Cambria" w:hAnsi="Cambria" w:cs="Cambria"/>
      <w:lang w:eastAsia="en-US"/>
    </w:rPr>
  </w:style>
  <w:style w:type="paragraph" w:styleId="Header">
    <w:name w:val="header"/>
    <w:basedOn w:val="Normal"/>
    <w:link w:val="HeaderChar"/>
    <w:uiPriority w:val="99"/>
    <w:rsid w:val="006725D5"/>
    <w:pPr>
      <w:tabs>
        <w:tab w:val="center" w:pos="4153"/>
        <w:tab w:val="right" w:pos="8306"/>
      </w:tabs>
    </w:pPr>
  </w:style>
  <w:style w:type="character" w:customStyle="1" w:styleId="HeaderChar">
    <w:name w:val="Header Char"/>
    <w:basedOn w:val="DefaultParagraphFont"/>
    <w:link w:val="Header"/>
    <w:uiPriority w:val="99"/>
    <w:rsid w:val="00122778"/>
    <w:rPr>
      <w:rFonts w:eastAsia="SimSun"/>
      <w:lang w:eastAsia="en-US"/>
    </w:rPr>
  </w:style>
  <w:style w:type="paragraph" w:styleId="Footer">
    <w:name w:val="footer"/>
    <w:basedOn w:val="Normal"/>
    <w:link w:val="FooterChar"/>
    <w:uiPriority w:val="99"/>
    <w:rsid w:val="006725D5"/>
    <w:pPr>
      <w:tabs>
        <w:tab w:val="center" w:pos="4153"/>
        <w:tab w:val="right" w:pos="8306"/>
      </w:tabs>
    </w:pPr>
  </w:style>
  <w:style w:type="character" w:customStyle="1" w:styleId="FooterChar">
    <w:name w:val="Footer Char"/>
    <w:basedOn w:val="DefaultParagraphFont"/>
    <w:link w:val="Footer"/>
    <w:uiPriority w:val="99"/>
    <w:rsid w:val="00FB00E3"/>
    <w:rPr>
      <w:rFonts w:eastAsia="SimSun"/>
      <w:lang w:eastAsia="en-US"/>
    </w:rPr>
  </w:style>
  <w:style w:type="character" w:styleId="PageNumber">
    <w:name w:val="page number"/>
    <w:basedOn w:val="DefaultParagraphFont"/>
    <w:uiPriority w:val="99"/>
    <w:rsid w:val="006725D5"/>
    <w:rPr>
      <w:rFonts w:ascii="Times New Roman" w:hAnsi="Times New Roman" w:cs="Times New Roman"/>
    </w:rPr>
  </w:style>
  <w:style w:type="paragraph" w:styleId="BodyText">
    <w:name w:val="Body Text"/>
    <w:basedOn w:val="Normal"/>
    <w:link w:val="BodyTextChar"/>
    <w:uiPriority w:val="99"/>
    <w:rsid w:val="006725D5"/>
    <w:pPr>
      <w:ind w:left="426"/>
      <w:jc w:val="both"/>
    </w:pPr>
    <w:rPr>
      <w:sz w:val="18"/>
      <w:szCs w:val="18"/>
    </w:rPr>
  </w:style>
  <w:style w:type="character" w:customStyle="1" w:styleId="BodyTextChar">
    <w:name w:val="Body Text Char"/>
    <w:basedOn w:val="DefaultParagraphFont"/>
    <w:link w:val="BodyText"/>
    <w:uiPriority w:val="99"/>
    <w:rsid w:val="00410A25"/>
    <w:rPr>
      <w:rFonts w:eastAsia="SimSun"/>
      <w:sz w:val="18"/>
      <w:szCs w:val="18"/>
      <w:lang w:eastAsia="en-US"/>
    </w:rPr>
  </w:style>
  <w:style w:type="paragraph" w:customStyle="1" w:styleId="Uvod">
    <w:name w:val="Uvod"/>
    <w:basedOn w:val="Normal"/>
    <w:uiPriority w:val="99"/>
    <w:rsid w:val="006725D5"/>
    <w:pPr>
      <w:ind w:left="284" w:hanging="284"/>
      <w:jc w:val="both"/>
    </w:pPr>
    <w:rPr>
      <w:sz w:val="22"/>
      <w:szCs w:val="22"/>
    </w:rPr>
  </w:style>
  <w:style w:type="paragraph" w:customStyle="1" w:styleId="Tabulka">
    <w:name w:val="Tabulka"/>
    <w:basedOn w:val="Normal"/>
    <w:uiPriority w:val="99"/>
    <w:rsid w:val="006725D5"/>
    <w:rPr>
      <w:color w:val="000000"/>
      <w:sz w:val="18"/>
      <w:szCs w:val="18"/>
    </w:rPr>
  </w:style>
  <w:style w:type="paragraph" w:customStyle="1" w:styleId="Pismenka">
    <w:name w:val="Pismenka"/>
    <w:basedOn w:val="BodyText"/>
    <w:uiPriority w:val="99"/>
    <w:rsid w:val="006725D5"/>
    <w:pPr>
      <w:tabs>
        <w:tab w:val="num" w:pos="426"/>
      </w:tabs>
      <w:ind w:hanging="426"/>
    </w:pPr>
    <w:rPr>
      <w:b/>
      <w:bCs/>
    </w:rPr>
  </w:style>
  <w:style w:type="paragraph" w:styleId="TOC1">
    <w:name w:val="toc 1"/>
    <w:basedOn w:val="Normal"/>
    <w:next w:val="Normal"/>
    <w:autoRedefine/>
    <w:uiPriority w:val="99"/>
    <w:semiHidden/>
    <w:rsid w:val="006725D5"/>
    <w:pPr>
      <w:tabs>
        <w:tab w:val="left" w:pos="426"/>
        <w:tab w:val="right" w:pos="9203"/>
      </w:tabs>
      <w:spacing w:before="360"/>
    </w:pPr>
    <w:rPr>
      <w:b/>
      <w:bCs/>
      <w:caps/>
      <w:noProof/>
    </w:rPr>
  </w:style>
  <w:style w:type="paragraph" w:styleId="TOC2">
    <w:name w:val="toc 2"/>
    <w:basedOn w:val="Normal"/>
    <w:next w:val="Normal"/>
    <w:autoRedefine/>
    <w:uiPriority w:val="99"/>
    <w:semiHidden/>
    <w:rsid w:val="006725D5"/>
    <w:pPr>
      <w:tabs>
        <w:tab w:val="left" w:pos="993"/>
        <w:tab w:val="right" w:pos="9203"/>
      </w:tabs>
      <w:ind w:firstLine="567"/>
    </w:pPr>
    <w:rPr>
      <w:b/>
      <w:bCs/>
      <w:noProof/>
    </w:rPr>
  </w:style>
  <w:style w:type="paragraph" w:styleId="TOC3">
    <w:name w:val="toc 3"/>
    <w:basedOn w:val="Normal"/>
    <w:next w:val="Normal"/>
    <w:autoRedefine/>
    <w:uiPriority w:val="99"/>
    <w:semiHidden/>
    <w:rsid w:val="006725D5"/>
    <w:pPr>
      <w:ind w:left="200"/>
    </w:pPr>
  </w:style>
  <w:style w:type="paragraph" w:styleId="TOC4">
    <w:name w:val="toc 4"/>
    <w:basedOn w:val="Normal"/>
    <w:next w:val="Normal"/>
    <w:autoRedefine/>
    <w:uiPriority w:val="99"/>
    <w:semiHidden/>
    <w:rsid w:val="006725D5"/>
    <w:pPr>
      <w:ind w:left="400"/>
    </w:pPr>
  </w:style>
  <w:style w:type="paragraph" w:styleId="TOC5">
    <w:name w:val="toc 5"/>
    <w:basedOn w:val="Normal"/>
    <w:next w:val="Normal"/>
    <w:autoRedefine/>
    <w:uiPriority w:val="99"/>
    <w:semiHidden/>
    <w:rsid w:val="006725D5"/>
    <w:pPr>
      <w:ind w:left="600"/>
    </w:pPr>
  </w:style>
  <w:style w:type="paragraph" w:styleId="TOC6">
    <w:name w:val="toc 6"/>
    <w:basedOn w:val="Normal"/>
    <w:next w:val="Normal"/>
    <w:autoRedefine/>
    <w:uiPriority w:val="99"/>
    <w:semiHidden/>
    <w:rsid w:val="006725D5"/>
    <w:pPr>
      <w:ind w:left="800"/>
    </w:pPr>
  </w:style>
  <w:style w:type="paragraph" w:styleId="TOC7">
    <w:name w:val="toc 7"/>
    <w:basedOn w:val="Normal"/>
    <w:next w:val="Normal"/>
    <w:autoRedefine/>
    <w:uiPriority w:val="99"/>
    <w:semiHidden/>
    <w:rsid w:val="006725D5"/>
    <w:pPr>
      <w:ind w:left="1000"/>
    </w:pPr>
  </w:style>
  <w:style w:type="paragraph" w:styleId="TOC8">
    <w:name w:val="toc 8"/>
    <w:basedOn w:val="Normal"/>
    <w:next w:val="Normal"/>
    <w:autoRedefine/>
    <w:uiPriority w:val="99"/>
    <w:semiHidden/>
    <w:rsid w:val="006725D5"/>
    <w:pPr>
      <w:ind w:left="1200"/>
    </w:pPr>
  </w:style>
  <w:style w:type="paragraph" w:styleId="TOC9">
    <w:name w:val="toc 9"/>
    <w:basedOn w:val="Normal"/>
    <w:next w:val="Normal"/>
    <w:autoRedefine/>
    <w:uiPriority w:val="99"/>
    <w:semiHidden/>
    <w:rsid w:val="006725D5"/>
    <w:pPr>
      <w:ind w:left="1400"/>
    </w:pPr>
  </w:style>
  <w:style w:type="character" w:styleId="Hyperlink">
    <w:name w:val="Hyperlink"/>
    <w:basedOn w:val="DefaultParagraphFont"/>
    <w:uiPriority w:val="99"/>
    <w:rsid w:val="006725D5"/>
    <w:rPr>
      <w:rFonts w:ascii="Times New Roman" w:hAnsi="Times New Roman" w:cs="Times New Roman"/>
      <w:color w:val="0000FF"/>
      <w:u w:val="single"/>
    </w:rPr>
  </w:style>
  <w:style w:type="character" w:styleId="FollowedHyperlink">
    <w:name w:val="FollowedHyperlink"/>
    <w:basedOn w:val="DefaultParagraphFont"/>
    <w:uiPriority w:val="99"/>
    <w:rsid w:val="006725D5"/>
    <w:rPr>
      <w:rFonts w:ascii="Times New Roman" w:hAnsi="Times New Roman" w:cs="Times New Roman"/>
      <w:color w:val="800080"/>
      <w:u w:val="single"/>
    </w:rPr>
  </w:style>
  <w:style w:type="paragraph" w:styleId="BodyText2">
    <w:name w:val="Body Text 2"/>
    <w:basedOn w:val="Normal"/>
    <w:link w:val="BodyText2Char"/>
    <w:uiPriority w:val="99"/>
    <w:rsid w:val="006725D5"/>
    <w:pPr>
      <w:spacing w:after="120"/>
      <w:ind w:left="283"/>
    </w:pPr>
  </w:style>
  <w:style w:type="character" w:customStyle="1" w:styleId="BodyText2Char">
    <w:name w:val="Body Text 2 Char"/>
    <w:basedOn w:val="DefaultParagraphFont"/>
    <w:link w:val="BodyText2"/>
    <w:uiPriority w:val="99"/>
    <w:semiHidden/>
    <w:rPr>
      <w:rFonts w:eastAsia="SimSun"/>
      <w:sz w:val="20"/>
      <w:szCs w:val="20"/>
      <w:lang w:eastAsia="en-US"/>
    </w:rPr>
  </w:style>
  <w:style w:type="paragraph" w:customStyle="1" w:styleId="BalloonText1">
    <w:name w:val="Balloon Text1"/>
    <w:basedOn w:val="Normal"/>
    <w:uiPriority w:val="99"/>
    <w:semiHidden/>
    <w:rsid w:val="006725D5"/>
    <w:rPr>
      <w:rFonts w:ascii="Tahoma" w:hAnsi="Tahoma" w:cs="Tahoma"/>
      <w:sz w:val="16"/>
      <w:szCs w:val="16"/>
    </w:rPr>
  </w:style>
  <w:style w:type="paragraph" w:styleId="PlainText">
    <w:name w:val="Plain Text"/>
    <w:basedOn w:val="Normal"/>
    <w:link w:val="PlainTextChar"/>
    <w:uiPriority w:val="99"/>
    <w:rsid w:val="006725D5"/>
    <w:pPr>
      <w:spacing w:line="260" w:lineRule="atLeast"/>
    </w:pPr>
    <w:rPr>
      <w:rFonts w:ascii="Courier New" w:hAnsi="Courier New" w:cs="Courier New"/>
      <w:lang w:val="en-US"/>
    </w:rPr>
  </w:style>
  <w:style w:type="character" w:customStyle="1" w:styleId="PlainTextChar">
    <w:name w:val="Plain Text Char"/>
    <w:basedOn w:val="DefaultParagraphFont"/>
    <w:link w:val="PlainText"/>
    <w:uiPriority w:val="99"/>
    <w:semiHidden/>
    <w:rPr>
      <w:rFonts w:ascii="Courier New" w:eastAsia="SimSun" w:hAnsi="Courier New" w:cs="Courier New"/>
      <w:sz w:val="20"/>
      <w:szCs w:val="20"/>
      <w:lang w:eastAsia="en-US"/>
    </w:rPr>
  </w:style>
  <w:style w:type="paragraph" w:styleId="BalloonText">
    <w:name w:val="Balloon Text"/>
    <w:basedOn w:val="Normal"/>
    <w:link w:val="BalloonTextChar"/>
    <w:uiPriority w:val="99"/>
    <w:semiHidden/>
    <w:rsid w:val="0011140C"/>
    <w:rPr>
      <w:rFonts w:ascii="Tahoma" w:hAnsi="Tahoma" w:cs="Tahoma"/>
      <w:sz w:val="16"/>
      <w:szCs w:val="16"/>
    </w:rPr>
  </w:style>
  <w:style w:type="character" w:customStyle="1" w:styleId="BalloonTextChar">
    <w:name w:val="Balloon Text Char"/>
    <w:basedOn w:val="DefaultParagraphFont"/>
    <w:link w:val="BalloonText"/>
    <w:uiPriority w:val="99"/>
    <w:semiHidden/>
    <w:rPr>
      <w:rFonts w:eastAsia="SimSun"/>
      <w:sz w:val="2"/>
      <w:szCs w:val="2"/>
      <w:lang w:eastAsia="en-US"/>
    </w:rPr>
  </w:style>
  <w:style w:type="character" w:styleId="CommentReference">
    <w:name w:val="annotation reference"/>
    <w:basedOn w:val="DefaultParagraphFont"/>
    <w:uiPriority w:val="99"/>
    <w:semiHidden/>
    <w:rsid w:val="00345282"/>
    <w:rPr>
      <w:sz w:val="16"/>
      <w:szCs w:val="16"/>
    </w:rPr>
  </w:style>
  <w:style w:type="paragraph" w:styleId="CommentText">
    <w:name w:val="annotation text"/>
    <w:basedOn w:val="Normal"/>
    <w:link w:val="CommentTextChar"/>
    <w:uiPriority w:val="99"/>
    <w:semiHidden/>
    <w:rsid w:val="00345282"/>
  </w:style>
  <w:style w:type="character" w:customStyle="1" w:styleId="CommentTextChar">
    <w:name w:val="Comment Text Char"/>
    <w:basedOn w:val="DefaultParagraphFont"/>
    <w:link w:val="CommentText"/>
    <w:uiPriority w:val="99"/>
    <w:semiHidden/>
    <w:rsid w:val="00345282"/>
    <w:rPr>
      <w:rFonts w:eastAsia="SimSun"/>
      <w:lang w:eastAsia="en-US"/>
    </w:rPr>
  </w:style>
  <w:style w:type="paragraph" w:styleId="CommentSubject">
    <w:name w:val="annotation subject"/>
    <w:basedOn w:val="CommentText"/>
    <w:next w:val="CommentText"/>
    <w:link w:val="CommentSubjectChar"/>
    <w:uiPriority w:val="99"/>
    <w:semiHidden/>
    <w:rsid w:val="00345282"/>
    <w:rPr>
      <w:b/>
      <w:bCs/>
    </w:rPr>
  </w:style>
  <w:style w:type="character" w:customStyle="1" w:styleId="CommentSubjectChar">
    <w:name w:val="Comment Subject Char"/>
    <w:basedOn w:val="CommentTextChar"/>
    <w:link w:val="CommentSubject"/>
    <w:uiPriority w:val="99"/>
    <w:semiHidden/>
    <w:rsid w:val="00345282"/>
    <w:rPr>
      <w:b/>
      <w:bCs/>
    </w:rPr>
  </w:style>
  <w:style w:type="paragraph" w:styleId="Revision">
    <w:name w:val="Revision"/>
    <w:hidden/>
    <w:uiPriority w:val="99"/>
    <w:semiHidden/>
    <w:rsid w:val="002263F8"/>
    <w:rPr>
      <w:rFonts w:eastAsia="SimSun"/>
      <w:sz w:val="20"/>
      <w:szCs w:val="20"/>
      <w:lang w:eastAsia="en-US"/>
    </w:rPr>
  </w:style>
  <w:style w:type="character" w:customStyle="1" w:styleId="BodyTextChar1">
    <w:name w:val="Body Text Char1"/>
    <w:basedOn w:val="DefaultParagraphFont"/>
    <w:uiPriority w:val="99"/>
    <w:rsid w:val="00CD2E48"/>
    <w:rPr>
      <w:rFonts w:ascii="Times New Roman" w:hAnsi="Times New Roman" w:cs="Times New Roman"/>
      <w:sz w:val="20"/>
      <w:szCs w:val="20"/>
    </w:rPr>
  </w:style>
  <w:style w:type="paragraph" w:styleId="ListParagraph">
    <w:name w:val="List Paragraph"/>
    <w:basedOn w:val="Normal"/>
    <w:uiPriority w:val="99"/>
    <w:qFormat/>
    <w:rsid w:val="00425D38"/>
    <w:pPr>
      <w:ind w:left="720"/>
      <w:contextualSpacing/>
    </w:pPr>
  </w:style>
</w:styles>
</file>

<file path=word/webSettings.xml><?xml version="1.0" encoding="utf-8"?>
<w:webSettings xmlns:r="http://schemas.openxmlformats.org/officeDocument/2006/relationships" xmlns:w="http://schemas.openxmlformats.org/wordprocessingml/2006/main">
  <w:divs>
    <w:div w:id="1437290728">
      <w:marLeft w:val="0"/>
      <w:marRight w:val="0"/>
      <w:marTop w:val="0"/>
      <w:marBottom w:val="0"/>
      <w:divBdr>
        <w:top w:val="none" w:sz="0" w:space="0" w:color="auto"/>
        <w:left w:val="none" w:sz="0" w:space="0" w:color="auto"/>
        <w:bottom w:val="none" w:sz="0" w:space="0" w:color="auto"/>
        <w:right w:val="none" w:sz="0" w:space="0" w:color="auto"/>
      </w:divBdr>
    </w:div>
    <w:div w:id="1437290729">
      <w:marLeft w:val="0"/>
      <w:marRight w:val="0"/>
      <w:marTop w:val="0"/>
      <w:marBottom w:val="0"/>
      <w:divBdr>
        <w:top w:val="none" w:sz="0" w:space="0" w:color="auto"/>
        <w:left w:val="none" w:sz="0" w:space="0" w:color="auto"/>
        <w:bottom w:val="none" w:sz="0" w:space="0" w:color="auto"/>
        <w:right w:val="none" w:sz="0" w:space="0" w:color="auto"/>
      </w:divBdr>
    </w:div>
    <w:div w:id="1437290730">
      <w:marLeft w:val="0"/>
      <w:marRight w:val="0"/>
      <w:marTop w:val="0"/>
      <w:marBottom w:val="0"/>
      <w:divBdr>
        <w:top w:val="none" w:sz="0" w:space="0" w:color="auto"/>
        <w:left w:val="none" w:sz="0" w:space="0" w:color="auto"/>
        <w:bottom w:val="none" w:sz="0" w:space="0" w:color="auto"/>
        <w:right w:val="none" w:sz="0" w:space="0" w:color="auto"/>
      </w:divBdr>
    </w:div>
    <w:div w:id="14372907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4.bin"/><Relationship Id="rId21" Type="http://schemas.openxmlformats.org/officeDocument/2006/relationships/header" Target="header4.xml"/><Relationship Id="rId34" Type="http://schemas.openxmlformats.org/officeDocument/2006/relationships/package" Target="embeddings/Microsoft_Excel_Worksheet666.xlsx"/><Relationship Id="rId42" Type="http://schemas.openxmlformats.org/officeDocument/2006/relationships/package" Target="embeddings/Microsoft_Excel_Worksheet101010.xlsx"/><Relationship Id="rId47" Type="http://schemas.openxmlformats.org/officeDocument/2006/relationships/image" Target="media/image18.emf"/><Relationship Id="rId50" Type="http://schemas.openxmlformats.org/officeDocument/2006/relationships/package" Target="embeddings/Microsoft_Excel_Worksheet141414.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32323.xlsx"/><Relationship Id="rId76" Type="http://schemas.openxmlformats.org/officeDocument/2006/relationships/package" Target="embeddings/Microsoft_Excel_Worksheet272727.xlsx"/><Relationship Id="rId84" Type="http://schemas.openxmlformats.org/officeDocument/2006/relationships/package" Target="embeddings/Microsoft_Excel_Worksheet313131.xlsx"/><Relationship Id="rId89" Type="http://schemas.openxmlformats.org/officeDocument/2006/relationships/image" Target="media/image39.emf"/><Relationship Id="rId97" Type="http://schemas.openxmlformats.org/officeDocument/2006/relationships/fontTable" Target="fontTable.xml"/><Relationship Id="rId7" Type="http://schemas.openxmlformats.org/officeDocument/2006/relationships/image" Target="media/image1.emf"/><Relationship Id="rId71" Type="http://schemas.openxmlformats.org/officeDocument/2006/relationships/image" Target="media/image30.emf"/><Relationship Id="rId92" Type="http://schemas.openxmlformats.org/officeDocument/2006/relationships/package" Target="embeddings/Microsoft_Excel_Worksheet353535.xlsx"/><Relationship Id="rId2" Type="http://schemas.openxmlformats.org/officeDocument/2006/relationships/styles" Target="styles.xml"/><Relationship Id="rId16" Type="http://schemas.openxmlformats.org/officeDocument/2006/relationships/oleObject" Target="embeddings/oleObject1.bin"/><Relationship Id="rId29" Type="http://schemas.openxmlformats.org/officeDocument/2006/relationships/image" Target="media/image9.emf"/><Relationship Id="rId11" Type="http://schemas.openxmlformats.org/officeDocument/2006/relationships/header" Target="header1.xml"/><Relationship Id="rId24" Type="http://schemas.openxmlformats.org/officeDocument/2006/relationships/oleObject" Target="embeddings/oleObject3.bin"/><Relationship Id="rId32" Type="http://schemas.openxmlformats.org/officeDocument/2006/relationships/package" Target="embeddings/Microsoft_Excel_Worksheet555.xlsx"/><Relationship Id="rId37" Type="http://schemas.openxmlformats.org/officeDocument/2006/relationships/image" Target="media/image13.emf"/><Relationship Id="rId40" Type="http://schemas.openxmlformats.org/officeDocument/2006/relationships/package" Target="embeddings/Microsoft_Excel_Worksheet999.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181818.xlsx"/><Relationship Id="rId66" Type="http://schemas.openxmlformats.org/officeDocument/2006/relationships/package" Target="embeddings/Microsoft_Excel_Worksheet222222.xlsx"/><Relationship Id="rId74" Type="http://schemas.openxmlformats.org/officeDocument/2006/relationships/package" Target="embeddings/Microsoft_Excel_Worksheet262626.xlsx"/><Relationship Id="rId79" Type="http://schemas.openxmlformats.org/officeDocument/2006/relationships/image" Target="media/image34.emf"/><Relationship Id="rId87" Type="http://schemas.openxmlformats.org/officeDocument/2006/relationships/image" Target="media/image38.emf"/><Relationship Id="rId5" Type="http://schemas.openxmlformats.org/officeDocument/2006/relationships/footnotes" Target="footnotes.xml"/><Relationship Id="rId61" Type="http://schemas.openxmlformats.org/officeDocument/2006/relationships/image" Target="media/image25.emf"/><Relationship Id="rId82" Type="http://schemas.openxmlformats.org/officeDocument/2006/relationships/package" Target="embeddings/Microsoft_Excel_Worksheet303030.xlsx"/><Relationship Id="rId90" Type="http://schemas.openxmlformats.org/officeDocument/2006/relationships/package" Target="embeddings/Microsoft_Excel_Worksheet343434.xlsx"/><Relationship Id="rId95" Type="http://schemas.openxmlformats.org/officeDocument/2006/relationships/header" Target="header5.xml"/><Relationship Id="rId19" Type="http://schemas.openxmlformats.org/officeDocument/2006/relationships/header" Target="header3.xml"/><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image" Target="media/image8.emf"/><Relationship Id="rId30" Type="http://schemas.openxmlformats.org/officeDocument/2006/relationships/package" Target="embeddings/Microsoft_Excel_Worksheet444.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31313.xlsx"/><Relationship Id="rId56" Type="http://schemas.openxmlformats.org/officeDocument/2006/relationships/package" Target="embeddings/Microsoft_Excel_Worksheet171717.xlsx"/><Relationship Id="rId64" Type="http://schemas.openxmlformats.org/officeDocument/2006/relationships/package" Target="embeddings/Microsoft_Excel_Worksheet212121.xlsx"/><Relationship Id="rId69" Type="http://schemas.openxmlformats.org/officeDocument/2006/relationships/image" Target="media/image29.emf"/><Relationship Id="rId77" Type="http://schemas.openxmlformats.org/officeDocument/2006/relationships/image" Target="media/image33.emf"/><Relationship Id="rId8" Type="http://schemas.openxmlformats.org/officeDocument/2006/relationships/package" Target="embeddings/Microsoft_Excel_Worksheet111.xlsx"/><Relationship Id="rId51" Type="http://schemas.openxmlformats.org/officeDocument/2006/relationships/image" Target="media/image20.emf"/><Relationship Id="rId72" Type="http://schemas.openxmlformats.org/officeDocument/2006/relationships/package" Target="embeddings/Microsoft_Excel_Worksheet252525.xlsx"/><Relationship Id="rId80" Type="http://schemas.openxmlformats.org/officeDocument/2006/relationships/package" Target="embeddings/Microsoft_Excel_Worksheet292929.xlsx"/><Relationship Id="rId85" Type="http://schemas.openxmlformats.org/officeDocument/2006/relationships/image" Target="media/image37.emf"/><Relationship Id="rId93" Type="http://schemas.openxmlformats.org/officeDocument/2006/relationships/image" Target="media/image41.emf"/><Relationship Id="rId98"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5.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888.xlsx"/><Relationship Id="rId46" Type="http://schemas.openxmlformats.org/officeDocument/2006/relationships/package" Target="embeddings/Microsoft_Excel_Worksheet121212.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footer" Target="footer3.xml"/><Relationship Id="rId41" Type="http://schemas.openxmlformats.org/officeDocument/2006/relationships/image" Target="media/image15.emf"/><Relationship Id="rId54" Type="http://schemas.openxmlformats.org/officeDocument/2006/relationships/package" Target="embeddings/Microsoft_Excel_Worksheet161616.xlsx"/><Relationship Id="rId62" Type="http://schemas.openxmlformats.org/officeDocument/2006/relationships/package" Target="embeddings/Microsoft_Excel_Worksheet202020.xlsx"/><Relationship Id="rId70" Type="http://schemas.openxmlformats.org/officeDocument/2006/relationships/package" Target="embeddings/Microsoft_Excel_Worksheet242424.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package" Target="embeddings/Microsoft_Excel_Worksheet333333.xlsx"/><Relationship Id="rId91" Type="http://schemas.openxmlformats.org/officeDocument/2006/relationships/image" Target="media/image40.emf"/><Relationship Id="rId96" Type="http://schemas.openxmlformats.org/officeDocument/2006/relationships/footer" Target="footer5.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emf"/><Relationship Id="rId23" Type="http://schemas.openxmlformats.org/officeDocument/2006/relationships/image" Target="media/image6.emf"/><Relationship Id="rId28" Type="http://schemas.openxmlformats.org/officeDocument/2006/relationships/package" Target="embeddings/Microsoft_Excel_Worksheet333.xlsx"/><Relationship Id="rId36" Type="http://schemas.openxmlformats.org/officeDocument/2006/relationships/package" Target="embeddings/Microsoft_Excel_Worksheet777.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package" Target="embeddings/Microsoft_Excel_Worksheet222.xlsx"/><Relationship Id="rId31" Type="http://schemas.openxmlformats.org/officeDocument/2006/relationships/image" Target="media/image10.emf"/><Relationship Id="rId44" Type="http://schemas.openxmlformats.org/officeDocument/2006/relationships/package" Target="embeddings/Microsoft_Excel_Worksheet111111.xlsx"/><Relationship Id="rId52" Type="http://schemas.openxmlformats.org/officeDocument/2006/relationships/package" Target="embeddings/Microsoft_Excel_Worksheet151515.xlsx"/><Relationship Id="rId60" Type="http://schemas.openxmlformats.org/officeDocument/2006/relationships/package" Target="embeddings/Microsoft_Excel_Worksheet191919.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282828.xlsx"/><Relationship Id="rId81" Type="http://schemas.openxmlformats.org/officeDocument/2006/relationships/image" Target="media/image35.emf"/><Relationship Id="rId86" Type="http://schemas.openxmlformats.org/officeDocument/2006/relationships/package" Target="embeddings/Microsoft_Excel_Worksheet323232.xlsx"/><Relationship Id="rId94"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header" Target="header2.xml"/><Relationship Id="rId18" Type="http://schemas.openxmlformats.org/officeDocument/2006/relationships/oleObject" Target="embeddings/oleObject2.bin"/><Relationship Id="rId39" Type="http://schemas.openxmlformats.org/officeDocument/2006/relationships/image" Target="media/image14.emf"/></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header5.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68</TotalTime>
  <Pages>35</Pages>
  <Words>5682</Words>
  <Characters>-32766</Characters>
  <Application>Microsoft Office Outlook</Application>
  <DocSecurity>0</DocSecurity>
  <Lines>0</Lines>
  <Paragraphs>0</Paragraphs>
  <ScaleCrop>false</ScaleCrop>
  <Company>KPMG</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FES</cp:lastModifiedBy>
  <cp:revision>23</cp:revision>
  <cp:lastPrinted>2016-03-10T07:09:00Z</cp:lastPrinted>
  <dcterms:created xsi:type="dcterms:W3CDTF">2016-03-02T20:15:00Z</dcterms:created>
  <dcterms:modified xsi:type="dcterms:W3CDTF">2016-03-10T07:12:00Z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Business_Owner">
    <vt:lpwstr>Kpmg Slovensko s.r.o.</vt:lpwstr>
  </property>
  <property fmtid="{D5CDD505-2E9C-101B-9397-08002B2CF9AE}" pid="3" name="Expiry_Date">
    <vt:lpwstr>13/02/2013</vt:lpwstr>
  </property>
  <property fmtid="{D5CDD505-2E9C-101B-9397-08002B2CF9AE}" pid="4" name="Business_Application">
    <vt:lpwstr>Microsoft Word</vt:lpwstr>
  </property>
  <property fmtid="{D5CDD505-2E9C-101B-9397-08002B2CF9AE}" pid="5" name="Digital_Signature">
    <vt:lpwstr>78394fea-7d6e-4337-965b-19562803886b</vt:lpwstr>
  </property>
  <property fmtid="{D5CDD505-2E9C-101B-9397-08002B2CF9AE}" pid="6" name="Industry_Sector">
    <vt:lpwstr>Not Selected</vt:lpwstr>
  </property>
  <property fmtid="{D5CDD505-2E9C-101B-9397-08002B2CF9AE}" pid="7" name="KPMG_Author">
    <vt:lpwstr>Zoldak, Peter</vt:lpwstr>
  </property>
  <property fmtid="{D5CDD505-2E9C-101B-9397-08002B2CF9AE}" pid="8" name="Client_ID">
    <vt:lpwstr>Fagor Ederlan a.s.</vt:lpwstr>
  </property>
  <property fmtid="{D5CDD505-2E9C-101B-9397-08002B2CF9AE}" pid="9" name="Content_ID">
    <vt:lpwstr>FAGOR poznamky2008 v 2.doc</vt:lpwstr>
  </property>
  <property fmtid="{D5CDD505-2E9C-101B-9397-08002B2CF9AE}" pid="10" name="Engagement_ID">
    <vt:lpwstr>Fagor Ederlan a.s./Audit 2008</vt:lpwstr>
  </property>
  <property fmtid="{D5CDD505-2E9C-101B-9397-08002B2CF9AE}" pid="11" name="Service1">
    <vt:lpwstr>Audit</vt:lpwstr>
  </property>
  <property fmtid="{D5CDD505-2E9C-101B-9397-08002B2CF9AE}" pid="12" name="Content_Type">
    <vt:lpwstr>Document</vt:lpwstr>
  </property>
  <property fmtid="{D5CDD505-2E9C-101B-9397-08002B2CF9AE}" pid="13" name="Indefinite_Hold">
    <vt:lpwstr>1</vt:lpwstr>
  </property>
  <property fmtid="{D5CDD505-2E9C-101B-9397-08002B2CF9AE}" pid="14" name="Language">
    <vt:lpwstr>English</vt:lpwstr>
  </property>
  <property fmtid="{D5CDD505-2E9C-101B-9397-08002B2CF9AE}" pid="15" name="_Status">
    <vt:lpwstr>Draft</vt:lpwstr>
  </property>
  <property fmtid="{D5CDD505-2E9C-101B-9397-08002B2CF9AE}" pid="16" name="Last_Modified_By">
    <vt:lpwstr/>
  </property>
</Properties>
</file>