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C99" w:rsidRDefault="00463C99" w:rsidP="004A3E86"/>
    <w:p w:rsidR="0073034F" w:rsidRDefault="0073034F" w:rsidP="00A72DF6">
      <w:pPr>
        <w:pStyle w:val="Odsekzoznamu"/>
        <w:numPr>
          <w:ilvl w:val="0"/>
          <w:numId w:val="1"/>
        </w:numPr>
        <w:ind w:left="284" w:hanging="142"/>
        <w:rPr>
          <w:rFonts w:ascii="Arial Narrow" w:hAnsi="Arial Narrow" w:cs="Arial Narrow"/>
          <w:b/>
          <w:bCs/>
          <w:sz w:val="28"/>
          <w:szCs w:val="28"/>
        </w:rPr>
      </w:pPr>
      <w:r w:rsidRPr="00C41EAA">
        <w:rPr>
          <w:rFonts w:ascii="Arial Narrow" w:hAnsi="Arial Narrow" w:cs="Arial Narrow"/>
          <w:b/>
          <w:bCs/>
          <w:sz w:val="28"/>
          <w:szCs w:val="28"/>
        </w:rPr>
        <w:t>Informácie o účtovnej jednotke</w:t>
      </w:r>
    </w:p>
    <w:p w:rsidR="005E27CA" w:rsidRPr="00C41EAA" w:rsidRDefault="005E27CA" w:rsidP="005E27CA">
      <w:pPr>
        <w:pStyle w:val="Odsekzoznamu"/>
        <w:ind w:left="0"/>
        <w:rPr>
          <w:rFonts w:ascii="Arial Narrow" w:hAnsi="Arial Narrow" w:cs="Arial Narrow"/>
          <w:b/>
          <w:bCs/>
          <w:sz w:val="28"/>
          <w:szCs w:val="28"/>
        </w:rPr>
      </w:pPr>
    </w:p>
    <w:p w:rsidR="0073034F" w:rsidRPr="00015448" w:rsidRDefault="005E27CA" w:rsidP="005E27CA">
      <w:pPr>
        <w:pStyle w:val="Odsekzoznamu"/>
        <w:ind w:left="0"/>
        <w:jc w:val="both"/>
        <w:rPr>
          <w:rFonts w:cs="Arial"/>
        </w:rPr>
      </w:pPr>
      <w:r>
        <w:rPr>
          <w:rFonts w:cs="Arial"/>
          <w:b/>
        </w:rPr>
        <w:t xml:space="preserve">a) </w:t>
      </w:r>
      <w:r w:rsidR="0073034F" w:rsidRPr="00015448">
        <w:rPr>
          <w:rFonts w:cs="Arial"/>
          <w:b/>
        </w:rPr>
        <w:t>Obchodné meno účtovnej jednotky:</w:t>
      </w:r>
      <w:r w:rsidR="0073034F" w:rsidRPr="00015448">
        <w:rPr>
          <w:rFonts w:cs="Arial"/>
        </w:rPr>
        <w:t xml:space="preserve">  </w:t>
      </w:r>
      <w:r w:rsidR="00402B60">
        <w:rPr>
          <w:rFonts w:cs="Arial"/>
        </w:rPr>
        <w:t>D1 Leasing (2</w:t>
      </w:r>
      <w:r w:rsidR="002A7B48">
        <w:rPr>
          <w:rFonts w:cs="Arial"/>
        </w:rPr>
        <w:t>8</w:t>
      </w:r>
      <w:r w:rsidR="00402B60">
        <w:rPr>
          <w:rFonts w:cs="Arial"/>
        </w:rPr>
        <w:t>), s.r.o.</w:t>
      </w:r>
    </w:p>
    <w:p w:rsidR="0073034F" w:rsidRPr="0073034F" w:rsidRDefault="0073034F" w:rsidP="00015448">
      <w:pPr>
        <w:jc w:val="both"/>
        <w:rPr>
          <w:rFonts w:cs="Arial"/>
        </w:rPr>
      </w:pPr>
      <w:r w:rsidRPr="0073034F">
        <w:rPr>
          <w:rFonts w:cs="Arial"/>
          <w:b/>
        </w:rPr>
        <w:t>Sídlo účtovnej jednotky:</w:t>
      </w:r>
      <w:r w:rsidRPr="0073034F">
        <w:rPr>
          <w:rFonts w:cs="Arial"/>
        </w:rPr>
        <w:t xml:space="preserve"> </w:t>
      </w:r>
      <w:r w:rsidR="00402B60">
        <w:rPr>
          <w:rFonts w:cs="Arial"/>
        </w:rPr>
        <w:t xml:space="preserve">Roľnícka 116, 831 07 Bratislava – Vajnory </w:t>
      </w:r>
    </w:p>
    <w:p w:rsidR="0073034F" w:rsidRDefault="00015448" w:rsidP="00015448">
      <w:pPr>
        <w:jc w:val="both"/>
        <w:rPr>
          <w:rFonts w:cs="Arial"/>
          <w:b/>
        </w:rPr>
      </w:pPr>
      <w:r>
        <w:rPr>
          <w:rFonts w:cs="Arial"/>
          <w:b/>
        </w:rPr>
        <w:t xml:space="preserve">b) </w:t>
      </w:r>
      <w:r w:rsidR="005E27CA">
        <w:rPr>
          <w:rFonts w:cs="Arial"/>
          <w:b/>
        </w:rPr>
        <w:t xml:space="preserve">Opis vykonávanej </w:t>
      </w:r>
      <w:r w:rsidR="0073034F" w:rsidRPr="0073034F">
        <w:rPr>
          <w:rFonts w:cs="Arial"/>
          <w:b/>
        </w:rPr>
        <w:t>činnosti:</w:t>
      </w:r>
      <w:r w:rsidR="005E27CA">
        <w:rPr>
          <w:rFonts w:cs="Arial"/>
          <w:b/>
        </w:rPr>
        <w:t xml:space="preserve"> </w:t>
      </w:r>
    </w:p>
    <w:p w:rsidR="0073034F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 xml:space="preserve">- kúpa tovaru na účely jeho predaja konečnému spotrebiteľovi (maloobchod) alebo iným prevádzkovateľom živnosti (veľkoobchod) 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 prenájmom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402B60" w:rsidRDefault="00402B60" w:rsidP="00402B60">
      <w:pPr>
        <w:spacing w:after="0"/>
        <w:jc w:val="both"/>
        <w:rPr>
          <w:rStyle w:val="ra"/>
        </w:rPr>
      </w:pPr>
      <w:r>
        <w:rPr>
          <w:rStyle w:val="ra"/>
        </w:rPr>
        <w:t>- administratívne služby</w:t>
      </w:r>
    </w:p>
    <w:p w:rsidR="00402B60" w:rsidRPr="0073034F" w:rsidRDefault="00402B60" w:rsidP="00015448">
      <w:pPr>
        <w:jc w:val="both"/>
        <w:rPr>
          <w:rFonts w:cs="Arial"/>
        </w:rPr>
      </w:pPr>
    </w:p>
    <w:p w:rsidR="0073034F" w:rsidRDefault="00015448" w:rsidP="00015448">
      <w:pPr>
        <w:pStyle w:val="Nzov"/>
        <w:spacing w:before="0" w:beforeAutospacing="0" w:after="0"/>
        <w:jc w:val="both"/>
        <w:rPr>
          <w:rFonts w:asciiTheme="minorHAnsi" w:hAnsiTheme="minorHAnsi"/>
          <w:szCs w:val="22"/>
        </w:rPr>
      </w:pPr>
      <w:r w:rsidRPr="00015448">
        <w:rPr>
          <w:rFonts w:asciiTheme="minorHAnsi" w:hAnsiTheme="minorHAnsi"/>
          <w:szCs w:val="22"/>
        </w:rPr>
        <w:t xml:space="preserve">c) Počet </w:t>
      </w:r>
      <w:r>
        <w:rPr>
          <w:rFonts w:asciiTheme="minorHAnsi" w:hAnsiTheme="minorHAnsi"/>
          <w:szCs w:val="22"/>
        </w:rPr>
        <w:t>zamestnancov</w:t>
      </w:r>
    </w:p>
    <w:p w:rsidR="00D66472" w:rsidRPr="00D66472" w:rsidRDefault="00D66472" w:rsidP="00D6647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73034F" w:rsidRPr="003F477D" w:rsidTr="005E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3034F" w:rsidRPr="003F477D" w:rsidRDefault="0073034F" w:rsidP="002163E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3034F" w:rsidRPr="003F477D" w:rsidTr="005E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3034F" w:rsidRPr="003F477D" w:rsidRDefault="0073034F" w:rsidP="002163ED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3034F" w:rsidRPr="003F477D" w:rsidRDefault="00782BDB" w:rsidP="002163ED">
            <w:pPr>
              <w:spacing w:after="0" w:line="240" w:lineRule="auto"/>
              <w:jc w:val="center"/>
            </w:pPr>
            <w:r>
              <w:t>0</w:t>
            </w:r>
          </w:p>
        </w:tc>
      </w:tr>
    </w:tbl>
    <w:p w:rsidR="0073034F" w:rsidRPr="003F477D" w:rsidRDefault="0073034F" w:rsidP="0073034F">
      <w:pPr>
        <w:pStyle w:val="Nzov"/>
        <w:spacing w:before="0" w:beforeAutospacing="0" w:after="0"/>
        <w:jc w:val="left"/>
        <w:rPr>
          <w:szCs w:val="22"/>
        </w:rPr>
      </w:pP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d</w:t>
      </w:r>
      <w:r w:rsidR="0073034F" w:rsidRPr="00C77419">
        <w:rPr>
          <w:b/>
        </w:rPr>
        <w:t>) Právny dôvod na zostavenie ú</w:t>
      </w:r>
      <w:r w:rsidR="00015448" w:rsidRPr="00C77419">
        <w:rPr>
          <w:b/>
        </w:rPr>
        <w:t>č</w:t>
      </w:r>
      <w:r w:rsidR="0073034F" w:rsidRPr="00C77419">
        <w:rPr>
          <w:b/>
        </w:rPr>
        <w:t>tovnej závierky:</w:t>
      </w:r>
    </w:p>
    <w:p w:rsidR="0073034F" w:rsidRPr="00C77419" w:rsidRDefault="0073034F" w:rsidP="00015448">
      <w:pPr>
        <w:jc w:val="both"/>
      </w:pPr>
      <w:r w:rsidRPr="00C77419">
        <w:t xml:space="preserve">Účtovná závierka spoločnosti k 31.12.2015 je zostavená ako riadna podľa § 17 ods. 6 zákona č.431/2002 </w:t>
      </w:r>
      <w:proofErr w:type="spellStart"/>
      <w:r w:rsidRPr="00C77419">
        <w:t>Z.z</w:t>
      </w:r>
      <w:proofErr w:type="spellEnd"/>
      <w:r w:rsidRPr="00C77419">
        <w:t xml:space="preserve">. o účtovníctve, za účtovné obdobie od </w:t>
      </w:r>
      <w:r w:rsidR="004A26E7">
        <w:t>1</w:t>
      </w:r>
      <w:r w:rsidR="002A7B48">
        <w:t>4</w:t>
      </w:r>
      <w:r w:rsidRPr="00C77419">
        <w:t>.</w:t>
      </w:r>
      <w:r w:rsidR="00F8507F">
        <w:t>08</w:t>
      </w:r>
      <w:r w:rsidRPr="00C77419">
        <w:t>.2015</w:t>
      </w:r>
      <w:r w:rsidR="00645E5C">
        <w:t xml:space="preserve"> </w:t>
      </w:r>
      <w:r w:rsidRPr="00C77419">
        <w:t>-</w:t>
      </w:r>
      <w:r w:rsidR="00645E5C">
        <w:t xml:space="preserve"> </w:t>
      </w:r>
      <w:r w:rsidRPr="00C77419">
        <w:t xml:space="preserve">31.12.2015. </w:t>
      </w:r>
    </w:p>
    <w:p w:rsidR="0073034F" w:rsidRPr="00C77419" w:rsidRDefault="005E27CA" w:rsidP="00015448">
      <w:pPr>
        <w:jc w:val="both"/>
        <w:rPr>
          <w:b/>
        </w:rPr>
      </w:pPr>
      <w:r>
        <w:rPr>
          <w:b/>
        </w:rPr>
        <w:t>e</w:t>
      </w:r>
      <w:r w:rsidR="005F6BF8">
        <w:rPr>
          <w:b/>
        </w:rPr>
        <w:t>) Dátum schválenia</w:t>
      </w:r>
      <w:r w:rsidR="0073034F" w:rsidRPr="00C77419">
        <w:rPr>
          <w:b/>
        </w:rPr>
        <w:t xml:space="preserve"> ú</w:t>
      </w:r>
      <w:r w:rsidR="00015448" w:rsidRPr="00C77419">
        <w:rPr>
          <w:b/>
        </w:rPr>
        <w:t>č</w:t>
      </w:r>
      <w:r w:rsidR="0073034F" w:rsidRPr="00C77419">
        <w:rPr>
          <w:b/>
        </w:rPr>
        <w:t xml:space="preserve">tovnej závierky za predchádzajúce obdobie: </w:t>
      </w:r>
    </w:p>
    <w:p w:rsidR="00B844CB" w:rsidRPr="00C77419" w:rsidRDefault="0073034F" w:rsidP="00015448">
      <w:pPr>
        <w:jc w:val="both"/>
      </w:pPr>
      <w:r w:rsidRPr="00C77419">
        <w:t>Spoločnosti sa netýka.</w:t>
      </w:r>
    </w:p>
    <w:p w:rsidR="00C77419" w:rsidRDefault="00C77419" w:rsidP="00015448">
      <w:pPr>
        <w:spacing w:after="0" w:line="240" w:lineRule="auto"/>
        <w:rPr>
          <w:rFonts w:eastAsia="Times New Roman" w:cs="Times New Roman"/>
          <w:sz w:val="23"/>
          <w:szCs w:val="23"/>
          <w:lang w:eastAsia="sk-SK"/>
        </w:rPr>
      </w:pPr>
    </w:p>
    <w:p w:rsidR="00C77419" w:rsidRPr="00BF6191" w:rsidRDefault="00BF6191" w:rsidP="00BF6191">
      <w:pPr>
        <w:spacing w:after="0" w:line="240" w:lineRule="auto"/>
        <w:rPr>
          <w:b/>
        </w:rPr>
      </w:pPr>
      <w:r w:rsidRPr="00BF6191">
        <w:rPr>
          <w:b/>
        </w:rPr>
        <w:t xml:space="preserve">f) </w:t>
      </w:r>
      <w:r w:rsidR="00C77419" w:rsidRPr="00BF6191">
        <w:rPr>
          <w:b/>
        </w:rPr>
        <w:t>Informácie o</w:t>
      </w:r>
      <w:r>
        <w:rPr>
          <w:b/>
        </w:rPr>
        <w:t> skupine účtovných jednotiek</w:t>
      </w:r>
    </w:p>
    <w:p w:rsidR="00BF6191" w:rsidRPr="00BF6191" w:rsidRDefault="00BF6191" w:rsidP="00782BDB">
      <w:pPr>
        <w:spacing w:after="0"/>
        <w:jc w:val="both"/>
        <w:rPr>
          <w:i/>
        </w:rPr>
      </w:pPr>
    </w:p>
    <w:p w:rsidR="00C77419" w:rsidRDefault="00C77419" w:rsidP="00782BDB">
      <w:pPr>
        <w:spacing w:after="0"/>
        <w:jc w:val="both"/>
      </w:pPr>
      <w:r w:rsidRPr="00C77419">
        <w:t>Spoločnosti sa netýka.</w:t>
      </w:r>
    </w:p>
    <w:p w:rsidR="00782BDB" w:rsidRDefault="00782BDB" w:rsidP="00782BDB">
      <w:pPr>
        <w:spacing w:after="0"/>
        <w:jc w:val="both"/>
      </w:pPr>
    </w:p>
    <w:p w:rsidR="00A72DF6" w:rsidRDefault="00A72DF6" w:rsidP="00A72DF6">
      <w:pPr>
        <w:pStyle w:val="Default"/>
        <w:numPr>
          <w:ilvl w:val="0"/>
          <w:numId w:val="1"/>
        </w:numPr>
        <w:rPr>
          <w:rFonts w:ascii="Arial Narrow" w:hAnsi="Arial Narrow" w:cs="Arial Narrow"/>
          <w:b/>
          <w:bCs/>
          <w:color w:val="auto"/>
          <w:sz w:val="28"/>
          <w:szCs w:val="28"/>
        </w:rPr>
      </w:pPr>
      <w:r w:rsidRPr="00A72DF6">
        <w:rPr>
          <w:rFonts w:ascii="Arial Narrow" w:hAnsi="Arial Narrow" w:cs="Arial Narrow"/>
          <w:b/>
          <w:bCs/>
          <w:color w:val="auto"/>
          <w:sz w:val="28"/>
          <w:szCs w:val="28"/>
        </w:rPr>
        <w:t>Informácie o orgánoch spoločnosti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Default="00A72DF6" w:rsidP="00A72DF6">
      <w:pPr>
        <w:jc w:val="both"/>
      </w:pPr>
      <w:r w:rsidRPr="00C77419">
        <w:t>Spoločnosti sa netýka.</w:t>
      </w:r>
    </w:p>
    <w:p w:rsidR="00A72DF6" w:rsidRDefault="00A72DF6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782BDB" w:rsidRPr="00A72DF6" w:rsidRDefault="00782BDB" w:rsidP="00A72DF6">
      <w:pPr>
        <w:pStyle w:val="Default"/>
        <w:rPr>
          <w:rFonts w:ascii="Arial Narrow" w:hAnsi="Arial Narrow" w:cs="Arial Narrow"/>
          <w:b/>
          <w:bCs/>
          <w:color w:val="auto"/>
          <w:sz w:val="28"/>
          <w:szCs w:val="28"/>
        </w:rPr>
      </w:pPr>
    </w:p>
    <w:p w:rsidR="00A72DF6" w:rsidRPr="00C77419" w:rsidRDefault="00A72DF6" w:rsidP="00A72DF6">
      <w:pPr>
        <w:pStyle w:val="Default"/>
      </w:pPr>
    </w:p>
    <w:p w:rsidR="00B844CB" w:rsidRDefault="00A72DF6" w:rsidP="00C77419">
      <w:pPr>
        <w:jc w:val="both"/>
      </w:pPr>
      <w:r>
        <w:rPr>
          <w:rFonts w:ascii="Arial Narrow" w:hAnsi="Arial Narrow" w:cs="Arial Narrow"/>
          <w:b/>
          <w:bCs/>
          <w:sz w:val="28"/>
          <w:szCs w:val="28"/>
        </w:rPr>
        <w:t>C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.</w:t>
      </w:r>
      <w:r>
        <w:rPr>
          <w:rFonts w:ascii="Arial Narrow" w:hAnsi="Arial Narrow" w:cs="Arial Narrow"/>
          <w:b/>
          <w:bCs/>
          <w:sz w:val="28"/>
          <w:szCs w:val="28"/>
        </w:rPr>
        <w:t xml:space="preserve"> 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 xml:space="preserve"> Informácie o použitých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zásadách a ú</w:t>
      </w:r>
      <w:r w:rsidR="00C77419">
        <w:rPr>
          <w:rFonts w:ascii="ArialNarrow-Bold" w:hAnsi="ArialNarrow-Bold" w:cs="ArialNarrow-Bold"/>
          <w:b/>
          <w:bCs/>
          <w:sz w:val="28"/>
          <w:szCs w:val="28"/>
        </w:rPr>
        <w:t>č</w:t>
      </w:r>
      <w:r w:rsidR="00C77419">
        <w:rPr>
          <w:rFonts w:ascii="Arial Narrow" w:hAnsi="Arial Narrow" w:cs="Arial Narrow"/>
          <w:b/>
          <w:bCs/>
          <w:sz w:val="28"/>
          <w:szCs w:val="28"/>
        </w:rPr>
        <w:t>tovných metódach</w:t>
      </w:r>
    </w:p>
    <w:p w:rsidR="00C77419" w:rsidRPr="00C064A2" w:rsidRDefault="00A964B7" w:rsidP="00D66472">
      <w:pPr>
        <w:jc w:val="both"/>
        <w:rPr>
          <w:b/>
        </w:rPr>
      </w:pPr>
      <w:r w:rsidRPr="00C064A2">
        <w:rPr>
          <w:b/>
        </w:rPr>
        <w:t>a) Spoločnosť zostavila účtovnú závierku za predpokladu nepretržitého pokračovania vo svojej činnosti.</w:t>
      </w:r>
    </w:p>
    <w:p w:rsidR="00A964B7" w:rsidRPr="00C064A2" w:rsidRDefault="00A964B7" w:rsidP="00D66472">
      <w:pPr>
        <w:jc w:val="both"/>
        <w:rPr>
          <w:b/>
        </w:rPr>
      </w:pPr>
      <w:r w:rsidRPr="00C064A2">
        <w:rPr>
          <w:b/>
        </w:rPr>
        <w:t xml:space="preserve">b) Zmeny účtovných zásad a metód:  </w:t>
      </w:r>
    </w:p>
    <w:p w:rsidR="00A964B7" w:rsidRDefault="00A964B7" w:rsidP="00D66472">
      <w:pPr>
        <w:jc w:val="both"/>
      </w:pPr>
      <w:r>
        <w:t>Účtovné metódy a zásady boli aplikované v rámci platného zákona o účtovníctve.</w:t>
      </w:r>
    </w:p>
    <w:p w:rsidR="00B844CB" w:rsidRPr="00C064A2" w:rsidRDefault="00A964B7" w:rsidP="00D66472">
      <w:pPr>
        <w:jc w:val="both"/>
        <w:rPr>
          <w:b/>
        </w:rPr>
      </w:pPr>
      <w:r w:rsidRPr="00C064A2">
        <w:rPr>
          <w:b/>
        </w:rPr>
        <w:t>c) Spôsob oceňovania jednotlivých zložiek majetku a záväzkov:</w:t>
      </w:r>
    </w:p>
    <w:p w:rsidR="00A964B7" w:rsidRDefault="00A964B7" w:rsidP="00D66472">
      <w:pPr>
        <w:jc w:val="both"/>
        <w:rPr>
          <w:b/>
        </w:rPr>
      </w:pPr>
      <w:r w:rsidRPr="00A964B7">
        <w:rPr>
          <w:b/>
        </w:rPr>
        <w:t>Dlhodobý nehmotný majetok a dlhodobý hmotný majetok</w:t>
      </w:r>
    </w:p>
    <w:p w:rsidR="00A964B7" w:rsidRPr="00D66472" w:rsidRDefault="00A964B7" w:rsidP="00D66472">
      <w:pPr>
        <w:jc w:val="both"/>
      </w:pPr>
      <w:r w:rsidRPr="00D66472">
        <w:t xml:space="preserve">Dlhodobý majetok nakupovaný sa oceňuje obstarávacou cenou, ktorá zahŕňa cenu obstarania a náklady súvisiace s obstaraním (clo, prepravu, montáž, poistné a pod.). </w:t>
      </w:r>
    </w:p>
    <w:p w:rsidR="00A964B7" w:rsidRPr="00D66472" w:rsidRDefault="00A964B7" w:rsidP="00D66472">
      <w:pPr>
        <w:spacing w:after="0" w:line="240" w:lineRule="auto"/>
        <w:jc w:val="both"/>
      </w:pPr>
      <w:r w:rsidRPr="00D66472">
        <w:t>Odpisy dlhodobého nehmotného majetku sú stanovené vychádzajúc z predpokladanej doby jeho používania a predpokladaného priebehu jeho opotrebenia. Odpisovať sa začína v mesiaci uvedenia dlhodobého majetku do používania. Drobný dlhodobý nehmotný majetok, ktorého obstarávacia cena (resp. vlastné náklady)je 2 400 EUR a nižšia, sa odpisuje jednorazovo pri</w:t>
      </w:r>
      <w:r w:rsidR="00C064A2">
        <w:t xml:space="preserve"> </w:t>
      </w:r>
      <w:r w:rsidRPr="00D66472">
        <w:t>uvedení do používania.</w:t>
      </w:r>
    </w:p>
    <w:p w:rsidR="00A964B7" w:rsidRPr="00D66472" w:rsidRDefault="00A964B7" w:rsidP="00D66472">
      <w:pPr>
        <w:spacing w:after="0" w:line="240" w:lineRule="auto"/>
        <w:jc w:val="both"/>
      </w:pPr>
    </w:p>
    <w:p w:rsidR="00A964B7" w:rsidRDefault="00A964B7" w:rsidP="00D66472">
      <w:pPr>
        <w:spacing w:after="0" w:line="240" w:lineRule="auto"/>
        <w:jc w:val="both"/>
      </w:pPr>
      <w:r w:rsidRPr="00D66472">
        <w:t>Odpisy dlhodobého hmotného majetku sú stanovené vychádzajúc z predpokladanej doby jeho používania a predpokladaného priebehu jeho opotrebenia. Odpisovať sa začína v 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64A2" w:rsidRPr="00D66472" w:rsidRDefault="00C064A2" w:rsidP="00D66472">
      <w:pPr>
        <w:spacing w:after="0" w:line="240" w:lineRule="auto"/>
        <w:jc w:val="both"/>
      </w:pPr>
    </w:p>
    <w:p w:rsidR="00C064A2" w:rsidRDefault="00C064A2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AF68C4" w:rsidRDefault="00AF68C4" w:rsidP="00A964B7">
      <w:pPr>
        <w:spacing w:after="0" w:line="240" w:lineRule="auto"/>
        <w:rPr>
          <w:b/>
        </w:rPr>
      </w:pPr>
      <w:r w:rsidRPr="00AF68C4">
        <w:rPr>
          <w:b/>
        </w:rPr>
        <w:t>Dl</w:t>
      </w:r>
      <w:r>
        <w:rPr>
          <w:b/>
        </w:rPr>
        <w:t>hodobý finančný majetok</w:t>
      </w:r>
    </w:p>
    <w:p w:rsidR="00457158" w:rsidRDefault="00457158" w:rsidP="00D66472">
      <w:pPr>
        <w:spacing w:after="0" w:line="240" w:lineRule="auto"/>
        <w:jc w:val="both"/>
      </w:pP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</w:r>
    </w:p>
    <w:p w:rsidR="00AF68C4" w:rsidRPr="00D66472" w:rsidRDefault="00AF68C4" w:rsidP="00D66472">
      <w:pPr>
        <w:spacing w:after="0" w:line="240" w:lineRule="auto"/>
        <w:jc w:val="both"/>
      </w:pPr>
      <w:r w:rsidRPr="00D66472">
        <w:t xml:space="preserve">Cenné papiere na obchodovanie sa pri ich obstaraní oceňujú reálnou hodnotou. </w:t>
      </w:r>
    </w:p>
    <w:p w:rsidR="00D66472" w:rsidRDefault="00D66472" w:rsidP="00AF68C4">
      <w:pPr>
        <w:jc w:val="both"/>
        <w:rPr>
          <w:b/>
        </w:rPr>
      </w:pPr>
    </w:p>
    <w:p w:rsidR="00AF68C4" w:rsidRPr="00824216" w:rsidRDefault="00AF68C4" w:rsidP="00824216">
      <w:pPr>
        <w:jc w:val="both"/>
        <w:rPr>
          <w:b/>
        </w:rPr>
      </w:pPr>
      <w:r w:rsidRPr="00824216">
        <w:rPr>
          <w:b/>
        </w:rPr>
        <w:t>Zásoby</w:t>
      </w:r>
    </w:p>
    <w:p w:rsidR="00AF68C4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 xml:space="preserve">Zásoby sa oceňujú </w:t>
      </w:r>
      <w:r>
        <w:t>buď</w:t>
      </w:r>
      <w:r w:rsidRPr="00824216">
        <w:t xml:space="preserve"> obstarávacou cenou (nakupované zásoby) alebo vlastnými nákladmi</w:t>
      </w:r>
      <w:r>
        <w:t xml:space="preserve"> </w:t>
      </w:r>
      <w:r w:rsidRPr="00824216">
        <w:t>(zásoby vytvorené vlastnou činnosťou) alebo čistou realizačnou hodnotou.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Obstarávacia cena zahŕňa cenu zásob a náklady súvisiace s obstaraním (clo, prepravu, poistné, provízie, skonto a pod.).</w:t>
      </w:r>
      <w:r w:rsidR="00F920FD">
        <w:t xml:space="preserve"> </w:t>
      </w:r>
      <w:r w:rsidRPr="00824216">
        <w:t>Úroky z cudzích zdrojov nie sú súčasťou obstarávacej ceny. Nakupované zásoby sa oceňujú váženým aritmetickým</w:t>
      </w:r>
      <w:r>
        <w:t xml:space="preserve"> </w:t>
      </w:r>
      <w:r w:rsidRPr="00824216">
        <w:t>priemerom z obstarávacích cien.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  <w:jc w:val="both"/>
      </w:pPr>
      <w:r w:rsidRPr="00824216">
        <w:t>Vlastné náklady zahŕňajú priame náklady (priamy materiál, priame mzdy a ostatné priame náklady) a časť nepriamych</w:t>
      </w:r>
      <w:r>
        <w:t xml:space="preserve"> </w:t>
      </w:r>
      <w:r w:rsidRPr="00824216">
        <w:t>nákladov bezprostredne súvisiacich s vytvorením zásob vlastnou činnosťou (výrobná réžia). Výrobná réžia sa do vlastných</w:t>
      </w:r>
      <w:r>
        <w:t xml:space="preserve"> </w:t>
      </w:r>
      <w:r w:rsidRPr="00824216">
        <w:t>nákladov zahŕňa v závislosti od stupňa rozpracovanosti týchto zásob. Správna réžia a odbytové náklady nie sú súčasťou</w:t>
      </w:r>
      <w:r>
        <w:t xml:space="preserve"> </w:t>
      </w:r>
      <w:r w:rsidRPr="00824216">
        <w:t>vlastných nákladov. Súčasťou vlastných nákladov nie sú úroky z cudzích zdrojov.</w:t>
      </w: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824216" w:rsidRDefault="00824216" w:rsidP="00824216">
      <w:pPr>
        <w:autoSpaceDE w:val="0"/>
        <w:autoSpaceDN w:val="0"/>
        <w:adjustRightInd w:val="0"/>
        <w:spacing w:after="0" w:line="240" w:lineRule="auto"/>
      </w:pPr>
      <w:r w:rsidRPr="00824216">
        <w:t>Zníženie hodnoty zásob sa zohľadňuje vytvorením opravnej položky.</w:t>
      </w:r>
    </w:p>
    <w:p w:rsidR="00824216" w:rsidRPr="00824216" w:rsidRDefault="00824216" w:rsidP="00824216">
      <w:pPr>
        <w:autoSpaceDE w:val="0"/>
        <w:autoSpaceDN w:val="0"/>
        <w:adjustRightInd w:val="0"/>
        <w:spacing w:after="0" w:line="240" w:lineRule="auto"/>
      </w:pPr>
    </w:p>
    <w:p w:rsidR="00AF68C4" w:rsidRPr="00AF68C4" w:rsidRDefault="00AF68C4" w:rsidP="00AF68C4">
      <w:pPr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F68C4">
        <w:rPr>
          <w:b/>
        </w:rPr>
        <w:t>Zákazková výroba</w:t>
      </w:r>
      <w:r>
        <w:rPr>
          <w:b/>
        </w:rPr>
        <w:t xml:space="preserve"> a </w:t>
      </w:r>
      <w:r w:rsidRPr="00AF68C4">
        <w:rPr>
          <w:b/>
        </w:rPr>
        <w:t>Zákazková výstavba nehnuteľnosti</w:t>
      </w:r>
      <w:r w:rsidRPr="00AF68C4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AF68C4" w:rsidRPr="00824216" w:rsidRDefault="00824216" w:rsidP="00824216">
      <w:pPr>
        <w:spacing w:after="0" w:line="240" w:lineRule="auto"/>
        <w:jc w:val="both"/>
      </w:pPr>
      <w:r w:rsidRPr="00824216">
        <w:t xml:space="preserve">Zákazková výroba sa vykazuje použitím metódy stupňa dokončenia zákazky (angl. </w:t>
      </w:r>
      <w:proofErr w:type="spellStart"/>
      <w:r w:rsidRPr="00824216">
        <w:t>percentage-of-completion-method</w:t>
      </w:r>
      <w:proofErr w:type="spellEnd"/>
      <w:r w:rsidRPr="00824216">
        <w:t>).</w:t>
      </w:r>
    </w:p>
    <w:p w:rsidR="00EB064F" w:rsidRDefault="00EB064F" w:rsidP="00824216">
      <w:pPr>
        <w:spacing w:after="0" w:line="240" w:lineRule="auto"/>
        <w:jc w:val="both"/>
      </w:pPr>
    </w:p>
    <w:p w:rsidR="00D66472" w:rsidRPr="00824216" w:rsidRDefault="00824216" w:rsidP="00824216">
      <w:pPr>
        <w:spacing w:after="0" w:line="240" w:lineRule="auto"/>
        <w:jc w:val="both"/>
      </w:pPr>
      <w:r w:rsidRPr="00824216">
        <w:t>Zákazková výstavba nehnuteľnosti určenej na predaj sa vykazuje podľa metódy stupňa dokončenia.</w:t>
      </w:r>
    </w:p>
    <w:p w:rsidR="00D66472" w:rsidRDefault="00D66472" w:rsidP="00824216">
      <w:pPr>
        <w:spacing w:after="0" w:line="240" w:lineRule="auto"/>
        <w:jc w:val="both"/>
        <w:rPr>
          <w:b/>
        </w:rPr>
      </w:pPr>
    </w:p>
    <w:p w:rsidR="00AF68C4" w:rsidRPr="00AF68C4" w:rsidRDefault="00AF68C4" w:rsidP="00AF68C4">
      <w:pPr>
        <w:spacing w:after="0" w:line="240" w:lineRule="auto"/>
        <w:rPr>
          <w:b/>
        </w:rPr>
      </w:pPr>
      <w:r w:rsidRPr="00AF68C4">
        <w:rPr>
          <w:b/>
        </w:rPr>
        <w:t xml:space="preserve">Pohľadávky </w:t>
      </w:r>
    </w:p>
    <w:p w:rsidR="00AF68C4" w:rsidRPr="00AF68C4" w:rsidRDefault="00AF68C4" w:rsidP="00D66472">
      <w:pPr>
        <w:spacing w:after="0" w:line="240" w:lineRule="auto"/>
        <w:jc w:val="both"/>
      </w:pPr>
      <w:r w:rsidRPr="00AF68C4">
        <w:t>Pohľadávky pri ich vzniku sa oceňujú ich menovitou hodnotou; postúpené pohľadávky a pohľadávky nadobudnuté vkladom do základného imania sa oceňujú obstarávacou cenou vrátane</w:t>
      </w:r>
      <w:r>
        <w:t xml:space="preserve"> </w:t>
      </w:r>
      <w:r w:rsidRPr="00AF68C4">
        <w:t>nákladov súvisiacich s obstaraním. Toto ocenenie sa znižuje o pochybné a</w:t>
      </w:r>
      <w:r>
        <w:t> </w:t>
      </w:r>
      <w:r w:rsidRPr="00AF68C4">
        <w:t>nevymožiteľné</w:t>
      </w:r>
      <w:r>
        <w:t xml:space="preserve"> </w:t>
      </w:r>
      <w:r w:rsidRPr="00AF68C4">
        <w:t>pohľadávky</w:t>
      </w:r>
      <w:r>
        <w:t>.</w:t>
      </w:r>
    </w:p>
    <w:p w:rsidR="00AF68C4" w:rsidRPr="00A964B7" w:rsidRDefault="00AF68C4" w:rsidP="00D66472">
      <w:pPr>
        <w:spacing w:after="0" w:line="240" w:lineRule="auto"/>
        <w:jc w:val="both"/>
      </w:pPr>
    </w:p>
    <w:p w:rsidR="007349F3" w:rsidRPr="007349F3" w:rsidRDefault="007349F3" w:rsidP="007349F3">
      <w:pPr>
        <w:spacing w:after="0" w:line="240" w:lineRule="auto"/>
        <w:rPr>
          <w:b/>
        </w:rPr>
      </w:pPr>
      <w:r w:rsidRPr="007349F3">
        <w:rPr>
          <w:b/>
        </w:rPr>
        <w:t xml:space="preserve">Peňažné prostriedky a ceniny </w:t>
      </w:r>
    </w:p>
    <w:p w:rsidR="007349F3" w:rsidRPr="007349F3" w:rsidRDefault="007349F3" w:rsidP="00D66472">
      <w:pPr>
        <w:spacing w:after="0" w:line="240" w:lineRule="auto"/>
        <w:jc w:val="both"/>
      </w:pPr>
      <w:r w:rsidRPr="007349F3">
        <w:t>Peňažné prostriedky a ceniny sa oceňujú ich menovitou hodnotou. Zníženie ich hodnoty sa</w:t>
      </w:r>
      <w:r>
        <w:t xml:space="preserve"> </w:t>
      </w:r>
      <w:r w:rsidRPr="007349F3">
        <w:t xml:space="preserve"> vyjadruje opravnou položkou.</w:t>
      </w:r>
    </w:p>
    <w:p w:rsidR="00A964B7" w:rsidRPr="00A964B7" w:rsidRDefault="00A964B7" w:rsidP="00A964B7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A964B7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</w:p>
    <w:p w:rsidR="00B844CB" w:rsidRDefault="00ED16EA" w:rsidP="00D66472">
      <w:pPr>
        <w:jc w:val="both"/>
        <w:rPr>
          <w:b/>
        </w:rPr>
      </w:pPr>
      <w:r w:rsidRPr="00ED16EA">
        <w:rPr>
          <w:b/>
        </w:rPr>
        <w:t>Náklady budúcich období ,</w:t>
      </w:r>
      <w:r w:rsidR="005343D0" w:rsidRPr="00ED16EA">
        <w:rPr>
          <w:b/>
        </w:rPr>
        <w:t xml:space="preserve"> príjmy budúcich období</w:t>
      </w:r>
      <w:r w:rsidRPr="00ED16EA">
        <w:rPr>
          <w:b/>
        </w:rPr>
        <w:t xml:space="preserve"> a výdavky budúcich období a výnosy budúcich období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Vykazujú sa vo výške, ktorá je potrebná na dodržanie zásady vecnej a časovej súvislosti s</w:t>
      </w:r>
      <w:r>
        <w:t xml:space="preserve"> </w:t>
      </w:r>
      <w:r w:rsidRPr="00ED16EA">
        <w:t xml:space="preserve">účtovným obdobím. </w:t>
      </w:r>
    </w:p>
    <w:p w:rsidR="00ED16EA" w:rsidRDefault="00ED16EA" w:rsidP="00ED16EA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Rezervy 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Rezervy sú záväzky s neurčitým časovým vymedzením alebo výškou; tvoria sa na krytie známych rizík alebo strát</w:t>
      </w:r>
      <w:r>
        <w:t xml:space="preserve"> </w:t>
      </w:r>
      <w:r w:rsidRPr="00ED16EA">
        <w:t xml:space="preserve">z podnikania. Oceňujú sa v očakávanej výške záväzku. </w:t>
      </w:r>
    </w:p>
    <w:p w:rsidR="00ED16EA" w:rsidRDefault="00ED16EA" w:rsidP="00D66472">
      <w:pPr>
        <w:spacing w:after="0" w:line="240" w:lineRule="auto"/>
        <w:jc w:val="both"/>
      </w:pPr>
    </w:p>
    <w:p w:rsidR="00ED16EA" w:rsidRPr="00ED16EA" w:rsidRDefault="00ED16EA" w:rsidP="00D66472">
      <w:pPr>
        <w:spacing w:after="0" w:line="240" w:lineRule="auto"/>
        <w:jc w:val="both"/>
        <w:rPr>
          <w:b/>
        </w:rPr>
      </w:pPr>
      <w:r w:rsidRPr="00ED16EA">
        <w:rPr>
          <w:b/>
        </w:rPr>
        <w:t xml:space="preserve">Záväzky </w:t>
      </w:r>
    </w:p>
    <w:p w:rsidR="007370F0" w:rsidRDefault="00ED16EA" w:rsidP="00D66472">
      <w:pPr>
        <w:spacing w:after="0" w:line="240" w:lineRule="auto"/>
        <w:jc w:val="both"/>
      </w:pPr>
      <w:r w:rsidRPr="00ED16EA">
        <w:t>Záväzky pri ich vzniku sa oceňujú menovitou hodnotou. Záväzky</w:t>
      </w:r>
      <w:r w:rsidR="007370F0">
        <w:t xml:space="preserve"> </w:t>
      </w:r>
      <w:r w:rsidRPr="00ED16EA">
        <w:t>pri ich prevzatí sa oceňujú</w:t>
      </w:r>
      <w:r w:rsidR="007370F0">
        <w:t xml:space="preserve"> </w:t>
      </w:r>
      <w:r w:rsidRPr="00ED16EA">
        <w:t>obstarávacou cenou. Ak sa pri</w:t>
      </w:r>
      <w:r w:rsidR="007370F0">
        <w:t xml:space="preserve"> </w:t>
      </w:r>
      <w:r w:rsidRPr="00ED16EA">
        <w:t xml:space="preserve">inventarizácii </w:t>
      </w:r>
      <w:r w:rsidR="007370F0">
        <w:t xml:space="preserve">zistí </w:t>
      </w:r>
      <w:r w:rsidRPr="00ED16EA">
        <w:t xml:space="preserve">že </w:t>
      </w:r>
      <w:r w:rsidR="007370F0">
        <w:t>s</w:t>
      </w:r>
      <w:r w:rsidRPr="00ED16EA">
        <w:t>uma záväzkov je iná ako ich výška v účtovníctve,</w:t>
      </w:r>
    </w:p>
    <w:p w:rsidR="00ED16EA" w:rsidRPr="00ED16EA" w:rsidRDefault="00ED16EA" w:rsidP="00D66472">
      <w:pPr>
        <w:spacing w:after="0" w:line="240" w:lineRule="auto"/>
        <w:jc w:val="both"/>
      </w:pPr>
      <w:r w:rsidRPr="00ED16EA">
        <w:t>uvedú sa záväzky v účtovníctve a v</w:t>
      </w:r>
      <w:r w:rsidR="007370F0">
        <w:t> </w:t>
      </w:r>
      <w:r w:rsidRPr="00ED16EA">
        <w:t>účtovnej</w:t>
      </w:r>
      <w:r w:rsidR="007370F0">
        <w:t xml:space="preserve"> </w:t>
      </w:r>
      <w:r w:rsidRPr="00ED16EA">
        <w:t>závierke v tomto zistenom ocenení</w:t>
      </w:r>
      <w:r w:rsidR="007370F0">
        <w:t>.</w:t>
      </w:r>
    </w:p>
    <w:p w:rsidR="00D66472" w:rsidRDefault="00D66472" w:rsidP="00D66472">
      <w:pPr>
        <w:jc w:val="both"/>
        <w:rPr>
          <w:b/>
        </w:rPr>
      </w:pPr>
    </w:p>
    <w:p w:rsidR="008D1A5E" w:rsidRPr="008D1A5E" w:rsidRDefault="008D1A5E" w:rsidP="00D66472">
      <w:pPr>
        <w:jc w:val="both"/>
        <w:rPr>
          <w:b/>
        </w:rPr>
      </w:pPr>
      <w:r w:rsidRPr="008D1A5E">
        <w:rPr>
          <w:b/>
        </w:rPr>
        <w:t>Prenájom (lízing)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Majetok prenajatý na základe operatívneho prenájmu vykazuje ako svoj majetok jeho vlastník, nie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>nájomca.</w:t>
      </w:r>
    </w:p>
    <w:p w:rsidR="008D1A5E" w:rsidRPr="008D1A5E" w:rsidRDefault="008D1A5E" w:rsidP="00D66472">
      <w:pPr>
        <w:spacing w:after="0" w:line="240" w:lineRule="auto"/>
        <w:jc w:val="both"/>
      </w:pPr>
      <w:r w:rsidRPr="008D1A5E">
        <w:t xml:space="preserve"> </w:t>
      </w:r>
    </w:p>
    <w:p w:rsidR="008D1A5E" w:rsidRDefault="008D1A5E" w:rsidP="00D66472">
      <w:pPr>
        <w:spacing w:after="0" w:line="240" w:lineRule="auto"/>
        <w:jc w:val="both"/>
      </w:pPr>
      <w:r w:rsidRPr="008D1A5E">
        <w:t>Finančný prenájom je obstaranie dlhodobého hmotného majetku na základe nájomnej zmluvy s</w:t>
      </w:r>
      <w:r>
        <w:t xml:space="preserve"> </w:t>
      </w:r>
      <w:r w:rsidRPr="008D1A5E">
        <w:t>dojednaným právom kúpy prenajatej veci za dohodnuté platby počas dohodnutej doby nájmu.</w:t>
      </w:r>
      <w:r w:rsidR="00B10C60">
        <w:t xml:space="preserve"> </w:t>
      </w:r>
      <w:r w:rsidRPr="008D1A5E">
        <w:t>Majetok prenajatý formou finančného prenájmu vykazuje ako svoj majetok a odpisuje ho jeho</w:t>
      </w:r>
      <w:r>
        <w:t xml:space="preserve"> </w:t>
      </w:r>
      <w:r w:rsidRPr="008D1A5E">
        <w:t xml:space="preserve">nájomca, nie vlastník. </w:t>
      </w:r>
    </w:p>
    <w:p w:rsidR="00B9637D" w:rsidRDefault="00B9637D" w:rsidP="008D1A5E">
      <w:pPr>
        <w:spacing w:after="0" w:line="240" w:lineRule="auto"/>
        <w:jc w:val="both"/>
      </w:pPr>
    </w:p>
    <w:p w:rsidR="00B9637D" w:rsidRPr="008D1A5E" w:rsidRDefault="00B9637D" w:rsidP="00D66472">
      <w:pPr>
        <w:spacing w:after="0" w:line="240" w:lineRule="auto"/>
        <w:jc w:val="both"/>
        <w:rPr>
          <w:b/>
        </w:rPr>
      </w:pPr>
      <w:r w:rsidRPr="00B9637D">
        <w:rPr>
          <w:b/>
        </w:rPr>
        <w:t>Cudzia mena</w:t>
      </w:r>
    </w:p>
    <w:p w:rsid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:rsidR="00B9637D" w:rsidRPr="00B9637D" w:rsidRDefault="00B9637D" w:rsidP="00D66472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B9637D">
        <w:t>Majetok a záväzky vyjadrené v cudzej mene sa ku dňu uskutočnenia účtovného prípadu prepočítavajú na menu euro</w:t>
      </w:r>
      <w:r w:rsidRPr="00435911">
        <w:t xml:space="preserve"> </w:t>
      </w:r>
      <w:r w:rsidRPr="00B9637D">
        <w:t>referenčným výmenným kurzom určeným a vyhláseným Európskou</w:t>
      </w:r>
      <w:r w:rsidR="00D66472">
        <w:t xml:space="preserve"> </w:t>
      </w:r>
      <w:r w:rsidRPr="00B9637D">
        <w:t>centrálnou bankou alebo Národnou bankou Slovenska</w:t>
      </w:r>
      <w:r w:rsidRPr="00435911">
        <w:t xml:space="preserve"> </w:t>
      </w:r>
      <w:r w:rsidRPr="00B9637D">
        <w:t>v</w:t>
      </w:r>
      <w:r w:rsidRPr="00435911">
        <w:t> </w:t>
      </w:r>
      <w:r w:rsidRPr="00B9637D">
        <w:t>deň</w:t>
      </w:r>
      <w:r w:rsidRPr="00435911">
        <w:t xml:space="preserve"> </w:t>
      </w:r>
      <w:r w:rsidRPr="00B9637D">
        <w:t>predchádzajúci dňu uskut</w:t>
      </w:r>
      <w:r w:rsidRPr="00435911">
        <w:t>o</w:t>
      </w:r>
      <w:r w:rsidRPr="00B9637D">
        <w:t>čnenia</w:t>
      </w:r>
      <w:r w:rsidRPr="00435911">
        <w:t xml:space="preserve"> </w:t>
      </w:r>
      <w:r w:rsidRPr="00B9637D">
        <w:t>účtovného prípadu</w:t>
      </w:r>
      <w:r w:rsidRPr="00B9637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</w:p>
    <w:p w:rsidR="00A72DF6" w:rsidRDefault="00A72DF6" w:rsidP="00D66472">
      <w:pPr>
        <w:jc w:val="both"/>
      </w:pPr>
      <w:r>
        <w:lastRenderedPageBreak/>
        <w:t xml:space="preserve"> </w:t>
      </w:r>
    </w:p>
    <w:p w:rsidR="00B844CB" w:rsidRPr="00C064A2" w:rsidRDefault="00A72DF6" w:rsidP="00D66472">
      <w:pPr>
        <w:jc w:val="both"/>
        <w:rPr>
          <w:b/>
        </w:rPr>
      </w:pPr>
      <w:r w:rsidRPr="00C064A2">
        <w:rPr>
          <w:b/>
        </w:rPr>
        <w:t>d) Informácia o charaktere a účele transakcií</w:t>
      </w:r>
      <w:r w:rsidR="00C064A2" w:rsidRPr="00C064A2">
        <w:rPr>
          <w:b/>
        </w:rPr>
        <w:t>, ktoré sa neuvádzajú v súvahe, ale majú významný vplyv na účtovnú jednotku.</w:t>
      </w:r>
    </w:p>
    <w:p w:rsidR="00C064A2" w:rsidRDefault="00C064A2" w:rsidP="00C064A2">
      <w:pPr>
        <w:jc w:val="both"/>
      </w:pPr>
      <w:r w:rsidRPr="00C77419">
        <w:t>Spoločnosti sa netýka.</w:t>
      </w:r>
    </w:p>
    <w:p w:rsidR="005C79B9" w:rsidRDefault="005C79B9" w:rsidP="005C79B9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5C79B9">
        <w:rPr>
          <w:rFonts w:asciiTheme="minorHAnsi" w:hAnsiTheme="minorHAnsi" w:cstheme="minorBidi"/>
          <w:b/>
          <w:color w:val="auto"/>
          <w:sz w:val="22"/>
          <w:szCs w:val="22"/>
        </w:rPr>
        <w:t xml:space="preserve">nformácia o oprave významných chýb minulých účtovných období účtovaných v bežnom účtovnom období </w:t>
      </w:r>
    </w:p>
    <w:p w:rsidR="005C79B9" w:rsidRDefault="005C79B9" w:rsidP="00F920FD">
      <w:pPr>
        <w:spacing w:after="0"/>
        <w:jc w:val="both"/>
      </w:pPr>
    </w:p>
    <w:p w:rsidR="005C79B9" w:rsidRDefault="005C79B9" w:rsidP="00F920FD">
      <w:pPr>
        <w:spacing w:after="0"/>
        <w:jc w:val="both"/>
      </w:pPr>
      <w:r w:rsidRPr="00C77419">
        <w:t>Spoločnosti sa netýka.</w:t>
      </w:r>
    </w:p>
    <w:p w:rsidR="00C064A2" w:rsidRDefault="00C064A2" w:rsidP="00D66472">
      <w:pPr>
        <w:jc w:val="both"/>
      </w:pPr>
    </w:p>
    <w:p w:rsidR="00B17411" w:rsidRDefault="00B17411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B17411">
        <w:rPr>
          <w:rFonts w:ascii="Arial Narrow" w:hAnsi="Arial Narrow" w:cs="Arial Narrow"/>
          <w:b/>
          <w:bCs/>
          <w:sz w:val="28"/>
          <w:szCs w:val="28"/>
        </w:rPr>
        <w:t>D. Informácie, ktoré vysvetľujú a dopĺňajú súvahu a výkaz ziskov a strát</w:t>
      </w:r>
    </w:p>
    <w:p w:rsidR="00B17411" w:rsidRDefault="00B17411" w:rsidP="00D66472">
      <w:pPr>
        <w:jc w:val="both"/>
        <w:rPr>
          <w:b/>
        </w:rPr>
      </w:pPr>
      <w:r w:rsidRPr="00B17411">
        <w:rPr>
          <w:b/>
        </w:rPr>
        <w:t>a)</w:t>
      </w:r>
      <w:r>
        <w:rPr>
          <w:b/>
        </w:rPr>
        <w:t xml:space="preserve"> </w:t>
      </w:r>
      <w:proofErr w:type="spellStart"/>
      <w:r>
        <w:rPr>
          <w:b/>
        </w:rPr>
        <w:t>Goodwill</w:t>
      </w:r>
      <w:proofErr w:type="spellEnd"/>
    </w:p>
    <w:p w:rsidR="00B17411" w:rsidRDefault="00B17411" w:rsidP="00B17411">
      <w:pPr>
        <w:jc w:val="both"/>
      </w:pPr>
      <w:r w:rsidRPr="00C77419">
        <w:t>Spoločnosti sa netýka.</w:t>
      </w:r>
    </w:p>
    <w:p w:rsidR="00B17411" w:rsidRPr="00B17411" w:rsidRDefault="00B17411" w:rsidP="00E876FC">
      <w:pPr>
        <w:pStyle w:val="Default"/>
        <w:spacing w:line="23" w:lineRule="atLeas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B17411">
        <w:rPr>
          <w:rFonts w:asciiTheme="minorHAnsi" w:hAnsiTheme="minorHAnsi" w:cstheme="minorBidi"/>
          <w:b/>
          <w:color w:val="auto"/>
          <w:sz w:val="22"/>
          <w:szCs w:val="22"/>
        </w:rPr>
        <w:t xml:space="preserve">b) Významné položky derivátov, majetku a záväzkov zabezpečených derivátmi 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B17411" w:rsidP="00E876FC">
      <w:pPr>
        <w:spacing w:after="0" w:line="23" w:lineRule="atLeast"/>
        <w:jc w:val="both"/>
      </w:pPr>
      <w:r w:rsidRPr="00C77419">
        <w:t>Spoločnosti sa netýka.</w:t>
      </w:r>
    </w:p>
    <w:p w:rsidR="00E876FC" w:rsidRDefault="00E876FC" w:rsidP="00E876FC">
      <w:pPr>
        <w:spacing w:after="0" w:line="23" w:lineRule="atLeast"/>
        <w:jc w:val="both"/>
      </w:pPr>
    </w:p>
    <w:p w:rsidR="00B17411" w:rsidRDefault="00333B4F" w:rsidP="00D66472">
      <w:pPr>
        <w:jc w:val="both"/>
        <w:rPr>
          <w:b/>
        </w:rPr>
      </w:pPr>
      <w:r>
        <w:rPr>
          <w:b/>
        </w:rPr>
        <w:t>c</w:t>
      </w:r>
      <w:r w:rsidRPr="00333B4F">
        <w:rPr>
          <w:b/>
        </w:rPr>
        <w:t>) Záväzky</w:t>
      </w:r>
    </w:p>
    <w:p w:rsidR="00333B4F" w:rsidRDefault="00FC4CC7" w:rsidP="00333B4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C77419">
        <w:t>Spoločnosti sa netýka.</w:t>
      </w:r>
    </w:p>
    <w:p w:rsidR="00333B4F" w:rsidRPr="003F477D" w:rsidRDefault="00333B4F" w:rsidP="00333B4F">
      <w:pPr>
        <w:pStyle w:val="Nzov"/>
        <w:spacing w:before="0" w:beforeAutospacing="0" w:after="0"/>
        <w:jc w:val="left"/>
        <w:rPr>
          <w:szCs w:val="22"/>
        </w:rPr>
      </w:pPr>
    </w:p>
    <w:p w:rsidR="00333B4F" w:rsidRDefault="00333B4F" w:rsidP="00D66472">
      <w:pPr>
        <w:jc w:val="both"/>
        <w:rPr>
          <w:b/>
        </w:rPr>
      </w:pPr>
    </w:p>
    <w:p w:rsidR="00333B4F" w:rsidRDefault="00333B4F" w:rsidP="00D66472">
      <w:pPr>
        <w:jc w:val="both"/>
        <w:rPr>
          <w:b/>
        </w:rPr>
      </w:pPr>
      <w:r>
        <w:rPr>
          <w:b/>
        </w:rPr>
        <w:t>d) Vlastné akcie</w:t>
      </w:r>
    </w:p>
    <w:p w:rsidR="00333B4F" w:rsidRDefault="00333B4F" w:rsidP="00333B4F">
      <w:pPr>
        <w:jc w:val="both"/>
      </w:pPr>
      <w:r w:rsidRPr="00C77419">
        <w:t>Spoločnosti sa netýka.</w:t>
      </w:r>
    </w:p>
    <w:p w:rsidR="00645E5C" w:rsidRDefault="00645E5C" w:rsidP="00333B4F">
      <w:pPr>
        <w:jc w:val="both"/>
      </w:pPr>
    </w:p>
    <w:p w:rsidR="00645E5C" w:rsidRDefault="00645E5C" w:rsidP="00333B4F">
      <w:pPr>
        <w:jc w:val="both"/>
      </w:pPr>
    </w:p>
    <w:p w:rsidR="00333B4F" w:rsidRPr="00333B4F" w:rsidRDefault="00333B4F" w:rsidP="00645E5C">
      <w:pPr>
        <w:pStyle w:val="Default"/>
        <w:jc w:val="both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333B4F">
        <w:rPr>
          <w:rFonts w:asciiTheme="minorHAnsi" w:hAnsiTheme="minorHAnsi" w:cstheme="minorBidi"/>
          <w:b/>
          <w:color w:val="auto"/>
          <w:sz w:val="22"/>
          <w:szCs w:val="22"/>
        </w:rPr>
        <w:t xml:space="preserve">e) Suma a dôvod vzniku jednotlivých položiek nákladov alebo výnosov, ktoré majú výnimočný rozsah </w:t>
      </w:r>
    </w:p>
    <w:p w:rsidR="00645E5C" w:rsidRDefault="00645E5C" w:rsidP="00645E5C">
      <w:pPr>
        <w:spacing w:after="0"/>
        <w:jc w:val="both"/>
      </w:pPr>
    </w:p>
    <w:p w:rsidR="00A12218" w:rsidRDefault="00A12218" w:rsidP="00645E5C">
      <w:pPr>
        <w:spacing w:after="0"/>
        <w:jc w:val="both"/>
      </w:pPr>
      <w:r w:rsidRPr="00C77419">
        <w:t>Spoločnosti sa netýka.</w:t>
      </w:r>
    </w:p>
    <w:p w:rsidR="00645E5C" w:rsidRDefault="00645E5C" w:rsidP="00645E5C">
      <w:pPr>
        <w:spacing w:after="0"/>
        <w:jc w:val="both"/>
      </w:pPr>
    </w:p>
    <w:p w:rsidR="00333B4F" w:rsidRDefault="00F52F3B" w:rsidP="00D66472">
      <w:pPr>
        <w:jc w:val="both"/>
        <w:rPr>
          <w:rFonts w:ascii="Arial Narrow" w:hAnsi="Arial Narrow" w:cs="Arial Narrow"/>
          <w:b/>
          <w:bCs/>
          <w:sz w:val="28"/>
          <w:szCs w:val="28"/>
        </w:rPr>
      </w:pPr>
      <w:r w:rsidRPr="00F52F3B">
        <w:rPr>
          <w:rFonts w:ascii="Arial Narrow" w:hAnsi="Arial Narrow" w:cs="Arial Narrow"/>
          <w:b/>
          <w:bCs/>
          <w:sz w:val="28"/>
          <w:szCs w:val="28"/>
        </w:rPr>
        <w:t>E. Informácie o iných aktívach a iných pasívach</w:t>
      </w:r>
    </w:p>
    <w:p w:rsidR="00F52F3B" w:rsidRDefault="00F52F3B" w:rsidP="00D66472">
      <w:pPr>
        <w:jc w:val="both"/>
        <w:rPr>
          <w:b/>
        </w:rPr>
      </w:pPr>
      <w:r w:rsidRPr="00F52F3B">
        <w:rPr>
          <w:b/>
        </w:rPr>
        <w:t>a) Podmienený majetok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Default="00F52F3B" w:rsidP="00F52F3B">
      <w:pPr>
        <w:jc w:val="both"/>
        <w:rPr>
          <w:b/>
        </w:rPr>
      </w:pPr>
      <w:r>
        <w:rPr>
          <w:b/>
        </w:rPr>
        <w:t>b</w:t>
      </w:r>
      <w:r w:rsidRPr="00F52F3B">
        <w:rPr>
          <w:b/>
        </w:rPr>
        <w:t xml:space="preserve">) Podmienený </w:t>
      </w:r>
      <w:r>
        <w:rPr>
          <w:b/>
        </w:rPr>
        <w:t>záväzok</w:t>
      </w:r>
    </w:p>
    <w:p w:rsidR="00F52F3B" w:rsidRDefault="00F52F3B" w:rsidP="00F52F3B">
      <w:pPr>
        <w:jc w:val="both"/>
      </w:pPr>
      <w:r w:rsidRPr="00C77419">
        <w:t>Spoločnosti sa netýka.</w:t>
      </w:r>
    </w:p>
    <w:p w:rsidR="00F52F3B" w:rsidRPr="00F52F3B" w:rsidRDefault="00F52F3B" w:rsidP="005543E7">
      <w:pPr>
        <w:pStyle w:val="Default"/>
        <w:rPr>
          <w:rFonts w:asciiTheme="minorHAnsi" w:hAnsiTheme="minorHAnsi" w:cstheme="minorBidi"/>
          <w:b/>
          <w:color w:val="auto"/>
          <w:sz w:val="22"/>
          <w:szCs w:val="22"/>
        </w:rPr>
      </w:pP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lastRenderedPageBreak/>
        <w:t xml:space="preserve">c) 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O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>statn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finančn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é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 povinnost</w:t>
      </w:r>
      <w:r>
        <w:rPr>
          <w:rFonts w:asciiTheme="minorHAnsi" w:hAnsiTheme="minorHAnsi" w:cstheme="minorBidi"/>
          <w:b/>
          <w:color w:val="auto"/>
          <w:sz w:val="22"/>
          <w:szCs w:val="22"/>
        </w:rPr>
        <w:t>i</w:t>
      </w:r>
      <w:r w:rsidRPr="00F52F3B">
        <w:rPr>
          <w:rFonts w:asciiTheme="minorHAnsi" w:hAnsiTheme="minorHAnsi" w:cstheme="minorBidi"/>
          <w:b/>
          <w:color w:val="auto"/>
          <w:sz w:val="22"/>
          <w:szCs w:val="22"/>
        </w:rPr>
        <w:t xml:space="preserve">, ktoré sa nevykazujú v účtovných výkazoch </w:t>
      </w:r>
    </w:p>
    <w:p w:rsidR="005543E7" w:rsidRDefault="005543E7" w:rsidP="005543E7">
      <w:pPr>
        <w:spacing w:after="0"/>
        <w:jc w:val="both"/>
      </w:pPr>
    </w:p>
    <w:p w:rsidR="00F52F3B" w:rsidRDefault="00F52F3B" w:rsidP="005543E7">
      <w:pPr>
        <w:spacing w:after="0"/>
        <w:jc w:val="both"/>
      </w:pPr>
      <w:r w:rsidRPr="00C77419">
        <w:t>Spoločnosti sa netýka.</w:t>
      </w:r>
    </w:p>
    <w:p w:rsidR="005543E7" w:rsidRDefault="005543E7" w:rsidP="005543E7">
      <w:pPr>
        <w:spacing w:after="0"/>
        <w:jc w:val="both"/>
      </w:pPr>
    </w:p>
    <w:p w:rsidR="00AF2D4F" w:rsidRPr="00AF2D4F" w:rsidRDefault="00AF2D4F" w:rsidP="00AF2D4F">
      <w:pPr>
        <w:rPr>
          <w:b/>
        </w:rPr>
      </w:pPr>
      <w:r>
        <w:rPr>
          <w:b/>
        </w:rPr>
        <w:t xml:space="preserve">d) </w:t>
      </w:r>
      <w:r w:rsidRPr="00AF2D4F">
        <w:rPr>
          <w:b/>
        </w:rPr>
        <w:t>Informácie o údajoch na podsúvahových účtoch</w:t>
      </w:r>
    </w:p>
    <w:p w:rsidR="00AF2D4F" w:rsidRDefault="00AF2D4F" w:rsidP="00AF2D4F">
      <w:r>
        <w:t>Spoločnosti sa netýka.</w:t>
      </w:r>
    </w:p>
    <w:p w:rsidR="005543E7" w:rsidRDefault="005543E7" w:rsidP="00AF2D4F"/>
    <w:p w:rsidR="00D10291" w:rsidRPr="00C41EAA" w:rsidRDefault="00D10291" w:rsidP="00D1029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>. Informácie o skutočnostiach, ktoré nastali po dni, ku ktorému sa zostavuje účtovná závierka do dňa zostavenia účtovnej závierky</w:t>
      </w:r>
    </w:p>
    <w:p w:rsidR="005543E7" w:rsidRDefault="005543E7" w:rsidP="00D10291">
      <w:pPr>
        <w:spacing w:after="0" w:line="240" w:lineRule="auto"/>
        <w:jc w:val="both"/>
      </w:pPr>
    </w:p>
    <w:p w:rsidR="00AC5C5E" w:rsidRDefault="00AC5C5E" w:rsidP="00AC5C5E">
      <w:pPr>
        <w:spacing w:after="0" w:line="240" w:lineRule="auto"/>
        <w:jc w:val="both"/>
      </w:pPr>
      <w:r>
        <w:t xml:space="preserve">Zmena spoločníka k </w:t>
      </w:r>
      <w:r w:rsidR="002A7B48">
        <w:t>5</w:t>
      </w:r>
      <w:r>
        <w:t>.</w:t>
      </w:r>
      <w:r w:rsidR="002A7B48">
        <w:t>2</w:t>
      </w:r>
      <w:r>
        <w:t xml:space="preserve">.2016. Nový spoločník P.G. </w:t>
      </w:r>
      <w:proofErr w:type="spellStart"/>
      <w:r>
        <w:t>Polaris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, </w:t>
      </w:r>
      <w:proofErr w:type="spellStart"/>
      <w:r>
        <w:t>Vasilissis</w:t>
      </w:r>
      <w:proofErr w:type="spellEnd"/>
      <w:r>
        <w:t xml:space="preserve"> </w:t>
      </w:r>
      <w:proofErr w:type="spellStart"/>
      <w:r>
        <w:t>Freiderikis</w:t>
      </w:r>
      <w:proofErr w:type="spellEnd"/>
      <w:r>
        <w:t xml:space="preserve"> (</w:t>
      </w:r>
      <w:proofErr w:type="spellStart"/>
      <w:r>
        <w:t>Jacki</w:t>
      </w:r>
      <w:proofErr w:type="spellEnd"/>
      <w:r>
        <w:t xml:space="preserve"> </w:t>
      </w:r>
      <w:proofErr w:type="spellStart"/>
      <w:r>
        <w:t>Court</w:t>
      </w:r>
      <w:proofErr w:type="spellEnd"/>
      <w:r>
        <w:t xml:space="preserve">, 4th </w:t>
      </w:r>
      <w:proofErr w:type="spellStart"/>
      <w:r>
        <w:t>floor</w:t>
      </w:r>
      <w:proofErr w:type="spellEnd"/>
      <w:r>
        <w:t xml:space="preserve">, Office 402) 10, </w:t>
      </w:r>
      <w:proofErr w:type="spellStart"/>
      <w:r>
        <w:t>Nicosia</w:t>
      </w:r>
      <w:proofErr w:type="spellEnd"/>
      <w:r>
        <w:t xml:space="preserve"> 1066, Cyperská republika</w:t>
      </w:r>
    </w:p>
    <w:p w:rsidR="00AC5C5E" w:rsidRDefault="00AC5C5E" w:rsidP="00AC5C5E">
      <w:pPr>
        <w:spacing w:after="0" w:line="240" w:lineRule="auto"/>
        <w:jc w:val="both"/>
      </w:pPr>
    </w:p>
    <w:p w:rsidR="00CA2BD0" w:rsidRPr="00C41EAA" w:rsidRDefault="00CA2BD0" w:rsidP="00645E5C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F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. </w:t>
      </w:r>
      <w:r>
        <w:rPr>
          <w:rFonts w:ascii="Arial Narrow" w:hAnsi="Arial Narrow" w:cs="Arial Narrow"/>
          <w:b/>
          <w:bCs/>
          <w:sz w:val="28"/>
          <w:szCs w:val="28"/>
        </w:rPr>
        <w:t>Ostatné i</w:t>
      </w:r>
      <w:r w:rsidRPr="00C41EAA">
        <w:rPr>
          <w:rFonts w:ascii="Arial Narrow" w:hAnsi="Arial Narrow" w:cs="Arial Narrow"/>
          <w:b/>
          <w:bCs/>
          <w:sz w:val="28"/>
          <w:szCs w:val="28"/>
        </w:rPr>
        <w:t xml:space="preserve">nformácie </w:t>
      </w:r>
    </w:p>
    <w:p w:rsidR="005543E7" w:rsidRDefault="005543E7" w:rsidP="00645E5C">
      <w:pPr>
        <w:spacing w:after="0"/>
        <w:jc w:val="both"/>
      </w:pPr>
    </w:p>
    <w:p w:rsidR="00CA2BD0" w:rsidRPr="00F52F3B" w:rsidRDefault="00CA2BD0" w:rsidP="00645E5C">
      <w:pPr>
        <w:spacing w:after="0"/>
        <w:jc w:val="both"/>
        <w:rPr>
          <w:i/>
        </w:rPr>
      </w:pPr>
      <w:r>
        <w:t>Spoločnosti sa netýka.</w:t>
      </w:r>
      <w:bookmarkStart w:id="0" w:name="_GoBack"/>
      <w:bookmarkEnd w:id="0"/>
    </w:p>
    <w:sectPr w:rsidR="00CA2BD0" w:rsidRPr="00F52F3B" w:rsidSect="00B844C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227" w:rsidRDefault="00BA6227" w:rsidP="00B844CB">
      <w:pPr>
        <w:spacing w:after="0" w:line="240" w:lineRule="auto"/>
      </w:pPr>
      <w:r>
        <w:separator/>
      </w:r>
    </w:p>
  </w:endnote>
  <w:end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227" w:rsidRDefault="00BA6227" w:rsidP="00B844CB">
      <w:pPr>
        <w:spacing w:after="0" w:line="240" w:lineRule="auto"/>
      </w:pPr>
      <w:r>
        <w:separator/>
      </w:r>
    </w:p>
  </w:footnote>
  <w:footnote w:type="continuationSeparator" w:id="0">
    <w:p w:rsidR="00BA6227" w:rsidRDefault="00BA6227" w:rsidP="00B844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387687"/>
      <w:docPartObj>
        <w:docPartGallery w:val="Page Numbers (Top of Page)"/>
        <w:docPartUnique/>
      </w:docPartObj>
    </w:sdtPr>
    <w:sdtEndPr/>
    <w:sdtContent>
      <w:p w:rsidR="00BF6191" w:rsidRDefault="00BF6191" w:rsidP="00B844CB">
        <w:pPr>
          <w:pStyle w:val="Hlavika"/>
        </w:pPr>
        <w:r w:rsidRPr="00226E52">
          <w:t xml:space="preserve">Poznámky </w:t>
        </w:r>
        <w:proofErr w:type="spellStart"/>
        <w:r w:rsidRPr="00226E52">
          <w:t>Úč</w:t>
        </w:r>
        <w:proofErr w:type="spellEnd"/>
        <w:r w:rsidRPr="00226E52">
          <w:t xml:space="preserve"> POD</w:t>
        </w:r>
        <w:r>
          <w:t>V</w:t>
        </w:r>
        <w:r w:rsidRPr="00226E52">
          <w:t xml:space="preserve"> 3-01</w:t>
        </w:r>
        <w:r>
          <w:t xml:space="preserve">                                               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2A7B48">
          <w:rPr>
            <w:noProof/>
          </w:rPr>
          <w:t>5</w:t>
        </w:r>
        <w:r>
          <w:fldChar w:fldCharType="end"/>
        </w:r>
        <w:r>
          <w:t xml:space="preserve">                                                      IČO:</w:t>
        </w:r>
        <w:r w:rsidR="00402B60">
          <w:t xml:space="preserve"> </w:t>
        </w:r>
        <w:r w:rsidR="002A7B48" w:rsidRPr="002A7B48">
          <w:t>48265063</w:t>
        </w:r>
      </w:p>
      <w:p w:rsidR="00BF6191" w:rsidRDefault="00BF6191" w:rsidP="00B844CB">
        <w:pPr>
          <w:pStyle w:val="Hlavika"/>
        </w:pPr>
        <w:r>
          <w:t xml:space="preserve">                                                                                                                                                     DIČ: </w:t>
        </w:r>
        <w:r w:rsidR="002A7B48" w:rsidRPr="002A7B48">
          <w:t>2120127471</w:t>
        </w:r>
        <w:r>
          <w:t xml:space="preserve">     </w:t>
        </w:r>
      </w:p>
    </w:sdtContent>
  </w:sdt>
  <w:p w:rsidR="00BF6191" w:rsidRDefault="00BF619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7A06"/>
    <w:multiLevelType w:val="hybridMultilevel"/>
    <w:tmpl w:val="1E62FD26"/>
    <w:lvl w:ilvl="0" w:tplc="0BC2660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01A16"/>
    <w:multiLevelType w:val="hybridMultilevel"/>
    <w:tmpl w:val="8D7C3F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F45F2"/>
    <w:multiLevelType w:val="hybridMultilevel"/>
    <w:tmpl w:val="2DEC16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79770B"/>
    <w:multiLevelType w:val="hybridMultilevel"/>
    <w:tmpl w:val="C75A6F28"/>
    <w:lvl w:ilvl="0" w:tplc="A538C76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65130A"/>
    <w:multiLevelType w:val="hybridMultilevel"/>
    <w:tmpl w:val="F45C0AEA"/>
    <w:lvl w:ilvl="0" w:tplc="FC96913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F12DDF"/>
    <w:multiLevelType w:val="hybridMultilevel"/>
    <w:tmpl w:val="055260A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0D3176"/>
    <w:multiLevelType w:val="hybridMultilevel"/>
    <w:tmpl w:val="0DC232A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50A430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0B41B2"/>
    <w:multiLevelType w:val="hybridMultilevel"/>
    <w:tmpl w:val="163EBCC6"/>
    <w:lvl w:ilvl="0" w:tplc="51942AA6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BC0B83"/>
    <w:multiLevelType w:val="hybridMultilevel"/>
    <w:tmpl w:val="C0762A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25F69"/>
    <w:multiLevelType w:val="hybridMultilevel"/>
    <w:tmpl w:val="9A7CECCE"/>
    <w:lvl w:ilvl="0" w:tplc="D6D68A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1C7DFF"/>
    <w:multiLevelType w:val="hybridMultilevel"/>
    <w:tmpl w:val="7C9E2F8C"/>
    <w:lvl w:ilvl="0" w:tplc="9E687A5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993276"/>
    <w:multiLevelType w:val="hybridMultilevel"/>
    <w:tmpl w:val="C36EEFC4"/>
    <w:lvl w:ilvl="0" w:tplc="CC72A4F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3350AB"/>
    <w:multiLevelType w:val="hybridMultilevel"/>
    <w:tmpl w:val="3D5EC7DE"/>
    <w:lvl w:ilvl="0" w:tplc="78F6D6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FA1BE5"/>
    <w:multiLevelType w:val="hybridMultilevel"/>
    <w:tmpl w:val="C59A24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3E172C"/>
    <w:multiLevelType w:val="hybridMultilevel"/>
    <w:tmpl w:val="9D4AA95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746AE2"/>
    <w:multiLevelType w:val="hybridMultilevel"/>
    <w:tmpl w:val="46382776"/>
    <w:lvl w:ilvl="0" w:tplc="2A08DBC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776AF4"/>
    <w:multiLevelType w:val="hybridMultilevel"/>
    <w:tmpl w:val="BAD8A852"/>
    <w:lvl w:ilvl="0" w:tplc="E71E1E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4"/>
  </w:num>
  <w:num w:numId="5">
    <w:abstractNumId w:val="11"/>
  </w:num>
  <w:num w:numId="6">
    <w:abstractNumId w:val="0"/>
  </w:num>
  <w:num w:numId="7">
    <w:abstractNumId w:val="13"/>
  </w:num>
  <w:num w:numId="8">
    <w:abstractNumId w:val="10"/>
  </w:num>
  <w:num w:numId="9">
    <w:abstractNumId w:val="17"/>
  </w:num>
  <w:num w:numId="10">
    <w:abstractNumId w:val="3"/>
  </w:num>
  <w:num w:numId="11">
    <w:abstractNumId w:val="14"/>
  </w:num>
  <w:num w:numId="12">
    <w:abstractNumId w:val="9"/>
  </w:num>
  <w:num w:numId="13">
    <w:abstractNumId w:val="15"/>
  </w:num>
  <w:num w:numId="14">
    <w:abstractNumId w:val="8"/>
  </w:num>
  <w:num w:numId="15">
    <w:abstractNumId w:val="6"/>
  </w:num>
  <w:num w:numId="16">
    <w:abstractNumId w:val="5"/>
  </w:num>
  <w:num w:numId="17">
    <w:abstractNumId w:val="12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949"/>
    <w:rsid w:val="00000889"/>
    <w:rsid w:val="00015448"/>
    <w:rsid w:val="00042326"/>
    <w:rsid w:val="000D7D8E"/>
    <w:rsid w:val="000F6A8D"/>
    <w:rsid w:val="00133949"/>
    <w:rsid w:val="00150BD5"/>
    <w:rsid w:val="002163ED"/>
    <w:rsid w:val="002444C0"/>
    <w:rsid w:val="00270B6E"/>
    <w:rsid w:val="00291AC2"/>
    <w:rsid w:val="002A7B48"/>
    <w:rsid w:val="002D23B3"/>
    <w:rsid w:val="00314CAA"/>
    <w:rsid w:val="00333B4F"/>
    <w:rsid w:val="00362A40"/>
    <w:rsid w:val="003812AD"/>
    <w:rsid w:val="00402B60"/>
    <w:rsid w:val="00435911"/>
    <w:rsid w:val="00457158"/>
    <w:rsid w:val="00463C99"/>
    <w:rsid w:val="00474BE1"/>
    <w:rsid w:val="004928D6"/>
    <w:rsid w:val="00494CA0"/>
    <w:rsid w:val="004A26E7"/>
    <w:rsid w:val="004A3E86"/>
    <w:rsid w:val="004D21D6"/>
    <w:rsid w:val="005343D0"/>
    <w:rsid w:val="005543E7"/>
    <w:rsid w:val="005C79B9"/>
    <w:rsid w:val="005D48BF"/>
    <w:rsid w:val="005E27CA"/>
    <w:rsid w:val="005F0432"/>
    <w:rsid w:val="005F6BF8"/>
    <w:rsid w:val="00645E5C"/>
    <w:rsid w:val="00674561"/>
    <w:rsid w:val="006C1FD8"/>
    <w:rsid w:val="006D77B8"/>
    <w:rsid w:val="00721185"/>
    <w:rsid w:val="0073034F"/>
    <w:rsid w:val="007315C8"/>
    <w:rsid w:val="007349F3"/>
    <w:rsid w:val="007370F0"/>
    <w:rsid w:val="00773E0A"/>
    <w:rsid w:val="00782BDB"/>
    <w:rsid w:val="007C09E3"/>
    <w:rsid w:val="007D67A6"/>
    <w:rsid w:val="007F5333"/>
    <w:rsid w:val="00824216"/>
    <w:rsid w:val="00867493"/>
    <w:rsid w:val="008743F4"/>
    <w:rsid w:val="008748F7"/>
    <w:rsid w:val="0088732B"/>
    <w:rsid w:val="008A3456"/>
    <w:rsid w:val="008D1A5E"/>
    <w:rsid w:val="008D2B18"/>
    <w:rsid w:val="008D5269"/>
    <w:rsid w:val="008D70B3"/>
    <w:rsid w:val="00907CE7"/>
    <w:rsid w:val="009277D9"/>
    <w:rsid w:val="00940800"/>
    <w:rsid w:val="009D195A"/>
    <w:rsid w:val="00A12218"/>
    <w:rsid w:val="00A20BD4"/>
    <w:rsid w:val="00A53ABA"/>
    <w:rsid w:val="00A53F90"/>
    <w:rsid w:val="00A72DF6"/>
    <w:rsid w:val="00A964B7"/>
    <w:rsid w:val="00AC5C5E"/>
    <w:rsid w:val="00AF02DC"/>
    <w:rsid w:val="00AF2D4F"/>
    <w:rsid w:val="00AF68C4"/>
    <w:rsid w:val="00B10C60"/>
    <w:rsid w:val="00B17411"/>
    <w:rsid w:val="00B46715"/>
    <w:rsid w:val="00B64672"/>
    <w:rsid w:val="00B76A2A"/>
    <w:rsid w:val="00B829CB"/>
    <w:rsid w:val="00B844CB"/>
    <w:rsid w:val="00B9637D"/>
    <w:rsid w:val="00BA3971"/>
    <w:rsid w:val="00BA6227"/>
    <w:rsid w:val="00BA6764"/>
    <w:rsid w:val="00BB301E"/>
    <w:rsid w:val="00BF4ED5"/>
    <w:rsid w:val="00BF6191"/>
    <w:rsid w:val="00C064A2"/>
    <w:rsid w:val="00C41EAA"/>
    <w:rsid w:val="00C53988"/>
    <w:rsid w:val="00C77419"/>
    <w:rsid w:val="00C817D2"/>
    <w:rsid w:val="00CA2BD0"/>
    <w:rsid w:val="00CB44A8"/>
    <w:rsid w:val="00D10291"/>
    <w:rsid w:val="00D371A5"/>
    <w:rsid w:val="00D66472"/>
    <w:rsid w:val="00D87FBC"/>
    <w:rsid w:val="00DB2821"/>
    <w:rsid w:val="00DE0A88"/>
    <w:rsid w:val="00E7461D"/>
    <w:rsid w:val="00E86B9D"/>
    <w:rsid w:val="00E876FC"/>
    <w:rsid w:val="00EA1F49"/>
    <w:rsid w:val="00EB064F"/>
    <w:rsid w:val="00ED16EA"/>
    <w:rsid w:val="00F1794B"/>
    <w:rsid w:val="00F44566"/>
    <w:rsid w:val="00F52F3B"/>
    <w:rsid w:val="00F8507F"/>
    <w:rsid w:val="00F920FD"/>
    <w:rsid w:val="00FC4CC7"/>
    <w:rsid w:val="00FE5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844CB"/>
  </w:style>
  <w:style w:type="paragraph" w:styleId="Pta">
    <w:name w:val="footer"/>
    <w:basedOn w:val="Normlny"/>
    <w:link w:val="PtaChar"/>
    <w:uiPriority w:val="99"/>
    <w:unhideWhenUsed/>
    <w:rsid w:val="00B844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844CB"/>
  </w:style>
  <w:style w:type="paragraph" w:styleId="Odsekzoznamu">
    <w:name w:val="List Paragraph"/>
    <w:basedOn w:val="Normlny"/>
    <w:uiPriority w:val="34"/>
    <w:qFormat/>
    <w:rsid w:val="0073034F"/>
    <w:pPr>
      <w:ind w:left="720"/>
      <w:contextualSpacing/>
    </w:pPr>
  </w:style>
  <w:style w:type="paragraph" w:styleId="Nzov">
    <w:name w:val="Title"/>
    <w:basedOn w:val="Normlny"/>
    <w:next w:val="Normlny"/>
    <w:link w:val="NzovChar"/>
    <w:uiPriority w:val="99"/>
    <w:qFormat/>
    <w:rsid w:val="0073034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73034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73034F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A72DF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402B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0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90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7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1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39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87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7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5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0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7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7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36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2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91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8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1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9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26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64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806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0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03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9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129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07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43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1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20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268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5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979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664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68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438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12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01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973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19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24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02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41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65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918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73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6283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232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0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6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70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57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30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95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17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75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8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42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34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06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9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824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5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58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77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45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3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250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610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7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916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97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9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484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025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671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058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39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5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37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48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23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84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93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574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5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7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34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690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3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9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6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8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0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9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22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8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36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97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9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9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45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4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4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36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1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21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1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24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6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0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1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1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56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3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15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85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3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79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4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330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23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2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72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4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63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59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22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975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5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83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11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7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0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12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47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42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2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4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5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8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42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04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69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5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60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38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4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82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6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0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9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5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2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47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21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8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44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58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25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0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5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42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1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1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07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57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3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36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84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86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0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2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1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2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24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00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0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1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85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1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5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79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16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1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63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65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0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8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75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38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80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3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7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74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1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0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18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22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12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99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96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3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2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83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5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1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19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9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5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30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05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8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396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4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25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8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3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79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99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7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07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5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3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8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94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4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4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65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3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57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2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59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72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1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1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63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42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0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3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8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4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2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6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28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8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66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2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36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4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7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22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44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04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7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748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0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66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60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02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77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47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550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08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0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24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9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3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69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7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406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1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38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6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40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549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3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81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5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4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3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7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899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25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4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7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12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27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87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98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5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37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3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63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57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1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0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84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8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4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59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5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8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1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8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2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55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04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71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01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5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24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31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5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01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0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16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06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92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77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72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37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6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9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62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8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8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1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5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3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1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8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1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9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6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9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75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85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35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14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8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353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36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7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61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9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1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6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8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93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0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83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43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65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1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76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7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5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1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2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72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499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78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19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478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13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72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02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3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8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02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88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98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01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4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1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39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080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743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119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4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62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0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33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4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779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4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29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38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12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06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21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82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4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105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26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87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490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33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43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5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19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77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989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06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8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6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587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4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167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6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77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86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39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48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77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59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841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8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3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47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8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15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2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66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9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90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4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49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1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923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17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5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53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0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7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8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6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005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08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3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248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496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462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463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31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9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1081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70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2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56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0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0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75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876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129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75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9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8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07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291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510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84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53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69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67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2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13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1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57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52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757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45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389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27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62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1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70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43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12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373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96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2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37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550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7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3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676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69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052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25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04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44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1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12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93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44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069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24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35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8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4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6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39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07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35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0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62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11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409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60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1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5</Pages>
  <Words>1060</Words>
  <Characters>6047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 Pristaš</dc:creator>
  <cp:lastModifiedBy>Mikuláš Šefčík</cp:lastModifiedBy>
  <cp:revision>89</cp:revision>
  <dcterms:created xsi:type="dcterms:W3CDTF">2016-03-03T12:03:00Z</dcterms:created>
  <dcterms:modified xsi:type="dcterms:W3CDTF">2016-03-24T12:13:00Z</dcterms:modified>
</cp:coreProperties>
</file>