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14E" w:rsidRPr="00234261" w:rsidRDefault="0015414E" w:rsidP="006B1170">
      <w:pPr>
        <w:jc w:val="center"/>
        <w:rPr>
          <w:color w:val="00B050"/>
        </w:rPr>
      </w:pPr>
    </w:p>
    <w:p w:rsidR="006B1170" w:rsidRPr="00234261" w:rsidRDefault="006B1170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  <w:r w:rsidRPr="00234261">
        <w:rPr>
          <w:b/>
          <w:i/>
          <w:color w:val="00B050"/>
          <w:sz w:val="24"/>
          <w:szCs w:val="24"/>
        </w:rPr>
        <w:t>Čl. I</w:t>
      </w:r>
    </w:p>
    <w:p w:rsidR="006B1170" w:rsidRPr="00234261" w:rsidRDefault="006B1170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  <w:r w:rsidRPr="00234261">
        <w:rPr>
          <w:b/>
          <w:i/>
          <w:color w:val="00B050"/>
          <w:sz w:val="24"/>
          <w:szCs w:val="24"/>
        </w:rPr>
        <w:t>Všeobecné údaje</w:t>
      </w:r>
    </w:p>
    <w:p w:rsidR="00234261" w:rsidRPr="00234261" w:rsidRDefault="00234261" w:rsidP="00234261">
      <w:pPr>
        <w:pStyle w:val="Bezriadkovania"/>
        <w:jc w:val="center"/>
        <w:rPr>
          <w:color w:val="00B050"/>
          <w:sz w:val="24"/>
          <w:szCs w:val="24"/>
        </w:rPr>
      </w:pPr>
    </w:p>
    <w:p w:rsidR="006B1170" w:rsidRPr="00234261" w:rsidRDefault="006B1170" w:rsidP="00234261">
      <w:pPr>
        <w:pStyle w:val="Bezriadkovania"/>
        <w:jc w:val="center"/>
        <w:rPr>
          <w:sz w:val="24"/>
          <w:szCs w:val="24"/>
        </w:rPr>
      </w:pPr>
    </w:p>
    <w:p w:rsidR="006B1170" w:rsidRPr="00234261" w:rsidRDefault="006B1170" w:rsidP="006B1170">
      <w:pPr>
        <w:pStyle w:val="Odsekzoznamu"/>
        <w:numPr>
          <w:ilvl w:val="0"/>
          <w:numId w:val="1"/>
        </w:numPr>
        <w:rPr>
          <w:b/>
          <w:color w:val="17365D" w:themeColor="text2" w:themeShade="BF"/>
          <w:sz w:val="24"/>
          <w:szCs w:val="24"/>
        </w:rPr>
      </w:pPr>
      <w:r w:rsidRPr="006B1170">
        <w:rPr>
          <w:b/>
          <w:sz w:val="24"/>
          <w:szCs w:val="24"/>
        </w:rPr>
        <w:t xml:space="preserve">Názov </w:t>
      </w:r>
      <w:r w:rsidR="00234261">
        <w:rPr>
          <w:b/>
          <w:sz w:val="24"/>
          <w:szCs w:val="24"/>
        </w:rPr>
        <w:t xml:space="preserve">a sídlo </w:t>
      </w:r>
      <w:r w:rsidRPr="006B1170">
        <w:rPr>
          <w:b/>
          <w:sz w:val="24"/>
          <w:szCs w:val="24"/>
        </w:rPr>
        <w:t>právnickej osoby:</w:t>
      </w:r>
      <w:r w:rsidRPr="006B1170">
        <w:rPr>
          <w:sz w:val="24"/>
          <w:szCs w:val="24"/>
        </w:rPr>
        <w:tab/>
      </w:r>
      <w:r w:rsidRPr="006B1170">
        <w:rPr>
          <w:sz w:val="24"/>
          <w:szCs w:val="24"/>
        </w:rPr>
        <w:tab/>
      </w:r>
      <w:proofErr w:type="spellStart"/>
      <w:r w:rsidRPr="00234261">
        <w:rPr>
          <w:b/>
          <w:color w:val="17365D" w:themeColor="text2" w:themeShade="BF"/>
          <w:sz w:val="24"/>
          <w:szCs w:val="24"/>
        </w:rPr>
        <w:t>NeverHood</w:t>
      </w:r>
      <w:proofErr w:type="spellEnd"/>
      <w:r w:rsidRPr="00234261">
        <w:rPr>
          <w:b/>
          <w:color w:val="17365D" w:themeColor="text2" w:themeShade="BF"/>
          <w:sz w:val="24"/>
          <w:szCs w:val="24"/>
        </w:rPr>
        <w:t>, s. r. o.</w:t>
      </w:r>
    </w:p>
    <w:p w:rsidR="006B1170" w:rsidRPr="00234261" w:rsidRDefault="00234261" w:rsidP="006B1170">
      <w:pPr>
        <w:pStyle w:val="Odsekzoznamu"/>
        <w:ind w:left="3540"/>
        <w:jc w:val="both"/>
        <w:rPr>
          <w:b/>
          <w:color w:val="17365D" w:themeColor="text2" w:themeShade="BF"/>
          <w:sz w:val="24"/>
          <w:szCs w:val="24"/>
        </w:rPr>
      </w:pPr>
      <w:r w:rsidRPr="00234261">
        <w:rPr>
          <w:b/>
          <w:color w:val="17365D" w:themeColor="text2" w:themeShade="BF"/>
          <w:sz w:val="24"/>
          <w:szCs w:val="24"/>
        </w:rPr>
        <w:t xml:space="preserve">            </w:t>
      </w:r>
      <w:r w:rsidR="006B1170" w:rsidRPr="00234261">
        <w:rPr>
          <w:b/>
          <w:color w:val="17365D" w:themeColor="text2" w:themeShade="BF"/>
          <w:sz w:val="24"/>
          <w:szCs w:val="24"/>
        </w:rPr>
        <w:t>Záhradnícka 207, 059 91  Veľký Slavkov</w:t>
      </w:r>
    </w:p>
    <w:p w:rsidR="006B1170" w:rsidRDefault="006B1170" w:rsidP="006B1170">
      <w:pPr>
        <w:pStyle w:val="Odsekzoznamu"/>
        <w:ind w:left="3540"/>
        <w:jc w:val="both"/>
        <w:rPr>
          <w:color w:val="17365D" w:themeColor="text2" w:themeShade="BF"/>
          <w:sz w:val="24"/>
          <w:szCs w:val="24"/>
        </w:rPr>
      </w:pPr>
    </w:p>
    <w:p w:rsidR="006B1170" w:rsidRDefault="006B1170" w:rsidP="006B1170">
      <w:pPr>
        <w:pStyle w:val="Odsekzoznamu"/>
        <w:numPr>
          <w:ilvl w:val="0"/>
          <w:numId w:val="1"/>
        </w:numPr>
        <w:jc w:val="both"/>
        <w:rPr>
          <w:b/>
          <w:color w:val="000000" w:themeColor="text1"/>
          <w:sz w:val="24"/>
          <w:szCs w:val="24"/>
        </w:rPr>
      </w:pPr>
      <w:r w:rsidRPr="006B1170">
        <w:rPr>
          <w:b/>
          <w:color w:val="000000" w:themeColor="text1"/>
          <w:sz w:val="24"/>
          <w:szCs w:val="24"/>
        </w:rPr>
        <w:t>Informácie o konsolidovanom celku, ak je účtovná jednotka jeho súča</w:t>
      </w:r>
      <w:r>
        <w:rPr>
          <w:b/>
          <w:color w:val="000000" w:themeColor="text1"/>
          <w:sz w:val="24"/>
          <w:szCs w:val="24"/>
        </w:rPr>
        <w:t>s</w:t>
      </w:r>
      <w:r w:rsidRPr="006B1170">
        <w:rPr>
          <w:b/>
          <w:color w:val="000000" w:themeColor="text1"/>
          <w:sz w:val="24"/>
          <w:szCs w:val="24"/>
        </w:rPr>
        <w:t>ťou:</w:t>
      </w:r>
    </w:p>
    <w:p w:rsidR="006B1170" w:rsidRDefault="00234261" w:rsidP="00234261">
      <w:pPr>
        <w:ind w:firstLine="36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2.a) Účtovná jednotka </w:t>
      </w:r>
      <w:r w:rsidRPr="00234261">
        <w:rPr>
          <w:color w:val="000000" w:themeColor="text1"/>
          <w:sz w:val="24"/>
          <w:szCs w:val="24"/>
        </w:rPr>
        <w:t>nie je súčasťou konsolidovaného celku.</w:t>
      </w:r>
    </w:p>
    <w:p w:rsidR="00234261" w:rsidRDefault="00234261" w:rsidP="00234261">
      <w:pPr>
        <w:ind w:firstLine="36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2.b) Účtovná jednotka nie je materskou účtovnou jednotkou inej spoločnosti.</w:t>
      </w:r>
    </w:p>
    <w:p w:rsidR="00234261" w:rsidRPr="00234261" w:rsidRDefault="00234261" w:rsidP="00234261">
      <w:pPr>
        <w:pStyle w:val="Odsekzoznamu"/>
        <w:numPr>
          <w:ilvl w:val="0"/>
          <w:numId w:val="1"/>
        </w:numPr>
        <w:jc w:val="both"/>
        <w:rPr>
          <w:b/>
          <w:color w:val="000000" w:themeColor="text1"/>
          <w:sz w:val="24"/>
          <w:szCs w:val="24"/>
        </w:rPr>
      </w:pPr>
      <w:r w:rsidRPr="00234261">
        <w:rPr>
          <w:b/>
          <w:color w:val="000000" w:themeColor="text1"/>
          <w:sz w:val="24"/>
          <w:szCs w:val="24"/>
        </w:rPr>
        <w:t>Informácie o počte zamestnancov:</w:t>
      </w:r>
    </w:p>
    <w:p w:rsidR="00234261" w:rsidRPr="00234261" w:rsidRDefault="00234261" w:rsidP="00234261">
      <w:pPr>
        <w:pStyle w:val="Odsekzoznamu"/>
        <w:ind w:left="36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Účtovná jednotka nemá zamestnancov.</w:t>
      </w:r>
    </w:p>
    <w:p w:rsidR="00234261" w:rsidRDefault="00234261" w:rsidP="00234261">
      <w:pPr>
        <w:ind w:left="360"/>
        <w:jc w:val="both"/>
        <w:rPr>
          <w:color w:val="000000" w:themeColor="text1"/>
          <w:sz w:val="24"/>
          <w:szCs w:val="24"/>
        </w:rPr>
      </w:pPr>
    </w:p>
    <w:p w:rsidR="00234261" w:rsidRPr="00234261" w:rsidRDefault="00234261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  <w:r w:rsidRPr="00234261">
        <w:rPr>
          <w:b/>
          <w:i/>
          <w:color w:val="00B050"/>
          <w:sz w:val="24"/>
          <w:szCs w:val="24"/>
        </w:rPr>
        <w:t>Čl. II</w:t>
      </w:r>
    </w:p>
    <w:p w:rsidR="00234261" w:rsidRDefault="00234261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  <w:r w:rsidRPr="00234261">
        <w:rPr>
          <w:b/>
          <w:i/>
          <w:color w:val="00B050"/>
          <w:sz w:val="24"/>
          <w:szCs w:val="24"/>
        </w:rPr>
        <w:t>Informácie o prijatých postupoch</w:t>
      </w:r>
    </w:p>
    <w:p w:rsidR="00234261" w:rsidRDefault="00234261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</w:p>
    <w:p w:rsidR="00234261" w:rsidRDefault="00234261" w:rsidP="00234261">
      <w:pPr>
        <w:pStyle w:val="Bezriadkovania"/>
        <w:jc w:val="center"/>
        <w:rPr>
          <w:b/>
          <w:i/>
          <w:color w:val="00B050"/>
          <w:sz w:val="24"/>
          <w:szCs w:val="24"/>
        </w:rPr>
      </w:pPr>
    </w:p>
    <w:p w:rsidR="00234261" w:rsidRDefault="00234261" w:rsidP="00234261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234261">
        <w:rPr>
          <w:b/>
          <w:sz w:val="24"/>
          <w:szCs w:val="24"/>
        </w:rPr>
        <w:t>Účtovná jednotka bude nepretržite pokračovať vo svojej činnosti:</w:t>
      </w:r>
    </w:p>
    <w:p w:rsidR="00126360" w:rsidRPr="00AD41D4" w:rsidRDefault="00126360" w:rsidP="00126360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AD41D4">
        <w:rPr>
          <w:color w:val="17365D" w:themeColor="text2" w:themeShade="BF"/>
          <w:sz w:val="24"/>
          <w:szCs w:val="24"/>
        </w:rPr>
        <w:t>áno</w:t>
      </w:r>
    </w:p>
    <w:p w:rsidR="00126360" w:rsidRPr="00AD41D4" w:rsidRDefault="00126360" w:rsidP="00126360">
      <w:pPr>
        <w:pStyle w:val="Bezriadkovania"/>
        <w:rPr>
          <w:b/>
          <w:color w:val="17365D" w:themeColor="text2" w:themeShade="BF"/>
          <w:sz w:val="24"/>
          <w:szCs w:val="24"/>
        </w:rPr>
      </w:pPr>
    </w:p>
    <w:p w:rsidR="00234261" w:rsidRDefault="00126360" w:rsidP="00126360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Spôsob oceňovania jednotlivých zložiek majetku a záväzkov:</w:t>
      </w:r>
    </w:p>
    <w:p w:rsidR="00126360" w:rsidRDefault="00126360" w:rsidP="00126360">
      <w:pPr>
        <w:pStyle w:val="Bezriadkovania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204"/>
        <w:gridCol w:w="2744"/>
        <w:gridCol w:w="2978"/>
      </w:tblGrid>
      <w:tr w:rsidR="00126360" w:rsidTr="00AD41D4">
        <w:tc>
          <w:tcPr>
            <w:tcW w:w="3204" w:type="dxa"/>
          </w:tcPr>
          <w:p w:rsidR="00126360" w:rsidRDefault="00126360" w:rsidP="0012636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majetku/záväzkov</w:t>
            </w:r>
          </w:p>
        </w:tc>
        <w:tc>
          <w:tcPr>
            <w:tcW w:w="2744" w:type="dxa"/>
          </w:tcPr>
          <w:p w:rsidR="00126360" w:rsidRDefault="00126360" w:rsidP="0012636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  <w:tc>
          <w:tcPr>
            <w:tcW w:w="2978" w:type="dxa"/>
          </w:tcPr>
          <w:p w:rsidR="00126360" w:rsidRDefault="00126360" w:rsidP="00126360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spojené s obstaraním</w:t>
            </w:r>
          </w:p>
        </w:tc>
      </w:tr>
      <w:tr w:rsidR="00126360" w:rsidRPr="00126360" w:rsidTr="00AD41D4">
        <w:tc>
          <w:tcPr>
            <w:tcW w:w="3204" w:type="dxa"/>
          </w:tcPr>
          <w:p w:rsidR="00126360" w:rsidRPr="00126360" w:rsidRDefault="00126360" w:rsidP="00126360">
            <w:pPr>
              <w:pStyle w:val="Bezriadkovania"/>
              <w:rPr>
                <w:sz w:val="24"/>
                <w:szCs w:val="24"/>
              </w:rPr>
            </w:pPr>
            <w:r w:rsidRPr="00126360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744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978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126360" w:rsidRPr="00126360" w:rsidTr="00AD41D4">
        <w:tc>
          <w:tcPr>
            <w:tcW w:w="3204" w:type="dxa"/>
          </w:tcPr>
          <w:p w:rsidR="00126360" w:rsidRPr="00126360" w:rsidRDefault="00126360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744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978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126360" w:rsidRPr="00126360" w:rsidTr="00AD41D4">
        <w:tc>
          <w:tcPr>
            <w:tcW w:w="3204" w:type="dxa"/>
          </w:tcPr>
          <w:p w:rsidR="00126360" w:rsidRPr="00126360" w:rsidRDefault="00126360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744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978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126360" w:rsidRPr="00126360" w:rsidTr="00AD41D4">
        <w:tc>
          <w:tcPr>
            <w:tcW w:w="3204" w:type="dxa"/>
          </w:tcPr>
          <w:p w:rsidR="00126360" w:rsidRPr="00126360" w:rsidRDefault="00126360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2744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AD41D4">
              <w:rPr>
                <w:color w:val="17365D" w:themeColor="text2" w:themeShade="BF"/>
                <w:sz w:val="24"/>
                <w:szCs w:val="24"/>
              </w:rPr>
              <w:t>obstarávacia cena</w:t>
            </w:r>
          </w:p>
        </w:tc>
        <w:tc>
          <w:tcPr>
            <w:tcW w:w="2978" w:type="dxa"/>
          </w:tcPr>
          <w:p w:rsidR="00126360" w:rsidRPr="00AD41D4" w:rsidRDefault="00D95DF7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>
              <w:rPr>
                <w:color w:val="17365D" w:themeColor="text2" w:themeShade="BF"/>
                <w:sz w:val="24"/>
                <w:szCs w:val="24"/>
              </w:rPr>
              <w:t>á</w:t>
            </w:r>
            <w:r w:rsidR="00126360" w:rsidRPr="00AD41D4">
              <w:rPr>
                <w:color w:val="17365D" w:themeColor="text2" w:themeShade="BF"/>
                <w:sz w:val="24"/>
                <w:szCs w:val="24"/>
              </w:rPr>
              <w:t>no</w:t>
            </w:r>
          </w:p>
        </w:tc>
      </w:tr>
      <w:tr w:rsidR="00126360" w:rsidRPr="00126360" w:rsidTr="00AD41D4">
        <w:tc>
          <w:tcPr>
            <w:tcW w:w="3204" w:type="dxa"/>
          </w:tcPr>
          <w:p w:rsidR="00126360" w:rsidRPr="00126360" w:rsidRDefault="00126360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vlastnou činnosťou</w:t>
            </w:r>
          </w:p>
        </w:tc>
        <w:tc>
          <w:tcPr>
            <w:tcW w:w="2744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978" w:type="dxa"/>
          </w:tcPr>
          <w:p w:rsidR="00126360" w:rsidRPr="00AD41D4" w:rsidRDefault="00126360" w:rsidP="00126360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AD41D4" w:rsidTr="00AD41D4">
        <w:tc>
          <w:tcPr>
            <w:tcW w:w="3204" w:type="dxa"/>
          </w:tcPr>
          <w:p w:rsidR="00AD41D4" w:rsidRDefault="00AD41D4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2744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AD41D4">
              <w:rPr>
                <w:color w:val="17365D" w:themeColor="text2" w:themeShade="BF"/>
                <w:sz w:val="24"/>
                <w:szCs w:val="24"/>
              </w:rPr>
              <w:t>menovitá hodnota</w:t>
            </w:r>
          </w:p>
        </w:tc>
        <w:tc>
          <w:tcPr>
            <w:tcW w:w="2978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AD41D4" w:rsidTr="00AD41D4">
        <w:tc>
          <w:tcPr>
            <w:tcW w:w="3204" w:type="dxa"/>
          </w:tcPr>
          <w:p w:rsidR="00AD41D4" w:rsidRDefault="00AD41D4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2744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AD41D4">
              <w:rPr>
                <w:color w:val="17365D" w:themeColor="text2" w:themeShade="BF"/>
                <w:sz w:val="24"/>
                <w:szCs w:val="24"/>
              </w:rPr>
              <w:t>obstarávacia cena</w:t>
            </w:r>
          </w:p>
        </w:tc>
        <w:tc>
          <w:tcPr>
            <w:tcW w:w="2978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AD41D4" w:rsidTr="00AD41D4">
        <w:tc>
          <w:tcPr>
            <w:tcW w:w="3204" w:type="dxa"/>
          </w:tcPr>
          <w:p w:rsidR="00AD41D4" w:rsidRDefault="00AD41D4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rezerv, dlhopisov, pôžičiek ...</w:t>
            </w:r>
          </w:p>
        </w:tc>
        <w:tc>
          <w:tcPr>
            <w:tcW w:w="2744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AD41D4">
              <w:rPr>
                <w:color w:val="17365D" w:themeColor="text2" w:themeShade="BF"/>
                <w:sz w:val="24"/>
                <w:szCs w:val="24"/>
              </w:rPr>
              <w:t>menovitá hodnota</w:t>
            </w:r>
          </w:p>
        </w:tc>
        <w:tc>
          <w:tcPr>
            <w:tcW w:w="2978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</w:tr>
      <w:tr w:rsidR="00AD41D4" w:rsidTr="00AD41D4">
        <w:tc>
          <w:tcPr>
            <w:tcW w:w="3204" w:type="dxa"/>
          </w:tcPr>
          <w:p w:rsidR="00AD41D4" w:rsidRDefault="00AD41D4" w:rsidP="0012636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2744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proofErr w:type="spellStart"/>
            <w:r w:rsidRPr="00AD41D4">
              <w:rPr>
                <w:color w:val="17365D" w:themeColor="text2" w:themeShade="BF"/>
                <w:sz w:val="24"/>
                <w:szCs w:val="24"/>
              </w:rPr>
              <w:t>xxx</w:t>
            </w:r>
            <w:proofErr w:type="spellEnd"/>
          </w:p>
        </w:tc>
        <w:tc>
          <w:tcPr>
            <w:tcW w:w="2978" w:type="dxa"/>
          </w:tcPr>
          <w:p w:rsidR="00AD41D4" w:rsidRPr="00AD41D4" w:rsidRDefault="00AD41D4" w:rsidP="00AD41D4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</w:tr>
    </w:tbl>
    <w:p w:rsidR="00126360" w:rsidRDefault="00126360" w:rsidP="00126360">
      <w:pPr>
        <w:pStyle w:val="Bezriadkovania"/>
        <w:ind w:left="360"/>
        <w:rPr>
          <w:sz w:val="24"/>
          <w:szCs w:val="24"/>
        </w:rPr>
      </w:pPr>
    </w:p>
    <w:p w:rsidR="00AD41D4" w:rsidRDefault="00AD41D4" w:rsidP="00126360">
      <w:pPr>
        <w:pStyle w:val="Bezriadkovania"/>
        <w:ind w:left="360"/>
        <w:rPr>
          <w:sz w:val="24"/>
          <w:szCs w:val="24"/>
        </w:rPr>
      </w:pPr>
    </w:p>
    <w:p w:rsidR="00AD41D4" w:rsidRDefault="00AD41D4" w:rsidP="00126360">
      <w:pPr>
        <w:pStyle w:val="Bezriadkovania"/>
        <w:ind w:left="360"/>
        <w:rPr>
          <w:sz w:val="24"/>
          <w:szCs w:val="24"/>
        </w:rPr>
      </w:pPr>
    </w:p>
    <w:p w:rsidR="00AD41D4" w:rsidRDefault="00AD41D4" w:rsidP="00AD41D4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AD41D4">
        <w:rPr>
          <w:b/>
          <w:sz w:val="24"/>
          <w:szCs w:val="24"/>
        </w:rPr>
        <w:t>Spôsob zostavenia odpisového plánu dlhodobého majetku:</w:t>
      </w:r>
      <w:bookmarkStart w:id="0" w:name="_GoBack"/>
      <w:bookmarkEnd w:id="0"/>
    </w:p>
    <w:p w:rsidR="00AD41D4" w:rsidRDefault="00AD41D4" w:rsidP="00AD41D4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AD41D4">
        <w:rPr>
          <w:color w:val="17365D" w:themeColor="text2" w:themeShade="BF"/>
          <w:sz w:val="24"/>
          <w:szCs w:val="24"/>
        </w:rPr>
        <w:t>Účtovná jednotka neúčtuje o dlhodobom majetku.</w:t>
      </w:r>
    </w:p>
    <w:p w:rsidR="00AD41D4" w:rsidRDefault="00AD41D4" w:rsidP="00AD41D4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AD41D4" w:rsidRPr="00AD41D4" w:rsidRDefault="00AD41D4" w:rsidP="00AD41D4">
      <w:pPr>
        <w:pStyle w:val="Bezriadkovania"/>
        <w:numPr>
          <w:ilvl w:val="0"/>
          <w:numId w:val="1"/>
        </w:numPr>
        <w:rPr>
          <w:b/>
          <w:color w:val="000000" w:themeColor="text1"/>
          <w:sz w:val="24"/>
          <w:szCs w:val="24"/>
        </w:rPr>
      </w:pPr>
      <w:r w:rsidRPr="00AD41D4">
        <w:rPr>
          <w:b/>
          <w:color w:val="000000" w:themeColor="text1"/>
          <w:sz w:val="24"/>
          <w:szCs w:val="24"/>
        </w:rPr>
        <w:t>Zmeny účtovných zásad a účtovných metód:</w:t>
      </w:r>
    </w:p>
    <w:p w:rsidR="00AD41D4" w:rsidRDefault="00AD41D4" w:rsidP="00AD41D4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AD41D4">
        <w:rPr>
          <w:color w:val="17365D" w:themeColor="text2" w:themeShade="BF"/>
          <w:sz w:val="24"/>
          <w:szCs w:val="24"/>
        </w:rPr>
        <w:t>Účtovné metódy a zásady boli konzistentne aplikované v rámci platného zákona o účtovníctve počas celého účtovného obdobia.</w:t>
      </w:r>
    </w:p>
    <w:p w:rsidR="00D02189" w:rsidRDefault="00D02189" w:rsidP="00AD41D4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D02189" w:rsidRDefault="00D02189" w:rsidP="00D02189">
      <w:pPr>
        <w:pStyle w:val="Bezriadkovania"/>
        <w:numPr>
          <w:ilvl w:val="0"/>
          <w:numId w:val="1"/>
        </w:numPr>
        <w:rPr>
          <w:b/>
          <w:color w:val="000000" w:themeColor="text1"/>
          <w:sz w:val="24"/>
          <w:szCs w:val="24"/>
        </w:rPr>
      </w:pPr>
      <w:r w:rsidRPr="00D02189">
        <w:rPr>
          <w:b/>
          <w:color w:val="000000" w:themeColor="text1"/>
          <w:sz w:val="24"/>
          <w:szCs w:val="24"/>
        </w:rPr>
        <w:t>Dotácie poskytnuté na obstaranie majetku:</w:t>
      </w:r>
    </w:p>
    <w:p w:rsidR="00D02189" w:rsidRDefault="00D02189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D02189">
        <w:rPr>
          <w:color w:val="17365D" w:themeColor="text2" w:themeShade="BF"/>
          <w:sz w:val="24"/>
          <w:szCs w:val="24"/>
        </w:rPr>
        <w:t>Účtovnej jednotke neboli poskytnuté dotácie na obstaranie majetku.</w:t>
      </w:r>
    </w:p>
    <w:p w:rsidR="00D02189" w:rsidRDefault="00D02189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D02189" w:rsidRDefault="00D02189" w:rsidP="00D02189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D02189">
        <w:rPr>
          <w:b/>
          <w:sz w:val="24"/>
          <w:szCs w:val="24"/>
        </w:rPr>
        <w:t>Oprava významných a nevýznamných chýb minulých účtovných období vykonaných v bežnom účtovnom období:</w:t>
      </w:r>
    </w:p>
    <w:p w:rsidR="00D02189" w:rsidRDefault="00D02189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D02189">
        <w:rPr>
          <w:color w:val="17365D" w:themeColor="text2" w:themeShade="BF"/>
          <w:sz w:val="24"/>
          <w:szCs w:val="24"/>
        </w:rPr>
        <w:t>Účtovná jednotka nevykonala opravy významných a nevýznamných chýb minulých účtovných období v bežnom účtovnom období.</w:t>
      </w:r>
    </w:p>
    <w:p w:rsidR="00D02189" w:rsidRDefault="00D02189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D02189" w:rsidRDefault="00D02189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C76EEB" w:rsidRDefault="00C76EEB" w:rsidP="00D02189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D02189" w:rsidRPr="00D02189" w:rsidRDefault="00D02189" w:rsidP="00D02189">
      <w:pPr>
        <w:pStyle w:val="Bezriadkovania"/>
        <w:jc w:val="center"/>
        <w:rPr>
          <w:b/>
          <w:i/>
          <w:color w:val="00B050"/>
          <w:sz w:val="24"/>
          <w:szCs w:val="24"/>
        </w:rPr>
      </w:pPr>
      <w:r w:rsidRPr="00D02189">
        <w:rPr>
          <w:b/>
          <w:i/>
          <w:color w:val="00B050"/>
          <w:sz w:val="24"/>
          <w:szCs w:val="24"/>
        </w:rPr>
        <w:t>Čl. III</w:t>
      </w:r>
    </w:p>
    <w:p w:rsidR="00D02189" w:rsidRDefault="00D02189" w:rsidP="00D02189">
      <w:pPr>
        <w:pStyle w:val="Bezriadkovania"/>
        <w:ind w:left="360"/>
        <w:jc w:val="center"/>
        <w:rPr>
          <w:b/>
          <w:i/>
          <w:color w:val="00B050"/>
          <w:sz w:val="24"/>
          <w:szCs w:val="24"/>
        </w:rPr>
      </w:pPr>
      <w:r w:rsidRPr="00D02189">
        <w:rPr>
          <w:b/>
          <w:i/>
          <w:color w:val="00B050"/>
          <w:sz w:val="24"/>
          <w:szCs w:val="24"/>
        </w:rPr>
        <w:t>Informácie, ktoré vysvetľujú a dopĺňajú súvahu a výkaz ziskov a</w:t>
      </w:r>
      <w:r>
        <w:rPr>
          <w:b/>
          <w:i/>
          <w:color w:val="00B050"/>
          <w:sz w:val="24"/>
          <w:szCs w:val="24"/>
        </w:rPr>
        <w:t> </w:t>
      </w:r>
      <w:r w:rsidRPr="00D02189">
        <w:rPr>
          <w:b/>
          <w:i/>
          <w:color w:val="00B050"/>
          <w:sz w:val="24"/>
          <w:szCs w:val="24"/>
        </w:rPr>
        <w:t>strát</w:t>
      </w:r>
    </w:p>
    <w:p w:rsidR="00D02189" w:rsidRDefault="00D02189" w:rsidP="00D02189">
      <w:pPr>
        <w:pStyle w:val="Bezriadkovania"/>
        <w:ind w:left="360"/>
        <w:jc w:val="center"/>
        <w:rPr>
          <w:b/>
          <w:i/>
          <w:color w:val="00B050"/>
          <w:sz w:val="24"/>
          <w:szCs w:val="24"/>
        </w:rPr>
      </w:pPr>
    </w:p>
    <w:p w:rsidR="00D02189" w:rsidRDefault="00D02189" w:rsidP="00D02189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D02189">
        <w:rPr>
          <w:b/>
          <w:sz w:val="24"/>
          <w:szCs w:val="24"/>
        </w:rPr>
        <w:t>Informácie o sume a dôvodoch vzniku jednotlivých položiek nákladov alebo výnosov, ktoré majú výnimočný rozsah alebo výskyt:</w:t>
      </w:r>
    </w:p>
    <w:p w:rsidR="00D02189" w:rsidRDefault="00D02189" w:rsidP="00D02189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Účtovná jednotka nemá položky nákladov a výnosov, ktoré majú výnimočný rozsah alebo výskyt.</w:t>
      </w:r>
    </w:p>
    <w:p w:rsidR="00D02189" w:rsidRDefault="00D02189" w:rsidP="00D02189">
      <w:pPr>
        <w:pStyle w:val="Bezriadkovania"/>
        <w:ind w:left="360"/>
        <w:rPr>
          <w:sz w:val="24"/>
          <w:szCs w:val="24"/>
        </w:rPr>
      </w:pPr>
    </w:p>
    <w:p w:rsidR="00D02189" w:rsidRDefault="00D02189" w:rsidP="00D02189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D02189">
        <w:rPr>
          <w:b/>
          <w:sz w:val="24"/>
          <w:szCs w:val="24"/>
        </w:rPr>
        <w:t>A) Informácie o záväzkoch:</w:t>
      </w:r>
    </w:p>
    <w:p w:rsidR="00D02189" w:rsidRDefault="00D02189" w:rsidP="00D02189">
      <w:pPr>
        <w:pStyle w:val="Bezriadkovania"/>
        <w:ind w:left="360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434"/>
        <w:gridCol w:w="2835"/>
        <w:gridCol w:w="2657"/>
      </w:tblGrid>
      <w:tr w:rsidR="00D02189" w:rsidTr="007174BB">
        <w:tc>
          <w:tcPr>
            <w:tcW w:w="3434" w:type="dxa"/>
          </w:tcPr>
          <w:p w:rsidR="00D02189" w:rsidRDefault="00D02189" w:rsidP="00D02189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D02189" w:rsidRDefault="00D02189" w:rsidP="00D02189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657" w:type="dxa"/>
          </w:tcPr>
          <w:p w:rsidR="00D02189" w:rsidRDefault="00D02189" w:rsidP="00D02189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02189" w:rsidTr="007174BB">
        <w:tc>
          <w:tcPr>
            <w:tcW w:w="3434" w:type="dxa"/>
          </w:tcPr>
          <w:p w:rsidR="00D02189" w:rsidRDefault="00D02189" w:rsidP="00D02189">
            <w:pPr>
              <w:pStyle w:val="Bezriadkovania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  <w:tc>
          <w:tcPr>
            <w:tcW w:w="2657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D02189" w:rsidTr="007174BB">
        <w:tc>
          <w:tcPr>
            <w:tcW w:w="3434" w:type="dxa"/>
          </w:tcPr>
          <w:p w:rsidR="00D02189" w:rsidRPr="00D02189" w:rsidRDefault="00D02189" w:rsidP="00D02189">
            <w:pPr>
              <w:pStyle w:val="Bezriadkovania"/>
              <w:rPr>
                <w:sz w:val="24"/>
                <w:szCs w:val="24"/>
              </w:rPr>
            </w:pPr>
            <w:r w:rsidRPr="00D02189">
              <w:rPr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  <w:tc>
          <w:tcPr>
            <w:tcW w:w="2657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D02189" w:rsidTr="007174BB">
        <w:tc>
          <w:tcPr>
            <w:tcW w:w="3434" w:type="dxa"/>
          </w:tcPr>
          <w:p w:rsidR="00D02189" w:rsidRPr="00D02189" w:rsidRDefault="00D02189" w:rsidP="00D02189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  <w:tc>
          <w:tcPr>
            <w:tcW w:w="2657" w:type="dxa"/>
          </w:tcPr>
          <w:p w:rsidR="00D02189" w:rsidRPr="002719B3" w:rsidRDefault="00D02189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D02189" w:rsidTr="007174BB">
        <w:tc>
          <w:tcPr>
            <w:tcW w:w="3434" w:type="dxa"/>
          </w:tcPr>
          <w:p w:rsidR="00D02189" w:rsidRPr="007174BB" w:rsidRDefault="00D02189" w:rsidP="00D02189">
            <w:pPr>
              <w:pStyle w:val="Bezriadkovania"/>
              <w:rPr>
                <w:b/>
                <w:sz w:val="24"/>
                <w:szCs w:val="24"/>
              </w:rPr>
            </w:pPr>
            <w:r w:rsidRPr="007174BB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27 405</w:t>
            </w:r>
          </w:p>
        </w:tc>
        <w:tc>
          <w:tcPr>
            <w:tcW w:w="2657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6 763</w:t>
            </w:r>
          </w:p>
        </w:tc>
      </w:tr>
      <w:tr w:rsidR="00D02189" w:rsidTr="007174BB">
        <w:tc>
          <w:tcPr>
            <w:tcW w:w="3434" w:type="dxa"/>
          </w:tcPr>
          <w:p w:rsidR="00D02189" w:rsidRPr="00D02189" w:rsidRDefault="007174BB" w:rsidP="00D02189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25 805</w:t>
            </w:r>
          </w:p>
        </w:tc>
        <w:tc>
          <w:tcPr>
            <w:tcW w:w="2657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5 323</w:t>
            </w:r>
          </w:p>
        </w:tc>
      </w:tr>
      <w:tr w:rsidR="00D02189" w:rsidTr="007174BB">
        <w:tc>
          <w:tcPr>
            <w:tcW w:w="3434" w:type="dxa"/>
          </w:tcPr>
          <w:p w:rsidR="00D02189" w:rsidRPr="00D02189" w:rsidRDefault="007174BB" w:rsidP="00D02189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1 600</w:t>
            </w:r>
          </w:p>
        </w:tc>
        <w:tc>
          <w:tcPr>
            <w:tcW w:w="2657" w:type="dxa"/>
          </w:tcPr>
          <w:p w:rsidR="00D02189" w:rsidRPr="002719B3" w:rsidRDefault="002719B3" w:rsidP="002719B3">
            <w:pPr>
              <w:pStyle w:val="Bezriadkovania"/>
              <w:jc w:val="center"/>
              <w:rPr>
                <w:color w:val="17365D" w:themeColor="text2" w:themeShade="BF"/>
                <w:sz w:val="24"/>
                <w:szCs w:val="24"/>
              </w:rPr>
            </w:pPr>
            <w:r w:rsidRPr="002719B3">
              <w:rPr>
                <w:color w:val="17365D" w:themeColor="text2" w:themeShade="BF"/>
                <w:sz w:val="24"/>
                <w:szCs w:val="24"/>
              </w:rPr>
              <w:t>1 440</w:t>
            </w:r>
          </w:p>
        </w:tc>
      </w:tr>
    </w:tbl>
    <w:p w:rsidR="00D02189" w:rsidRDefault="00D02189" w:rsidP="00D02189">
      <w:pPr>
        <w:pStyle w:val="Bezriadkovania"/>
        <w:ind w:left="360"/>
        <w:rPr>
          <w:b/>
          <w:sz w:val="24"/>
          <w:szCs w:val="24"/>
        </w:rPr>
      </w:pPr>
    </w:p>
    <w:p w:rsidR="007174BB" w:rsidRDefault="007174BB" w:rsidP="007174BB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B) Hodnota záväzkov zabezpečená záložným právom:</w:t>
      </w:r>
    </w:p>
    <w:p w:rsidR="007174BB" w:rsidRDefault="007174BB" w:rsidP="007174BB">
      <w:pPr>
        <w:pStyle w:val="Bezriadkovania"/>
        <w:rPr>
          <w:color w:val="17365D" w:themeColor="text2" w:themeShade="BF"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7174BB">
        <w:rPr>
          <w:color w:val="17365D" w:themeColor="text2" w:themeShade="BF"/>
          <w:sz w:val="24"/>
          <w:szCs w:val="24"/>
        </w:rPr>
        <w:t>Účtovná jednotka nemá záväzky zabezpečené záložným právom.</w:t>
      </w:r>
      <w:r w:rsidRPr="007174BB">
        <w:rPr>
          <w:color w:val="17365D" w:themeColor="text2" w:themeShade="BF"/>
          <w:sz w:val="24"/>
          <w:szCs w:val="24"/>
        </w:rPr>
        <w:tab/>
      </w:r>
    </w:p>
    <w:p w:rsidR="007174BB" w:rsidRDefault="007174BB" w:rsidP="007174BB">
      <w:pPr>
        <w:pStyle w:val="Bezriadkovania"/>
        <w:rPr>
          <w:color w:val="17365D" w:themeColor="text2" w:themeShade="BF"/>
          <w:sz w:val="24"/>
          <w:szCs w:val="24"/>
        </w:rPr>
      </w:pPr>
    </w:p>
    <w:p w:rsidR="007174BB" w:rsidRDefault="007174BB" w:rsidP="007174BB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7174BB">
        <w:rPr>
          <w:b/>
          <w:sz w:val="24"/>
          <w:szCs w:val="24"/>
        </w:rPr>
        <w:t>Informácie o vlastných akciách:</w:t>
      </w:r>
    </w:p>
    <w:p w:rsidR="007174BB" w:rsidRDefault="007174BB" w:rsidP="007174BB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7174BB">
        <w:rPr>
          <w:color w:val="17365D" w:themeColor="text2" w:themeShade="BF"/>
          <w:sz w:val="24"/>
          <w:szCs w:val="24"/>
        </w:rPr>
        <w:t>Účtovná jednotka nemá vlastné akcie.</w:t>
      </w:r>
    </w:p>
    <w:p w:rsidR="007174BB" w:rsidRDefault="007174BB" w:rsidP="007174BB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E119B8" w:rsidRDefault="00E119B8" w:rsidP="007174BB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7174BB" w:rsidRDefault="002E35BA" w:rsidP="002E35BA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2E35BA">
        <w:rPr>
          <w:b/>
          <w:sz w:val="24"/>
          <w:szCs w:val="24"/>
        </w:rPr>
        <w:lastRenderedPageBreak/>
        <w:t>Informácie o orgánoch účtovnej jednotky:</w:t>
      </w:r>
    </w:p>
    <w:p w:rsidR="002E35BA" w:rsidRDefault="002E35BA" w:rsidP="002E35BA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2E35BA">
        <w:rPr>
          <w:color w:val="17365D" w:themeColor="text2" w:themeShade="BF"/>
          <w:sz w:val="24"/>
          <w:szCs w:val="24"/>
        </w:rPr>
        <w:t>Orgány účtovnej jednotky nemali poskytnuté záruky alebo zabezpečenia, poskytnuté pôžičky, odpustené alebo odpísané pôžičky, ani finančné prostriedky a iné plnenie použité na súkromné účely na vyúčtovanie</w:t>
      </w:r>
      <w:r>
        <w:rPr>
          <w:color w:val="17365D" w:themeColor="text2" w:themeShade="BF"/>
          <w:sz w:val="24"/>
          <w:szCs w:val="24"/>
        </w:rPr>
        <w:t>.</w:t>
      </w:r>
    </w:p>
    <w:p w:rsidR="002E35BA" w:rsidRDefault="002E35BA" w:rsidP="002E35BA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2E35BA" w:rsidRDefault="002E35BA" w:rsidP="002E35BA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2E35BA">
        <w:rPr>
          <w:b/>
          <w:sz w:val="24"/>
          <w:szCs w:val="24"/>
        </w:rPr>
        <w:t>Hlavné podmienky, na základe ktorých boli záruky alebo iné zabezpečenia poskytnuté (pri pôžičkách sa uvádzajú úrokové sadzby):</w:t>
      </w:r>
    </w:p>
    <w:p w:rsidR="002E35BA" w:rsidRDefault="002E35BA" w:rsidP="002E35BA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 w:rsidRPr="002E35BA">
        <w:rPr>
          <w:color w:val="17365D" w:themeColor="text2" w:themeShade="BF"/>
          <w:sz w:val="24"/>
          <w:szCs w:val="24"/>
        </w:rPr>
        <w:t>Účtovná jednotka nemala záruky ani iné zabezpečenia.</w:t>
      </w:r>
    </w:p>
    <w:p w:rsidR="002E35BA" w:rsidRDefault="002E35BA" w:rsidP="002E35BA">
      <w:pPr>
        <w:pStyle w:val="Bezriadkovania"/>
        <w:ind w:left="360"/>
        <w:rPr>
          <w:color w:val="17365D" w:themeColor="text2" w:themeShade="BF"/>
          <w:sz w:val="24"/>
          <w:szCs w:val="24"/>
        </w:rPr>
      </w:pPr>
    </w:p>
    <w:p w:rsidR="002E35BA" w:rsidRDefault="002E35BA" w:rsidP="002E35BA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2E35BA">
        <w:rPr>
          <w:b/>
          <w:sz w:val="24"/>
          <w:szCs w:val="24"/>
        </w:rPr>
        <w:t>A) Informácie o celkovej sume finančných povinností, ktoré sa nevykazujú v</w:t>
      </w:r>
      <w:r>
        <w:rPr>
          <w:b/>
          <w:sz w:val="24"/>
          <w:szCs w:val="24"/>
        </w:rPr>
        <w:t> súvahe:</w:t>
      </w:r>
    </w:p>
    <w:p w:rsidR="002E35BA" w:rsidRDefault="002E35BA" w:rsidP="002E35BA">
      <w:pPr>
        <w:pStyle w:val="Bezriadkovania"/>
        <w:ind w:left="630"/>
        <w:rPr>
          <w:color w:val="0F243E" w:themeColor="text2" w:themeShade="80"/>
          <w:sz w:val="24"/>
          <w:szCs w:val="24"/>
        </w:rPr>
      </w:pPr>
      <w:r>
        <w:rPr>
          <w:color w:val="0F243E" w:themeColor="text2" w:themeShade="80"/>
          <w:sz w:val="24"/>
          <w:szCs w:val="24"/>
        </w:rPr>
        <w:t>Účtovná jednotka nemala žiadne finančné povinnosti, ktoré sa nevykazujú v súvahe   (povinnosti nájomcu z operatívneho prenájmu, povinnosti z uzatvorených úverových zmlúv, povinnosti z licenčných zmlúv, povinnosti z koncesionárskych zmlúv).</w:t>
      </w:r>
    </w:p>
    <w:p w:rsidR="002E35BA" w:rsidRDefault="002E35BA" w:rsidP="002E35BA">
      <w:pPr>
        <w:pStyle w:val="Bezriadkovania"/>
        <w:ind w:left="630"/>
        <w:rPr>
          <w:color w:val="0F243E" w:themeColor="text2" w:themeShade="80"/>
          <w:sz w:val="24"/>
          <w:szCs w:val="24"/>
        </w:rPr>
      </w:pPr>
    </w:p>
    <w:p w:rsidR="002E35BA" w:rsidRDefault="002E35BA" w:rsidP="002E35BA">
      <w:pPr>
        <w:pStyle w:val="Bezriadkovania"/>
        <w:ind w:left="630"/>
        <w:rPr>
          <w:b/>
          <w:sz w:val="24"/>
          <w:szCs w:val="24"/>
        </w:rPr>
      </w:pPr>
      <w:r w:rsidRPr="002E35BA">
        <w:rPr>
          <w:b/>
          <w:sz w:val="24"/>
          <w:szCs w:val="24"/>
        </w:rPr>
        <w:t>B) Informácie o významných podmienených záväzkoch</w:t>
      </w:r>
    </w:p>
    <w:p w:rsidR="00F25535" w:rsidRDefault="00F25535" w:rsidP="002E35BA">
      <w:pPr>
        <w:pStyle w:val="Bezriadkovania"/>
        <w:ind w:left="630"/>
        <w:rPr>
          <w:color w:val="17365D" w:themeColor="text2" w:themeShade="BF"/>
          <w:sz w:val="24"/>
          <w:szCs w:val="24"/>
        </w:rPr>
      </w:pPr>
      <w:r>
        <w:rPr>
          <w:color w:val="17365D" w:themeColor="text2" w:themeShade="BF"/>
          <w:sz w:val="24"/>
          <w:szCs w:val="24"/>
        </w:rPr>
        <w:t>Účtovná jednotka nemá žiadne významné podmienené záväzky (zo súdnych rozhodnutí, z poskytnutých záruk, zo všeobecných záväzných právnych predpisov, zo zmluvy o podriadenom záväzku, z ručenia)</w:t>
      </w:r>
    </w:p>
    <w:p w:rsidR="00F25535" w:rsidRDefault="00F25535" w:rsidP="002E35BA">
      <w:pPr>
        <w:pStyle w:val="Bezriadkovania"/>
        <w:ind w:left="630"/>
        <w:rPr>
          <w:color w:val="17365D" w:themeColor="text2" w:themeShade="BF"/>
          <w:sz w:val="24"/>
          <w:szCs w:val="24"/>
        </w:rPr>
      </w:pPr>
    </w:p>
    <w:p w:rsidR="002E35BA" w:rsidRPr="00F25535" w:rsidRDefault="00F25535" w:rsidP="002E35BA">
      <w:pPr>
        <w:pStyle w:val="Bezriadkovania"/>
        <w:ind w:left="630"/>
        <w:rPr>
          <w:b/>
          <w:color w:val="000000" w:themeColor="text1"/>
          <w:sz w:val="24"/>
          <w:szCs w:val="24"/>
        </w:rPr>
      </w:pPr>
      <w:r w:rsidRPr="00F25535">
        <w:rPr>
          <w:b/>
          <w:color w:val="000000" w:themeColor="text1"/>
          <w:sz w:val="24"/>
          <w:szCs w:val="24"/>
        </w:rPr>
        <w:t xml:space="preserve">E) Opis významných povinností účtovnej jednotky vyplývajúcich z dôchodkových </w:t>
      </w:r>
      <w:r>
        <w:rPr>
          <w:b/>
          <w:color w:val="000000" w:themeColor="text1"/>
          <w:sz w:val="24"/>
          <w:szCs w:val="24"/>
        </w:rPr>
        <w:t xml:space="preserve">  </w:t>
      </w:r>
      <w:r w:rsidRPr="00F25535">
        <w:rPr>
          <w:b/>
          <w:color w:val="000000" w:themeColor="text1"/>
          <w:sz w:val="24"/>
          <w:szCs w:val="24"/>
        </w:rPr>
        <w:t xml:space="preserve">programov pre zamestnancov: </w:t>
      </w:r>
    </w:p>
    <w:p w:rsidR="00F25535" w:rsidRDefault="00F25535" w:rsidP="00F25535">
      <w:pPr>
        <w:pStyle w:val="Bezriadkovania"/>
        <w:rPr>
          <w:color w:val="17365D" w:themeColor="text2" w:themeShade="BF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ab/>
      </w:r>
      <w:r w:rsidRPr="00F25535">
        <w:rPr>
          <w:color w:val="17365D" w:themeColor="text2" w:themeShade="BF"/>
          <w:sz w:val="24"/>
          <w:szCs w:val="24"/>
        </w:rPr>
        <w:t>Účtovná jednotka nemá zamestnancov.</w:t>
      </w:r>
    </w:p>
    <w:p w:rsidR="00F25535" w:rsidRDefault="00F25535" w:rsidP="00F25535">
      <w:pPr>
        <w:pStyle w:val="Bezriadkovania"/>
        <w:rPr>
          <w:color w:val="17365D" w:themeColor="text2" w:themeShade="BF"/>
          <w:sz w:val="24"/>
          <w:szCs w:val="24"/>
        </w:rPr>
      </w:pPr>
    </w:p>
    <w:p w:rsidR="00F25535" w:rsidRDefault="00F25535" w:rsidP="00F25535">
      <w:pPr>
        <w:pStyle w:val="Bezriadkovania"/>
        <w:numPr>
          <w:ilvl w:val="0"/>
          <w:numId w:val="1"/>
        </w:numPr>
        <w:rPr>
          <w:b/>
          <w:sz w:val="24"/>
          <w:szCs w:val="24"/>
        </w:rPr>
      </w:pPr>
      <w:r w:rsidRPr="00F25535">
        <w:rPr>
          <w:b/>
          <w:sz w:val="24"/>
          <w:szCs w:val="24"/>
        </w:rPr>
        <w:t xml:space="preserve">Informácie o udelení výlučného práva alebo osobitného práva, ktorým sa udelilo právo poskytovať služby vo verejnom záujme (uvádza sa aj náhrada za túto činnosť v akejkoľvek forme): </w:t>
      </w:r>
    </w:p>
    <w:p w:rsidR="00F25535" w:rsidRPr="00F25535" w:rsidRDefault="00F25535" w:rsidP="00F25535">
      <w:pPr>
        <w:pStyle w:val="Bezriadkovania"/>
        <w:ind w:left="360"/>
        <w:rPr>
          <w:color w:val="17365D" w:themeColor="text2" w:themeShade="BF"/>
          <w:sz w:val="24"/>
          <w:szCs w:val="24"/>
        </w:rPr>
      </w:pPr>
      <w:r>
        <w:rPr>
          <w:color w:val="17365D" w:themeColor="text2" w:themeShade="BF"/>
          <w:sz w:val="24"/>
          <w:szCs w:val="24"/>
        </w:rPr>
        <w:t>Účtovná jednotka nemala udelené výlučné právo alebo osobitné právo poskytovať služby.</w:t>
      </w:r>
    </w:p>
    <w:sectPr w:rsidR="00F25535" w:rsidRPr="00F25535" w:rsidSect="00716E97">
      <w:headerReference w:type="default" r:id="rId8"/>
      <w:pgSz w:w="11906" w:h="16838" w:code="9"/>
      <w:pgMar w:top="1418" w:right="1418" w:bottom="1418" w:left="1418" w:header="102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1EA" w:rsidRDefault="004741EA" w:rsidP="00716E97">
      <w:pPr>
        <w:spacing w:after="0" w:line="240" w:lineRule="auto"/>
      </w:pPr>
      <w:r>
        <w:separator/>
      </w:r>
    </w:p>
  </w:endnote>
  <w:endnote w:type="continuationSeparator" w:id="0">
    <w:p w:rsidR="004741EA" w:rsidRDefault="004741EA" w:rsidP="0071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1EA" w:rsidRDefault="004741EA" w:rsidP="00716E97">
      <w:pPr>
        <w:spacing w:after="0" w:line="240" w:lineRule="auto"/>
      </w:pPr>
      <w:r>
        <w:separator/>
      </w:r>
    </w:p>
  </w:footnote>
  <w:footnote w:type="continuationSeparator" w:id="0">
    <w:p w:rsidR="004741EA" w:rsidRDefault="004741EA" w:rsidP="00716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E97" w:rsidRDefault="00716E97" w:rsidP="006B1170">
    <w:pPr>
      <w:pStyle w:val="Hlavika"/>
    </w:pPr>
    <w:r w:rsidRPr="00716E97">
      <w:rPr>
        <w:bdr w:val="single" w:sz="4" w:space="0" w:color="auto"/>
      </w:rPr>
      <w:t xml:space="preserve">Poznámky </w:t>
    </w:r>
    <w:proofErr w:type="spellStart"/>
    <w:r w:rsidRPr="00716E97">
      <w:rPr>
        <w:bdr w:val="single" w:sz="4" w:space="0" w:color="auto"/>
      </w:rPr>
      <w:t>Úč</w:t>
    </w:r>
    <w:proofErr w:type="spellEnd"/>
    <w:r w:rsidRPr="00716E97">
      <w:rPr>
        <w:bdr w:val="single" w:sz="4" w:space="0" w:color="auto"/>
      </w:rPr>
      <w:t xml:space="preserve"> MÚJ 3 – 01</w:t>
    </w:r>
    <w:r>
      <w:t xml:space="preserve">                                        </w:t>
    </w:r>
    <w:r w:rsidRPr="00716E97">
      <w:rPr>
        <w:bdr w:val="single" w:sz="4" w:space="0" w:color="auto"/>
      </w:rPr>
      <w:t xml:space="preserve">IČO: 47000473  </w:t>
    </w:r>
    <w:r>
      <w:t xml:space="preserve">                                   </w:t>
    </w:r>
    <w:r w:rsidRPr="006B1170">
      <w:rPr>
        <w:bdr w:val="single" w:sz="4" w:space="0" w:color="auto"/>
      </w:rPr>
      <w:t>DIČ: 2023710348</w:t>
    </w:r>
    <w:r>
      <w:tab/>
    </w:r>
    <w:r>
      <w:tab/>
    </w:r>
  </w:p>
  <w:p w:rsidR="00716E97" w:rsidRDefault="00716E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803E3"/>
    <w:multiLevelType w:val="hybridMultilevel"/>
    <w:tmpl w:val="E92E157C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DF7732"/>
    <w:multiLevelType w:val="hybridMultilevel"/>
    <w:tmpl w:val="1526ABB4"/>
    <w:lvl w:ilvl="0" w:tplc="26969514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CE7"/>
    <w:rsid w:val="00126360"/>
    <w:rsid w:val="0015414E"/>
    <w:rsid w:val="00234261"/>
    <w:rsid w:val="002719B3"/>
    <w:rsid w:val="002E35BA"/>
    <w:rsid w:val="004741EA"/>
    <w:rsid w:val="006B1170"/>
    <w:rsid w:val="00716E97"/>
    <w:rsid w:val="007174BB"/>
    <w:rsid w:val="00723C01"/>
    <w:rsid w:val="00AD41D4"/>
    <w:rsid w:val="00B75CE7"/>
    <w:rsid w:val="00C76EEB"/>
    <w:rsid w:val="00D02189"/>
    <w:rsid w:val="00D95DF7"/>
    <w:rsid w:val="00E119B8"/>
    <w:rsid w:val="00F25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B117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E97"/>
  </w:style>
  <w:style w:type="paragraph" w:styleId="Pta">
    <w:name w:val="footer"/>
    <w:basedOn w:val="Normlny"/>
    <w:link w:val="PtaChar"/>
    <w:uiPriority w:val="99"/>
    <w:unhideWhenUsed/>
    <w:rsid w:val="007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E97"/>
  </w:style>
  <w:style w:type="paragraph" w:styleId="Textbubliny">
    <w:name w:val="Balloon Text"/>
    <w:basedOn w:val="Normlny"/>
    <w:link w:val="TextbublinyChar"/>
    <w:uiPriority w:val="99"/>
    <w:semiHidden/>
    <w:unhideWhenUsed/>
    <w:rsid w:val="0071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E9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6B1170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6B11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6B1170"/>
    <w:pPr>
      <w:ind w:left="720"/>
      <w:contextualSpacing/>
    </w:pPr>
  </w:style>
  <w:style w:type="table" w:styleId="Mriekatabuky">
    <w:name w:val="Table Grid"/>
    <w:basedOn w:val="Normlnatabuka"/>
    <w:uiPriority w:val="59"/>
    <w:rsid w:val="00126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B117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E97"/>
  </w:style>
  <w:style w:type="paragraph" w:styleId="Pta">
    <w:name w:val="footer"/>
    <w:basedOn w:val="Normlny"/>
    <w:link w:val="PtaChar"/>
    <w:uiPriority w:val="99"/>
    <w:unhideWhenUsed/>
    <w:rsid w:val="00716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E97"/>
  </w:style>
  <w:style w:type="paragraph" w:styleId="Textbubliny">
    <w:name w:val="Balloon Text"/>
    <w:basedOn w:val="Normlny"/>
    <w:link w:val="TextbublinyChar"/>
    <w:uiPriority w:val="99"/>
    <w:semiHidden/>
    <w:unhideWhenUsed/>
    <w:rsid w:val="0071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E9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6B1170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6B11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6B1170"/>
    <w:pPr>
      <w:ind w:left="720"/>
      <w:contextualSpacing/>
    </w:pPr>
  </w:style>
  <w:style w:type="table" w:styleId="Mriekatabuky">
    <w:name w:val="Table Grid"/>
    <w:basedOn w:val="Normlnatabuka"/>
    <w:uiPriority w:val="59"/>
    <w:rsid w:val="00126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Mária</cp:lastModifiedBy>
  <cp:revision>4</cp:revision>
  <cp:lastPrinted>2016-03-29T19:41:00Z</cp:lastPrinted>
  <dcterms:created xsi:type="dcterms:W3CDTF">2016-03-29T19:43:00Z</dcterms:created>
  <dcterms:modified xsi:type="dcterms:W3CDTF">2016-03-29T19:45:00Z</dcterms:modified>
</cp:coreProperties>
</file>