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D4171E" w:rsidRDefault="00BB76BC" w:rsidP="00FB6F88">
      <w:pPr>
        <w:tabs>
          <w:tab w:val="left" w:pos="9000"/>
        </w:tabs>
        <w:suppressAutoHyphens/>
        <w:jc w:val="center"/>
        <w:rPr>
          <w:b/>
          <w:sz w:val="28"/>
          <w:szCs w:val="28"/>
        </w:rPr>
      </w:pPr>
      <w:r w:rsidRPr="00D4171E">
        <w:rPr>
          <w:b/>
          <w:sz w:val="28"/>
          <w:szCs w:val="28"/>
        </w:rPr>
        <w:t>Poznámky k účtovnej závierke</w:t>
      </w:r>
    </w:p>
    <w:p w:rsidR="002A6B50" w:rsidRPr="00D4171E" w:rsidRDefault="00BB76BC" w:rsidP="00FB6F88">
      <w:pPr>
        <w:tabs>
          <w:tab w:val="left" w:pos="9000"/>
        </w:tabs>
        <w:suppressAutoHyphens/>
        <w:jc w:val="center"/>
        <w:rPr>
          <w:b/>
          <w:sz w:val="28"/>
          <w:szCs w:val="28"/>
        </w:rPr>
      </w:pPr>
      <w:r w:rsidRPr="00D4171E">
        <w:rPr>
          <w:b/>
          <w:sz w:val="28"/>
          <w:szCs w:val="28"/>
        </w:rPr>
        <w:t>zostavenej k </w:t>
      </w:r>
      <w:bookmarkStart w:id="0" w:name="EntityDateEnd"/>
      <w:r w:rsidR="006E2181" w:rsidRPr="00D4171E">
        <w:rPr>
          <w:b/>
          <w:sz w:val="28"/>
          <w:szCs w:val="28"/>
        </w:rPr>
        <w:t>31.</w:t>
      </w:r>
      <w:r w:rsidR="00FB3496" w:rsidRPr="00D4171E">
        <w:rPr>
          <w:b/>
          <w:sz w:val="28"/>
          <w:szCs w:val="28"/>
        </w:rPr>
        <w:t xml:space="preserve"> </w:t>
      </w:r>
      <w:r w:rsidR="006E2181" w:rsidRPr="00D4171E">
        <w:rPr>
          <w:b/>
          <w:sz w:val="28"/>
          <w:szCs w:val="28"/>
        </w:rPr>
        <w:t xml:space="preserve">decembru </w:t>
      </w:r>
      <w:bookmarkEnd w:id="0"/>
      <w:r w:rsidR="003702EE" w:rsidRPr="00D4171E">
        <w:rPr>
          <w:b/>
          <w:sz w:val="28"/>
          <w:szCs w:val="28"/>
        </w:rPr>
        <w:t>2015</w:t>
      </w:r>
    </w:p>
    <w:p w:rsidR="00A3677A" w:rsidRPr="00D4171E" w:rsidRDefault="00A3677A" w:rsidP="002D5CB3">
      <w:pPr>
        <w:pStyle w:val="odstavec"/>
        <w:rPr>
          <w:rFonts w:ascii="Times New Roman" w:hAnsi="Times New Roman" w:cs="Times New Roman"/>
        </w:rPr>
      </w:pPr>
    </w:p>
    <w:p w:rsidR="00A3677A" w:rsidRPr="00D4171E" w:rsidRDefault="00A3677A" w:rsidP="002D5CB3">
      <w:pPr>
        <w:pStyle w:val="odstavec"/>
        <w:rPr>
          <w:rFonts w:ascii="Times New Roman" w:hAnsi="Times New Roman" w:cs="Times New Roman"/>
        </w:rPr>
      </w:pPr>
    </w:p>
    <w:p w:rsidR="002A6B50" w:rsidRPr="00AD29B7" w:rsidRDefault="00BB76BC" w:rsidP="00AD29B7">
      <w:pPr>
        <w:pStyle w:val="Heading1"/>
        <w:rPr>
          <w:sz w:val="18"/>
          <w:szCs w:val="18"/>
        </w:rPr>
      </w:pPr>
      <w:r w:rsidRPr="00AD29B7">
        <w:rPr>
          <w:sz w:val="18"/>
          <w:szCs w:val="18"/>
        </w:rPr>
        <w:t>ZÁKLADNÉ INFORMÁCIE</w:t>
      </w:r>
    </w:p>
    <w:p w:rsidR="002A6B50" w:rsidRPr="00AD29B7" w:rsidRDefault="006A14AA" w:rsidP="009E20F9">
      <w:pPr>
        <w:pStyle w:val="Heading2"/>
        <w:rPr>
          <w:rFonts w:ascii="Times New Roman" w:hAnsi="Times New Roman" w:cs="Times New Roman"/>
          <w:sz w:val="18"/>
          <w:szCs w:val="18"/>
        </w:rPr>
      </w:pPr>
      <w:r w:rsidRPr="00AD29B7">
        <w:rPr>
          <w:rFonts w:ascii="Times New Roman" w:hAnsi="Times New Roman" w:cs="Times New Roman"/>
          <w:sz w:val="18"/>
          <w:szCs w:val="18"/>
        </w:rPr>
        <w:t>Obchodné meno a sídlo</w:t>
      </w:r>
    </w:p>
    <w:p w:rsidR="00DA5FE5" w:rsidRPr="00AD29B7" w:rsidRDefault="00D81FBA" w:rsidP="002D5CB3">
      <w:pPr>
        <w:pStyle w:val="odstavec"/>
        <w:rPr>
          <w:rFonts w:ascii="Times New Roman" w:hAnsi="Times New Roman" w:cs="Times New Roman"/>
          <w:sz w:val="18"/>
          <w:szCs w:val="18"/>
        </w:rPr>
      </w:pPr>
      <w:r w:rsidRPr="00AD29B7">
        <w:rPr>
          <w:rFonts w:ascii="Times New Roman" w:hAnsi="Times New Roman" w:cs="Times New Roman"/>
          <w:sz w:val="18"/>
          <w:szCs w:val="18"/>
        </w:rPr>
        <w:fldChar w:fldCharType="begin"/>
      </w:r>
      <w:r w:rsidRPr="00AD29B7">
        <w:rPr>
          <w:rFonts w:ascii="Times New Roman" w:hAnsi="Times New Roman" w:cs="Times New Roman"/>
          <w:sz w:val="18"/>
          <w:szCs w:val="18"/>
        </w:rPr>
        <w:instrText xml:space="preserve"> REF EntityName \h  \* MERGEFORMAT </w:instrText>
      </w:r>
      <w:r w:rsidRPr="00AD29B7">
        <w:rPr>
          <w:rFonts w:ascii="Times New Roman" w:hAnsi="Times New Roman" w:cs="Times New Roman"/>
          <w:sz w:val="18"/>
          <w:szCs w:val="18"/>
        </w:rPr>
      </w:r>
      <w:r w:rsidRPr="00AD29B7">
        <w:rPr>
          <w:rFonts w:ascii="Times New Roman" w:hAnsi="Times New Roman" w:cs="Times New Roman"/>
          <w:sz w:val="18"/>
          <w:szCs w:val="18"/>
        </w:rPr>
        <w:fldChar w:fldCharType="separate"/>
      </w:r>
      <w:r w:rsidR="00A64C7D" w:rsidRPr="00A64C7D">
        <w:rPr>
          <w:rFonts w:ascii="Times New Roman" w:hAnsi="Times New Roman" w:cs="Times New Roman"/>
          <w:sz w:val="18"/>
          <w:szCs w:val="18"/>
        </w:rPr>
        <w:t>Oerlikon Balzers Coating Slovakia s. r. o.</w:t>
      </w:r>
      <w:r w:rsidRPr="00AD29B7">
        <w:rPr>
          <w:rFonts w:ascii="Times New Roman" w:hAnsi="Times New Roman" w:cs="Times New Roman"/>
          <w:sz w:val="18"/>
          <w:szCs w:val="18"/>
        </w:rPr>
        <w:fldChar w:fldCharType="end"/>
      </w:r>
      <w:r w:rsidR="00074520" w:rsidRPr="00AD29B7">
        <w:rPr>
          <w:rFonts w:ascii="Times New Roman" w:hAnsi="Times New Roman" w:cs="Times New Roman"/>
          <w:sz w:val="18"/>
          <w:szCs w:val="18"/>
        </w:rPr>
        <w:t xml:space="preserve">  </w:t>
      </w:r>
    </w:p>
    <w:p w:rsidR="00074520" w:rsidRPr="00AD29B7" w:rsidRDefault="003702EE" w:rsidP="002D5CB3">
      <w:pPr>
        <w:pStyle w:val="odstavec"/>
        <w:rPr>
          <w:rFonts w:ascii="Times New Roman" w:hAnsi="Times New Roman" w:cs="Times New Roman"/>
          <w:sz w:val="18"/>
          <w:szCs w:val="18"/>
        </w:rPr>
      </w:pPr>
      <w:r w:rsidRPr="00AD29B7">
        <w:rPr>
          <w:rFonts w:ascii="Times New Roman" w:hAnsi="Times New Roman" w:cs="Times New Roman"/>
          <w:sz w:val="18"/>
          <w:szCs w:val="18"/>
        </w:rPr>
        <w:t>Karadžičova</w:t>
      </w:r>
      <w:r w:rsidR="00B30CF2" w:rsidRPr="00AD29B7">
        <w:rPr>
          <w:rFonts w:ascii="Times New Roman" w:hAnsi="Times New Roman" w:cs="Times New Roman"/>
          <w:sz w:val="18"/>
          <w:szCs w:val="18"/>
        </w:rPr>
        <w:t xml:space="preserve"> </w:t>
      </w:r>
      <w:r w:rsidRPr="00AD29B7">
        <w:rPr>
          <w:rFonts w:ascii="Times New Roman" w:hAnsi="Times New Roman" w:cs="Times New Roman"/>
          <w:sz w:val="18"/>
          <w:szCs w:val="18"/>
        </w:rPr>
        <w:t>2</w:t>
      </w:r>
    </w:p>
    <w:p w:rsidR="00074520" w:rsidRPr="00AD29B7" w:rsidRDefault="006E2181" w:rsidP="002D5CB3">
      <w:pPr>
        <w:pStyle w:val="odstavec"/>
        <w:rPr>
          <w:rFonts w:ascii="Times New Roman" w:hAnsi="Times New Roman" w:cs="Times New Roman"/>
          <w:sz w:val="18"/>
          <w:szCs w:val="18"/>
        </w:rPr>
      </w:pPr>
      <w:bookmarkStart w:id="1" w:name="EntityAddressL2"/>
      <w:r w:rsidRPr="00AD29B7">
        <w:rPr>
          <w:rFonts w:ascii="Times New Roman" w:hAnsi="Times New Roman" w:cs="Times New Roman"/>
          <w:sz w:val="18"/>
          <w:szCs w:val="18"/>
        </w:rPr>
        <w:t>811 0</w:t>
      </w:r>
      <w:r w:rsidR="003702EE" w:rsidRPr="00AD29B7">
        <w:rPr>
          <w:rFonts w:ascii="Times New Roman" w:hAnsi="Times New Roman" w:cs="Times New Roman"/>
          <w:sz w:val="18"/>
          <w:szCs w:val="18"/>
        </w:rPr>
        <w:t>8</w:t>
      </w:r>
      <w:r w:rsidRPr="00AD29B7">
        <w:rPr>
          <w:rFonts w:ascii="Times New Roman" w:hAnsi="Times New Roman" w:cs="Times New Roman"/>
          <w:sz w:val="18"/>
          <w:szCs w:val="18"/>
        </w:rPr>
        <w:t xml:space="preserve"> </w:t>
      </w:r>
      <w:r w:rsidR="00B30CF2" w:rsidRPr="00AD29B7">
        <w:rPr>
          <w:rFonts w:ascii="Times New Roman" w:hAnsi="Times New Roman" w:cs="Times New Roman"/>
          <w:sz w:val="18"/>
          <w:szCs w:val="18"/>
        </w:rPr>
        <w:t xml:space="preserve"> </w:t>
      </w:r>
      <w:r w:rsidRPr="00AD29B7">
        <w:rPr>
          <w:rFonts w:ascii="Times New Roman" w:hAnsi="Times New Roman" w:cs="Times New Roman"/>
          <w:sz w:val="18"/>
          <w:szCs w:val="18"/>
        </w:rPr>
        <w:t>Bratislava</w:t>
      </w:r>
      <w:bookmarkEnd w:id="1"/>
    </w:p>
    <w:p w:rsidR="00074520" w:rsidRPr="00AD29B7" w:rsidRDefault="00074520" w:rsidP="002D5CB3">
      <w:pPr>
        <w:pStyle w:val="odstavec"/>
        <w:rPr>
          <w:rFonts w:ascii="Times New Roman" w:hAnsi="Times New Roman" w:cs="Times New Roman"/>
          <w:sz w:val="18"/>
          <w:szCs w:val="18"/>
        </w:rPr>
      </w:pPr>
    </w:p>
    <w:p w:rsidR="00A3677A" w:rsidRPr="00AD29B7" w:rsidRDefault="005125E4" w:rsidP="002D5CB3">
      <w:pPr>
        <w:pStyle w:val="body"/>
        <w:rPr>
          <w:rFonts w:ascii="Times New Roman" w:hAnsi="Times New Roman" w:cs="Times New Roman"/>
          <w:sz w:val="18"/>
          <w:szCs w:val="18"/>
        </w:rPr>
      </w:pPr>
      <w:r w:rsidRPr="00AD29B7">
        <w:rPr>
          <w:rFonts w:ascii="Times New Roman" w:hAnsi="Times New Roman" w:cs="Times New Roman"/>
          <w:sz w:val="18"/>
          <w:szCs w:val="18"/>
        </w:rPr>
        <w:t xml:space="preserve">Spoločnosť </w:t>
      </w:r>
      <w:r w:rsidRPr="00AD29B7">
        <w:rPr>
          <w:rFonts w:ascii="Times New Roman" w:hAnsi="Times New Roman" w:cs="Times New Roman"/>
          <w:sz w:val="18"/>
          <w:szCs w:val="18"/>
        </w:rPr>
        <w:fldChar w:fldCharType="begin"/>
      </w:r>
      <w:r w:rsidRPr="00AD29B7">
        <w:rPr>
          <w:rFonts w:ascii="Times New Roman" w:hAnsi="Times New Roman" w:cs="Times New Roman"/>
          <w:sz w:val="18"/>
          <w:szCs w:val="18"/>
        </w:rPr>
        <w:instrText xml:space="preserve"> REF EntityName \h </w:instrText>
      </w:r>
      <w:r w:rsidR="00D81FBA" w:rsidRPr="00AD29B7">
        <w:rPr>
          <w:rFonts w:ascii="Times New Roman" w:hAnsi="Times New Roman" w:cs="Times New Roman"/>
          <w:sz w:val="18"/>
          <w:szCs w:val="18"/>
        </w:rPr>
        <w:instrText xml:space="preserve"> \* MERGEFORMAT </w:instrText>
      </w:r>
      <w:r w:rsidRPr="00AD29B7">
        <w:rPr>
          <w:rFonts w:ascii="Times New Roman" w:hAnsi="Times New Roman" w:cs="Times New Roman"/>
          <w:sz w:val="18"/>
          <w:szCs w:val="18"/>
        </w:rPr>
      </w:r>
      <w:r w:rsidRPr="00AD29B7">
        <w:rPr>
          <w:rFonts w:ascii="Times New Roman" w:hAnsi="Times New Roman" w:cs="Times New Roman"/>
          <w:sz w:val="18"/>
          <w:szCs w:val="18"/>
        </w:rPr>
        <w:fldChar w:fldCharType="separate"/>
      </w:r>
      <w:r w:rsidR="00A64C7D" w:rsidRPr="00A64C7D">
        <w:rPr>
          <w:rFonts w:ascii="Times New Roman" w:hAnsi="Times New Roman" w:cs="Times New Roman"/>
          <w:sz w:val="18"/>
          <w:szCs w:val="18"/>
        </w:rPr>
        <w:t>Oerlikon Balzers Coating Slovakia s. r. o.</w:t>
      </w:r>
      <w:r w:rsidRPr="00AD29B7">
        <w:rPr>
          <w:rFonts w:ascii="Times New Roman" w:hAnsi="Times New Roman" w:cs="Times New Roman"/>
          <w:sz w:val="18"/>
          <w:szCs w:val="18"/>
        </w:rPr>
        <w:fldChar w:fldCharType="end"/>
      </w:r>
      <w:r w:rsidRPr="00AD29B7">
        <w:rPr>
          <w:rFonts w:ascii="Times New Roman" w:hAnsi="Times New Roman" w:cs="Times New Roman"/>
          <w:sz w:val="18"/>
          <w:szCs w:val="18"/>
        </w:rPr>
        <w:t xml:space="preserve"> </w:t>
      </w:r>
      <w:r w:rsidR="001A02BF" w:rsidRPr="00AD29B7">
        <w:rPr>
          <w:rFonts w:ascii="Times New Roman" w:hAnsi="Times New Roman" w:cs="Times New Roman"/>
          <w:sz w:val="18"/>
          <w:szCs w:val="18"/>
        </w:rPr>
        <w:t xml:space="preserve">(ďalej len „Spoločnosť“) bola založená </w:t>
      </w:r>
      <w:r w:rsidR="00FB3496" w:rsidRPr="00AD29B7">
        <w:rPr>
          <w:rFonts w:ascii="Times New Roman" w:hAnsi="Times New Roman" w:cs="Times New Roman"/>
          <w:sz w:val="18"/>
          <w:szCs w:val="18"/>
        </w:rPr>
        <w:t xml:space="preserve">10. októbra </w:t>
      </w:r>
      <w:r w:rsidR="006C3BD9" w:rsidRPr="00AD29B7">
        <w:rPr>
          <w:rFonts w:ascii="Times New Roman" w:hAnsi="Times New Roman" w:cs="Times New Roman"/>
          <w:sz w:val="18"/>
          <w:szCs w:val="18"/>
        </w:rPr>
        <w:t>2014</w:t>
      </w:r>
      <w:r w:rsidR="001A02BF" w:rsidRPr="00AD29B7">
        <w:rPr>
          <w:rFonts w:ascii="Times New Roman" w:hAnsi="Times New Roman" w:cs="Times New Roman"/>
          <w:sz w:val="18"/>
          <w:szCs w:val="18"/>
        </w:rPr>
        <w:t xml:space="preserve"> a do </w:t>
      </w:r>
      <w:r w:rsidR="00DD5F18" w:rsidRPr="00AD29B7">
        <w:rPr>
          <w:rFonts w:ascii="Times New Roman" w:hAnsi="Times New Roman" w:cs="Times New Roman"/>
          <w:sz w:val="18"/>
          <w:szCs w:val="18"/>
        </w:rPr>
        <w:t>O</w:t>
      </w:r>
      <w:r w:rsidR="001A02BF" w:rsidRPr="00AD29B7">
        <w:rPr>
          <w:rFonts w:ascii="Times New Roman" w:hAnsi="Times New Roman" w:cs="Times New Roman"/>
          <w:sz w:val="18"/>
          <w:szCs w:val="18"/>
        </w:rPr>
        <w:t xml:space="preserve">bchodného registra bola zapísaná </w:t>
      </w:r>
      <w:r w:rsidR="006C3BD9" w:rsidRPr="00AD29B7">
        <w:rPr>
          <w:rFonts w:ascii="Times New Roman" w:hAnsi="Times New Roman" w:cs="Times New Roman"/>
          <w:sz w:val="18"/>
          <w:szCs w:val="18"/>
        </w:rPr>
        <w:t>19.</w:t>
      </w:r>
      <w:r w:rsidR="00FB3496" w:rsidRPr="00AD29B7">
        <w:rPr>
          <w:rFonts w:ascii="Times New Roman" w:hAnsi="Times New Roman" w:cs="Times New Roman"/>
          <w:sz w:val="18"/>
          <w:szCs w:val="18"/>
        </w:rPr>
        <w:t xml:space="preserve"> novembra </w:t>
      </w:r>
      <w:r w:rsidR="006C3BD9" w:rsidRPr="00AD29B7">
        <w:rPr>
          <w:rFonts w:ascii="Times New Roman" w:hAnsi="Times New Roman" w:cs="Times New Roman"/>
          <w:sz w:val="18"/>
          <w:szCs w:val="18"/>
        </w:rPr>
        <w:t>2014</w:t>
      </w:r>
      <w:r w:rsidR="00FF1879" w:rsidRPr="00AD29B7">
        <w:rPr>
          <w:rFonts w:ascii="Times New Roman" w:hAnsi="Times New Roman" w:cs="Times New Roman"/>
          <w:sz w:val="18"/>
          <w:szCs w:val="18"/>
        </w:rPr>
        <w:t xml:space="preserve"> </w:t>
      </w:r>
      <w:r w:rsidR="001A02BF" w:rsidRPr="00AD29B7">
        <w:rPr>
          <w:rFonts w:ascii="Times New Roman" w:hAnsi="Times New Roman" w:cs="Times New Roman"/>
          <w:sz w:val="18"/>
          <w:szCs w:val="18"/>
        </w:rPr>
        <w:t xml:space="preserve">(Obchodný register Okresného súdu </w:t>
      </w:r>
      <w:r w:rsidR="006C3BD9" w:rsidRPr="00AD29B7">
        <w:rPr>
          <w:rFonts w:ascii="Times New Roman" w:hAnsi="Times New Roman" w:cs="Times New Roman"/>
          <w:sz w:val="18"/>
          <w:szCs w:val="18"/>
        </w:rPr>
        <w:t>Bratislava I</w:t>
      </w:r>
      <w:r w:rsidR="001A02BF" w:rsidRPr="00AD29B7">
        <w:rPr>
          <w:rFonts w:ascii="Times New Roman" w:hAnsi="Times New Roman" w:cs="Times New Roman"/>
          <w:sz w:val="18"/>
          <w:szCs w:val="18"/>
        </w:rPr>
        <w:t xml:space="preserve"> v </w:t>
      </w:r>
      <w:r w:rsidR="006C3BD9" w:rsidRPr="00AD29B7">
        <w:rPr>
          <w:rFonts w:ascii="Times New Roman" w:hAnsi="Times New Roman" w:cs="Times New Roman"/>
          <w:sz w:val="18"/>
          <w:szCs w:val="18"/>
        </w:rPr>
        <w:t>Bratislave</w:t>
      </w:r>
      <w:r w:rsidR="001A02BF" w:rsidRPr="00AD29B7">
        <w:rPr>
          <w:rFonts w:ascii="Times New Roman" w:hAnsi="Times New Roman" w:cs="Times New Roman"/>
          <w:sz w:val="18"/>
          <w:szCs w:val="18"/>
        </w:rPr>
        <w:t xml:space="preserve">, </w:t>
      </w:r>
      <w:r w:rsidR="002A6B50" w:rsidRPr="00AD29B7">
        <w:rPr>
          <w:rFonts w:ascii="Times New Roman" w:hAnsi="Times New Roman" w:cs="Times New Roman"/>
          <w:sz w:val="18"/>
          <w:szCs w:val="18"/>
        </w:rPr>
        <w:t xml:space="preserve">oddiel </w:t>
      </w:r>
      <w:r w:rsidR="006C3BD9" w:rsidRPr="00AD29B7">
        <w:rPr>
          <w:rFonts w:ascii="Times New Roman" w:hAnsi="Times New Roman" w:cs="Times New Roman"/>
          <w:sz w:val="18"/>
          <w:szCs w:val="18"/>
        </w:rPr>
        <w:t>Sro</w:t>
      </w:r>
      <w:r w:rsidR="001A02BF" w:rsidRPr="00AD29B7">
        <w:rPr>
          <w:rFonts w:ascii="Times New Roman" w:hAnsi="Times New Roman" w:cs="Times New Roman"/>
          <w:sz w:val="18"/>
          <w:szCs w:val="18"/>
        </w:rPr>
        <w:t xml:space="preserve">, vložka </w:t>
      </w:r>
      <w:r w:rsidR="00314E35" w:rsidRPr="00AD29B7">
        <w:rPr>
          <w:rFonts w:ascii="Times New Roman" w:hAnsi="Times New Roman" w:cs="Times New Roman"/>
          <w:sz w:val="18"/>
          <w:szCs w:val="18"/>
        </w:rPr>
        <w:t xml:space="preserve">č. </w:t>
      </w:r>
      <w:r w:rsidR="006C3BD9" w:rsidRPr="00AD29B7">
        <w:rPr>
          <w:rFonts w:ascii="Times New Roman" w:hAnsi="Times New Roman" w:cs="Times New Roman"/>
          <w:sz w:val="18"/>
          <w:szCs w:val="18"/>
        </w:rPr>
        <w:t>101325/B</w:t>
      </w:r>
      <w:r w:rsidR="001A02BF" w:rsidRPr="00AD29B7">
        <w:rPr>
          <w:rFonts w:ascii="Times New Roman" w:hAnsi="Times New Roman" w:cs="Times New Roman"/>
          <w:sz w:val="18"/>
          <w:szCs w:val="18"/>
        </w:rPr>
        <w:t>).</w:t>
      </w:r>
    </w:p>
    <w:p w:rsidR="00A3677A" w:rsidRPr="00AD29B7" w:rsidRDefault="00A3677A" w:rsidP="002D5CB3">
      <w:pPr>
        <w:pStyle w:val="odstavec"/>
        <w:rPr>
          <w:rFonts w:ascii="Times New Roman" w:hAnsi="Times New Roman" w:cs="Times New Roman"/>
          <w:sz w:val="18"/>
          <w:szCs w:val="18"/>
        </w:rPr>
      </w:pPr>
    </w:p>
    <w:p w:rsidR="002A6B50" w:rsidRPr="00AD29B7" w:rsidRDefault="001A02BF" w:rsidP="00190793">
      <w:pPr>
        <w:pStyle w:val="Heading2"/>
        <w:numPr>
          <w:ilvl w:val="0"/>
          <w:numId w:val="0"/>
        </w:numPr>
        <w:ind w:left="425"/>
        <w:rPr>
          <w:rFonts w:ascii="Times New Roman" w:hAnsi="Times New Roman" w:cs="Times New Roman"/>
          <w:sz w:val="18"/>
          <w:szCs w:val="18"/>
        </w:rPr>
      </w:pPr>
      <w:r w:rsidRPr="00AD29B7">
        <w:rPr>
          <w:rFonts w:ascii="Times New Roman" w:hAnsi="Times New Roman" w:cs="Times New Roman"/>
          <w:sz w:val="18"/>
          <w:szCs w:val="18"/>
        </w:rPr>
        <w:t xml:space="preserve">Hlavné činnosti Spoločnosti podľa výpisu z </w:t>
      </w:r>
      <w:r w:rsidR="00DD5F18" w:rsidRPr="00AD29B7">
        <w:rPr>
          <w:rFonts w:ascii="Times New Roman" w:hAnsi="Times New Roman" w:cs="Times New Roman"/>
          <w:sz w:val="18"/>
          <w:szCs w:val="18"/>
        </w:rPr>
        <w:t>O</w:t>
      </w:r>
      <w:r w:rsidRPr="00AD29B7">
        <w:rPr>
          <w:rFonts w:ascii="Times New Roman" w:hAnsi="Times New Roman" w:cs="Times New Roman"/>
          <w:sz w:val="18"/>
          <w:szCs w:val="18"/>
        </w:rPr>
        <w:t>bchodného registra</w:t>
      </w:r>
    </w:p>
    <w:p w:rsidR="00A3677A" w:rsidRPr="00AD29B7" w:rsidRDefault="00B4149F" w:rsidP="002D5CB3">
      <w:pPr>
        <w:pStyle w:val="odstavec"/>
        <w:rPr>
          <w:rFonts w:ascii="Times New Roman" w:hAnsi="Times New Roman" w:cs="Times New Roman"/>
          <w:sz w:val="18"/>
          <w:szCs w:val="18"/>
        </w:rPr>
      </w:pPr>
      <w:r w:rsidRPr="00AD29B7">
        <w:rPr>
          <w:rFonts w:ascii="Times New Roman" w:hAnsi="Times New Roman" w:cs="Times New Roman"/>
          <w:sz w:val="18"/>
          <w:szCs w:val="18"/>
        </w:rPr>
        <w:t>Opracovanie kovu jednoduchým spôsobom.</w:t>
      </w:r>
    </w:p>
    <w:p w:rsidR="00A3677A" w:rsidRPr="00AD29B7" w:rsidRDefault="00A3677A" w:rsidP="002D5CB3">
      <w:pPr>
        <w:pStyle w:val="odstavec"/>
        <w:rPr>
          <w:rFonts w:ascii="Times New Roman" w:hAnsi="Times New Roman" w:cs="Times New Roman"/>
          <w:sz w:val="18"/>
          <w:szCs w:val="18"/>
        </w:rPr>
      </w:pPr>
    </w:p>
    <w:p w:rsidR="002A6B50" w:rsidRPr="00AD29B7" w:rsidRDefault="006A14AA" w:rsidP="009E20F9">
      <w:pPr>
        <w:pStyle w:val="Heading2"/>
        <w:rPr>
          <w:rFonts w:ascii="Times New Roman" w:hAnsi="Times New Roman" w:cs="Times New Roman"/>
          <w:sz w:val="18"/>
          <w:szCs w:val="18"/>
        </w:rPr>
      </w:pPr>
      <w:r w:rsidRPr="00AD29B7">
        <w:rPr>
          <w:rFonts w:ascii="Times New Roman" w:hAnsi="Times New Roman" w:cs="Times New Roman"/>
          <w:sz w:val="18"/>
          <w:szCs w:val="18"/>
        </w:rPr>
        <w:t>Neobmedzené ručenie</w:t>
      </w:r>
      <w:bookmarkStart w:id="2" w:name="_GoBack"/>
      <w:bookmarkEnd w:id="2"/>
    </w:p>
    <w:p w:rsidR="002A6B50" w:rsidRPr="00AD29B7" w:rsidRDefault="001A02BF" w:rsidP="002D5CB3">
      <w:pPr>
        <w:pStyle w:val="body"/>
        <w:rPr>
          <w:rFonts w:ascii="Times New Roman" w:hAnsi="Times New Roman" w:cs="Times New Roman"/>
          <w:sz w:val="18"/>
          <w:szCs w:val="18"/>
        </w:rPr>
      </w:pPr>
      <w:r w:rsidRPr="00AD29B7">
        <w:rPr>
          <w:rFonts w:ascii="Times New Roman" w:hAnsi="Times New Roman" w:cs="Times New Roman"/>
          <w:sz w:val="18"/>
          <w:szCs w:val="18"/>
        </w:rPr>
        <w:t xml:space="preserve">Spoločnosť </w:t>
      </w:r>
      <w:r w:rsidR="00052D5F" w:rsidRPr="00AD29B7">
        <w:rPr>
          <w:rFonts w:ascii="Times New Roman" w:hAnsi="Times New Roman" w:cs="Times New Roman"/>
          <w:sz w:val="18"/>
          <w:szCs w:val="18"/>
        </w:rPr>
        <w:t xml:space="preserve">nie je </w:t>
      </w:r>
      <w:r w:rsidRPr="00AD29B7">
        <w:rPr>
          <w:rFonts w:ascii="Times New Roman" w:hAnsi="Times New Roman" w:cs="Times New Roman"/>
          <w:sz w:val="18"/>
          <w:szCs w:val="18"/>
        </w:rPr>
        <w:t>neobmedzene ručiacim spoločníkom v iných účtovných jednotkách</w:t>
      </w:r>
      <w:r w:rsidR="00052D5F" w:rsidRPr="00AD29B7">
        <w:rPr>
          <w:rFonts w:ascii="Times New Roman" w:hAnsi="Times New Roman" w:cs="Times New Roman"/>
          <w:sz w:val="18"/>
          <w:szCs w:val="18"/>
        </w:rPr>
        <w:t>.</w:t>
      </w:r>
    </w:p>
    <w:p w:rsidR="00A154F1" w:rsidRPr="00AD29B7" w:rsidRDefault="00A154F1" w:rsidP="002D5CB3">
      <w:pPr>
        <w:pStyle w:val="body"/>
        <w:rPr>
          <w:rFonts w:ascii="Times New Roman" w:hAnsi="Times New Roman" w:cs="Times New Roman"/>
          <w:sz w:val="18"/>
          <w:szCs w:val="18"/>
        </w:rPr>
      </w:pPr>
    </w:p>
    <w:p w:rsidR="006E2181" w:rsidRPr="00AD29B7" w:rsidRDefault="005C39C1" w:rsidP="00AD29B7">
      <w:pPr>
        <w:pStyle w:val="Heading2"/>
        <w:rPr>
          <w:rFonts w:ascii="Times New Roman" w:hAnsi="Times New Roman" w:cs="Times New Roman"/>
          <w:sz w:val="18"/>
          <w:szCs w:val="18"/>
        </w:rPr>
      </w:pPr>
      <w:r w:rsidRPr="00AD29B7">
        <w:rPr>
          <w:rFonts w:ascii="Times New Roman" w:hAnsi="Times New Roman" w:cs="Times New Roman"/>
          <w:sz w:val="18"/>
          <w:szCs w:val="18"/>
        </w:rPr>
        <w:t>Počet zamestnancov</w:t>
      </w:r>
      <w:bookmarkStart w:id="3" w:name="FWT_NUMBER_OF_EMPLOYEES"/>
    </w:p>
    <w:tbl>
      <w:tblPr>
        <w:tblW w:w="0" w:type="auto"/>
        <w:tblInd w:w="426" w:type="dxa"/>
        <w:tblLayout w:type="fixed"/>
        <w:tblCellMar>
          <w:left w:w="70" w:type="dxa"/>
          <w:right w:w="70" w:type="dxa"/>
        </w:tblCellMar>
        <w:tblLook w:val="04A0" w:firstRow="1" w:lastRow="0" w:firstColumn="1" w:lastColumn="0" w:noHBand="0" w:noVBand="1"/>
      </w:tblPr>
      <w:tblGrid>
        <w:gridCol w:w="6590"/>
        <w:gridCol w:w="2693"/>
      </w:tblGrid>
      <w:tr w:rsidR="006C3BD9" w:rsidRPr="00AD29B7" w:rsidTr="006C3BD9">
        <w:trPr>
          <w:trHeight w:val="679"/>
        </w:trPr>
        <w:tc>
          <w:tcPr>
            <w:tcW w:w="6590" w:type="dxa"/>
            <w:tcBorders>
              <w:top w:val="nil"/>
              <w:left w:val="nil"/>
              <w:bottom w:val="single" w:sz="4" w:space="0" w:color="auto"/>
              <w:right w:val="nil"/>
            </w:tcBorders>
            <w:shd w:val="clear" w:color="auto" w:fill="auto"/>
            <w:noWrap/>
            <w:vAlign w:val="bottom"/>
            <w:hideMark/>
          </w:tcPr>
          <w:p w:rsidR="006C3BD9" w:rsidRPr="00AD29B7" w:rsidRDefault="006C3BD9">
            <w:pPr>
              <w:jc w:val="center"/>
              <w:rPr>
                <w:b/>
                <w:bCs/>
                <w:sz w:val="18"/>
                <w:szCs w:val="18"/>
              </w:rPr>
            </w:pPr>
            <w:bookmarkStart w:id="4" w:name="RANGE!B3:D6"/>
            <w:r w:rsidRPr="00AD29B7">
              <w:rPr>
                <w:b/>
                <w:bCs/>
                <w:sz w:val="18"/>
                <w:szCs w:val="18"/>
              </w:rPr>
              <w:t>Názov položky</w:t>
            </w:r>
            <w:bookmarkEnd w:id="4"/>
            <w:r w:rsidR="00307976" w:rsidRPr="00AD29B7">
              <w:rPr>
                <w:b/>
                <w:bCs/>
                <w:sz w:val="18"/>
                <w:szCs w:val="18"/>
              </w:rPr>
              <w:t xml:space="preserve">                                                                          Stav k 31.12.2014   </w:t>
            </w:r>
          </w:p>
        </w:tc>
        <w:tc>
          <w:tcPr>
            <w:tcW w:w="2693" w:type="dxa"/>
            <w:tcBorders>
              <w:top w:val="nil"/>
              <w:left w:val="nil"/>
              <w:bottom w:val="single" w:sz="4" w:space="0" w:color="auto"/>
              <w:right w:val="nil"/>
            </w:tcBorders>
            <w:shd w:val="clear" w:color="auto" w:fill="auto"/>
            <w:vAlign w:val="bottom"/>
            <w:hideMark/>
          </w:tcPr>
          <w:p w:rsidR="006C3BD9" w:rsidRPr="00AD29B7" w:rsidRDefault="0044515A" w:rsidP="003702EE">
            <w:pPr>
              <w:jc w:val="center"/>
              <w:rPr>
                <w:b/>
                <w:bCs/>
                <w:sz w:val="18"/>
                <w:szCs w:val="18"/>
              </w:rPr>
            </w:pPr>
            <w:r w:rsidRPr="00AD29B7">
              <w:rPr>
                <w:b/>
                <w:bCs/>
                <w:sz w:val="18"/>
                <w:szCs w:val="18"/>
              </w:rPr>
              <w:t xml:space="preserve">                     </w:t>
            </w:r>
            <w:r w:rsidR="006C3BD9" w:rsidRPr="00AD29B7">
              <w:rPr>
                <w:b/>
                <w:bCs/>
                <w:sz w:val="18"/>
                <w:szCs w:val="18"/>
              </w:rPr>
              <w:t>Stav k 31.12.201</w:t>
            </w:r>
            <w:r w:rsidR="003702EE" w:rsidRPr="00AD29B7">
              <w:rPr>
                <w:b/>
                <w:bCs/>
                <w:sz w:val="18"/>
                <w:szCs w:val="18"/>
              </w:rPr>
              <w:t>5</w:t>
            </w:r>
          </w:p>
        </w:tc>
      </w:tr>
      <w:tr w:rsidR="006C3BD9" w:rsidRPr="00AD29B7" w:rsidTr="006C3BD9">
        <w:trPr>
          <w:trHeight w:val="240"/>
        </w:trPr>
        <w:tc>
          <w:tcPr>
            <w:tcW w:w="6590" w:type="dxa"/>
            <w:tcBorders>
              <w:top w:val="nil"/>
              <w:left w:val="nil"/>
              <w:bottom w:val="nil"/>
              <w:right w:val="nil"/>
            </w:tcBorders>
            <w:shd w:val="clear" w:color="auto" w:fill="auto"/>
            <w:vAlign w:val="bottom"/>
            <w:hideMark/>
          </w:tcPr>
          <w:p w:rsidR="006C3BD9" w:rsidRPr="00AD29B7" w:rsidRDefault="006C3BD9">
            <w:pPr>
              <w:rPr>
                <w:sz w:val="18"/>
                <w:szCs w:val="18"/>
              </w:rPr>
            </w:pPr>
            <w:r w:rsidRPr="00AD29B7">
              <w:rPr>
                <w:sz w:val="18"/>
                <w:szCs w:val="18"/>
              </w:rPr>
              <w:t>Priemerný prepočítaný počet zamestnancov</w:t>
            </w:r>
            <w:r w:rsidR="00307976" w:rsidRPr="00AD29B7">
              <w:rPr>
                <w:sz w:val="18"/>
                <w:szCs w:val="18"/>
              </w:rPr>
              <w:t xml:space="preserve">                                                        0 </w:t>
            </w:r>
          </w:p>
        </w:tc>
        <w:tc>
          <w:tcPr>
            <w:tcW w:w="2693" w:type="dxa"/>
            <w:tcBorders>
              <w:top w:val="nil"/>
              <w:left w:val="nil"/>
              <w:bottom w:val="nil"/>
              <w:right w:val="nil"/>
            </w:tcBorders>
            <w:shd w:val="clear" w:color="auto" w:fill="auto"/>
            <w:vAlign w:val="bottom"/>
            <w:hideMark/>
          </w:tcPr>
          <w:p w:rsidR="006C3BD9" w:rsidRPr="00AD29B7" w:rsidRDefault="008F144A">
            <w:pPr>
              <w:jc w:val="right"/>
              <w:rPr>
                <w:sz w:val="18"/>
                <w:szCs w:val="18"/>
              </w:rPr>
            </w:pPr>
            <w:r w:rsidRPr="00AD29B7">
              <w:rPr>
                <w:sz w:val="18"/>
                <w:szCs w:val="18"/>
              </w:rPr>
              <w:t>25</w:t>
            </w:r>
          </w:p>
        </w:tc>
      </w:tr>
      <w:tr w:rsidR="006C3BD9" w:rsidRPr="00AD29B7" w:rsidTr="006C3BD9">
        <w:trPr>
          <w:trHeight w:val="240"/>
        </w:trPr>
        <w:tc>
          <w:tcPr>
            <w:tcW w:w="6590" w:type="dxa"/>
            <w:tcBorders>
              <w:top w:val="nil"/>
              <w:left w:val="nil"/>
              <w:bottom w:val="nil"/>
              <w:right w:val="nil"/>
            </w:tcBorders>
            <w:shd w:val="clear" w:color="auto" w:fill="auto"/>
            <w:vAlign w:val="bottom"/>
            <w:hideMark/>
          </w:tcPr>
          <w:p w:rsidR="006C3BD9" w:rsidRPr="00AD29B7" w:rsidRDefault="006C3BD9" w:rsidP="00307976">
            <w:pPr>
              <w:rPr>
                <w:sz w:val="18"/>
                <w:szCs w:val="18"/>
              </w:rPr>
            </w:pPr>
            <w:r w:rsidRPr="00AD29B7">
              <w:rPr>
                <w:sz w:val="18"/>
                <w:szCs w:val="18"/>
              </w:rPr>
              <w:t>Stav zamestnancov ku dňu, ku ktorému sa zostavuje účtovná závierka</w:t>
            </w:r>
            <w:r w:rsidR="00307976" w:rsidRPr="00AD29B7">
              <w:rPr>
                <w:sz w:val="18"/>
                <w:szCs w:val="18"/>
              </w:rPr>
              <w:t xml:space="preserve">,             0 </w:t>
            </w:r>
          </w:p>
        </w:tc>
        <w:tc>
          <w:tcPr>
            <w:tcW w:w="2693" w:type="dxa"/>
            <w:tcBorders>
              <w:top w:val="nil"/>
              <w:left w:val="nil"/>
              <w:bottom w:val="nil"/>
              <w:right w:val="nil"/>
            </w:tcBorders>
            <w:shd w:val="clear" w:color="auto" w:fill="auto"/>
            <w:vAlign w:val="bottom"/>
            <w:hideMark/>
          </w:tcPr>
          <w:p w:rsidR="006C3BD9" w:rsidRPr="00AD29B7" w:rsidRDefault="008F144A">
            <w:pPr>
              <w:jc w:val="right"/>
              <w:rPr>
                <w:sz w:val="18"/>
                <w:szCs w:val="18"/>
              </w:rPr>
            </w:pPr>
            <w:r w:rsidRPr="00AD29B7">
              <w:rPr>
                <w:sz w:val="18"/>
                <w:szCs w:val="18"/>
              </w:rPr>
              <w:t>62</w:t>
            </w:r>
          </w:p>
        </w:tc>
      </w:tr>
      <w:tr w:rsidR="006C3BD9" w:rsidRPr="00AD29B7" w:rsidTr="006C3BD9">
        <w:trPr>
          <w:trHeight w:val="240"/>
        </w:trPr>
        <w:tc>
          <w:tcPr>
            <w:tcW w:w="6590" w:type="dxa"/>
            <w:tcBorders>
              <w:top w:val="nil"/>
              <w:left w:val="nil"/>
              <w:bottom w:val="nil"/>
              <w:right w:val="nil"/>
            </w:tcBorders>
            <w:shd w:val="clear" w:color="auto" w:fill="auto"/>
            <w:vAlign w:val="bottom"/>
            <w:hideMark/>
          </w:tcPr>
          <w:p w:rsidR="006C3BD9" w:rsidRPr="00AD29B7" w:rsidRDefault="00307976">
            <w:pPr>
              <w:rPr>
                <w:sz w:val="18"/>
                <w:szCs w:val="18"/>
              </w:rPr>
            </w:pPr>
            <w:r w:rsidRPr="00AD29B7">
              <w:rPr>
                <w:sz w:val="18"/>
                <w:szCs w:val="18"/>
              </w:rPr>
              <w:t xml:space="preserve">z toho </w:t>
            </w:r>
            <w:r w:rsidR="006C3BD9" w:rsidRPr="00AD29B7">
              <w:rPr>
                <w:sz w:val="18"/>
                <w:szCs w:val="18"/>
              </w:rPr>
              <w:t>počet vedúcich zamestnancov</w:t>
            </w:r>
            <w:r w:rsidRPr="00AD29B7">
              <w:rPr>
                <w:sz w:val="18"/>
                <w:szCs w:val="18"/>
              </w:rPr>
              <w:t xml:space="preserve">                                                                   0</w:t>
            </w:r>
          </w:p>
        </w:tc>
        <w:tc>
          <w:tcPr>
            <w:tcW w:w="2693" w:type="dxa"/>
            <w:tcBorders>
              <w:top w:val="nil"/>
              <w:left w:val="nil"/>
              <w:bottom w:val="nil"/>
              <w:right w:val="nil"/>
            </w:tcBorders>
            <w:shd w:val="clear" w:color="auto" w:fill="auto"/>
            <w:vAlign w:val="bottom"/>
            <w:hideMark/>
          </w:tcPr>
          <w:p w:rsidR="006C3BD9" w:rsidRPr="00AD29B7" w:rsidRDefault="008F144A">
            <w:pPr>
              <w:jc w:val="right"/>
              <w:rPr>
                <w:sz w:val="18"/>
                <w:szCs w:val="18"/>
              </w:rPr>
            </w:pPr>
            <w:r w:rsidRPr="00AD29B7">
              <w:rPr>
                <w:sz w:val="18"/>
                <w:szCs w:val="18"/>
              </w:rPr>
              <w:t>5</w:t>
            </w:r>
          </w:p>
        </w:tc>
      </w:tr>
    </w:tbl>
    <w:p w:rsidR="00EF5330" w:rsidRPr="00AD29B7" w:rsidRDefault="00EF5330" w:rsidP="002D5CB3">
      <w:pPr>
        <w:pStyle w:val="odstavec"/>
        <w:rPr>
          <w:rFonts w:ascii="Times New Roman" w:hAnsi="Times New Roman" w:cs="Times New Roman"/>
          <w:sz w:val="18"/>
          <w:szCs w:val="18"/>
        </w:rPr>
      </w:pPr>
    </w:p>
    <w:bookmarkEnd w:id="3"/>
    <w:p w:rsidR="00FB6F88" w:rsidRPr="00AD29B7" w:rsidRDefault="00FB6F88" w:rsidP="002D5CB3">
      <w:pPr>
        <w:pStyle w:val="body"/>
        <w:rPr>
          <w:rFonts w:ascii="Times New Roman" w:hAnsi="Times New Roman" w:cs="Times New Roman"/>
          <w:sz w:val="18"/>
          <w:szCs w:val="18"/>
        </w:rPr>
      </w:pPr>
    </w:p>
    <w:p w:rsidR="002A6B50" w:rsidRPr="00AD29B7" w:rsidRDefault="001A02BF" w:rsidP="009E20F9">
      <w:pPr>
        <w:pStyle w:val="Heading2"/>
        <w:rPr>
          <w:rFonts w:ascii="Times New Roman" w:hAnsi="Times New Roman" w:cs="Times New Roman"/>
          <w:sz w:val="18"/>
          <w:szCs w:val="18"/>
        </w:rPr>
      </w:pPr>
      <w:r w:rsidRPr="00AD29B7">
        <w:rPr>
          <w:rFonts w:ascii="Times New Roman" w:hAnsi="Times New Roman" w:cs="Times New Roman"/>
          <w:sz w:val="18"/>
          <w:szCs w:val="18"/>
        </w:rPr>
        <w:t>Právny dôvod na zostavenie účtovnej závierky</w:t>
      </w:r>
    </w:p>
    <w:p w:rsidR="00A3677A" w:rsidRDefault="001A02BF" w:rsidP="002D5CB3">
      <w:pPr>
        <w:pStyle w:val="odstavec"/>
        <w:rPr>
          <w:rFonts w:ascii="Times New Roman" w:hAnsi="Times New Roman" w:cs="Times New Roman"/>
          <w:sz w:val="18"/>
          <w:szCs w:val="18"/>
        </w:rPr>
      </w:pPr>
      <w:r w:rsidRPr="00AD29B7">
        <w:rPr>
          <w:rFonts w:ascii="Times New Roman" w:hAnsi="Times New Roman" w:cs="Times New Roman"/>
          <w:sz w:val="18"/>
          <w:szCs w:val="18"/>
        </w:rPr>
        <w:t>Účt</w:t>
      </w:r>
      <w:r w:rsidR="00D81FBA" w:rsidRPr="00AD29B7">
        <w:rPr>
          <w:rFonts w:ascii="Times New Roman" w:hAnsi="Times New Roman" w:cs="Times New Roman"/>
          <w:sz w:val="18"/>
          <w:szCs w:val="18"/>
        </w:rPr>
        <w:t xml:space="preserve">ovná závierka Spoločnosti k </w:t>
      </w:r>
      <w:bookmarkStart w:id="5" w:name="EntityDateEnd1"/>
      <w:r w:rsidR="006E2181" w:rsidRPr="00AD29B7">
        <w:rPr>
          <w:rFonts w:ascii="Times New Roman" w:hAnsi="Times New Roman" w:cs="Times New Roman"/>
          <w:sz w:val="18"/>
          <w:szCs w:val="18"/>
        </w:rPr>
        <w:t>31.</w:t>
      </w:r>
      <w:r w:rsidR="00FB3496" w:rsidRPr="00AD29B7">
        <w:rPr>
          <w:rFonts w:ascii="Times New Roman" w:hAnsi="Times New Roman" w:cs="Times New Roman"/>
          <w:sz w:val="18"/>
          <w:szCs w:val="18"/>
        </w:rPr>
        <w:t xml:space="preserve"> </w:t>
      </w:r>
      <w:r w:rsidR="006E2181" w:rsidRPr="00AD29B7">
        <w:rPr>
          <w:rFonts w:ascii="Times New Roman" w:hAnsi="Times New Roman" w:cs="Times New Roman"/>
          <w:sz w:val="18"/>
          <w:szCs w:val="18"/>
        </w:rPr>
        <w:t>decembru 201</w:t>
      </w:r>
      <w:bookmarkEnd w:id="5"/>
      <w:r w:rsidR="003702EE" w:rsidRPr="00AD29B7">
        <w:rPr>
          <w:rFonts w:ascii="Times New Roman" w:hAnsi="Times New Roman" w:cs="Times New Roman"/>
          <w:sz w:val="18"/>
          <w:szCs w:val="18"/>
        </w:rPr>
        <w:t>5</w:t>
      </w:r>
      <w:r w:rsidR="00D81FBA" w:rsidRPr="00AD29B7">
        <w:rPr>
          <w:rFonts w:ascii="Times New Roman" w:hAnsi="Times New Roman" w:cs="Times New Roman"/>
          <w:sz w:val="18"/>
          <w:szCs w:val="18"/>
        </w:rPr>
        <w:t xml:space="preserve"> </w:t>
      </w:r>
      <w:r w:rsidRPr="00AD29B7">
        <w:rPr>
          <w:rFonts w:ascii="Times New Roman" w:hAnsi="Times New Roman" w:cs="Times New Roman"/>
          <w:sz w:val="18"/>
          <w:szCs w:val="18"/>
        </w:rPr>
        <w:t>je zostavená ako riadna účtovná závierka podľa §</w:t>
      </w:r>
      <w:r w:rsidR="0020476C" w:rsidRPr="00AD29B7">
        <w:rPr>
          <w:rFonts w:ascii="Times New Roman" w:hAnsi="Times New Roman" w:cs="Times New Roman"/>
          <w:sz w:val="18"/>
          <w:szCs w:val="18"/>
        </w:rPr>
        <w:t> </w:t>
      </w:r>
      <w:r w:rsidRPr="00AD29B7">
        <w:rPr>
          <w:rFonts w:ascii="Times New Roman" w:hAnsi="Times New Roman" w:cs="Times New Roman"/>
          <w:sz w:val="18"/>
          <w:szCs w:val="18"/>
        </w:rPr>
        <w:t xml:space="preserve">17 ods. 6 zákona NR SR č. 431/2002 Z.z. o účtovníctve </w:t>
      </w:r>
      <w:r w:rsidR="00FF1879" w:rsidRPr="00AD29B7">
        <w:rPr>
          <w:rFonts w:ascii="Times New Roman" w:hAnsi="Times New Roman" w:cs="Times New Roman"/>
          <w:sz w:val="18"/>
          <w:szCs w:val="18"/>
        </w:rPr>
        <w:t xml:space="preserve">v znení neskorších predpisov </w:t>
      </w:r>
      <w:r w:rsidRPr="00AD29B7">
        <w:rPr>
          <w:rFonts w:ascii="Times New Roman" w:hAnsi="Times New Roman" w:cs="Times New Roman"/>
          <w:sz w:val="18"/>
          <w:szCs w:val="18"/>
        </w:rPr>
        <w:t xml:space="preserve">(ďalej len „zákon o účtovníctve“) za účtovné obdobie od </w:t>
      </w:r>
      <w:bookmarkStart w:id="6" w:name="EntityDateStart"/>
      <w:r w:rsidR="00FA73B8" w:rsidRPr="00AD29B7">
        <w:rPr>
          <w:rFonts w:ascii="Times New Roman" w:hAnsi="Times New Roman" w:cs="Times New Roman"/>
          <w:sz w:val="18"/>
          <w:szCs w:val="18"/>
        </w:rPr>
        <w:t>1.</w:t>
      </w:r>
      <w:r w:rsidR="00FB3496" w:rsidRPr="00AD29B7">
        <w:rPr>
          <w:rFonts w:ascii="Times New Roman" w:hAnsi="Times New Roman" w:cs="Times New Roman"/>
          <w:sz w:val="18"/>
          <w:szCs w:val="18"/>
        </w:rPr>
        <w:t xml:space="preserve"> </w:t>
      </w:r>
      <w:r w:rsidR="003702EE" w:rsidRPr="00AD29B7">
        <w:rPr>
          <w:rFonts w:ascii="Times New Roman" w:hAnsi="Times New Roman" w:cs="Times New Roman"/>
          <w:sz w:val="18"/>
          <w:szCs w:val="18"/>
        </w:rPr>
        <w:t>januára</w:t>
      </w:r>
      <w:r w:rsidR="00FA73B8" w:rsidRPr="00AD29B7">
        <w:rPr>
          <w:rFonts w:ascii="Times New Roman" w:hAnsi="Times New Roman" w:cs="Times New Roman"/>
          <w:sz w:val="18"/>
          <w:szCs w:val="18"/>
        </w:rPr>
        <w:t xml:space="preserve"> 201</w:t>
      </w:r>
      <w:bookmarkEnd w:id="6"/>
      <w:r w:rsidR="003702EE" w:rsidRPr="00AD29B7">
        <w:rPr>
          <w:rFonts w:ascii="Times New Roman" w:hAnsi="Times New Roman" w:cs="Times New Roman"/>
          <w:sz w:val="18"/>
          <w:szCs w:val="18"/>
        </w:rPr>
        <w:t>5</w:t>
      </w:r>
      <w:r w:rsidRPr="00AD29B7">
        <w:rPr>
          <w:rFonts w:ascii="Times New Roman" w:hAnsi="Times New Roman" w:cs="Times New Roman"/>
          <w:sz w:val="18"/>
          <w:szCs w:val="18"/>
        </w:rPr>
        <w:t xml:space="preserve"> d</w:t>
      </w:r>
      <w:r w:rsidR="00E61CAB" w:rsidRPr="00AD29B7">
        <w:rPr>
          <w:rFonts w:ascii="Times New Roman" w:hAnsi="Times New Roman" w:cs="Times New Roman"/>
          <w:sz w:val="18"/>
          <w:szCs w:val="18"/>
        </w:rPr>
        <w:t>o</w:t>
      </w:r>
      <w:r w:rsidR="00EA3561" w:rsidRPr="00AD29B7">
        <w:rPr>
          <w:rFonts w:ascii="Times New Roman" w:hAnsi="Times New Roman" w:cs="Times New Roman"/>
          <w:sz w:val="18"/>
          <w:szCs w:val="18"/>
        </w:rPr>
        <w:t xml:space="preserve"> </w:t>
      </w:r>
      <w:r w:rsidR="00E61CAB" w:rsidRPr="00AD29B7">
        <w:rPr>
          <w:rFonts w:ascii="Times New Roman" w:hAnsi="Times New Roman" w:cs="Times New Roman"/>
          <w:sz w:val="18"/>
          <w:szCs w:val="18"/>
        </w:rPr>
        <w:t xml:space="preserve"> </w:t>
      </w:r>
      <w:bookmarkStart w:id="7" w:name="EntityDateEnd2"/>
      <w:r w:rsidR="00FA73B8" w:rsidRPr="00AD29B7">
        <w:rPr>
          <w:rFonts w:ascii="Times New Roman" w:hAnsi="Times New Roman" w:cs="Times New Roman"/>
          <w:sz w:val="18"/>
          <w:szCs w:val="18"/>
        </w:rPr>
        <w:t>31.</w:t>
      </w:r>
      <w:r w:rsidR="00FB3496" w:rsidRPr="00AD29B7">
        <w:rPr>
          <w:rFonts w:ascii="Times New Roman" w:hAnsi="Times New Roman" w:cs="Times New Roman"/>
          <w:sz w:val="18"/>
          <w:szCs w:val="18"/>
        </w:rPr>
        <w:t xml:space="preserve"> </w:t>
      </w:r>
      <w:r w:rsidR="00FA73B8" w:rsidRPr="00AD29B7">
        <w:rPr>
          <w:rFonts w:ascii="Times New Roman" w:hAnsi="Times New Roman" w:cs="Times New Roman"/>
          <w:sz w:val="18"/>
          <w:szCs w:val="18"/>
        </w:rPr>
        <w:t>decembra 201</w:t>
      </w:r>
      <w:bookmarkEnd w:id="7"/>
      <w:r w:rsidR="003702EE" w:rsidRPr="00AD29B7">
        <w:rPr>
          <w:rFonts w:ascii="Times New Roman" w:hAnsi="Times New Roman" w:cs="Times New Roman"/>
          <w:sz w:val="18"/>
          <w:szCs w:val="18"/>
        </w:rPr>
        <w:t>5</w:t>
      </w:r>
      <w:r w:rsidRPr="00AD29B7">
        <w:rPr>
          <w:rFonts w:ascii="Times New Roman" w:hAnsi="Times New Roman" w:cs="Times New Roman"/>
          <w:sz w:val="18"/>
          <w:szCs w:val="18"/>
        </w:rPr>
        <w:t>.</w:t>
      </w:r>
    </w:p>
    <w:p w:rsidR="00B3286D" w:rsidRDefault="00B3286D" w:rsidP="002D5CB3">
      <w:pPr>
        <w:pStyle w:val="odstavec"/>
        <w:rPr>
          <w:rFonts w:ascii="Times New Roman" w:hAnsi="Times New Roman" w:cs="Times New Roman"/>
          <w:sz w:val="18"/>
          <w:szCs w:val="18"/>
        </w:rPr>
      </w:pPr>
    </w:p>
    <w:p w:rsidR="00B3286D" w:rsidRPr="00AD29B7" w:rsidRDefault="00B3286D" w:rsidP="002D5CB3">
      <w:pPr>
        <w:pStyle w:val="odstavec"/>
        <w:rPr>
          <w:rFonts w:ascii="Times New Roman" w:hAnsi="Times New Roman" w:cs="Times New Roman"/>
          <w:sz w:val="18"/>
          <w:szCs w:val="18"/>
        </w:rPr>
      </w:pPr>
      <w:r w:rsidRPr="00B3286D">
        <w:rPr>
          <w:rFonts w:ascii="Times New Roman" w:hAnsi="Times New Roman" w:cs="Times New Roman"/>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2A6B50" w:rsidRPr="00AD29B7" w:rsidRDefault="002A6B50" w:rsidP="002D5CB3">
      <w:pPr>
        <w:pStyle w:val="odstavec"/>
        <w:rPr>
          <w:rFonts w:ascii="Times New Roman" w:hAnsi="Times New Roman" w:cs="Times New Roman"/>
          <w:sz w:val="18"/>
          <w:szCs w:val="18"/>
        </w:rPr>
      </w:pPr>
    </w:p>
    <w:p w:rsidR="002A6B50" w:rsidRPr="00AD29B7" w:rsidRDefault="001A02BF" w:rsidP="009E20F9">
      <w:pPr>
        <w:pStyle w:val="Heading2"/>
        <w:rPr>
          <w:rFonts w:ascii="Times New Roman" w:hAnsi="Times New Roman" w:cs="Times New Roman"/>
          <w:sz w:val="18"/>
          <w:szCs w:val="18"/>
        </w:rPr>
      </w:pPr>
      <w:r w:rsidRPr="00AD29B7">
        <w:rPr>
          <w:rFonts w:ascii="Times New Roman" w:hAnsi="Times New Roman" w:cs="Times New Roman"/>
          <w:sz w:val="18"/>
          <w:szCs w:val="18"/>
        </w:rPr>
        <w:t>Dátum schválenia účtovnej závierky za predchádzajúce účtovné obdobie</w:t>
      </w:r>
    </w:p>
    <w:p w:rsidR="003702EE" w:rsidRPr="00AD29B7" w:rsidRDefault="003702EE" w:rsidP="002D5CB3">
      <w:pPr>
        <w:pStyle w:val="body"/>
        <w:rPr>
          <w:rFonts w:ascii="Times New Roman" w:hAnsi="Times New Roman" w:cs="Times New Roman"/>
          <w:sz w:val="18"/>
          <w:szCs w:val="18"/>
        </w:rPr>
      </w:pPr>
      <w:r w:rsidRPr="00AD29B7">
        <w:rPr>
          <w:rFonts w:ascii="Times New Roman" w:hAnsi="Times New Roman" w:cs="Times New Roman"/>
          <w:sz w:val="18"/>
          <w:szCs w:val="18"/>
        </w:rPr>
        <w:t>Účtovná závierka Spoločnosti  za obdobie od 19. novembra 2014 do 31. decembra 2014 bola schválená 30.06.2015.</w:t>
      </w:r>
    </w:p>
    <w:p w:rsidR="00A3677A" w:rsidRPr="00AD29B7" w:rsidRDefault="003702EE" w:rsidP="002D5CB3">
      <w:pPr>
        <w:pStyle w:val="body"/>
        <w:rPr>
          <w:rFonts w:ascii="Times New Roman" w:hAnsi="Times New Roman" w:cs="Times New Roman"/>
          <w:sz w:val="18"/>
          <w:szCs w:val="18"/>
        </w:rPr>
      </w:pPr>
      <w:r w:rsidRPr="00AD29B7">
        <w:rPr>
          <w:rFonts w:ascii="Times New Roman" w:hAnsi="Times New Roman" w:cs="Times New Roman"/>
          <w:sz w:val="18"/>
          <w:szCs w:val="18"/>
        </w:rPr>
        <w:t xml:space="preserve"> </w:t>
      </w:r>
    </w:p>
    <w:p w:rsidR="00D4171E" w:rsidRPr="00AD29B7" w:rsidRDefault="00D4171E" w:rsidP="002D5CB3">
      <w:pPr>
        <w:pStyle w:val="body"/>
        <w:rPr>
          <w:rFonts w:ascii="Times New Roman" w:hAnsi="Times New Roman" w:cs="Times New Roman"/>
          <w:sz w:val="18"/>
          <w:szCs w:val="18"/>
        </w:rPr>
      </w:pPr>
    </w:p>
    <w:p w:rsidR="002D5CB3" w:rsidRDefault="002D5CB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Default="00190793" w:rsidP="002D5CB3">
      <w:pPr>
        <w:pStyle w:val="body"/>
        <w:rPr>
          <w:rFonts w:ascii="Times New Roman" w:hAnsi="Times New Roman" w:cs="Times New Roman"/>
          <w:sz w:val="18"/>
          <w:szCs w:val="18"/>
        </w:rPr>
      </w:pPr>
    </w:p>
    <w:p w:rsidR="00190793" w:rsidRPr="00AD29B7" w:rsidRDefault="00190793" w:rsidP="002D5CB3">
      <w:pPr>
        <w:pStyle w:val="body"/>
        <w:rPr>
          <w:rFonts w:ascii="Times New Roman" w:hAnsi="Times New Roman" w:cs="Times New Roman"/>
          <w:sz w:val="18"/>
          <w:szCs w:val="18"/>
        </w:rPr>
      </w:pPr>
    </w:p>
    <w:p w:rsidR="00066798" w:rsidRPr="00AD29B7" w:rsidRDefault="00066798" w:rsidP="00066798">
      <w:pPr>
        <w:numPr>
          <w:ilvl w:val="0"/>
          <w:numId w:val="1"/>
        </w:numPr>
        <w:suppressAutoHyphens/>
        <w:spacing w:before="60" w:after="240"/>
        <w:ind w:left="419"/>
        <w:jc w:val="both"/>
        <w:outlineLvl w:val="0"/>
        <w:rPr>
          <w:b/>
          <w:bCs/>
          <w:kern w:val="32"/>
          <w:sz w:val="18"/>
          <w:szCs w:val="18"/>
        </w:rPr>
      </w:pPr>
      <w:r w:rsidRPr="00AD29B7">
        <w:rPr>
          <w:b/>
          <w:bCs/>
          <w:kern w:val="32"/>
          <w:sz w:val="18"/>
          <w:szCs w:val="18"/>
        </w:rPr>
        <w:lastRenderedPageBreak/>
        <w:t>ORGÁNY A </w:t>
      </w:r>
      <w:r w:rsidRPr="00AD29B7">
        <w:rPr>
          <w:b/>
          <w:bCs/>
          <w:color w:val="000000" w:themeColor="text1"/>
          <w:kern w:val="32"/>
          <w:sz w:val="18"/>
          <w:szCs w:val="18"/>
        </w:rPr>
        <w:t>SPOLOČNÍCI</w:t>
      </w:r>
      <w:r w:rsidRPr="00AD29B7">
        <w:rPr>
          <w:b/>
          <w:bCs/>
          <w:i/>
          <w:kern w:val="32"/>
          <w:sz w:val="18"/>
          <w:szCs w:val="18"/>
        </w:rPr>
        <w:t xml:space="preserve"> </w:t>
      </w:r>
      <w:r w:rsidRPr="00AD29B7">
        <w:rPr>
          <w:b/>
          <w:bCs/>
          <w:kern w:val="32"/>
          <w:sz w:val="18"/>
          <w:szCs w:val="18"/>
        </w:rPr>
        <w:t>SPOLOČNOSTI</w:t>
      </w:r>
    </w:p>
    <w:p w:rsidR="00066798" w:rsidRPr="00AD29B7" w:rsidRDefault="00066798" w:rsidP="00066798">
      <w:pPr>
        <w:numPr>
          <w:ilvl w:val="1"/>
          <w:numId w:val="1"/>
        </w:numPr>
        <w:tabs>
          <w:tab w:val="clear" w:pos="425"/>
          <w:tab w:val="num" w:pos="476"/>
        </w:tabs>
        <w:suppressAutoHyphens/>
        <w:spacing w:before="60" w:after="240"/>
        <w:jc w:val="both"/>
        <w:outlineLvl w:val="1"/>
        <w:rPr>
          <w:b/>
          <w:iCs/>
          <w:color w:val="000000" w:themeColor="text1"/>
          <w:sz w:val="18"/>
          <w:szCs w:val="18"/>
        </w:rPr>
      </w:pPr>
      <w:r w:rsidRPr="00AD29B7">
        <w:rPr>
          <w:b/>
          <w:iCs/>
          <w:color w:val="000000" w:themeColor="text1"/>
          <w:sz w:val="18"/>
          <w:szCs w:val="18"/>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4386"/>
        <w:gridCol w:w="2410"/>
        <w:gridCol w:w="2409"/>
      </w:tblGrid>
      <w:tr w:rsidR="00066798" w:rsidRPr="00AD29B7" w:rsidTr="00110F10">
        <w:trPr>
          <w:cantSplit/>
          <w:trHeight w:val="227"/>
        </w:trPr>
        <w:tc>
          <w:tcPr>
            <w:tcW w:w="4386" w:type="dxa"/>
            <w:tcBorders>
              <w:bottom w:val="single" w:sz="4" w:space="0" w:color="auto"/>
            </w:tcBorders>
          </w:tcPr>
          <w:p w:rsidR="00066798" w:rsidRPr="00AD29B7" w:rsidRDefault="00066798" w:rsidP="00066798">
            <w:pPr>
              <w:suppressAutoHyphens/>
              <w:rPr>
                <w:sz w:val="18"/>
                <w:szCs w:val="18"/>
              </w:rPr>
            </w:pPr>
          </w:p>
        </w:tc>
        <w:tc>
          <w:tcPr>
            <w:tcW w:w="2410" w:type="dxa"/>
            <w:tcBorders>
              <w:bottom w:val="single" w:sz="4" w:space="0" w:color="auto"/>
            </w:tcBorders>
            <w:vAlign w:val="bottom"/>
          </w:tcPr>
          <w:p w:rsidR="00066798" w:rsidRPr="00AD29B7" w:rsidRDefault="00066798" w:rsidP="00066798">
            <w:pPr>
              <w:ind w:left="113"/>
              <w:jc w:val="center"/>
              <w:rPr>
                <w:b/>
                <w:bCs/>
                <w:sz w:val="18"/>
                <w:szCs w:val="18"/>
              </w:rPr>
            </w:pPr>
            <w:r w:rsidRPr="00AD29B7">
              <w:rPr>
                <w:b/>
                <w:sz w:val="18"/>
                <w:szCs w:val="18"/>
              </w:rPr>
              <w:t>Stav k 31.12.</w:t>
            </w:r>
            <w:r w:rsidRPr="00AD29B7">
              <w:rPr>
                <w:b/>
                <w:iCs/>
                <w:sz w:val="18"/>
                <w:szCs w:val="18"/>
              </w:rPr>
              <w:t>2015</w:t>
            </w:r>
          </w:p>
        </w:tc>
        <w:tc>
          <w:tcPr>
            <w:tcW w:w="2409" w:type="dxa"/>
            <w:tcBorders>
              <w:bottom w:val="single" w:sz="4" w:space="0" w:color="auto"/>
            </w:tcBorders>
            <w:vAlign w:val="bottom"/>
          </w:tcPr>
          <w:p w:rsidR="00066798" w:rsidRPr="00AD29B7" w:rsidRDefault="00066798" w:rsidP="00066798">
            <w:pPr>
              <w:ind w:left="113"/>
              <w:jc w:val="center"/>
              <w:rPr>
                <w:b/>
                <w:sz w:val="18"/>
                <w:szCs w:val="18"/>
              </w:rPr>
            </w:pPr>
            <w:r w:rsidRPr="00AD29B7">
              <w:rPr>
                <w:b/>
                <w:sz w:val="18"/>
                <w:szCs w:val="18"/>
              </w:rPr>
              <w:t>Stav k 31.12.</w:t>
            </w:r>
            <w:r w:rsidRPr="00AD29B7">
              <w:rPr>
                <w:b/>
                <w:iCs/>
                <w:sz w:val="18"/>
                <w:szCs w:val="18"/>
              </w:rPr>
              <w:t>2014</w:t>
            </w:r>
          </w:p>
        </w:tc>
      </w:tr>
      <w:tr w:rsidR="00066798" w:rsidRPr="00AD29B7" w:rsidTr="00110F10">
        <w:trPr>
          <w:cantSplit/>
          <w:trHeight w:val="227"/>
        </w:trPr>
        <w:tc>
          <w:tcPr>
            <w:tcW w:w="4386" w:type="dxa"/>
            <w:tcBorders>
              <w:top w:val="single" w:sz="4" w:space="0" w:color="auto"/>
            </w:tcBorders>
            <w:vAlign w:val="bottom"/>
          </w:tcPr>
          <w:p w:rsidR="00066798" w:rsidRPr="00AD29B7" w:rsidRDefault="00066798" w:rsidP="00066798">
            <w:pPr>
              <w:suppressAutoHyphens/>
              <w:jc w:val="both"/>
              <w:rPr>
                <w:bCs/>
                <w:iCs/>
                <w:color w:val="000000" w:themeColor="text1"/>
                <w:sz w:val="18"/>
                <w:szCs w:val="18"/>
              </w:rPr>
            </w:pPr>
            <w:r w:rsidRPr="00AD29B7">
              <w:rPr>
                <w:bCs/>
                <w:iCs/>
                <w:color w:val="000000" w:themeColor="text1"/>
                <w:sz w:val="18"/>
                <w:szCs w:val="18"/>
              </w:rPr>
              <w:t>Konatelia:</w:t>
            </w:r>
          </w:p>
        </w:tc>
        <w:tc>
          <w:tcPr>
            <w:tcW w:w="2410" w:type="dxa"/>
            <w:tcBorders>
              <w:top w:val="single" w:sz="4" w:space="0" w:color="auto"/>
            </w:tcBorders>
            <w:vAlign w:val="bottom"/>
          </w:tcPr>
          <w:p w:rsidR="00066798" w:rsidRPr="00AD29B7" w:rsidRDefault="002D5CB3" w:rsidP="00066798">
            <w:pPr>
              <w:suppressAutoHyphens/>
              <w:ind w:left="113" w:right="57"/>
              <w:rPr>
                <w:bCs/>
                <w:sz w:val="18"/>
                <w:szCs w:val="18"/>
              </w:rPr>
            </w:pPr>
            <w:r w:rsidRPr="00AD29B7">
              <w:rPr>
                <w:bCs/>
                <w:sz w:val="18"/>
                <w:szCs w:val="18"/>
              </w:rPr>
              <w:t>Ulrich Urban</w:t>
            </w:r>
          </w:p>
        </w:tc>
        <w:tc>
          <w:tcPr>
            <w:tcW w:w="2409" w:type="dxa"/>
            <w:tcBorders>
              <w:top w:val="single" w:sz="4" w:space="0" w:color="auto"/>
            </w:tcBorders>
            <w:vAlign w:val="bottom"/>
          </w:tcPr>
          <w:p w:rsidR="00066798" w:rsidRPr="00AD29B7" w:rsidRDefault="002D5CB3" w:rsidP="00066798">
            <w:pPr>
              <w:suppressAutoHyphens/>
              <w:ind w:left="113" w:right="57"/>
              <w:rPr>
                <w:bCs/>
                <w:sz w:val="18"/>
                <w:szCs w:val="18"/>
              </w:rPr>
            </w:pPr>
            <w:r w:rsidRPr="00AD29B7">
              <w:rPr>
                <w:bCs/>
                <w:sz w:val="18"/>
                <w:szCs w:val="18"/>
              </w:rPr>
              <w:t>Ulrich Urban</w:t>
            </w:r>
          </w:p>
        </w:tc>
      </w:tr>
      <w:tr w:rsidR="00066798" w:rsidRPr="00AD29B7" w:rsidTr="00110F10">
        <w:trPr>
          <w:cantSplit/>
          <w:trHeight w:val="227"/>
        </w:trPr>
        <w:tc>
          <w:tcPr>
            <w:tcW w:w="4386" w:type="dxa"/>
            <w:vAlign w:val="bottom"/>
          </w:tcPr>
          <w:p w:rsidR="00066798" w:rsidRPr="00AD29B7" w:rsidRDefault="00066798" w:rsidP="00066798">
            <w:pPr>
              <w:suppressAutoHyphens/>
              <w:ind w:left="426"/>
              <w:jc w:val="both"/>
              <w:rPr>
                <w:bCs/>
                <w:iCs/>
                <w:color w:val="000000" w:themeColor="text1"/>
                <w:sz w:val="18"/>
                <w:szCs w:val="18"/>
              </w:rPr>
            </w:pPr>
          </w:p>
        </w:tc>
        <w:tc>
          <w:tcPr>
            <w:tcW w:w="2410" w:type="dxa"/>
            <w:vAlign w:val="bottom"/>
          </w:tcPr>
          <w:p w:rsidR="00066798" w:rsidRPr="00AD29B7" w:rsidRDefault="002D5CB3" w:rsidP="00066798">
            <w:pPr>
              <w:suppressAutoHyphens/>
              <w:ind w:left="113" w:right="57"/>
              <w:rPr>
                <w:bCs/>
                <w:sz w:val="18"/>
                <w:szCs w:val="18"/>
              </w:rPr>
            </w:pPr>
            <w:r w:rsidRPr="00AD29B7">
              <w:rPr>
                <w:bCs/>
                <w:sz w:val="18"/>
                <w:szCs w:val="18"/>
              </w:rPr>
              <w:t>Etienne van der Muren</w:t>
            </w:r>
          </w:p>
        </w:tc>
        <w:tc>
          <w:tcPr>
            <w:tcW w:w="2409" w:type="dxa"/>
            <w:vAlign w:val="bottom"/>
          </w:tcPr>
          <w:p w:rsidR="00066798" w:rsidRPr="00AD29B7" w:rsidRDefault="002D5CB3" w:rsidP="00066798">
            <w:pPr>
              <w:suppressAutoHyphens/>
              <w:ind w:left="113" w:right="57"/>
              <w:rPr>
                <w:bCs/>
                <w:sz w:val="18"/>
                <w:szCs w:val="18"/>
              </w:rPr>
            </w:pPr>
            <w:r w:rsidRPr="00AD29B7">
              <w:rPr>
                <w:bCs/>
                <w:sz w:val="18"/>
                <w:szCs w:val="18"/>
              </w:rPr>
              <w:t>Etienne van der Muren</w:t>
            </w:r>
          </w:p>
        </w:tc>
      </w:tr>
    </w:tbl>
    <w:p w:rsidR="00C72F12" w:rsidRDefault="00C72F12" w:rsidP="00C72F12">
      <w:pPr>
        <w:suppressAutoHyphens/>
        <w:ind w:left="426"/>
        <w:rPr>
          <w:sz w:val="18"/>
          <w:szCs w:val="18"/>
        </w:rPr>
      </w:pPr>
    </w:p>
    <w:p w:rsidR="00C72F12" w:rsidRDefault="00C72F12" w:rsidP="00C72F12">
      <w:pPr>
        <w:suppressAutoHyphens/>
        <w:ind w:left="426"/>
        <w:rPr>
          <w:sz w:val="18"/>
          <w:szCs w:val="18"/>
        </w:rPr>
      </w:pPr>
    </w:p>
    <w:p w:rsidR="00066798" w:rsidRPr="00AD29B7" w:rsidRDefault="00C72F12" w:rsidP="00C72F12">
      <w:pPr>
        <w:suppressAutoHyphens/>
        <w:ind w:left="426"/>
        <w:rPr>
          <w:sz w:val="18"/>
          <w:szCs w:val="18"/>
        </w:rPr>
      </w:pPr>
      <w:r w:rsidRPr="00C72F12">
        <w:rPr>
          <w:sz w:val="18"/>
          <w:szCs w:val="18"/>
        </w:rPr>
        <w:t>Členom štatutárneho orgánu, ani členom dozorných orgánov  neboli v roku 2015 poskytnuté žiadne pôžičky, záruky alebo iné formy zabezpečenia, ani finančné prostriedky alebo iné plnenia na súkromné účely členov, ktoré sa vyúčtovávajú</w:t>
      </w:r>
      <w:r>
        <w:rPr>
          <w:sz w:val="18"/>
          <w:szCs w:val="18"/>
        </w:rPr>
        <w:t xml:space="preserve"> </w:t>
      </w:r>
      <w:r w:rsidRPr="00C72F12">
        <w:rPr>
          <w:sz w:val="18"/>
          <w:szCs w:val="18"/>
        </w:rPr>
        <w:t>(v roku 201</w:t>
      </w:r>
      <w:r>
        <w:rPr>
          <w:sz w:val="18"/>
          <w:szCs w:val="18"/>
        </w:rPr>
        <w:t>5</w:t>
      </w:r>
      <w:r w:rsidRPr="00C72F12">
        <w:rPr>
          <w:sz w:val="18"/>
          <w:szCs w:val="18"/>
        </w:rPr>
        <w:t>: žiadne).</w:t>
      </w:r>
    </w:p>
    <w:p w:rsidR="00066798" w:rsidRPr="00AD29B7" w:rsidRDefault="00066798" w:rsidP="00066798">
      <w:pPr>
        <w:suppressAutoHyphens/>
        <w:ind w:left="426"/>
        <w:jc w:val="both"/>
        <w:rPr>
          <w:bCs/>
          <w:iCs/>
          <w:color w:val="000000" w:themeColor="text1"/>
          <w:sz w:val="18"/>
          <w:szCs w:val="18"/>
        </w:rPr>
      </w:pPr>
    </w:p>
    <w:p w:rsidR="00066798" w:rsidRPr="00AD29B7" w:rsidRDefault="00066798" w:rsidP="00066798">
      <w:pPr>
        <w:numPr>
          <w:ilvl w:val="1"/>
          <w:numId w:val="1"/>
        </w:numPr>
        <w:tabs>
          <w:tab w:val="clear" w:pos="425"/>
          <w:tab w:val="num" w:pos="476"/>
        </w:tabs>
        <w:suppressAutoHyphens/>
        <w:spacing w:before="60" w:after="240"/>
        <w:jc w:val="both"/>
        <w:outlineLvl w:val="1"/>
        <w:rPr>
          <w:b/>
          <w:iCs/>
          <w:color w:val="000000" w:themeColor="text1"/>
          <w:sz w:val="18"/>
          <w:szCs w:val="18"/>
        </w:rPr>
      </w:pPr>
      <w:r w:rsidRPr="00AD29B7">
        <w:rPr>
          <w:b/>
          <w:iCs/>
          <w:color w:val="000000" w:themeColor="text1"/>
          <w:sz w:val="18"/>
          <w:szCs w:val="18"/>
        </w:rPr>
        <w:t>Spoločníci</w:t>
      </w:r>
      <w:r w:rsidRPr="00AD29B7">
        <w:rPr>
          <w:b/>
          <w:iCs/>
          <w:color w:val="00B0F0"/>
          <w:sz w:val="18"/>
          <w:szCs w:val="18"/>
        </w:rPr>
        <w:t xml:space="preserve"> </w:t>
      </w:r>
      <w:r w:rsidRPr="00AD29B7">
        <w:rPr>
          <w:b/>
          <w:iCs/>
          <w:color w:val="000000" w:themeColor="text1"/>
          <w:sz w:val="18"/>
          <w:szCs w:val="18"/>
        </w:rPr>
        <w:t>Spoločnosti</w:t>
      </w:r>
    </w:p>
    <w:p w:rsidR="00066798" w:rsidRPr="00AD29B7" w:rsidRDefault="00066798" w:rsidP="00066798">
      <w:pPr>
        <w:suppressAutoHyphens/>
        <w:ind w:left="426"/>
        <w:jc w:val="both"/>
        <w:rPr>
          <w:bCs/>
          <w:iCs/>
          <w:color w:val="000000" w:themeColor="text1"/>
          <w:sz w:val="18"/>
          <w:szCs w:val="18"/>
        </w:rPr>
      </w:pPr>
      <w:r w:rsidRPr="00AD29B7">
        <w:rPr>
          <w:bCs/>
          <w:iCs/>
          <w:color w:val="000000" w:themeColor="text1"/>
          <w:sz w:val="18"/>
          <w:szCs w:val="18"/>
        </w:rPr>
        <w:t>Štruktúra spoločníkov Spoločnosti k 31. decembru 201</w:t>
      </w:r>
      <w:r w:rsidR="002D5CB3" w:rsidRPr="00AD29B7">
        <w:rPr>
          <w:bCs/>
          <w:iCs/>
          <w:color w:val="000000" w:themeColor="text1"/>
          <w:sz w:val="18"/>
          <w:szCs w:val="18"/>
        </w:rPr>
        <w:t>5</w:t>
      </w:r>
      <w:r w:rsidRPr="00AD29B7">
        <w:rPr>
          <w:bCs/>
          <w:iCs/>
          <w:color w:val="000000" w:themeColor="text1"/>
          <w:sz w:val="18"/>
          <w:szCs w:val="18"/>
        </w:rPr>
        <w:t xml:space="preserve"> a k </w:t>
      </w:r>
      <w:bookmarkStart w:id="8" w:name="EntityDateEndLY"/>
      <w:r w:rsidRPr="00AD29B7">
        <w:rPr>
          <w:bCs/>
          <w:iCs/>
          <w:color w:val="000000" w:themeColor="text1"/>
          <w:sz w:val="18"/>
          <w:szCs w:val="18"/>
        </w:rPr>
        <w:t>31. decembru 201</w:t>
      </w:r>
      <w:bookmarkEnd w:id="8"/>
      <w:r w:rsidR="002D5CB3" w:rsidRPr="00AD29B7">
        <w:rPr>
          <w:bCs/>
          <w:iCs/>
          <w:color w:val="000000" w:themeColor="text1"/>
          <w:sz w:val="18"/>
          <w:szCs w:val="18"/>
        </w:rPr>
        <w:t>4</w:t>
      </w:r>
      <w:r w:rsidRPr="00AD29B7">
        <w:rPr>
          <w:bCs/>
          <w:iCs/>
          <w:color w:val="000000" w:themeColor="text1"/>
          <w:sz w:val="18"/>
          <w:szCs w:val="18"/>
        </w:rPr>
        <w:t xml:space="preserve">: </w:t>
      </w:r>
    </w:p>
    <w:p w:rsidR="00110F10" w:rsidRPr="00AD29B7" w:rsidRDefault="00110F10" w:rsidP="00066798">
      <w:pPr>
        <w:suppressAutoHyphens/>
        <w:ind w:left="426"/>
        <w:jc w:val="both"/>
        <w:rPr>
          <w:bCs/>
          <w:iCs/>
          <w:color w:val="000000" w:themeColor="text1"/>
          <w:sz w:val="18"/>
          <w:szCs w:val="18"/>
        </w:rPr>
      </w:pPr>
    </w:p>
    <w:p w:rsidR="00066798" w:rsidRPr="00AD29B7" w:rsidRDefault="00066798" w:rsidP="00066798">
      <w:pPr>
        <w:suppressAutoHyphens/>
        <w:ind w:left="426"/>
        <w:jc w:val="both"/>
        <w:rPr>
          <w:bCs/>
          <w:iCs/>
          <w:color w:val="000000" w:themeColor="text1"/>
          <w:sz w:val="18"/>
          <w:szCs w:val="18"/>
        </w:rPr>
      </w:pPr>
      <w:bookmarkStart w:id="9" w:name="FWT_Structure_of_shareholders_1"/>
      <w:r w:rsidRPr="00AD29B7">
        <w:rPr>
          <w:bCs/>
          <w:iCs/>
          <w:color w:val="000000" w:themeColor="text1"/>
          <w:sz w:val="18"/>
          <w:szCs w:val="18"/>
        </w:rPr>
        <w:t xml:space="preserve"> </w:t>
      </w:r>
      <w:r w:rsidR="00C44F7F" w:rsidRPr="00AD29B7">
        <w:rPr>
          <w:bCs/>
          <w:iCs/>
          <w:color w:val="000000" w:themeColor="text1"/>
          <w:sz w:val="18"/>
          <w:szCs w:val="18"/>
        </w:rPr>
        <w:t>K 31.12.2015</w:t>
      </w:r>
    </w:p>
    <w:tbl>
      <w:tblPr>
        <w:tblW w:w="0" w:type="auto"/>
        <w:tblInd w:w="490" w:type="dxa"/>
        <w:tblLayout w:type="fixed"/>
        <w:tblCellMar>
          <w:left w:w="70" w:type="dxa"/>
          <w:right w:w="70" w:type="dxa"/>
        </w:tblCellMar>
        <w:tblLook w:val="04A0" w:firstRow="1" w:lastRow="0" w:firstColumn="1" w:lastColumn="0" w:noHBand="0" w:noVBand="1"/>
      </w:tblPr>
      <w:tblGrid>
        <w:gridCol w:w="2536"/>
        <w:gridCol w:w="1660"/>
        <w:gridCol w:w="1660"/>
        <w:gridCol w:w="1660"/>
        <w:gridCol w:w="1660"/>
      </w:tblGrid>
      <w:tr w:rsidR="00066798" w:rsidRPr="00AD29B7" w:rsidTr="00110F10">
        <w:trPr>
          <w:trHeight w:val="227"/>
        </w:trPr>
        <w:tc>
          <w:tcPr>
            <w:tcW w:w="2536" w:type="dxa"/>
            <w:vMerge w:val="restart"/>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bookmarkStart w:id="10" w:name="RANGE!B5:F16"/>
            <w:r w:rsidRPr="00AD29B7">
              <w:rPr>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r w:rsidRPr="00AD29B7">
              <w:rPr>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r w:rsidRPr="00AD29B7">
              <w:rPr>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r w:rsidRPr="00AD29B7">
              <w:rPr>
                <w:b/>
                <w:bCs/>
                <w:sz w:val="18"/>
                <w:szCs w:val="18"/>
              </w:rPr>
              <w:t>Iný podiel na ostatných položkách VI ako na ZI v %</w:t>
            </w:r>
          </w:p>
        </w:tc>
      </w:tr>
      <w:tr w:rsidR="00066798" w:rsidRPr="00AD29B7" w:rsidTr="00110F10">
        <w:trPr>
          <w:trHeight w:val="227"/>
        </w:trPr>
        <w:tc>
          <w:tcPr>
            <w:tcW w:w="2536" w:type="dxa"/>
            <w:vMerge/>
            <w:tcBorders>
              <w:top w:val="nil"/>
              <w:left w:val="nil"/>
              <w:bottom w:val="nil"/>
              <w:right w:val="nil"/>
            </w:tcBorders>
            <w:vAlign w:val="center"/>
            <w:hideMark/>
          </w:tcPr>
          <w:p w:rsidR="00066798" w:rsidRPr="00AD29B7" w:rsidRDefault="00066798" w:rsidP="00066798">
            <w:pPr>
              <w:rPr>
                <w:b/>
                <w:bCs/>
                <w:sz w:val="18"/>
                <w:szCs w:val="18"/>
              </w:rPr>
            </w:pPr>
          </w:p>
        </w:tc>
        <w:tc>
          <w:tcPr>
            <w:tcW w:w="1660" w:type="dxa"/>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r w:rsidRPr="00AD29B7">
              <w:rPr>
                <w:b/>
                <w:bCs/>
                <w:sz w:val="18"/>
                <w:szCs w:val="18"/>
              </w:rPr>
              <w:t>absolútne</w:t>
            </w:r>
          </w:p>
        </w:tc>
        <w:tc>
          <w:tcPr>
            <w:tcW w:w="1660" w:type="dxa"/>
            <w:tcBorders>
              <w:top w:val="nil"/>
              <w:left w:val="nil"/>
              <w:bottom w:val="nil"/>
              <w:right w:val="nil"/>
            </w:tcBorders>
            <w:shd w:val="clear" w:color="auto" w:fill="auto"/>
            <w:vAlign w:val="bottom"/>
            <w:hideMark/>
          </w:tcPr>
          <w:p w:rsidR="00066798" w:rsidRPr="00AD29B7" w:rsidRDefault="00066798" w:rsidP="00066798">
            <w:pPr>
              <w:jc w:val="center"/>
              <w:rPr>
                <w:b/>
                <w:bCs/>
                <w:sz w:val="18"/>
                <w:szCs w:val="18"/>
              </w:rPr>
            </w:pPr>
            <w:r w:rsidRPr="00AD29B7">
              <w:rPr>
                <w:b/>
                <w:bCs/>
                <w:sz w:val="18"/>
                <w:szCs w:val="18"/>
              </w:rPr>
              <w:t>v %</w:t>
            </w:r>
          </w:p>
        </w:tc>
        <w:tc>
          <w:tcPr>
            <w:tcW w:w="1660" w:type="dxa"/>
            <w:vMerge/>
            <w:tcBorders>
              <w:top w:val="nil"/>
              <w:left w:val="nil"/>
              <w:bottom w:val="nil"/>
              <w:right w:val="nil"/>
            </w:tcBorders>
            <w:vAlign w:val="center"/>
            <w:hideMark/>
          </w:tcPr>
          <w:p w:rsidR="00066798" w:rsidRPr="00AD29B7" w:rsidRDefault="00066798" w:rsidP="00066798">
            <w:pPr>
              <w:rPr>
                <w:b/>
                <w:bCs/>
                <w:sz w:val="18"/>
                <w:szCs w:val="18"/>
              </w:rPr>
            </w:pPr>
          </w:p>
        </w:tc>
        <w:tc>
          <w:tcPr>
            <w:tcW w:w="1660" w:type="dxa"/>
            <w:vMerge/>
            <w:tcBorders>
              <w:top w:val="nil"/>
              <w:left w:val="nil"/>
              <w:bottom w:val="nil"/>
              <w:right w:val="nil"/>
            </w:tcBorders>
            <w:vAlign w:val="center"/>
            <w:hideMark/>
          </w:tcPr>
          <w:p w:rsidR="00066798" w:rsidRPr="00AD29B7" w:rsidRDefault="00066798" w:rsidP="00066798">
            <w:pPr>
              <w:rPr>
                <w:b/>
                <w:bCs/>
                <w:sz w:val="18"/>
                <w:szCs w:val="18"/>
              </w:rPr>
            </w:pPr>
          </w:p>
        </w:tc>
      </w:tr>
      <w:tr w:rsidR="00066798" w:rsidRPr="00AD29B7" w:rsidTr="00110F10">
        <w:trPr>
          <w:trHeight w:val="227"/>
        </w:trPr>
        <w:tc>
          <w:tcPr>
            <w:tcW w:w="2536" w:type="dxa"/>
            <w:tcBorders>
              <w:top w:val="nil"/>
              <w:left w:val="nil"/>
              <w:bottom w:val="single" w:sz="4" w:space="0" w:color="auto"/>
              <w:right w:val="nil"/>
            </w:tcBorders>
            <w:shd w:val="clear" w:color="auto" w:fill="auto"/>
            <w:vAlign w:val="bottom"/>
            <w:hideMark/>
          </w:tcPr>
          <w:p w:rsidR="00066798" w:rsidRPr="00AD29B7" w:rsidRDefault="00066798" w:rsidP="00066798">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066798" w:rsidRPr="00AD29B7" w:rsidRDefault="00066798" w:rsidP="00066798">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066798" w:rsidRPr="00AD29B7" w:rsidRDefault="00066798" w:rsidP="00066798">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066798" w:rsidRPr="00AD29B7" w:rsidRDefault="00066798" w:rsidP="00066798">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066798" w:rsidRPr="00AD29B7" w:rsidRDefault="00066798" w:rsidP="00066798">
            <w:pPr>
              <w:jc w:val="center"/>
              <w:rPr>
                <w:sz w:val="18"/>
                <w:szCs w:val="18"/>
              </w:rPr>
            </w:pPr>
          </w:p>
        </w:tc>
      </w:tr>
      <w:tr w:rsidR="00066798" w:rsidRPr="00AD29B7" w:rsidTr="00110F10">
        <w:trPr>
          <w:trHeight w:val="227"/>
        </w:trPr>
        <w:tc>
          <w:tcPr>
            <w:tcW w:w="2536" w:type="dxa"/>
            <w:tcBorders>
              <w:top w:val="nil"/>
              <w:left w:val="nil"/>
              <w:bottom w:val="nil"/>
              <w:right w:val="nil"/>
            </w:tcBorders>
            <w:shd w:val="clear" w:color="auto" w:fill="auto"/>
            <w:vAlign w:val="bottom"/>
            <w:hideMark/>
          </w:tcPr>
          <w:p w:rsidR="00066798" w:rsidRPr="00AD29B7" w:rsidRDefault="002D5CB3" w:rsidP="00066798">
            <w:pPr>
              <w:ind w:left="-70" w:firstLine="28"/>
              <w:rPr>
                <w:sz w:val="18"/>
                <w:szCs w:val="18"/>
              </w:rPr>
            </w:pPr>
            <w:r w:rsidRPr="00AD29B7">
              <w:rPr>
                <w:sz w:val="18"/>
                <w:szCs w:val="18"/>
              </w:rPr>
              <w:t>Oerlikon Surface Solutions Ltd</w:t>
            </w:r>
          </w:p>
        </w:tc>
        <w:tc>
          <w:tcPr>
            <w:tcW w:w="1660" w:type="dxa"/>
            <w:tcBorders>
              <w:top w:val="nil"/>
              <w:left w:val="nil"/>
              <w:bottom w:val="nil"/>
              <w:right w:val="nil"/>
            </w:tcBorders>
            <w:shd w:val="clear" w:color="auto" w:fill="auto"/>
            <w:vAlign w:val="bottom"/>
            <w:hideMark/>
          </w:tcPr>
          <w:p w:rsidR="00066798" w:rsidRPr="00AD29B7" w:rsidRDefault="00066798" w:rsidP="002D5CB3">
            <w:pPr>
              <w:jc w:val="right"/>
              <w:rPr>
                <w:sz w:val="18"/>
                <w:szCs w:val="18"/>
              </w:rPr>
            </w:pPr>
            <w:r w:rsidRPr="00AD29B7">
              <w:rPr>
                <w:sz w:val="18"/>
                <w:szCs w:val="18"/>
              </w:rPr>
              <w:t>1</w:t>
            </w:r>
            <w:r w:rsidR="00110F10" w:rsidRPr="00AD29B7">
              <w:rPr>
                <w:sz w:val="18"/>
                <w:szCs w:val="18"/>
              </w:rPr>
              <w:t>1</w:t>
            </w:r>
            <w:r w:rsidRPr="00AD29B7">
              <w:rPr>
                <w:sz w:val="18"/>
                <w:szCs w:val="18"/>
              </w:rPr>
              <w:t xml:space="preserve"> </w:t>
            </w:r>
            <w:r w:rsidR="002D5CB3" w:rsidRPr="00AD29B7">
              <w:rPr>
                <w:sz w:val="18"/>
                <w:szCs w:val="18"/>
              </w:rPr>
              <w:t xml:space="preserve">060 </w:t>
            </w:r>
            <w:r w:rsidRPr="00AD29B7">
              <w:rPr>
                <w:sz w:val="18"/>
                <w:szCs w:val="18"/>
              </w:rPr>
              <w:t>0</w:t>
            </w:r>
            <w:r w:rsidR="002D5CB3" w:rsidRPr="00AD29B7">
              <w:rPr>
                <w:sz w:val="18"/>
                <w:szCs w:val="18"/>
              </w:rPr>
              <w:t>00</w:t>
            </w:r>
          </w:p>
        </w:tc>
        <w:tc>
          <w:tcPr>
            <w:tcW w:w="1660" w:type="dxa"/>
            <w:tcBorders>
              <w:top w:val="nil"/>
              <w:left w:val="nil"/>
              <w:bottom w:val="nil"/>
              <w:right w:val="nil"/>
            </w:tcBorders>
            <w:shd w:val="clear" w:color="auto" w:fill="auto"/>
            <w:vAlign w:val="bottom"/>
            <w:hideMark/>
          </w:tcPr>
          <w:p w:rsidR="00066798" w:rsidRPr="00AD29B7" w:rsidRDefault="00066798" w:rsidP="00066798">
            <w:pPr>
              <w:jc w:val="right"/>
              <w:rPr>
                <w:sz w:val="18"/>
                <w:szCs w:val="18"/>
              </w:rPr>
            </w:pPr>
            <w:r w:rsidRPr="00AD29B7">
              <w:rPr>
                <w:sz w:val="18"/>
                <w:szCs w:val="18"/>
              </w:rPr>
              <w:t>100</w:t>
            </w:r>
          </w:p>
        </w:tc>
        <w:tc>
          <w:tcPr>
            <w:tcW w:w="1660" w:type="dxa"/>
            <w:tcBorders>
              <w:top w:val="nil"/>
              <w:left w:val="nil"/>
              <w:bottom w:val="nil"/>
              <w:right w:val="nil"/>
            </w:tcBorders>
            <w:shd w:val="clear" w:color="auto" w:fill="auto"/>
            <w:vAlign w:val="bottom"/>
            <w:hideMark/>
          </w:tcPr>
          <w:p w:rsidR="00066798" w:rsidRPr="00AD29B7" w:rsidRDefault="00066798" w:rsidP="00066798">
            <w:pPr>
              <w:jc w:val="right"/>
              <w:rPr>
                <w:sz w:val="18"/>
                <w:szCs w:val="18"/>
              </w:rPr>
            </w:pPr>
            <w:r w:rsidRPr="00AD29B7">
              <w:rPr>
                <w:sz w:val="18"/>
                <w:szCs w:val="18"/>
              </w:rPr>
              <w:t>100</w:t>
            </w:r>
          </w:p>
        </w:tc>
        <w:tc>
          <w:tcPr>
            <w:tcW w:w="1660" w:type="dxa"/>
            <w:tcBorders>
              <w:top w:val="nil"/>
              <w:left w:val="nil"/>
              <w:bottom w:val="nil"/>
              <w:right w:val="nil"/>
            </w:tcBorders>
            <w:shd w:val="clear" w:color="auto" w:fill="auto"/>
            <w:vAlign w:val="bottom"/>
            <w:hideMark/>
          </w:tcPr>
          <w:p w:rsidR="00066798" w:rsidRPr="00AD29B7" w:rsidRDefault="00066798" w:rsidP="00066798">
            <w:pPr>
              <w:jc w:val="right"/>
              <w:rPr>
                <w:sz w:val="18"/>
                <w:szCs w:val="18"/>
              </w:rPr>
            </w:pPr>
            <w:r w:rsidRPr="00AD29B7">
              <w:rPr>
                <w:sz w:val="18"/>
                <w:szCs w:val="18"/>
              </w:rPr>
              <w:t>0</w:t>
            </w:r>
          </w:p>
        </w:tc>
      </w:tr>
      <w:tr w:rsidR="00066798" w:rsidRPr="00AD29B7" w:rsidTr="00110F10">
        <w:trPr>
          <w:trHeight w:val="227"/>
        </w:trPr>
        <w:tc>
          <w:tcPr>
            <w:tcW w:w="2536" w:type="dxa"/>
            <w:tcBorders>
              <w:top w:val="nil"/>
              <w:left w:val="nil"/>
              <w:bottom w:val="nil"/>
              <w:right w:val="nil"/>
            </w:tcBorders>
            <w:shd w:val="clear" w:color="auto" w:fill="auto"/>
            <w:vAlign w:val="bottom"/>
            <w:hideMark/>
          </w:tcPr>
          <w:p w:rsidR="00066798" w:rsidRPr="00AD29B7" w:rsidRDefault="00066798" w:rsidP="00066798">
            <w:pPr>
              <w:ind w:left="-70" w:firstLine="28"/>
              <w:rPr>
                <w:b/>
                <w:bCs/>
                <w:sz w:val="18"/>
                <w:szCs w:val="18"/>
              </w:rPr>
            </w:pPr>
            <w:r w:rsidRPr="00AD29B7">
              <w:rPr>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66798" w:rsidRPr="00AD29B7" w:rsidRDefault="002D5CB3" w:rsidP="00066798">
            <w:pPr>
              <w:jc w:val="right"/>
              <w:rPr>
                <w:b/>
                <w:bCs/>
                <w:sz w:val="18"/>
                <w:szCs w:val="18"/>
              </w:rPr>
            </w:pPr>
            <w:r w:rsidRPr="00AD29B7">
              <w:rPr>
                <w:b/>
                <w:bCs/>
                <w:sz w:val="18"/>
                <w:szCs w:val="18"/>
              </w:rPr>
              <w:t>1</w:t>
            </w:r>
            <w:r w:rsidR="00110F10" w:rsidRPr="00AD29B7">
              <w:rPr>
                <w:b/>
                <w:bCs/>
                <w:sz w:val="18"/>
                <w:szCs w:val="18"/>
              </w:rPr>
              <w:t>1</w:t>
            </w:r>
            <w:r w:rsidRPr="00AD29B7">
              <w:rPr>
                <w:b/>
                <w:bCs/>
                <w:sz w:val="18"/>
                <w:szCs w:val="18"/>
              </w:rPr>
              <w:t xml:space="preserve"> 060 000</w:t>
            </w:r>
          </w:p>
        </w:tc>
        <w:tc>
          <w:tcPr>
            <w:tcW w:w="1660" w:type="dxa"/>
            <w:tcBorders>
              <w:top w:val="single" w:sz="4" w:space="0" w:color="auto"/>
              <w:left w:val="nil"/>
              <w:bottom w:val="double" w:sz="6" w:space="0" w:color="auto"/>
              <w:right w:val="nil"/>
            </w:tcBorders>
            <w:shd w:val="clear" w:color="auto" w:fill="auto"/>
            <w:vAlign w:val="bottom"/>
            <w:hideMark/>
          </w:tcPr>
          <w:p w:rsidR="00066798" w:rsidRPr="00AD29B7" w:rsidRDefault="00066798" w:rsidP="00066798">
            <w:pPr>
              <w:jc w:val="right"/>
              <w:rPr>
                <w:b/>
                <w:bCs/>
                <w:sz w:val="18"/>
                <w:szCs w:val="18"/>
              </w:rPr>
            </w:pPr>
            <w:r w:rsidRPr="00AD29B7">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66798" w:rsidRPr="00AD29B7" w:rsidRDefault="00066798" w:rsidP="00066798">
            <w:pPr>
              <w:jc w:val="right"/>
              <w:rPr>
                <w:b/>
                <w:bCs/>
                <w:sz w:val="18"/>
                <w:szCs w:val="18"/>
              </w:rPr>
            </w:pPr>
            <w:r w:rsidRPr="00AD29B7">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066798" w:rsidRPr="00AD29B7" w:rsidRDefault="00066798" w:rsidP="00066798">
            <w:pPr>
              <w:jc w:val="right"/>
              <w:rPr>
                <w:b/>
                <w:bCs/>
                <w:sz w:val="18"/>
                <w:szCs w:val="18"/>
              </w:rPr>
            </w:pPr>
            <w:r w:rsidRPr="00AD29B7">
              <w:rPr>
                <w:b/>
                <w:bCs/>
                <w:sz w:val="18"/>
                <w:szCs w:val="18"/>
              </w:rPr>
              <w:t>0</w:t>
            </w:r>
          </w:p>
        </w:tc>
      </w:tr>
    </w:tbl>
    <w:p w:rsidR="00066798" w:rsidRPr="00AD29B7" w:rsidRDefault="00066798" w:rsidP="00066798">
      <w:pPr>
        <w:suppressAutoHyphens/>
        <w:ind w:left="426"/>
        <w:jc w:val="both"/>
        <w:rPr>
          <w:bCs/>
          <w:iCs/>
          <w:color w:val="000000" w:themeColor="text1"/>
          <w:sz w:val="18"/>
          <w:szCs w:val="18"/>
        </w:rPr>
      </w:pPr>
    </w:p>
    <w:bookmarkEnd w:id="9"/>
    <w:p w:rsidR="00A154F1" w:rsidRPr="00AD29B7" w:rsidRDefault="00A154F1" w:rsidP="002D5CB3">
      <w:pPr>
        <w:pStyle w:val="odstavec"/>
        <w:rPr>
          <w:rFonts w:ascii="Times New Roman" w:hAnsi="Times New Roman" w:cs="Times New Roman"/>
          <w:sz w:val="18"/>
          <w:szCs w:val="18"/>
        </w:rPr>
      </w:pPr>
    </w:p>
    <w:p w:rsidR="002D5CB3" w:rsidRPr="00AD29B7" w:rsidRDefault="002D5CB3" w:rsidP="002D5CB3">
      <w:pPr>
        <w:pStyle w:val="odstavec"/>
        <w:rPr>
          <w:rFonts w:ascii="Times New Roman" w:hAnsi="Times New Roman" w:cs="Times New Roman"/>
          <w:sz w:val="18"/>
          <w:szCs w:val="18"/>
        </w:rPr>
      </w:pPr>
      <w:r w:rsidRPr="00AD29B7">
        <w:rPr>
          <w:rFonts w:ascii="Times New Roman" w:hAnsi="Times New Roman" w:cs="Times New Roman"/>
          <w:sz w:val="18"/>
          <w:szCs w:val="18"/>
        </w:rPr>
        <w:t>K 31.12.2014</w:t>
      </w:r>
    </w:p>
    <w:tbl>
      <w:tblPr>
        <w:tblW w:w="0" w:type="auto"/>
        <w:tblInd w:w="490" w:type="dxa"/>
        <w:tblLayout w:type="fixed"/>
        <w:tblCellMar>
          <w:left w:w="70" w:type="dxa"/>
          <w:right w:w="70" w:type="dxa"/>
        </w:tblCellMar>
        <w:tblLook w:val="04A0" w:firstRow="1" w:lastRow="0" w:firstColumn="1" w:lastColumn="0" w:noHBand="0" w:noVBand="1"/>
      </w:tblPr>
      <w:tblGrid>
        <w:gridCol w:w="2536"/>
        <w:gridCol w:w="1660"/>
        <w:gridCol w:w="1660"/>
        <w:gridCol w:w="1660"/>
        <w:gridCol w:w="1660"/>
      </w:tblGrid>
      <w:tr w:rsidR="002D5CB3" w:rsidRPr="00AD29B7" w:rsidTr="00110F10">
        <w:trPr>
          <w:trHeight w:val="227"/>
        </w:trPr>
        <w:tc>
          <w:tcPr>
            <w:tcW w:w="2536" w:type="dxa"/>
            <w:vMerge w:val="restart"/>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Iný podiel na ostatných položkách VI ako na ZI v %</w:t>
            </w:r>
          </w:p>
        </w:tc>
      </w:tr>
      <w:tr w:rsidR="002D5CB3" w:rsidRPr="00AD29B7" w:rsidTr="00110F10">
        <w:trPr>
          <w:trHeight w:val="227"/>
        </w:trPr>
        <w:tc>
          <w:tcPr>
            <w:tcW w:w="2536" w:type="dxa"/>
            <w:vMerge/>
            <w:tcBorders>
              <w:top w:val="nil"/>
              <w:left w:val="nil"/>
              <w:bottom w:val="nil"/>
              <w:right w:val="nil"/>
            </w:tcBorders>
            <w:vAlign w:val="center"/>
            <w:hideMark/>
          </w:tcPr>
          <w:p w:rsidR="002D5CB3" w:rsidRPr="00AD29B7" w:rsidRDefault="002D5CB3" w:rsidP="00110F10">
            <w:pPr>
              <w:rPr>
                <w:b/>
                <w:bCs/>
                <w:sz w:val="18"/>
                <w:szCs w:val="18"/>
              </w:rPr>
            </w:pPr>
          </w:p>
        </w:tc>
        <w:tc>
          <w:tcPr>
            <w:tcW w:w="1660" w:type="dxa"/>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absolútne</w:t>
            </w:r>
          </w:p>
        </w:tc>
        <w:tc>
          <w:tcPr>
            <w:tcW w:w="1660" w:type="dxa"/>
            <w:tcBorders>
              <w:top w:val="nil"/>
              <w:left w:val="nil"/>
              <w:bottom w:val="nil"/>
              <w:right w:val="nil"/>
            </w:tcBorders>
            <w:shd w:val="clear" w:color="auto" w:fill="auto"/>
            <w:vAlign w:val="bottom"/>
            <w:hideMark/>
          </w:tcPr>
          <w:p w:rsidR="002D5CB3" w:rsidRPr="00AD29B7" w:rsidRDefault="002D5CB3" w:rsidP="00110F10">
            <w:pPr>
              <w:jc w:val="center"/>
              <w:rPr>
                <w:b/>
                <w:bCs/>
                <w:sz w:val="18"/>
                <w:szCs w:val="18"/>
              </w:rPr>
            </w:pPr>
            <w:r w:rsidRPr="00AD29B7">
              <w:rPr>
                <w:b/>
                <w:bCs/>
                <w:sz w:val="18"/>
                <w:szCs w:val="18"/>
              </w:rPr>
              <w:t>v %</w:t>
            </w:r>
          </w:p>
        </w:tc>
        <w:tc>
          <w:tcPr>
            <w:tcW w:w="1660" w:type="dxa"/>
            <w:vMerge/>
            <w:tcBorders>
              <w:top w:val="nil"/>
              <w:left w:val="nil"/>
              <w:bottom w:val="nil"/>
              <w:right w:val="nil"/>
            </w:tcBorders>
            <w:vAlign w:val="center"/>
            <w:hideMark/>
          </w:tcPr>
          <w:p w:rsidR="002D5CB3" w:rsidRPr="00AD29B7" w:rsidRDefault="002D5CB3" w:rsidP="00110F10">
            <w:pPr>
              <w:rPr>
                <w:b/>
                <w:bCs/>
                <w:sz w:val="18"/>
                <w:szCs w:val="18"/>
              </w:rPr>
            </w:pPr>
          </w:p>
        </w:tc>
        <w:tc>
          <w:tcPr>
            <w:tcW w:w="1660" w:type="dxa"/>
            <w:vMerge/>
            <w:tcBorders>
              <w:top w:val="nil"/>
              <w:left w:val="nil"/>
              <w:bottom w:val="nil"/>
              <w:right w:val="nil"/>
            </w:tcBorders>
            <w:vAlign w:val="center"/>
            <w:hideMark/>
          </w:tcPr>
          <w:p w:rsidR="002D5CB3" w:rsidRPr="00AD29B7" w:rsidRDefault="002D5CB3" w:rsidP="00110F10">
            <w:pPr>
              <w:rPr>
                <w:b/>
                <w:bCs/>
                <w:sz w:val="18"/>
                <w:szCs w:val="18"/>
              </w:rPr>
            </w:pPr>
          </w:p>
        </w:tc>
      </w:tr>
      <w:tr w:rsidR="002D5CB3" w:rsidRPr="00AD29B7" w:rsidTr="00110F10">
        <w:trPr>
          <w:trHeight w:val="227"/>
        </w:trPr>
        <w:tc>
          <w:tcPr>
            <w:tcW w:w="2536" w:type="dxa"/>
            <w:tcBorders>
              <w:top w:val="nil"/>
              <w:left w:val="nil"/>
              <w:bottom w:val="single" w:sz="4" w:space="0" w:color="auto"/>
              <w:right w:val="nil"/>
            </w:tcBorders>
            <w:shd w:val="clear" w:color="auto" w:fill="auto"/>
            <w:vAlign w:val="bottom"/>
            <w:hideMark/>
          </w:tcPr>
          <w:p w:rsidR="002D5CB3" w:rsidRPr="00AD29B7" w:rsidRDefault="002D5CB3" w:rsidP="00110F10">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2D5CB3" w:rsidRPr="00AD29B7" w:rsidRDefault="002D5CB3" w:rsidP="00110F10">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2D5CB3" w:rsidRPr="00AD29B7" w:rsidRDefault="002D5CB3" w:rsidP="00110F10">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2D5CB3" w:rsidRPr="00AD29B7" w:rsidRDefault="002D5CB3" w:rsidP="00110F10">
            <w:pPr>
              <w:jc w:val="center"/>
              <w:rPr>
                <w:sz w:val="18"/>
                <w:szCs w:val="18"/>
              </w:rPr>
            </w:pPr>
          </w:p>
        </w:tc>
        <w:tc>
          <w:tcPr>
            <w:tcW w:w="1660" w:type="dxa"/>
            <w:tcBorders>
              <w:top w:val="nil"/>
              <w:left w:val="nil"/>
              <w:bottom w:val="single" w:sz="4" w:space="0" w:color="auto"/>
              <w:right w:val="nil"/>
            </w:tcBorders>
            <w:shd w:val="clear" w:color="auto" w:fill="auto"/>
            <w:vAlign w:val="bottom"/>
            <w:hideMark/>
          </w:tcPr>
          <w:p w:rsidR="002D5CB3" w:rsidRPr="00AD29B7" w:rsidRDefault="002D5CB3" w:rsidP="00110F10">
            <w:pPr>
              <w:jc w:val="center"/>
              <w:rPr>
                <w:sz w:val="18"/>
                <w:szCs w:val="18"/>
              </w:rPr>
            </w:pPr>
          </w:p>
        </w:tc>
      </w:tr>
      <w:tr w:rsidR="002D5CB3" w:rsidRPr="00AD29B7" w:rsidTr="00110F10">
        <w:trPr>
          <w:trHeight w:val="227"/>
        </w:trPr>
        <w:tc>
          <w:tcPr>
            <w:tcW w:w="2536" w:type="dxa"/>
            <w:tcBorders>
              <w:top w:val="nil"/>
              <w:left w:val="nil"/>
              <w:bottom w:val="nil"/>
              <w:right w:val="nil"/>
            </w:tcBorders>
            <w:shd w:val="clear" w:color="auto" w:fill="auto"/>
            <w:vAlign w:val="bottom"/>
            <w:hideMark/>
          </w:tcPr>
          <w:p w:rsidR="002D5CB3" w:rsidRPr="00AD29B7" w:rsidRDefault="002D5CB3" w:rsidP="00110F10">
            <w:pPr>
              <w:ind w:left="-70" w:firstLine="28"/>
              <w:rPr>
                <w:sz w:val="18"/>
                <w:szCs w:val="18"/>
              </w:rPr>
            </w:pPr>
            <w:r w:rsidRPr="00AD29B7">
              <w:rPr>
                <w:sz w:val="18"/>
                <w:szCs w:val="18"/>
              </w:rPr>
              <w:t>Oerlikon Surface Solutions Ltd</w:t>
            </w:r>
          </w:p>
        </w:tc>
        <w:tc>
          <w:tcPr>
            <w:tcW w:w="1660" w:type="dxa"/>
            <w:tcBorders>
              <w:top w:val="nil"/>
              <w:left w:val="nil"/>
              <w:bottom w:val="nil"/>
              <w:right w:val="nil"/>
            </w:tcBorders>
            <w:shd w:val="clear" w:color="auto" w:fill="auto"/>
            <w:vAlign w:val="bottom"/>
            <w:hideMark/>
          </w:tcPr>
          <w:p w:rsidR="002D5CB3" w:rsidRPr="00AD29B7" w:rsidRDefault="002D5CB3" w:rsidP="00110F10">
            <w:pPr>
              <w:jc w:val="right"/>
              <w:rPr>
                <w:sz w:val="18"/>
                <w:szCs w:val="18"/>
              </w:rPr>
            </w:pPr>
            <w:r w:rsidRPr="00AD29B7">
              <w:rPr>
                <w:sz w:val="18"/>
                <w:szCs w:val="18"/>
              </w:rPr>
              <w:t>5 000</w:t>
            </w:r>
          </w:p>
        </w:tc>
        <w:tc>
          <w:tcPr>
            <w:tcW w:w="1660" w:type="dxa"/>
            <w:tcBorders>
              <w:top w:val="nil"/>
              <w:left w:val="nil"/>
              <w:bottom w:val="nil"/>
              <w:right w:val="nil"/>
            </w:tcBorders>
            <w:shd w:val="clear" w:color="auto" w:fill="auto"/>
            <w:vAlign w:val="bottom"/>
            <w:hideMark/>
          </w:tcPr>
          <w:p w:rsidR="002D5CB3" w:rsidRPr="00AD29B7" w:rsidRDefault="002D5CB3" w:rsidP="00110F10">
            <w:pPr>
              <w:jc w:val="right"/>
              <w:rPr>
                <w:sz w:val="18"/>
                <w:szCs w:val="18"/>
              </w:rPr>
            </w:pPr>
            <w:r w:rsidRPr="00AD29B7">
              <w:rPr>
                <w:sz w:val="18"/>
                <w:szCs w:val="18"/>
              </w:rPr>
              <w:t>100</w:t>
            </w:r>
          </w:p>
        </w:tc>
        <w:tc>
          <w:tcPr>
            <w:tcW w:w="1660" w:type="dxa"/>
            <w:tcBorders>
              <w:top w:val="nil"/>
              <w:left w:val="nil"/>
              <w:bottom w:val="nil"/>
              <w:right w:val="nil"/>
            </w:tcBorders>
            <w:shd w:val="clear" w:color="auto" w:fill="auto"/>
            <w:vAlign w:val="bottom"/>
            <w:hideMark/>
          </w:tcPr>
          <w:p w:rsidR="002D5CB3" w:rsidRPr="00AD29B7" w:rsidRDefault="002D5CB3" w:rsidP="00110F10">
            <w:pPr>
              <w:jc w:val="right"/>
              <w:rPr>
                <w:sz w:val="18"/>
                <w:szCs w:val="18"/>
              </w:rPr>
            </w:pPr>
            <w:r w:rsidRPr="00AD29B7">
              <w:rPr>
                <w:sz w:val="18"/>
                <w:szCs w:val="18"/>
              </w:rPr>
              <w:t>100</w:t>
            </w:r>
          </w:p>
        </w:tc>
        <w:tc>
          <w:tcPr>
            <w:tcW w:w="1660" w:type="dxa"/>
            <w:tcBorders>
              <w:top w:val="nil"/>
              <w:left w:val="nil"/>
              <w:bottom w:val="nil"/>
              <w:right w:val="nil"/>
            </w:tcBorders>
            <w:shd w:val="clear" w:color="auto" w:fill="auto"/>
            <w:vAlign w:val="bottom"/>
            <w:hideMark/>
          </w:tcPr>
          <w:p w:rsidR="002D5CB3" w:rsidRPr="00AD29B7" w:rsidRDefault="002D5CB3" w:rsidP="00110F10">
            <w:pPr>
              <w:jc w:val="right"/>
              <w:rPr>
                <w:sz w:val="18"/>
                <w:szCs w:val="18"/>
              </w:rPr>
            </w:pPr>
            <w:r w:rsidRPr="00AD29B7">
              <w:rPr>
                <w:sz w:val="18"/>
                <w:szCs w:val="18"/>
              </w:rPr>
              <w:t>0</w:t>
            </w:r>
          </w:p>
        </w:tc>
      </w:tr>
      <w:tr w:rsidR="002D5CB3" w:rsidRPr="00AD29B7" w:rsidTr="00110F10">
        <w:trPr>
          <w:trHeight w:val="227"/>
        </w:trPr>
        <w:tc>
          <w:tcPr>
            <w:tcW w:w="2536" w:type="dxa"/>
            <w:tcBorders>
              <w:top w:val="nil"/>
              <w:left w:val="nil"/>
              <w:bottom w:val="nil"/>
              <w:right w:val="nil"/>
            </w:tcBorders>
            <w:shd w:val="clear" w:color="auto" w:fill="auto"/>
            <w:vAlign w:val="bottom"/>
            <w:hideMark/>
          </w:tcPr>
          <w:p w:rsidR="002D5CB3" w:rsidRPr="00AD29B7" w:rsidRDefault="002D5CB3" w:rsidP="00110F10">
            <w:pPr>
              <w:ind w:left="-70" w:firstLine="28"/>
              <w:rPr>
                <w:b/>
                <w:bCs/>
                <w:sz w:val="18"/>
                <w:szCs w:val="18"/>
              </w:rPr>
            </w:pPr>
            <w:r w:rsidRPr="00AD29B7">
              <w:rPr>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2D5CB3" w:rsidRPr="00AD29B7" w:rsidRDefault="002D5CB3" w:rsidP="00110F10">
            <w:pPr>
              <w:jc w:val="right"/>
              <w:rPr>
                <w:b/>
                <w:bCs/>
                <w:sz w:val="18"/>
                <w:szCs w:val="18"/>
              </w:rPr>
            </w:pPr>
            <w:r w:rsidRPr="00AD29B7">
              <w:rPr>
                <w:b/>
                <w:bCs/>
                <w:sz w:val="18"/>
                <w:szCs w:val="18"/>
              </w:rPr>
              <w:t>5 000</w:t>
            </w:r>
          </w:p>
        </w:tc>
        <w:tc>
          <w:tcPr>
            <w:tcW w:w="1660" w:type="dxa"/>
            <w:tcBorders>
              <w:top w:val="single" w:sz="4" w:space="0" w:color="auto"/>
              <w:left w:val="nil"/>
              <w:bottom w:val="double" w:sz="6" w:space="0" w:color="auto"/>
              <w:right w:val="nil"/>
            </w:tcBorders>
            <w:shd w:val="clear" w:color="auto" w:fill="auto"/>
            <w:vAlign w:val="bottom"/>
            <w:hideMark/>
          </w:tcPr>
          <w:p w:rsidR="002D5CB3" w:rsidRPr="00AD29B7" w:rsidRDefault="002D5CB3" w:rsidP="00110F10">
            <w:pPr>
              <w:jc w:val="right"/>
              <w:rPr>
                <w:b/>
                <w:bCs/>
                <w:sz w:val="18"/>
                <w:szCs w:val="18"/>
              </w:rPr>
            </w:pPr>
            <w:r w:rsidRPr="00AD29B7">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D5CB3" w:rsidRPr="00AD29B7" w:rsidRDefault="002D5CB3" w:rsidP="00110F10">
            <w:pPr>
              <w:jc w:val="right"/>
              <w:rPr>
                <w:b/>
                <w:bCs/>
                <w:sz w:val="18"/>
                <w:szCs w:val="18"/>
              </w:rPr>
            </w:pPr>
            <w:r w:rsidRPr="00AD29B7">
              <w:rPr>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D5CB3" w:rsidRPr="00AD29B7" w:rsidRDefault="002D5CB3" w:rsidP="00110F10">
            <w:pPr>
              <w:jc w:val="right"/>
              <w:rPr>
                <w:b/>
                <w:bCs/>
                <w:sz w:val="18"/>
                <w:szCs w:val="18"/>
              </w:rPr>
            </w:pPr>
            <w:r w:rsidRPr="00AD29B7">
              <w:rPr>
                <w:b/>
                <w:bCs/>
                <w:sz w:val="18"/>
                <w:szCs w:val="18"/>
              </w:rPr>
              <w:t>0</w:t>
            </w:r>
          </w:p>
        </w:tc>
      </w:tr>
    </w:tbl>
    <w:p w:rsidR="002D5CB3" w:rsidRPr="00AD29B7" w:rsidRDefault="002D5CB3" w:rsidP="002D5CB3">
      <w:pPr>
        <w:suppressAutoHyphens/>
        <w:ind w:left="426"/>
        <w:jc w:val="both"/>
        <w:rPr>
          <w:bCs/>
          <w:iCs/>
          <w:color w:val="000000" w:themeColor="text1"/>
          <w:sz w:val="18"/>
          <w:szCs w:val="18"/>
        </w:rPr>
      </w:pPr>
    </w:p>
    <w:p w:rsidR="002D5CB3" w:rsidRPr="00AD29B7" w:rsidRDefault="002D5CB3" w:rsidP="002D5CB3">
      <w:pPr>
        <w:pStyle w:val="odstavec"/>
        <w:rPr>
          <w:rFonts w:ascii="Times New Roman" w:hAnsi="Times New Roman" w:cs="Times New Roman"/>
          <w:sz w:val="18"/>
          <w:szCs w:val="18"/>
        </w:rPr>
      </w:pPr>
    </w:p>
    <w:p w:rsidR="002D5CB3" w:rsidRPr="00AD29B7" w:rsidRDefault="002D5CB3" w:rsidP="002D5CB3">
      <w:pPr>
        <w:pStyle w:val="odstavec"/>
        <w:rPr>
          <w:rFonts w:ascii="Times New Roman" w:hAnsi="Times New Roman" w:cs="Times New Roman"/>
          <w:sz w:val="18"/>
          <w:szCs w:val="18"/>
        </w:rPr>
      </w:pPr>
    </w:p>
    <w:p w:rsidR="00A154F1" w:rsidRPr="00AD29B7" w:rsidRDefault="00A154F1" w:rsidP="002D5CB3">
      <w:pPr>
        <w:pStyle w:val="body"/>
        <w:rPr>
          <w:rFonts w:ascii="Times New Roman" w:hAnsi="Times New Roman" w:cs="Times New Roman"/>
          <w:sz w:val="18"/>
          <w:szCs w:val="18"/>
        </w:rPr>
      </w:pPr>
    </w:p>
    <w:p w:rsidR="009D1713" w:rsidRPr="00AD29B7" w:rsidRDefault="009D1713" w:rsidP="002D5CB3">
      <w:pPr>
        <w:pStyle w:val="odstavec"/>
        <w:rPr>
          <w:rFonts w:ascii="Times New Roman" w:hAnsi="Times New Roman" w:cs="Times New Roman"/>
          <w:sz w:val="18"/>
          <w:szCs w:val="18"/>
        </w:rPr>
      </w:pPr>
    </w:p>
    <w:p w:rsidR="00AA1847" w:rsidRPr="00AD29B7" w:rsidRDefault="00AA1847" w:rsidP="00FB6F88">
      <w:pPr>
        <w:suppressAutoHyphens/>
        <w:rPr>
          <w:bCs/>
          <w:iCs/>
          <w:sz w:val="18"/>
          <w:szCs w:val="18"/>
        </w:rPr>
      </w:pPr>
      <w:r w:rsidRPr="00AD29B7">
        <w:rPr>
          <w:sz w:val="18"/>
          <w:szCs w:val="18"/>
        </w:rPr>
        <w:br w:type="page"/>
      </w:r>
    </w:p>
    <w:p w:rsidR="002A6B50" w:rsidRPr="00AD29B7" w:rsidRDefault="00DD1079" w:rsidP="00AD29B7">
      <w:pPr>
        <w:pStyle w:val="Heading1"/>
        <w:rPr>
          <w:sz w:val="18"/>
          <w:szCs w:val="18"/>
        </w:rPr>
      </w:pPr>
      <w:r w:rsidRPr="00AD29B7">
        <w:rPr>
          <w:sz w:val="18"/>
          <w:szCs w:val="18"/>
        </w:rPr>
        <w:lastRenderedPageBreak/>
        <w:t>KONSOLIDOVANÝ CELOK</w:t>
      </w:r>
    </w:p>
    <w:p w:rsidR="00A3677A" w:rsidRPr="00AD29B7" w:rsidRDefault="00DD1079"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Spoločnosť sa zahrňuje do konsolidovanej účtovnej závierky </w:t>
      </w:r>
      <w:r w:rsidR="006C3BD9" w:rsidRPr="00AD29B7">
        <w:rPr>
          <w:rFonts w:ascii="Times New Roman" w:hAnsi="Times New Roman" w:cs="Times New Roman"/>
          <w:sz w:val="18"/>
          <w:szCs w:val="18"/>
        </w:rPr>
        <w:t>OC OERLIKON CORPORATION AG, Pfaffikon, Churerstrasse 120, Pfaffikon, Švajčiarsko, ktorá pripravuje konsolidovanú účtovnú závierku S</w:t>
      </w:r>
      <w:r w:rsidRPr="00AD29B7">
        <w:rPr>
          <w:rFonts w:ascii="Times New Roman" w:hAnsi="Times New Roman" w:cs="Times New Roman"/>
          <w:sz w:val="18"/>
          <w:szCs w:val="18"/>
        </w:rPr>
        <w:t>kupiny. Tieto konsolidované účtovné závierky možn</w:t>
      </w:r>
      <w:r w:rsidR="00381E9F" w:rsidRPr="00AD29B7">
        <w:rPr>
          <w:rFonts w:ascii="Times New Roman" w:hAnsi="Times New Roman" w:cs="Times New Roman"/>
          <w:sz w:val="18"/>
          <w:szCs w:val="18"/>
        </w:rPr>
        <w:t>o</w:t>
      </w:r>
      <w:r w:rsidRPr="00AD29B7">
        <w:rPr>
          <w:rFonts w:ascii="Times New Roman" w:hAnsi="Times New Roman" w:cs="Times New Roman"/>
          <w:sz w:val="18"/>
          <w:szCs w:val="18"/>
        </w:rPr>
        <w:t xml:space="preserve"> dostať priamo v sídle uveden</w:t>
      </w:r>
      <w:r w:rsidR="006C3BD9" w:rsidRPr="00AD29B7">
        <w:rPr>
          <w:rFonts w:ascii="Times New Roman" w:hAnsi="Times New Roman" w:cs="Times New Roman"/>
          <w:sz w:val="18"/>
          <w:szCs w:val="18"/>
        </w:rPr>
        <w:t>ej spoločnosti</w:t>
      </w:r>
      <w:r w:rsidRPr="00AD29B7">
        <w:rPr>
          <w:rFonts w:ascii="Times New Roman" w:hAnsi="Times New Roman" w:cs="Times New Roman"/>
          <w:sz w:val="18"/>
          <w:szCs w:val="18"/>
        </w:rPr>
        <w:t>.</w:t>
      </w:r>
    </w:p>
    <w:p w:rsidR="00A3677A" w:rsidRPr="00AD29B7" w:rsidRDefault="00A3677A" w:rsidP="002D5CB3">
      <w:pPr>
        <w:pStyle w:val="odstavec"/>
        <w:rPr>
          <w:rFonts w:ascii="Times New Roman" w:hAnsi="Times New Roman" w:cs="Times New Roman"/>
          <w:sz w:val="18"/>
          <w:szCs w:val="18"/>
        </w:rPr>
      </w:pPr>
    </w:p>
    <w:p w:rsidR="002A6B50" w:rsidRPr="00AD29B7" w:rsidRDefault="00DD1079" w:rsidP="00AD29B7">
      <w:pPr>
        <w:pStyle w:val="Heading1"/>
        <w:rPr>
          <w:sz w:val="18"/>
          <w:szCs w:val="18"/>
        </w:rPr>
      </w:pPr>
      <w:r w:rsidRPr="00AD29B7">
        <w:rPr>
          <w:sz w:val="18"/>
          <w:szCs w:val="18"/>
        </w:rPr>
        <w:t>ÚČTOVNÉ METÓDY A VŠEOBECNÉ ÚČTOVNÉ ZÁSADY</w:t>
      </w:r>
    </w:p>
    <w:p w:rsidR="002A6B50" w:rsidRPr="00AD29B7" w:rsidRDefault="00DD1079" w:rsidP="00D4171E">
      <w:pPr>
        <w:pStyle w:val="abc"/>
        <w:rPr>
          <w:szCs w:val="18"/>
        </w:rPr>
      </w:pPr>
      <w:r w:rsidRPr="00AD29B7">
        <w:rPr>
          <w:szCs w:val="18"/>
        </w:rPr>
        <w:t>Východiská pre zostavenie účtovnej závierky</w:t>
      </w:r>
    </w:p>
    <w:p w:rsidR="00A3677A" w:rsidRPr="00AD29B7" w:rsidRDefault="00DD1079" w:rsidP="002D5CB3">
      <w:pPr>
        <w:pStyle w:val="odstavec"/>
        <w:rPr>
          <w:rFonts w:ascii="Times New Roman" w:hAnsi="Times New Roman" w:cs="Times New Roman"/>
          <w:sz w:val="18"/>
          <w:szCs w:val="18"/>
        </w:rPr>
      </w:pPr>
      <w:r w:rsidRPr="00AD29B7">
        <w:rPr>
          <w:rFonts w:ascii="Times New Roman" w:hAnsi="Times New Roman" w:cs="Times New Roman"/>
          <w:sz w:val="18"/>
          <w:szCs w:val="18"/>
        </w:rPr>
        <w:t>Účtovná závierka Spoločnosti bola zostavená za predpokladu nepretržitého trvania jej činnosti v súlade so zákonom o účtovníctve platným v Slovenskej republike a nadväzujúcimi postupmi účtovania.</w:t>
      </w:r>
    </w:p>
    <w:p w:rsidR="009D1713" w:rsidRPr="00AD29B7" w:rsidRDefault="009D1713" w:rsidP="002D5CB3">
      <w:pPr>
        <w:pStyle w:val="odstavec"/>
        <w:rPr>
          <w:rFonts w:ascii="Times New Roman" w:hAnsi="Times New Roman" w:cs="Times New Roman"/>
          <w:sz w:val="18"/>
          <w:szCs w:val="18"/>
        </w:rPr>
      </w:pPr>
    </w:p>
    <w:p w:rsidR="009D1713" w:rsidRPr="00AD29B7" w:rsidRDefault="009D1713"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Účtovníctvo </w:t>
      </w:r>
      <w:r w:rsidR="00164712" w:rsidRPr="00AD29B7">
        <w:rPr>
          <w:rFonts w:ascii="Times New Roman" w:hAnsi="Times New Roman" w:cs="Times New Roman"/>
          <w:sz w:val="18"/>
          <w:szCs w:val="18"/>
        </w:rPr>
        <w:t>Spoločnosť</w:t>
      </w:r>
      <w:r w:rsidRPr="00AD29B7">
        <w:rPr>
          <w:rFonts w:ascii="Times New Roman" w:hAnsi="Times New Roman" w:cs="Times New Roman"/>
          <w:sz w:val="18"/>
          <w:szCs w:val="18"/>
        </w:rPr>
        <w:t xml:space="preserve"> vedie na základe dodržania časovej a vecnej súvislosti nákladov a výnosov. Za základ sa berú všetky náklady a výnosy, ktoré sa vzťahujú na účtovné obdobie bez ohľadu na dátum ich platenia.</w:t>
      </w:r>
    </w:p>
    <w:p w:rsidR="009D1713" w:rsidRPr="00AD29B7" w:rsidRDefault="009D1713" w:rsidP="002D5CB3">
      <w:pPr>
        <w:pStyle w:val="odstavec"/>
        <w:rPr>
          <w:rFonts w:ascii="Times New Roman" w:hAnsi="Times New Roman" w:cs="Times New Roman"/>
          <w:sz w:val="18"/>
          <w:szCs w:val="18"/>
        </w:rPr>
      </w:pPr>
    </w:p>
    <w:p w:rsidR="005B6107" w:rsidRPr="00AD29B7" w:rsidRDefault="005B6107" w:rsidP="002D5CB3">
      <w:pPr>
        <w:pStyle w:val="odstavec"/>
        <w:rPr>
          <w:rFonts w:ascii="Times New Roman" w:hAnsi="Times New Roman" w:cs="Times New Roman"/>
          <w:sz w:val="18"/>
          <w:szCs w:val="18"/>
        </w:rPr>
      </w:pPr>
      <w:r w:rsidRPr="00AD29B7">
        <w:rPr>
          <w:rFonts w:ascii="Times New Roman" w:hAnsi="Times New Roman" w:cs="Times New Roman"/>
          <w:sz w:val="18"/>
          <w:szCs w:val="18"/>
        </w:rPr>
        <w:t>Peňažné údaje v účtovnej závierke sú uvedené v celých EUR, pokiaľ nie je určené inak.</w:t>
      </w:r>
    </w:p>
    <w:p w:rsidR="005B6107" w:rsidRPr="00AD29B7" w:rsidRDefault="005B6107" w:rsidP="002D5CB3">
      <w:pPr>
        <w:pStyle w:val="odstavec"/>
        <w:rPr>
          <w:rFonts w:ascii="Times New Roman" w:hAnsi="Times New Roman" w:cs="Times New Roman"/>
          <w:sz w:val="18"/>
          <w:szCs w:val="18"/>
        </w:rPr>
      </w:pPr>
    </w:p>
    <w:p w:rsidR="0069420D" w:rsidRPr="00AD29B7" w:rsidRDefault="00DD1079" w:rsidP="0069420D">
      <w:pPr>
        <w:pStyle w:val="odstavec"/>
        <w:rPr>
          <w:rFonts w:ascii="Times New Roman" w:hAnsi="Times New Roman" w:cs="Times New Roman"/>
          <w:sz w:val="18"/>
          <w:szCs w:val="18"/>
        </w:rPr>
      </w:pPr>
      <w:r w:rsidRPr="00AD29B7">
        <w:rPr>
          <w:rFonts w:ascii="Times New Roman" w:hAnsi="Times New Roman" w:cs="Times New Roman"/>
          <w:sz w:val="18"/>
          <w:szCs w:val="18"/>
        </w:rPr>
        <w:t>Účtovné metódy a všeobecné účtovné zásady Spoločnosť aplikovala konzistentne s predchádzajúcim účtovným ob</w:t>
      </w:r>
      <w:r w:rsidR="006774DA" w:rsidRPr="00AD29B7">
        <w:rPr>
          <w:rFonts w:ascii="Times New Roman" w:hAnsi="Times New Roman" w:cs="Times New Roman"/>
          <w:sz w:val="18"/>
          <w:szCs w:val="18"/>
        </w:rPr>
        <w:t>dobím</w:t>
      </w:r>
      <w:r w:rsidR="00C26F18" w:rsidRPr="00AD29B7">
        <w:rPr>
          <w:rFonts w:ascii="Times New Roman" w:hAnsi="Times New Roman" w:cs="Times New Roman"/>
          <w:sz w:val="18"/>
          <w:szCs w:val="18"/>
        </w:rPr>
        <w:t>.</w:t>
      </w:r>
    </w:p>
    <w:p w:rsidR="00DD3944" w:rsidRPr="00AD29B7" w:rsidRDefault="00DD3944" w:rsidP="002D5CB3">
      <w:pPr>
        <w:pStyle w:val="odstavec"/>
        <w:rPr>
          <w:rFonts w:ascii="Times New Roman" w:hAnsi="Times New Roman" w:cs="Times New Roman"/>
          <w:sz w:val="18"/>
          <w:szCs w:val="18"/>
        </w:rPr>
      </w:pPr>
    </w:p>
    <w:p w:rsidR="0069420D" w:rsidRPr="00A64C7D" w:rsidRDefault="0069420D" w:rsidP="00D4171E">
      <w:pPr>
        <w:pStyle w:val="abc"/>
        <w:rPr>
          <w:szCs w:val="18"/>
        </w:rPr>
      </w:pPr>
      <w:r w:rsidRPr="00A64C7D">
        <w:rPr>
          <w:szCs w:val="18"/>
        </w:rPr>
        <w:t>Použitie odhadov a úsudkov</w:t>
      </w:r>
    </w:p>
    <w:p w:rsidR="009C4456" w:rsidRPr="00AD29B7" w:rsidRDefault="009C4456" w:rsidP="00A64C7D">
      <w:pPr>
        <w:pStyle w:val="abc"/>
        <w:numPr>
          <w:ilvl w:val="0"/>
          <w:numId w:val="0"/>
        </w:numPr>
        <w:ind w:left="425"/>
        <w:rPr>
          <w:szCs w:val="18"/>
        </w:rPr>
      </w:pPr>
      <w:r w:rsidRPr="00AD29B7">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69420D" w:rsidRPr="00AD29B7" w:rsidRDefault="009C4456" w:rsidP="00A64C7D">
      <w:pPr>
        <w:pStyle w:val="abc"/>
        <w:numPr>
          <w:ilvl w:val="0"/>
          <w:numId w:val="0"/>
        </w:numPr>
        <w:ind w:left="425"/>
        <w:rPr>
          <w:szCs w:val="18"/>
        </w:rPr>
      </w:pPr>
      <w:r w:rsidRPr="00AD29B7">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4171E" w:rsidRPr="00AD29B7" w:rsidRDefault="00C72F12" w:rsidP="009627E6">
      <w:pPr>
        <w:pStyle w:val="BodyText"/>
        <w:ind w:firstLine="426"/>
        <w:rPr>
          <w:b/>
          <w:bCs/>
          <w:i/>
          <w:iCs/>
          <w:sz w:val="18"/>
          <w:szCs w:val="18"/>
        </w:rPr>
      </w:pPr>
      <w:r>
        <w:rPr>
          <w:b/>
          <w:bCs/>
          <w:i/>
          <w:iCs/>
          <w:sz w:val="18"/>
          <w:szCs w:val="18"/>
        </w:rPr>
        <w:t>Ú</w:t>
      </w:r>
      <w:r w:rsidR="00D4171E" w:rsidRPr="00AD29B7">
        <w:rPr>
          <w:b/>
          <w:bCs/>
          <w:i/>
          <w:iCs/>
          <w:sz w:val="18"/>
          <w:szCs w:val="18"/>
        </w:rPr>
        <w:t>sudky</w:t>
      </w:r>
    </w:p>
    <w:p w:rsidR="00D4171E" w:rsidRPr="00AD29B7" w:rsidRDefault="00D4171E" w:rsidP="009627E6">
      <w:pPr>
        <w:pStyle w:val="BodyText"/>
        <w:ind w:left="426"/>
        <w:rPr>
          <w:sz w:val="18"/>
          <w:szCs w:val="18"/>
        </w:rPr>
      </w:pPr>
      <w:r w:rsidRPr="00AD29B7">
        <w:rPr>
          <w:sz w:val="18"/>
          <w:szCs w:val="18"/>
        </w:rPr>
        <w:t>V súvislosti s aplikáciou účtovných metód a účtovných zásad Spoločnosti nie sú potrebné také úsudky, ktoré by mali významný dopad na hodnoty vykázané v účtovnej závierke.</w:t>
      </w:r>
    </w:p>
    <w:p w:rsidR="00D4171E" w:rsidRPr="00AD29B7" w:rsidRDefault="00D4171E" w:rsidP="009627E6">
      <w:pPr>
        <w:pStyle w:val="BodyText"/>
        <w:ind w:firstLine="426"/>
        <w:rPr>
          <w:b/>
          <w:bCs/>
          <w:i/>
          <w:iCs/>
          <w:sz w:val="18"/>
          <w:szCs w:val="18"/>
        </w:rPr>
      </w:pPr>
      <w:r w:rsidRPr="00AD29B7">
        <w:rPr>
          <w:b/>
          <w:bCs/>
          <w:i/>
          <w:iCs/>
          <w:sz w:val="18"/>
          <w:szCs w:val="18"/>
        </w:rPr>
        <w:t>Neistoty v odhadoch a predpokladoch</w:t>
      </w:r>
    </w:p>
    <w:p w:rsidR="00D4171E" w:rsidRPr="00AD29B7" w:rsidRDefault="00D4171E" w:rsidP="009627E6">
      <w:pPr>
        <w:pStyle w:val="BodyText"/>
        <w:ind w:left="425"/>
        <w:rPr>
          <w:sz w:val="18"/>
          <w:szCs w:val="18"/>
        </w:rPr>
      </w:pPr>
      <w:r w:rsidRPr="00AD29B7">
        <w:rPr>
          <w:sz w:val="18"/>
          <w:szCs w:val="18"/>
        </w:rPr>
        <w:t>Spoločnosť neidentifikovala takú neistotu v odhadoch a predpokladoch, pri ktorej by existovalo signifikantné riziko, že by mohla viesť k ich významnej úprave v nasledujúcom účtovnom období.</w:t>
      </w:r>
    </w:p>
    <w:p w:rsidR="0069420D" w:rsidRPr="00AD29B7" w:rsidRDefault="0069420D" w:rsidP="00A64C7D">
      <w:pPr>
        <w:pStyle w:val="abc"/>
        <w:numPr>
          <w:ilvl w:val="0"/>
          <w:numId w:val="0"/>
        </w:numPr>
        <w:ind w:left="425"/>
        <w:rPr>
          <w:szCs w:val="18"/>
        </w:rPr>
      </w:pPr>
    </w:p>
    <w:p w:rsidR="002A6B50" w:rsidRPr="00AD29B7" w:rsidRDefault="00DD1079" w:rsidP="00D4171E">
      <w:pPr>
        <w:pStyle w:val="abc"/>
        <w:rPr>
          <w:szCs w:val="18"/>
        </w:rPr>
      </w:pPr>
      <w:r w:rsidRPr="00AD29B7">
        <w:rPr>
          <w:szCs w:val="18"/>
        </w:rPr>
        <w:t>Dlhodobý nehmotný a dlhodobý hmotný majetok</w:t>
      </w:r>
    </w:p>
    <w:p w:rsidR="00A3677A" w:rsidRPr="00AD29B7" w:rsidRDefault="00DD1079" w:rsidP="002D5CB3">
      <w:pPr>
        <w:pStyle w:val="odstavec"/>
        <w:rPr>
          <w:rFonts w:ascii="Times New Roman" w:hAnsi="Times New Roman" w:cs="Times New Roman"/>
          <w:sz w:val="18"/>
          <w:szCs w:val="18"/>
        </w:rPr>
      </w:pPr>
      <w:r w:rsidRPr="00AD29B7">
        <w:rPr>
          <w:rFonts w:ascii="Times New Roman" w:hAnsi="Times New Roman" w:cs="Times New Roman"/>
          <w:sz w:val="18"/>
          <w:szCs w:val="18"/>
        </w:rPr>
        <w:t>Dlhodobý majetok nakupovaný sa oceňuje obstarávacou cenou, ktorá zahrňuje cenu</w:t>
      </w:r>
      <w:r w:rsidR="00297F73" w:rsidRPr="00AD29B7">
        <w:rPr>
          <w:rFonts w:ascii="Times New Roman" w:hAnsi="Times New Roman" w:cs="Times New Roman"/>
          <w:sz w:val="18"/>
          <w:szCs w:val="18"/>
        </w:rPr>
        <w:t>, za ktorú sa majetok obstaral</w:t>
      </w:r>
      <w:r w:rsidR="00264A5C" w:rsidRPr="00AD29B7">
        <w:rPr>
          <w:rFonts w:ascii="Times New Roman" w:hAnsi="Times New Roman" w:cs="Times New Roman"/>
          <w:sz w:val="18"/>
          <w:szCs w:val="18"/>
        </w:rPr>
        <w:t>,</w:t>
      </w:r>
      <w:r w:rsidR="00297F73" w:rsidRPr="00AD29B7">
        <w:rPr>
          <w:rFonts w:ascii="Times New Roman" w:hAnsi="Times New Roman" w:cs="Times New Roman"/>
          <w:sz w:val="18"/>
          <w:szCs w:val="18"/>
        </w:rPr>
        <w:t xml:space="preserve"> </w:t>
      </w:r>
      <w:r w:rsidRPr="00AD29B7">
        <w:rPr>
          <w:rFonts w:ascii="Times New Roman" w:hAnsi="Times New Roman" w:cs="Times New Roman"/>
          <w:sz w:val="18"/>
          <w:szCs w:val="18"/>
        </w:rPr>
        <w:t xml:space="preserve">a náklady súvisiace s obstaraním (clo, prepravu, montáž, poistné a pod.). </w:t>
      </w:r>
      <w:r w:rsidR="00CB663D" w:rsidRPr="00AD29B7">
        <w:rPr>
          <w:rFonts w:ascii="Times New Roman" w:hAnsi="Times New Roman" w:cs="Times New Roman"/>
          <w:sz w:val="18"/>
          <w:szCs w:val="18"/>
        </w:rPr>
        <w:t>S</w:t>
      </w:r>
      <w:r w:rsidR="00EF04E2" w:rsidRPr="00AD29B7">
        <w:rPr>
          <w:rFonts w:ascii="Times New Roman" w:hAnsi="Times New Roman" w:cs="Times New Roman"/>
          <w:sz w:val="18"/>
          <w:szCs w:val="18"/>
        </w:rPr>
        <w:t>účasťou obstarávacej ceny dlhodobého nehmotn</w:t>
      </w:r>
      <w:r w:rsidR="004A0F66" w:rsidRPr="00AD29B7">
        <w:rPr>
          <w:rFonts w:ascii="Times New Roman" w:hAnsi="Times New Roman" w:cs="Times New Roman"/>
          <w:sz w:val="18"/>
          <w:szCs w:val="18"/>
        </w:rPr>
        <w:t>ého</w:t>
      </w:r>
      <w:r w:rsidR="00CB663D" w:rsidRPr="00AD29B7">
        <w:rPr>
          <w:rFonts w:ascii="Times New Roman" w:hAnsi="Times New Roman" w:cs="Times New Roman"/>
          <w:sz w:val="18"/>
          <w:szCs w:val="18"/>
        </w:rPr>
        <w:t xml:space="preserve"> a hmotného</w:t>
      </w:r>
      <w:r w:rsidR="004A0F66" w:rsidRPr="00AD29B7">
        <w:rPr>
          <w:rFonts w:ascii="Times New Roman" w:hAnsi="Times New Roman" w:cs="Times New Roman"/>
          <w:sz w:val="18"/>
          <w:szCs w:val="18"/>
        </w:rPr>
        <w:t xml:space="preserve"> majetku</w:t>
      </w:r>
      <w:r w:rsidR="00CB663D" w:rsidRPr="00AD29B7">
        <w:rPr>
          <w:rFonts w:ascii="Times New Roman" w:hAnsi="Times New Roman" w:cs="Times New Roman"/>
          <w:sz w:val="18"/>
          <w:szCs w:val="18"/>
        </w:rPr>
        <w:t xml:space="preserve"> môžu byť</w:t>
      </w:r>
      <w:r w:rsidR="004A0F66" w:rsidRPr="00AD29B7">
        <w:rPr>
          <w:rFonts w:ascii="Times New Roman" w:hAnsi="Times New Roman" w:cs="Times New Roman"/>
          <w:sz w:val="18"/>
          <w:szCs w:val="18"/>
        </w:rPr>
        <w:t xml:space="preserve"> aj úroky z</w:t>
      </w:r>
      <w:r w:rsidR="00724F1F" w:rsidRPr="00AD29B7">
        <w:rPr>
          <w:rFonts w:ascii="Times New Roman" w:hAnsi="Times New Roman" w:cs="Times New Roman"/>
          <w:sz w:val="18"/>
          <w:szCs w:val="18"/>
        </w:rPr>
        <w:t> </w:t>
      </w:r>
      <w:r w:rsidR="004A0F66" w:rsidRPr="00AD29B7">
        <w:rPr>
          <w:rFonts w:ascii="Times New Roman" w:hAnsi="Times New Roman" w:cs="Times New Roman"/>
          <w:sz w:val="18"/>
          <w:szCs w:val="18"/>
        </w:rPr>
        <w:t>úverov</w:t>
      </w:r>
      <w:r w:rsidR="00724F1F" w:rsidRPr="00AD29B7">
        <w:rPr>
          <w:rFonts w:ascii="Times New Roman" w:hAnsi="Times New Roman" w:cs="Times New Roman"/>
          <w:sz w:val="18"/>
          <w:szCs w:val="18"/>
        </w:rPr>
        <w:t>,</w:t>
      </w:r>
      <w:r w:rsidR="004A0F66" w:rsidRPr="00AD29B7">
        <w:rPr>
          <w:rFonts w:ascii="Times New Roman" w:hAnsi="Times New Roman" w:cs="Times New Roman"/>
          <w:sz w:val="18"/>
          <w:szCs w:val="18"/>
        </w:rPr>
        <w:t xml:space="preserve"> </w:t>
      </w:r>
      <w:r w:rsidR="00CB663D" w:rsidRPr="00AD29B7">
        <w:rPr>
          <w:rFonts w:ascii="Times New Roman" w:hAnsi="Times New Roman" w:cs="Times New Roman"/>
          <w:sz w:val="18"/>
          <w:szCs w:val="18"/>
        </w:rPr>
        <w:t>ak sa tak Spoločnosť rozhodla do momentu zaradenia majetku do používania.</w:t>
      </w:r>
    </w:p>
    <w:p w:rsidR="00A3677A" w:rsidRPr="00AD29B7" w:rsidRDefault="00A3677A" w:rsidP="002D5CB3">
      <w:pPr>
        <w:pStyle w:val="odstavec"/>
        <w:rPr>
          <w:rFonts w:ascii="Times New Roman" w:hAnsi="Times New Roman" w:cs="Times New Roman"/>
          <w:sz w:val="18"/>
          <w:szCs w:val="18"/>
        </w:rPr>
      </w:pPr>
    </w:p>
    <w:p w:rsidR="005D49E9" w:rsidRPr="00AD29B7" w:rsidRDefault="00EF04E2"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Dlhodobý hmotný majetok sa odpisuje podľa odpisového plánu, ktorý bol zostavený na základe predpokladanej doby jeho používania zodpovedajúcej spotrebe </w:t>
      </w:r>
      <w:r w:rsidR="0043369D" w:rsidRPr="00AD29B7">
        <w:rPr>
          <w:rFonts w:ascii="Times New Roman" w:hAnsi="Times New Roman" w:cs="Times New Roman"/>
          <w:sz w:val="18"/>
          <w:szCs w:val="18"/>
        </w:rPr>
        <w:t>budúcich ekonomických úžitkov z </w:t>
      </w:r>
      <w:r w:rsidRPr="00AD29B7">
        <w:rPr>
          <w:rFonts w:ascii="Times New Roman" w:hAnsi="Times New Roman" w:cs="Times New Roman"/>
          <w:sz w:val="18"/>
          <w:szCs w:val="18"/>
        </w:rPr>
        <w:t xml:space="preserve">majetku. </w:t>
      </w:r>
      <w:r w:rsidR="002A6B50" w:rsidRPr="00AD29B7">
        <w:rPr>
          <w:rFonts w:ascii="Times New Roman" w:hAnsi="Times New Roman" w:cs="Times New Roman"/>
          <w:sz w:val="18"/>
          <w:szCs w:val="18"/>
        </w:rPr>
        <w:t>Odpisovať sa začína prvým dňom mesiaca nasledujúceho po uvedení majetku do používania. Hmotný majetok, ktorého obstarávacia cena (resp. vlastné náklady) neprevýši 1 700 EUR, sa zaraďuje</w:t>
      </w:r>
      <w:r w:rsidR="0043369D" w:rsidRPr="00AD29B7">
        <w:rPr>
          <w:rFonts w:ascii="Times New Roman" w:hAnsi="Times New Roman" w:cs="Times New Roman"/>
          <w:sz w:val="18"/>
          <w:szCs w:val="18"/>
        </w:rPr>
        <w:t xml:space="preserve"> </w:t>
      </w:r>
      <w:r w:rsidR="002A6B50" w:rsidRPr="00AD29B7">
        <w:rPr>
          <w:rFonts w:ascii="Times New Roman" w:hAnsi="Times New Roman" w:cs="Times New Roman"/>
          <w:sz w:val="18"/>
          <w:szCs w:val="18"/>
        </w:rPr>
        <w:t>na účty dlhodobého majetku a odpisuje sa jednorazovo pri uvedení do používania</w:t>
      </w:r>
      <w:r w:rsidR="006C3BD9" w:rsidRPr="00AD29B7">
        <w:rPr>
          <w:rFonts w:ascii="Times New Roman" w:hAnsi="Times New Roman" w:cs="Times New Roman"/>
          <w:sz w:val="18"/>
          <w:szCs w:val="18"/>
        </w:rPr>
        <w:t>.</w:t>
      </w:r>
      <w:r w:rsidR="002A6B50" w:rsidRPr="00AD29B7">
        <w:rPr>
          <w:rFonts w:ascii="Times New Roman" w:hAnsi="Times New Roman" w:cs="Times New Roman"/>
          <w:sz w:val="18"/>
          <w:szCs w:val="18"/>
        </w:rPr>
        <w:t xml:space="preserve"> </w:t>
      </w:r>
      <w:r w:rsidR="00CE073F" w:rsidRPr="00AD29B7">
        <w:rPr>
          <w:rFonts w:ascii="Times New Roman" w:hAnsi="Times New Roman" w:cs="Times New Roman"/>
          <w:sz w:val="18"/>
          <w:szCs w:val="18"/>
        </w:rPr>
        <w:t>Nehmotný majetok, ktorého obstarávacia cena (resp. vlastné náklady) neprevýši 2 400 EUR, sa nezaraďuje na účty dlhodobého majetku a odpisuje sa jednorazovo pri uvedení do používania.</w:t>
      </w:r>
    </w:p>
    <w:p w:rsidR="005D49E9" w:rsidRPr="00AD29B7" w:rsidRDefault="005D49E9" w:rsidP="002D5CB3">
      <w:pPr>
        <w:pStyle w:val="odstavec"/>
        <w:rPr>
          <w:rFonts w:ascii="Times New Roman" w:hAnsi="Times New Roman" w:cs="Times New Roman"/>
          <w:sz w:val="18"/>
          <w:szCs w:val="18"/>
        </w:rPr>
      </w:pPr>
    </w:p>
    <w:p w:rsidR="00A3677A" w:rsidRPr="00AD29B7" w:rsidRDefault="00DD1079" w:rsidP="002D5CB3">
      <w:pPr>
        <w:pStyle w:val="odstavec"/>
        <w:rPr>
          <w:rFonts w:ascii="Times New Roman" w:hAnsi="Times New Roman" w:cs="Times New Roman"/>
          <w:sz w:val="18"/>
          <w:szCs w:val="18"/>
        </w:rPr>
      </w:pPr>
      <w:r w:rsidRPr="00AD29B7">
        <w:rPr>
          <w:rFonts w:ascii="Times New Roman" w:hAnsi="Times New Roman" w:cs="Times New Roman"/>
          <w:sz w:val="18"/>
          <w:szCs w:val="18"/>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F3366" w:rsidRPr="00AD29B7" w:rsidRDefault="003F3366" w:rsidP="002D5CB3">
      <w:pPr>
        <w:pStyle w:val="odstavec"/>
        <w:rPr>
          <w:rFonts w:ascii="Times New Roman" w:hAnsi="Times New Roman" w:cs="Times New Roman"/>
          <w:sz w:val="18"/>
          <w:szCs w:val="18"/>
        </w:rPr>
      </w:pPr>
    </w:p>
    <w:p w:rsidR="003F3366" w:rsidRPr="00AD29B7" w:rsidRDefault="003F3366" w:rsidP="009627E6">
      <w:pPr>
        <w:pStyle w:val="BodyText"/>
        <w:ind w:firstLine="426"/>
        <w:rPr>
          <w:sz w:val="18"/>
          <w:szCs w:val="18"/>
        </w:rPr>
      </w:pPr>
      <w:r w:rsidRPr="00AD29B7">
        <w:rPr>
          <w:sz w:val="18"/>
          <w:szCs w:val="18"/>
        </w:rPr>
        <w:t>Predpokladaná doba používania, metóda odpisovania a odpisová sadzba sú uvedené v nasledujúcej tabuľke:</w:t>
      </w:r>
    </w:p>
    <w:p w:rsidR="003F3366" w:rsidRPr="00AD29B7" w:rsidRDefault="00A64C7D" w:rsidP="003F3366">
      <w:pPr>
        <w:pStyle w:val="BodyText"/>
        <w:rPr>
          <w:sz w:val="18"/>
          <w:szCs w:val="18"/>
        </w:rPr>
      </w:pPr>
      <w:r>
        <w:rPr>
          <w:noProof/>
          <w:sz w:val="18"/>
          <w:szCs w:val="1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30.2pt;margin-top:.3pt;width:331.2pt;height:72.6pt;z-index:251659264;mso-position-horizontal-relative:text;mso-position-vertical-relative:text" o:allowoverlap="f">
            <v:imagedata r:id="rId8" o:title=""/>
            <w10:wrap type="square"/>
          </v:shape>
          <o:OLEObject Type="Embed" ProgID="Excel.Sheet.12" ShapeID="_x0000_s1027" DrawAspect="Content" ObjectID="_1520247358" r:id="rId9"/>
        </w:object>
      </w:r>
    </w:p>
    <w:p w:rsidR="00190793" w:rsidRDefault="00190793" w:rsidP="003F3366">
      <w:pPr>
        <w:pStyle w:val="BodyText"/>
        <w:rPr>
          <w:sz w:val="18"/>
          <w:szCs w:val="18"/>
        </w:rPr>
      </w:pPr>
    </w:p>
    <w:p w:rsidR="00190793" w:rsidRDefault="00190793" w:rsidP="003F3366">
      <w:pPr>
        <w:pStyle w:val="BodyText"/>
        <w:rPr>
          <w:sz w:val="18"/>
          <w:szCs w:val="18"/>
        </w:rPr>
      </w:pPr>
    </w:p>
    <w:p w:rsidR="00190793" w:rsidRDefault="00190793" w:rsidP="003F3366">
      <w:pPr>
        <w:pStyle w:val="BodyText"/>
        <w:rPr>
          <w:sz w:val="18"/>
          <w:szCs w:val="18"/>
        </w:rPr>
      </w:pPr>
    </w:p>
    <w:p w:rsidR="00190793" w:rsidRDefault="00190793" w:rsidP="003F3366">
      <w:pPr>
        <w:pStyle w:val="BodyText"/>
        <w:rPr>
          <w:sz w:val="18"/>
          <w:szCs w:val="18"/>
        </w:rPr>
      </w:pPr>
    </w:p>
    <w:p w:rsidR="00190793" w:rsidRDefault="00190793" w:rsidP="003F3366">
      <w:pPr>
        <w:pStyle w:val="BodyText"/>
        <w:rPr>
          <w:sz w:val="18"/>
          <w:szCs w:val="18"/>
        </w:rPr>
      </w:pPr>
    </w:p>
    <w:p w:rsidR="00190793" w:rsidRDefault="00190793" w:rsidP="003F3366">
      <w:pPr>
        <w:pStyle w:val="BodyText"/>
        <w:rPr>
          <w:sz w:val="18"/>
          <w:szCs w:val="18"/>
        </w:rPr>
      </w:pPr>
    </w:p>
    <w:p w:rsidR="003F3366" w:rsidRPr="00AD29B7" w:rsidRDefault="003F3366" w:rsidP="00190793">
      <w:pPr>
        <w:pStyle w:val="BodyText"/>
        <w:ind w:left="426"/>
        <w:rPr>
          <w:sz w:val="18"/>
          <w:szCs w:val="18"/>
        </w:rPr>
      </w:pPr>
      <w:r w:rsidRPr="00AD29B7">
        <w:rPr>
          <w:sz w:val="18"/>
          <w:szCs w:val="18"/>
        </w:rPr>
        <w:t xml:space="preserve">Metódy odpisovania, doby použiteľnosti a zostatkové hodnoty sa prehodnocujú ku dňu, ku ktorému sa zostavuje účtovná závierka, a ak je to potrebné, urobia sa úpravy. </w:t>
      </w:r>
    </w:p>
    <w:p w:rsidR="003F3366" w:rsidRPr="00AD29B7" w:rsidRDefault="003F3366" w:rsidP="00190793">
      <w:pPr>
        <w:pStyle w:val="BodyText"/>
        <w:ind w:left="426"/>
        <w:rPr>
          <w:sz w:val="18"/>
          <w:szCs w:val="18"/>
        </w:rPr>
      </w:pPr>
    </w:p>
    <w:p w:rsidR="003F3366" w:rsidRPr="00AD29B7" w:rsidRDefault="003F3366" w:rsidP="00190793">
      <w:pPr>
        <w:pStyle w:val="BodyText"/>
        <w:ind w:left="426"/>
        <w:rPr>
          <w:sz w:val="18"/>
          <w:szCs w:val="18"/>
        </w:rPr>
      </w:pPr>
      <w:r w:rsidRPr="00AD29B7">
        <w:rPr>
          <w:sz w:val="18"/>
          <w:szCs w:val="18"/>
        </w:rPr>
        <w:t>Odpisy dlhodobého hmotného majetku sú stanovené vychádzajúc z predpokladanej doby jeho používania a predpokladaného priebehu jeho opotrebenia.</w:t>
      </w:r>
    </w:p>
    <w:p w:rsidR="003F3366" w:rsidRPr="00AD29B7" w:rsidRDefault="003F3366" w:rsidP="00190793">
      <w:pPr>
        <w:pStyle w:val="BodyText"/>
        <w:ind w:left="426"/>
        <w:rPr>
          <w:sz w:val="18"/>
          <w:szCs w:val="18"/>
        </w:rPr>
      </w:pPr>
    </w:p>
    <w:p w:rsidR="003F3366" w:rsidRPr="00AD29B7" w:rsidRDefault="003F3366" w:rsidP="00190793">
      <w:pPr>
        <w:pStyle w:val="BodyText"/>
        <w:ind w:left="426"/>
        <w:rPr>
          <w:i/>
          <w:sz w:val="18"/>
          <w:szCs w:val="18"/>
        </w:rPr>
      </w:pPr>
      <w:r w:rsidRPr="00AD29B7">
        <w:rPr>
          <w:b/>
          <w:i/>
          <w:sz w:val="18"/>
          <w:szCs w:val="18"/>
        </w:rPr>
        <w:t>Posúdenie zníženia hodnoty majetku</w:t>
      </w:r>
    </w:p>
    <w:p w:rsidR="003F3366" w:rsidRPr="00AD29B7" w:rsidRDefault="003F3366" w:rsidP="00190793">
      <w:pPr>
        <w:pStyle w:val="BodyText"/>
        <w:ind w:left="426"/>
        <w:rPr>
          <w:i/>
          <w:sz w:val="18"/>
          <w:szCs w:val="18"/>
        </w:rPr>
      </w:pPr>
    </w:p>
    <w:p w:rsidR="003F3366" w:rsidRPr="00AD29B7" w:rsidRDefault="003F3366" w:rsidP="00190793">
      <w:pPr>
        <w:pStyle w:val="BodyText"/>
        <w:ind w:left="426"/>
        <w:rPr>
          <w:i/>
          <w:sz w:val="18"/>
          <w:szCs w:val="18"/>
        </w:rPr>
      </w:pPr>
      <w:r w:rsidRPr="00AD29B7">
        <w:rPr>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F3366" w:rsidRPr="00AD29B7" w:rsidRDefault="003F3366" w:rsidP="00190793">
      <w:pPr>
        <w:pStyle w:val="AccountingPolicy"/>
        <w:ind w:left="426"/>
        <w:jc w:val="both"/>
        <w:rPr>
          <w:rFonts w:ascii="Times New Roman" w:hAnsi="Times New Roman" w:cs="Times New Roman"/>
          <w:sz w:val="18"/>
          <w:szCs w:val="18"/>
          <w:lang w:val="sk-SK"/>
        </w:rPr>
      </w:pPr>
    </w:p>
    <w:p w:rsidR="003F3366" w:rsidRPr="00AD29B7" w:rsidRDefault="003F3366" w:rsidP="00190793">
      <w:pPr>
        <w:pStyle w:val="BodyText"/>
        <w:ind w:left="426"/>
        <w:rPr>
          <w:sz w:val="18"/>
          <w:szCs w:val="18"/>
        </w:rPr>
      </w:pPr>
      <w:r w:rsidRPr="00AD29B7">
        <w:rPr>
          <w:sz w:val="18"/>
          <w:szCs w:val="18"/>
        </w:rPr>
        <w:t xml:space="preserve">Faktory, ktoré sú považované za dôležité pri  posudzovaní zníženia hodnoty majetku sú: </w:t>
      </w:r>
    </w:p>
    <w:p w:rsidR="003F3366" w:rsidRPr="00AD29B7" w:rsidRDefault="003F3366" w:rsidP="00EE510F">
      <w:pPr>
        <w:pStyle w:val="BodyText"/>
        <w:numPr>
          <w:ilvl w:val="0"/>
          <w:numId w:val="11"/>
        </w:numPr>
        <w:spacing w:after="0"/>
        <w:ind w:left="1134" w:hanging="283"/>
        <w:jc w:val="both"/>
        <w:rPr>
          <w:sz w:val="18"/>
          <w:szCs w:val="18"/>
        </w:rPr>
      </w:pPr>
      <w:r w:rsidRPr="00AD29B7">
        <w:rPr>
          <w:sz w:val="18"/>
          <w:szCs w:val="18"/>
        </w:rPr>
        <w:t>technologický pokrok,</w:t>
      </w:r>
    </w:p>
    <w:p w:rsidR="003F3366" w:rsidRPr="00AD29B7" w:rsidRDefault="003F3366" w:rsidP="00EE510F">
      <w:pPr>
        <w:pStyle w:val="BodyText"/>
        <w:numPr>
          <w:ilvl w:val="0"/>
          <w:numId w:val="11"/>
        </w:numPr>
        <w:spacing w:after="0"/>
        <w:ind w:left="1134" w:hanging="283"/>
        <w:jc w:val="both"/>
        <w:rPr>
          <w:sz w:val="18"/>
          <w:szCs w:val="18"/>
        </w:rPr>
      </w:pPr>
      <w:r w:rsidRPr="00AD29B7">
        <w:rPr>
          <w:sz w:val="18"/>
          <w:szCs w:val="18"/>
        </w:rPr>
        <w:t>významne nedostatočné prevádzkové výsledky v porovnaní s historickými alebo plánovanými prevádzkovými výsledkami,</w:t>
      </w:r>
    </w:p>
    <w:p w:rsidR="003F3366" w:rsidRPr="00AD29B7" w:rsidRDefault="003F3366" w:rsidP="00EE510F">
      <w:pPr>
        <w:pStyle w:val="BodyText"/>
        <w:numPr>
          <w:ilvl w:val="0"/>
          <w:numId w:val="11"/>
        </w:numPr>
        <w:spacing w:after="0"/>
        <w:ind w:left="1134" w:hanging="283"/>
        <w:jc w:val="both"/>
        <w:rPr>
          <w:sz w:val="18"/>
          <w:szCs w:val="18"/>
        </w:rPr>
      </w:pPr>
      <w:r w:rsidRPr="00AD29B7">
        <w:rPr>
          <w:sz w:val="18"/>
          <w:szCs w:val="18"/>
        </w:rPr>
        <w:t>významné zmeny v spôsobe použitia majetku Spoločnosti alebo celkovej zmeny stratégie Spoločnosti,</w:t>
      </w:r>
    </w:p>
    <w:p w:rsidR="003F3366" w:rsidRPr="00AD29B7" w:rsidRDefault="003F3366" w:rsidP="00EE510F">
      <w:pPr>
        <w:pStyle w:val="BodyText"/>
        <w:numPr>
          <w:ilvl w:val="0"/>
          <w:numId w:val="11"/>
        </w:numPr>
        <w:spacing w:after="0"/>
        <w:ind w:left="1134" w:hanging="283"/>
        <w:jc w:val="both"/>
        <w:rPr>
          <w:sz w:val="18"/>
          <w:szCs w:val="18"/>
        </w:rPr>
      </w:pPr>
      <w:r w:rsidRPr="00AD29B7">
        <w:rPr>
          <w:sz w:val="18"/>
          <w:szCs w:val="18"/>
        </w:rPr>
        <w:t>zastaralosť produktov.</w:t>
      </w:r>
    </w:p>
    <w:p w:rsidR="003F3366" w:rsidRPr="00AD29B7" w:rsidRDefault="003F3366" w:rsidP="00190793">
      <w:pPr>
        <w:pStyle w:val="BodyText"/>
        <w:ind w:left="426"/>
        <w:rPr>
          <w:sz w:val="18"/>
          <w:szCs w:val="18"/>
        </w:rPr>
      </w:pPr>
    </w:p>
    <w:p w:rsidR="003F3366" w:rsidRPr="00AD29B7" w:rsidRDefault="003F3366" w:rsidP="00A64C7D">
      <w:pPr>
        <w:pStyle w:val="BodyText"/>
        <w:ind w:left="426"/>
        <w:rPr>
          <w:sz w:val="18"/>
          <w:szCs w:val="18"/>
        </w:rPr>
      </w:pPr>
      <w:r w:rsidRPr="00AD29B7">
        <w:rPr>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F938D3" w:rsidRPr="00AD29B7" w:rsidRDefault="00F938D3" w:rsidP="002D5CB3">
      <w:pPr>
        <w:pStyle w:val="odstavec"/>
        <w:rPr>
          <w:rFonts w:ascii="Times New Roman" w:hAnsi="Times New Roman" w:cs="Times New Roman"/>
          <w:sz w:val="18"/>
          <w:szCs w:val="18"/>
        </w:rPr>
      </w:pPr>
    </w:p>
    <w:p w:rsidR="002A6B50" w:rsidRPr="00AD29B7" w:rsidRDefault="00122C5E" w:rsidP="00D4171E">
      <w:pPr>
        <w:pStyle w:val="abc"/>
        <w:rPr>
          <w:szCs w:val="18"/>
        </w:rPr>
      </w:pPr>
      <w:r w:rsidRPr="00AD29B7">
        <w:rPr>
          <w:szCs w:val="18"/>
        </w:rPr>
        <w:t>Finančné účty</w:t>
      </w:r>
    </w:p>
    <w:p w:rsidR="00A459A2" w:rsidRPr="00AD29B7" w:rsidRDefault="0090780E"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Finančné účty tvorí </w:t>
      </w:r>
      <w:r w:rsidR="006C3BD9" w:rsidRPr="00AD29B7">
        <w:rPr>
          <w:rFonts w:ascii="Times New Roman" w:hAnsi="Times New Roman" w:cs="Times New Roman"/>
          <w:sz w:val="18"/>
          <w:szCs w:val="18"/>
        </w:rPr>
        <w:t>zostatok</w:t>
      </w:r>
      <w:r w:rsidRPr="00AD29B7">
        <w:rPr>
          <w:rFonts w:ascii="Times New Roman" w:hAnsi="Times New Roman" w:cs="Times New Roman"/>
          <w:sz w:val="18"/>
          <w:szCs w:val="18"/>
        </w:rPr>
        <w:t xml:space="preserve"> na bankov</w:t>
      </w:r>
      <w:r w:rsidR="006C3BD9" w:rsidRPr="00AD29B7">
        <w:rPr>
          <w:rFonts w:ascii="Times New Roman" w:hAnsi="Times New Roman" w:cs="Times New Roman"/>
          <w:sz w:val="18"/>
          <w:szCs w:val="18"/>
        </w:rPr>
        <w:t xml:space="preserve">om účte, </w:t>
      </w:r>
      <w:r w:rsidRPr="00AD29B7">
        <w:rPr>
          <w:rFonts w:ascii="Times New Roman" w:hAnsi="Times New Roman" w:cs="Times New Roman"/>
          <w:sz w:val="18"/>
          <w:szCs w:val="18"/>
        </w:rPr>
        <w:t xml:space="preserve">pričom riziko zmeny hodnoty tohto majetku je zanedbateľne nízke. </w:t>
      </w:r>
      <w:r w:rsidR="002E72EF" w:rsidRPr="00AD29B7">
        <w:rPr>
          <w:rFonts w:ascii="Times New Roman" w:hAnsi="Times New Roman" w:cs="Times New Roman"/>
          <w:sz w:val="18"/>
          <w:szCs w:val="18"/>
        </w:rPr>
        <w:t>Spoločnosť využíva Cash pooling s prepojenou spoločnosťou OC Oerlikon Corporation AG, Pfäffikon, Švajčiarsko.</w:t>
      </w:r>
    </w:p>
    <w:p w:rsidR="003F3366" w:rsidRPr="00AD29B7" w:rsidRDefault="003F3366" w:rsidP="002D5CB3">
      <w:pPr>
        <w:pStyle w:val="odstavec"/>
        <w:rPr>
          <w:rFonts w:ascii="Times New Roman" w:hAnsi="Times New Roman" w:cs="Times New Roman"/>
          <w:sz w:val="18"/>
          <w:szCs w:val="18"/>
        </w:rPr>
      </w:pPr>
    </w:p>
    <w:p w:rsidR="006C3BD9" w:rsidRPr="00AD29B7" w:rsidRDefault="006C3BD9" w:rsidP="002D5CB3">
      <w:pPr>
        <w:pStyle w:val="odstavec"/>
        <w:rPr>
          <w:rFonts w:ascii="Times New Roman" w:hAnsi="Times New Roman" w:cs="Times New Roman"/>
          <w:sz w:val="18"/>
          <w:szCs w:val="18"/>
        </w:rPr>
      </w:pPr>
    </w:p>
    <w:p w:rsidR="003F3366" w:rsidRDefault="00D637B1" w:rsidP="00D4171E">
      <w:pPr>
        <w:pStyle w:val="abc"/>
        <w:rPr>
          <w:szCs w:val="18"/>
        </w:rPr>
      </w:pPr>
      <w:r>
        <w:rPr>
          <w:szCs w:val="18"/>
        </w:rPr>
        <w:t>Odložené dane</w:t>
      </w:r>
    </w:p>
    <w:p w:rsidR="00D637B1" w:rsidRDefault="00D637B1" w:rsidP="00D637B1">
      <w:pPr>
        <w:pStyle w:val="abc"/>
        <w:numPr>
          <w:ilvl w:val="0"/>
          <w:numId w:val="0"/>
        </w:numPr>
        <w:ind w:left="425"/>
        <w:rPr>
          <w:szCs w:val="18"/>
        </w:rPr>
      </w:pPr>
      <w:r w:rsidRPr="00D637B1">
        <w:rPr>
          <w:szCs w:val="18"/>
        </w:rPr>
        <w:t>Odložené dane (odložená daňová pohľadávka a odložený daňový záväzok) sa vzťahujú na:</w:t>
      </w:r>
    </w:p>
    <w:p w:rsidR="00D637B1" w:rsidRDefault="00D637B1" w:rsidP="00D637B1">
      <w:pPr>
        <w:pStyle w:val="abc"/>
        <w:numPr>
          <w:ilvl w:val="0"/>
          <w:numId w:val="10"/>
        </w:numPr>
        <w:rPr>
          <w:szCs w:val="18"/>
        </w:rPr>
      </w:pPr>
      <w:r w:rsidRPr="00B50225">
        <w:rPr>
          <w:szCs w:val="18"/>
        </w:rPr>
        <w:t>dočasné rozdiely medzi účtovnou hodnotou majetku a účtovnou hodnotou záväzkov vykázanou v súvahe a ich daňovou základňou</w:t>
      </w:r>
      <w:r>
        <w:rPr>
          <w:szCs w:val="18"/>
        </w:rPr>
        <w:t>,</w:t>
      </w:r>
    </w:p>
    <w:p w:rsidR="00D637B1" w:rsidRDefault="00D637B1" w:rsidP="00D637B1">
      <w:pPr>
        <w:pStyle w:val="abc"/>
        <w:numPr>
          <w:ilvl w:val="0"/>
          <w:numId w:val="10"/>
        </w:numPr>
        <w:rPr>
          <w:szCs w:val="18"/>
        </w:rPr>
      </w:pPr>
      <w:r w:rsidRPr="00B50225">
        <w:rPr>
          <w:szCs w:val="18"/>
        </w:rPr>
        <w:t>možnosť umorovať daňovú stratu v budúcnosti, ktorou sa rozumie možnosť odpočítať daňovú stratu od základu dane v</w:t>
      </w:r>
      <w:r>
        <w:rPr>
          <w:szCs w:val="18"/>
        </w:rPr>
        <w:t> </w:t>
      </w:r>
      <w:r w:rsidRPr="00B50225">
        <w:rPr>
          <w:szCs w:val="18"/>
        </w:rPr>
        <w:t>budúcnosti</w:t>
      </w:r>
      <w:r>
        <w:rPr>
          <w:szCs w:val="18"/>
        </w:rPr>
        <w:t>,</w:t>
      </w:r>
    </w:p>
    <w:p w:rsidR="00D637B1" w:rsidRDefault="00D637B1" w:rsidP="00D637B1">
      <w:pPr>
        <w:pStyle w:val="abc"/>
        <w:numPr>
          <w:ilvl w:val="0"/>
          <w:numId w:val="10"/>
        </w:numPr>
        <w:rPr>
          <w:szCs w:val="18"/>
        </w:rPr>
      </w:pPr>
      <w:r w:rsidRPr="00B50225">
        <w:rPr>
          <w:szCs w:val="18"/>
        </w:rPr>
        <w:t>možnosť previesť nevyužité daňové odpočty a iné daňové nároky do budúcich období</w:t>
      </w:r>
      <w:r>
        <w:rPr>
          <w:szCs w:val="18"/>
        </w:rPr>
        <w:t>.</w:t>
      </w:r>
    </w:p>
    <w:p w:rsidR="00D637B1" w:rsidRDefault="00D637B1" w:rsidP="00BD3329">
      <w:pPr>
        <w:pStyle w:val="abc"/>
        <w:numPr>
          <w:ilvl w:val="0"/>
          <w:numId w:val="0"/>
        </w:numPr>
        <w:ind w:left="425" w:firstLine="1"/>
        <w:rPr>
          <w:szCs w:val="18"/>
        </w:rPr>
      </w:pPr>
      <w:r>
        <w:rPr>
          <w:szCs w:val="18"/>
        </w:rPr>
        <w:t>Odložená daňová pohľadávka ani odložený daňový záväzok sa neúčtuje pri</w:t>
      </w:r>
      <w:r w:rsidRPr="00D637B1">
        <w:rPr>
          <w:szCs w:val="18"/>
        </w:rPr>
        <w:t>:</w:t>
      </w:r>
    </w:p>
    <w:p w:rsidR="00D637B1" w:rsidRDefault="00D637B1" w:rsidP="00D637B1">
      <w:pPr>
        <w:pStyle w:val="abc"/>
        <w:numPr>
          <w:ilvl w:val="0"/>
          <w:numId w:val="10"/>
        </w:numPr>
        <w:rPr>
          <w:szCs w:val="18"/>
        </w:rPr>
      </w:pPr>
      <w:r w:rsidRPr="00D637B1">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637B1" w:rsidRDefault="00D637B1" w:rsidP="00D637B1">
      <w:pPr>
        <w:pStyle w:val="abc"/>
        <w:numPr>
          <w:ilvl w:val="0"/>
          <w:numId w:val="10"/>
        </w:numPr>
        <w:rPr>
          <w:szCs w:val="18"/>
        </w:rPr>
      </w:pPr>
      <w:r w:rsidRPr="00D637B1">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r>
        <w:rPr>
          <w:szCs w:val="18"/>
        </w:rPr>
        <w:t>,</w:t>
      </w:r>
    </w:p>
    <w:p w:rsidR="00D637B1" w:rsidRDefault="00D637B1" w:rsidP="00D637B1">
      <w:pPr>
        <w:pStyle w:val="abc"/>
        <w:numPr>
          <w:ilvl w:val="0"/>
          <w:numId w:val="10"/>
        </w:numPr>
        <w:rPr>
          <w:szCs w:val="18"/>
        </w:rPr>
      </w:pPr>
      <w:r w:rsidRPr="00D637B1">
        <w:rPr>
          <w:szCs w:val="18"/>
        </w:rPr>
        <w:t>dočasných rozdieloch pri prvotnom zaúčtovaní goodwillu alebo záporného goodwillu</w:t>
      </w:r>
      <w:r>
        <w:rPr>
          <w:szCs w:val="18"/>
        </w:rPr>
        <w:t>.</w:t>
      </w:r>
    </w:p>
    <w:p w:rsidR="00D637B1" w:rsidRDefault="00D637B1" w:rsidP="00D637B1">
      <w:pPr>
        <w:pStyle w:val="abc"/>
        <w:numPr>
          <w:ilvl w:val="0"/>
          <w:numId w:val="0"/>
        </w:numPr>
        <w:ind w:left="850" w:hanging="425"/>
        <w:rPr>
          <w:szCs w:val="18"/>
        </w:rPr>
      </w:pPr>
    </w:p>
    <w:p w:rsidR="00D637B1" w:rsidRDefault="00D637B1" w:rsidP="00D637B1">
      <w:pPr>
        <w:pStyle w:val="abc"/>
        <w:numPr>
          <w:ilvl w:val="0"/>
          <w:numId w:val="0"/>
        </w:numPr>
        <w:ind w:left="426" w:hanging="1"/>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637B1" w:rsidRDefault="00D637B1" w:rsidP="00D637B1">
      <w:pPr>
        <w:pStyle w:val="abc"/>
        <w:numPr>
          <w:ilvl w:val="0"/>
          <w:numId w:val="0"/>
        </w:numPr>
        <w:ind w:left="426" w:hanging="1"/>
        <w:rPr>
          <w:szCs w:val="18"/>
        </w:rPr>
      </w:pPr>
      <w:r w:rsidRPr="00D637B1">
        <w:rPr>
          <w:szCs w:val="18"/>
        </w:rPr>
        <w:lastRenderedPageBreak/>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r>
        <w:rPr>
          <w:szCs w:val="18"/>
        </w:rPr>
        <w:t>.</w:t>
      </w:r>
    </w:p>
    <w:p w:rsidR="00D637B1" w:rsidRDefault="00D637B1" w:rsidP="00D637B1">
      <w:pPr>
        <w:pStyle w:val="abc"/>
        <w:numPr>
          <w:ilvl w:val="0"/>
          <w:numId w:val="0"/>
        </w:numPr>
        <w:ind w:left="425"/>
        <w:rPr>
          <w:szCs w:val="18"/>
        </w:rPr>
      </w:pPr>
    </w:p>
    <w:p w:rsidR="00D637B1" w:rsidRPr="00AD29B7" w:rsidRDefault="00D637B1" w:rsidP="00D4171E">
      <w:pPr>
        <w:pStyle w:val="abc"/>
        <w:rPr>
          <w:szCs w:val="18"/>
        </w:rPr>
      </w:pPr>
      <w:r>
        <w:rPr>
          <w:szCs w:val="18"/>
        </w:rPr>
        <w:t>Zásoby</w:t>
      </w:r>
    </w:p>
    <w:p w:rsidR="003F3366" w:rsidRPr="00AD29B7" w:rsidRDefault="003F3366" w:rsidP="00A64C7D">
      <w:pPr>
        <w:pStyle w:val="abc"/>
        <w:numPr>
          <w:ilvl w:val="0"/>
          <w:numId w:val="0"/>
        </w:numPr>
        <w:ind w:left="425"/>
        <w:rPr>
          <w:szCs w:val="18"/>
        </w:rPr>
      </w:pPr>
      <w:r w:rsidRPr="00AD29B7">
        <w:rPr>
          <w:szCs w:val="18"/>
        </w:rPr>
        <w:t>Zásoby sa oceňujú nižšou z nasledujúcich hodnôt: obstarávacou cenou (nakupované zásoby) alebo vlastnými nákladmi (zásoby vytvorené vlastnou činnosťou), alebo čistou realizačnou hodnotou.</w:t>
      </w:r>
    </w:p>
    <w:p w:rsidR="003F3366" w:rsidRPr="00AD29B7" w:rsidRDefault="003F3366" w:rsidP="00A64C7D">
      <w:pPr>
        <w:pStyle w:val="abc"/>
        <w:numPr>
          <w:ilvl w:val="0"/>
          <w:numId w:val="0"/>
        </w:numPr>
        <w:ind w:left="425"/>
        <w:rPr>
          <w:szCs w:val="18"/>
        </w:rPr>
      </w:pPr>
      <w:r w:rsidRPr="00AD29B7">
        <w:rPr>
          <w:szCs w:val="18"/>
        </w:rPr>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3F3366" w:rsidRPr="00AD29B7" w:rsidRDefault="003F3366" w:rsidP="00A64C7D">
      <w:pPr>
        <w:pStyle w:val="abc"/>
        <w:numPr>
          <w:ilvl w:val="0"/>
          <w:numId w:val="0"/>
        </w:numPr>
        <w:ind w:left="425"/>
        <w:rPr>
          <w:szCs w:val="18"/>
        </w:rPr>
      </w:pPr>
      <w:r w:rsidRPr="00AD29B7">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C72F12">
        <w:rPr>
          <w:szCs w:val="18"/>
        </w:rPr>
        <w:t xml:space="preserve">. </w:t>
      </w:r>
      <w:r w:rsidRPr="00AD29B7">
        <w:rPr>
          <w:szCs w:val="18"/>
        </w:rPr>
        <w:t>Správna réžia a odbytové náklady nie sú súčasťou vlastných nákladov. Súčasťou vlastných nákladov nie sú úroky z úverov.</w:t>
      </w:r>
    </w:p>
    <w:p w:rsidR="003F3366" w:rsidRPr="00AD29B7" w:rsidRDefault="003F3366" w:rsidP="00A64C7D">
      <w:pPr>
        <w:pStyle w:val="abc"/>
        <w:numPr>
          <w:ilvl w:val="0"/>
          <w:numId w:val="0"/>
        </w:numPr>
        <w:ind w:left="425"/>
        <w:rPr>
          <w:szCs w:val="18"/>
        </w:rPr>
      </w:pPr>
      <w:r w:rsidRPr="00AD29B7">
        <w:rPr>
          <w:szCs w:val="18"/>
        </w:rPr>
        <w:t xml:space="preserve">Čistá realizačná hodnota je predpokladaná predajná cena zásob znížená o predpokladané náklady na ich dokončenie a o predpokladané náklady súvisiace s ich predajom.  </w:t>
      </w:r>
    </w:p>
    <w:p w:rsidR="003F3366" w:rsidRDefault="003F3366" w:rsidP="00A64C7D">
      <w:pPr>
        <w:pStyle w:val="abc"/>
        <w:numPr>
          <w:ilvl w:val="0"/>
          <w:numId w:val="0"/>
        </w:numPr>
        <w:ind w:left="425"/>
        <w:rPr>
          <w:szCs w:val="18"/>
        </w:rPr>
      </w:pPr>
      <w:r w:rsidRPr="00AD29B7">
        <w:rPr>
          <w:szCs w:val="18"/>
        </w:rPr>
        <w:t>Zníženie hodnoty zásob sa zohľadňuje vytvorením opravnej položky.</w:t>
      </w:r>
    </w:p>
    <w:p w:rsidR="00190793" w:rsidRPr="00AD29B7" w:rsidRDefault="00190793" w:rsidP="00190793">
      <w:pPr>
        <w:pStyle w:val="abc"/>
        <w:numPr>
          <w:ilvl w:val="0"/>
          <w:numId w:val="0"/>
        </w:numPr>
        <w:ind w:left="425"/>
        <w:rPr>
          <w:szCs w:val="18"/>
        </w:rPr>
      </w:pPr>
    </w:p>
    <w:p w:rsidR="002A6B50" w:rsidRPr="00AD29B7" w:rsidRDefault="00DD1079" w:rsidP="00D4171E">
      <w:pPr>
        <w:pStyle w:val="abc"/>
        <w:rPr>
          <w:szCs w:val="18"/>
        </w:rPr>
      </w:pPr>
      <w:r w:rsidRPr="00AD29B7">
        <w:rPr>
          <w:szCs w:val="18"/>
        </w:rPr>
        <w:t>Rezervy</w:t>
      </w:r>
    </w:p>
    <w:p w:rsidR="00A3677A" w:rsidRPr="00AD29B7" w:rsidRDefault="000C4682"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Rezerva je záväzok predstavujúci existujúcu povinnosť Spoločnosti, ktorá vznikla z minulých udalostí a je pravdepodobné, že v budúcnosti zníži </w:t>
      </w:r>
      <w:r w:rsidR="00E16251" w:rsidRPr="00AD29B7">
        <w:rPr>
          <w:rFonts w:ascii="Times New Roman" w:hAnsi="Times New Roman" w:cs="Times New Roman"/>
          <w:sz w:val="18"/>
          <w:szCs w:val="18"/>
        </w:rPr>
        <w:t xml:space="preserve">jej </w:t>
      </w:r>
      <w:r w:rsidRPr="00AD29B7">
        <w:rPr>
          <w:rFonts w:ascii="Times New Roman" w:hAnsi="Times New Roman" w:cs="Times New Roman"/>
          <w:sz w:val="18"/>
          <w:szCs w:val="18"/>
        </w:rPr>
        <w:t xml:space="preserve">ekonomické úžitky. </w:t>
      </w:r>
      <w:r w:rsidR="00DD1079" w:rsidRPr="00AD29B7">
        <w:rPr>
          <w:rFonts w:ascii="Times New Roman" w:hAnsi="Times New Roman" w:cs="Times New Roman"/>
          <w:sz w:val="18"/>
          <w:szCs w:val="18"/>
        </w:rPr>
        <w:t xml:space="preserve">Rezervy sú záväzky s neurčitým časovým vymedzením alebo výškou a oceňujú sa </w:t>
      </w:r>
      <w:r w:rsidRPr="00AD29B7">
        <w:rPr>
          <w:rFonts w:ascii="Times New Roman" w:hAnsi="Times New Roman" w:cs="Times New Roman"/>
          <w:sz w:val="18"/>
          <w:szCs w:val="18"/>
        </w:rPr>
        <w:t>odhadom v sume potrebnej na splnenie existujúcej povinnosti ku dňu, ku ktorému sa zostavuje účtovná závierka.</w:t>
      </w:r>
    </w:p>
    <w:p w:rsidR="00A3677A" w:rsidRPr="00AD29B7" w:rsidRDefault="00A3677A" w:rsidP="002D5CB3">
      <w:pPr>
        <w:pStyle w:val="odstavec"/>
        <w:rPr>
          <w:rFonts w:ascii="Times New Roman" w:hAnsi="Times New Roman" w:cs="Times New Roman"/>
          <w:sz w:val="18"/>
          <w:szCs w:val="18"/>
        </w:rPr>
      </w:pPr>
    </w:p>
    <w:p w:rsidR="00A3677A" w:rsidRPr="00AD29B7" w:rsidRDefault="000C4682"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Tvorba rezervy sa účtuje na </w:t>
      </w:r>
      <w:r w:rsidR="00B924FF" w:rsidRPr="00AD29B7">
        <w:rPr>
          <w:rFonts w:ascii="Times New Roman" w:hAnsi="Times New Roman" w:cs="Times New Roman"/>
          <w:sz w:val="18"/>
          <w:szCs w:val="18"/>
        </w:rPr>
        <w:t xml:space="preserve">vecne príslušný </w:t>
      </w:r>
      <w:r w:rsidR="00EF04E2" w:rsidRPr="00AD29B7">
        <w:rPr>
          <w:rFonts w:ascii="Times New Roman" w:hAnsi="Times New Roman" w:cs="Times New Roman"/>
          <w:sz w:val="18"/>
          <w:szCs w:val="18"/>
        </w:rPr>
        <w:t xml:space="preserve">nákladový </w:t>
      </w:r>
      <w:r w:rsidR="002A6B50" w:rsidRPr="00AD29B7">
        <w:rPr>
          <w:rFonts w:ascii="Times New Roman" w:hAnsi="Times New Roman" w:cs="Times New Roman"/>
          <w:sz w:val="18"/>
          <w:szCs w:val="18"/>
        </w:rPr>
        <w:t xml:space="preserve">alebo majetkový </w:t>
      </w:r>
      <w:r w:rsidR="00EF04E2" w:rsidRPr="00AD29B7">
        <w:rPr>
          <w:rFonts w:ascii="Times New Roman" w:hAnsi="Times New Roman" w:cs="Times New Roman"/>
          <w:sz w:val="18"/>
          <w:szCs w:val="18"/>
        </w:rPr>
        <w:t>účet</w:t>
      </w:r>
      <w:r w:rsidRPr="00AD29B7">
        <w:rPr>
          <w:rFonts w:ascii="Times New Roman" w:hAnsi="Times New Roman" w:cs="Times New Roman"/>
          <w:sz w:val="18"/>
          <w:szCs w:val="18"/>
        </w:rPr>
        <w:t xml:space="preserve">, ku ktorému záväzok prislúcha. Použitie rezervy sa účtuje na ťarchu vecne príslušného účtu rezerv so súvzťažným zápisom v prospech vecne príslušného účtu záväzkov. </w:t>
      </w:r>
      <w:r w:rsidR="00C47204" w:rsidRPr="00AD29B7">
        <w:rPr>
          <w:rFonts w:ascii="Times New Roman" w:hAnsi="Times New Roman" w:cs="Times New Roman"/>
          <w:sz w:val="18"/>
          <w:szCs w:val="18"/>
        </w:rPr>
        <w:t>Rozpustenie</w:t>
      </w:r>
      <w:r w:rsidRPr="00AD29B7">
        <w:rPr>
          <w:rFonts w:ascii="Times New Roman" w:hAnsi="Times New Roman" w:cs="Times New Roman"/>
          <w:sz w:val="18"/>
          <w:szCs w:val="18"/>
        </w:rPr>
        <w:t xml:space="preserve"> nepotrebnej rezervy alebo jej časti sa účtuje opačným účtovným zápisom ako sa účtovala tvorba rezervy.</w:t>
      </w:r>
    </w:p>
    <w:p w:rsidR="00A3677A" w:rsidRPr="00AD29B7" w:rsidRDefault="00A3677A" w:rsidP="002D5CB3">
      <w:pPr>
        <w:pStyle w:val="odstavec"/>
        <w:rPr>
          <w:rFonts w:ascii="Times New Roman" w:hAnsi="Times New Roman" w:cs="Times New Roman"/>
          <w:sz w:val="18"/>
          <w:szCs w:val="18"/>
        </w:rPr>
      </w:pPr>
    </w:p>
    <w:p w:rsidR="00A3677A" w:rsidRPr="00AD29B7" w:rsidRDefault="00D14B83" w:rsidP="002D5CB3">
      <w:pPr>
        <w:pStyle w:val="odstavec"/>
        <w:rPr>
          <w:rFonts w:ascii="Times New Roman" w:hAnsi="Times New Roman" w:cs="Times New Roman"/>
          <w:sz w:val="18"/>
          <w:szCs w:val="18"/>
        </w:rPr>
      </w:pPr>
      <w:r w:rsidRPr="00AD29B7">
        <w:rPr>
          <w:rFonts w:ascii="Times New Roman" w:hAnsi="Times New Roman" w:cs="Times New Roman"/>
          <w:sz w:val="18"/>
          <w:szCs w:val="18"/>
        </w:rPr>
        <w:t>Rezerva na bonusy, rabaty, skontá a vrátenie kúpnej ceny pri reklamácii sa tvorí ako zníženie pôvodne dosiahnutých výnosov so súvzťažným zápisom v prospech účtu re</w:t>
      </w:r>
      <w:r w:rsidR="0020476C" w:rsidRPr="00AD29B7">
        <w:rPr>
          <w:rFonts w:ascii="Times New Roman" w:hAnsi="Times New Roman" w:cs="Times New Roman"/>
          <w:sz w:val="18"/>
          <w:szCs w:val="18"/>
        </w:rPr>
        <w:t>zerv.</w:t>
      </w:r>
    </w:p>
    <w:p w:rsidR="004E5AE0" w:rsidRPr="00AD29B7" w:rsidRDefault="004E5AE0" w:rsidP="002D5CB3">
      <w:pPr>
        <w:pStyle w:val="odstavec"/>
        <w:rPr>
          <w:rFonts w:ascii="Times New Roman" w:hAnsi="Times New Roman" w:cs="Times New Roman"/>
          <w:sz w:val="18"/>
          <w:szCs w:val="18"/>
        </w:rPr>
      </w:pPr>
    </w:p>
    <w:p w:rsidR="00A3677A" w:rsidRPr="00AD29B7" w:rsidRDefault="00B0184F"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Spoločnosť vytvorila rezervy na </w:t>
      </w:r>
      <w:r w:rsidR="006C3BD9" w:rsidRPr="00AD29B7">
        <w:rPr>
          <w:rFonts w:ascii="Times New Roman" w:hAnsi="Times New Roman" w:cs="Times New Roman"/>
          <w:sz w:val="18"/>
          <w:szCs w:val="18"/>
        </w:rPr>
        <w:t>nevyfakturované dodávky</w:t>
      </w:r>
      <w:r w:rsidR="0062528C" w:rsidRPr="00AD29B7">
        <w:rPr>
          <w:rFonts w:ascii="Times New Roman" w:hAnsi="Times New Roman" w:cs="Times New Roman"/>
          <w:sz w:val="18"/>
          <w:szCs w:val="18"/>
        </w:rPr>
        <w:t xml:space="preserve"> a nevyčerpané dovolenky zamestnancov</w:t>
      </w:r>
      <w:r w:rsidR="006C3BD9" w:rsidRPr="00AD29B7">
        <w:rPr>
          <w:rFonts w:ascii="Times New Roman" w:hAnsi="Times New Roman" w:cs="Times New Roman"/>
          <w:sz w:val="18"/>
          <w:szCs w:val="18"/>
        </w:rPr>
        <w:t>.</w:t>
      </w:r>
    </w:p>
    <w:p w:rsidR="00032A3B" w:rsidRPr="00AD29B7" w:rsidRDefault="00032A3B" w:rsidP="002D5CB3">
      <w:pPr>
        <w:pStyle w:val="odstavec"/>
        <w:rPr>
          <w:rFonts w:ascii="Times New Roman" w:hAnsi="Times New Roman" w:cs="Times New Roman"/>
          <w:sz w:val="18"/>
          <w:szCs w:val="18"/>
        </w:rPr>
      </w:pPr>
    </w:p>
    <w:p w:rsidR="00A3677A" w:rsidRPr="00AD29B7" w:rsidRDefault="00A3677A" w:rsidP="002D5CB3">
      <w:pPr>
        <w:pStyle w:val="odstavec"/>
        <w:rPr>
          <w:rFonts w:ascii="Times New Roman" w:hAnsi="Times New Roman" w:cs="Times New Roman"/>
          <w:sz w:val="18"/>
          <w:szCs w:val="18"/>
        </w:rPr>
      </w:pPr>
    </w:p>
    <w:p w:rsidR="004C3501" w:rsidRPr="00AD29B7" w:rsidRDefault="004C3501" w:rsidP="00D4171E">
      <w:pPr>
        <w:pStyle w:val="abc"/>
        <w:rPr>
          <w:szCs w:val="18"/>
        </w:rPr>
      </w:pPr>
      <w:r w:rsidRPr="00AD29B7">
        <w:rPr>
          <w:szCs w:val="18"/>
        </w:rPr>
        <w:t>Dotácie zo štátneho rozpočtu</w:t>
      </w:r>
    </w:p>
    <w:p w:rsidR="00AF5D38" w:rsidRDefault="00AF5D38" w:rsidP="00AF5D38">
      <w:pPr>
        <w:pStyle w:val="abc"/>
        <w:numPr>
          <w:ilvl w:val="0"/>
          <w:numId w:val="0"/>
        </w:numPr>
        <w:ind w:left="425"/>
        <w:rPr>
          <w:szCs w:val="18"/>
        </w:rPr>
      </w:pPr>
      <w:r>
        <w:rPr>
          <w:szCs w:val="18"/>
        </w:rPr>
        <w:t>O nároku na dotácie zo štátneho rozpočtu, podporu alebo príspevok sa účtuje, ak je takmer isté, že sa splnia všetky podmienky súvisiace s dotáciou a súčasne, že sa dotácia poskytne.</w:t>
      </w:r>
    </w:p>
    <w:p w:rsidR="00AF5D38" w:rsidRDefault="00AF5D38" w:rsidP="00AF5D38">
      <w:pPr>
        <w:pStyle w:val="abc"/>
        <w:numPr>
          <w:ilvl w:val="0"/>
          <w:numId w:val="0"/>
        </w:numPr>
        <w:ind w:left="425"/>
        <w:rPr>
          <w:szCs w:val="18"/>
        </w:rPr>
      </w:pPr>
      <w:r>
        <w:rPr>
          <w:szCs w:val="18"/>
        </w:rPr>
        <w:t>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w:t>
      </w:r>
    </w:p>
    <w:p w:rsidR="00AF5D38" w:rsidRDefault="00AF5D38" w:rsidP="00AF5D38">
      <w:pPr>
        <w:pStyle w:val="abc"/>
        <w:numPr>
          <w:ilvl w:val="0"/>
          <w:numId w:val="0"/>
        </w:numPr>
        <w:ind w:left="425"/>
        <w:rPr>
          <w:szCs w:val="18"/>
        </w:rPr>
      </w:pPr>
      <w:r>
        <w:rPr>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4C3501" w:rsidRPr="00AD29B7" w:rsidRDefault="004C3501" w:rsidP="00A64C7D">
      <w:pPr>
        <w:pStyle w:val="abc"/>
        <w:numPr>
          <w:ilvl w:val="0"/>
          <w:numId w:val="0"/>
        </w:numPr>
        <w:ind w:left="425"/>
        <w:rPr>
          <w:szCs w:val="18"/>
        </w:rPr>
      </w:pPr>
      <w:r w:rsidRPr="00AD29B7">
        <w:rPr>
          <w:szCs w:val="18"/>
        </w:rPr>
        <w:t>Spoločnosť na základe rozhodnutia č. 43/2015 Ministerstva hospodárstva Slovenskej republiky zo dňa 01.12.2015 účtovala o výnose budúcich období dlhodobom vo výške 711</w:t>
      </w:r>
      <w:r w:rsidR="00AF5D38">
        <w:rPr>
          <w:szCs w:val="18"/>
        </w:rPr>
        <w:t xml:space="preserve"> </w:t>
      </w:r>
      <w:r w:rsidRPr="00AD29B7">
        <w:rPr>
          <w:szCs w:val="18"/>
        </w:rPr>
        <w:t>864 eur a výnose budúcich období krátkodobom vo výške 88</w:t>
      </w:r>
      <w:r w:rsidR="00AF5D38">
        <w:rPr>
          <w:szCs w:val="18"/>
        </w:rPr>
        <w:t xml:space="preserve"> </w:t>
      </w:r>
      <w:r w:rsidRPr="00AD29B7">
        <w:rPr>
          <w:szCs w:val="18"/>
        </w:rPr>
        <w:t xml:space="preserve">136 eur. </w:t>
      </w:r>
      <w:r w:rsidR="00AF5D38">
        <w:rPr>
          <w:szCs w:val="18"/>
        </w:rPr>
        <w:t xml:space="preserve">Táto investičná pomoc je určená na realizáciu investičného zámeru „Založenie nového podniku na povrchovú úpravu piestových čapov a komponentov dieselových vstrekovacích systémov v lokalite Veľká Ida“. Jej celková maximálna nominálna výška je 4 024 008 Eur. </w:t>
      </w:r>
      <w:r w:rsidRPr="00AD29B7">
        <w:rPr>
          <w:szCs w:val="18"/>
        </w:rPr>
        <w:t>Ide o dotáciu na obstaraný dlhodobý hmotný majetok a dlhodobý nehmotný majetok v maximálnej nominálnej výške 800</w:t>
      </w:r>
      <w:r w:rsidR="00AF5D38">
        <w:rPr>
          <w:szCs w:val="18"/>
        </w:rPr>
        <w:t xml:space="preserve"> </w:t>
      </w:r>
      <w:r w:rsidRPr="00AD29B7">
        <w:rPr>
          <w:szCs w:val="18"/>
        </w:rPr>
        <w:t xml:space="preserve">000 </w:t>
      </w:r>
      <w:r w:rsidR="00AF5D38">
        <w:rPr>
          <w:szCs w:val="18"/>
        </w:rPr>
        <w:t>E</w:t>
      </w:r>
      <w:r w:rsidRPr="00AD29B7">
        <w:rPr>
          <w:szCs w:val="18"/>
        </w:rPr>
        <w:t>ur</w:t>
      </w:r>
      <w:r w:rsidR="00AF5D38">
        <w:rPr>
          <w:szCs w:val="18"/>
        </w:rPr>
        <w:t xml:space="preserve"> a úľave na dani z príjmov v maximálnej nominálnej výške 3 224 008 Eur.</w:t>
      </w:r>
    </w:p>
    <w:p w:rsidR="004C3501" w:rsidRPr="00AD29B7" w:rsidRDefault="004C3501" w:rsidP="00A64C7D">
      <w:pPr>
        <w:pStyle w:val="abc"/>
        <w:numPr>
          <w:ilvl w:val="0"/>
          <w:numId w:val="0"/>
        </w:numPr>
        <w:ind w:left="425"/>
        <w:rPr>
          <w:szCs w:val="18"/>
        </w:rPr>
      </w:pPr>
    </w:p>
    <w:p w:rsidR="002A6B50" w:rsidRPr="00AD29B7" w:rsidRDefault="00C723D4" w:rsidP="00D4171E">
      <w:pPr>
        <w:pStyle w:val="abc"/>
        <w:rPr>
          <w:szCs w:val="18"/>
        </w:rPr>
      </w:pPr>
      <w:r w:rsidRPr="00AD29B7">
        <w:rPr>
          <w:szCs w:val="18"/>
        </w:rPr>
        <w:t>Záväzky</w:t>
      </w:r>
    </w:p>
    <w:p w:rsidR="00A3677A" w:rsidRPr="00AD29B7" w:rsidRDefault="00C723D4" w:rsidP="002D5CB3">
      <w:pPr>
        <w:pStyle w:val="odstavec"/>
        <w:rPr>
          <w:rFonts w:ascii="Times New Roman" w:hAnsi="Times New Roman" w:cs="Times New Roman"/>
          <w:sz w:val="18"/>
          <w:szCs w:val="18"/>
        </w:rPr>
      </w:pPr>
      <w:r w:rsidRPr="00AD29B7">
        <w:rPr>
          <w:rFonts w:ascii="Times New Roman" w:hAnsi="Times New Roman" w:cs="Times New Roman"/>
          <w:sz w:val="18"/>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857F3" w:rsidRDefault="00D857F3" w:rsidP="002D5CB3">
      <w:pPr>
        <w:pStyle w:val="odstavec"/>
        <w:rPr>
          <w:rFonts w:ascii="Times New Roman" w:hAnsi="Times New Roman" w:cs="Times New Roman"/>
          <w:sz w:val="18"/>
          <w:szCs w:val="18"/>
        </w:rPr>
      </w:pPr>
    </w:p>
    <w:p w:rsidR="004B6091" w:rsidRPr="00AD29B7" w:rsidRDefault="004B6091" w:rsidP="002D5CB3">
      <w:pPr>
        <w:pStyle w:val="odstavec"/>
        <w:rPr>
          <w:rFonts w:ascii="Times New Roman" w:hAnsi="Times New Roman" w:cs="Times New Roman"/>
          <w:sz w:val="18"/>
          <w:szCs w:val="18"/>
        </w:rPr>
      </w:pPr>
    </w:p>
    <w:p w:rsidR="002A6B50" w:rsidRPr="00AD29B7" w:rsidRDefault="00B90E35" w:rsidP="00D4171E">
      <w:pPr>
        <w:pStyle w:val="abc"/>
        <w:rPr>
          <w:szCs w:val="18"/>
        </w:rPr>
      </w:pPr>
      <w:r w:rsidRPr="00AD29B7">
        <w:rPr>
          <w:szCs w:val="18"/>
        </w:rPr>
        <w:t>Splatná daň z príjmu</w:t>
      </w:r>
    </w:p>
    <w:p w:rsidR="00A3677A" w:rsidRPr="00AD29B7" w:rsidRDefault="00523395" w:rsidP="002D5CB3">
      <w:pPr>
        <w:pStyle w:val="odstavec"/>
        <w:rPr>
          <w:rFonts w:ascii="Times New Roman" w:hAnsi="Times New Roman" w:cs="Times New Roman"/>
          <w:sz w:val="18"/>
          <w:szCs w:val="18"/>
        </w:rPr>
      </w:pPr>
      <w:r w:rsidRPr="00AD29B7">
        <w:rPr>
          <w:rFonts w:ascii="Times New Roman" w:hAnsi="Times New Roman" w:cs="Times New Roman"/>
          <w:sz w:val="18"/>
          <w:szCs w:val="18"/>
        </w:rPr>
        <w:lastRenderedPageBreak/>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Default="00A3677A" w:rsidP="002D5CB3">
      <w:pPr>
        <w:pStyle w:val="odstavec"/>
        <w:rPr>
          <w:rFonts w:ascii="Times New Roman" w:hAnsi="Times New Roman" w:cs="Times New Roman"/>
          <w:sz w:val="18"/>
          <w:szCs w:val="18"/>
        </w:rPr>
      </w:pPr>
    </w:p>
    <w:p w:rsidR="004B6091" w:rsidRPr="00AD29B7" w:rsidRDefault="004B6091" w:rsidP="002D5CB3">
      <w:pPr>
        <w:pStyle w:val="odstavec"/>
        <w:rPr>
          <w:rFonts w:ascii="Times New Roman" w:hAnsi="Times New Roman" w:cs="Times New Roman"/>
          <w:sz w:val="18"/>
          <w:szCs w:val="18"/>
        </w:rPr>
      </w:pPr>
    </w:p>
    <w:p w:rsidR="005D49E9" w:rsidRPr="00AD29B7" w:rsidRDefault="00C723D4" w:rsidP="00D4171E">
      <w:pPr>
        <w:pStyle w:val="abc"/>
        <w:rPr>
          <w:szCs w:val="18"/>
        </w:rPr>
      </w:pPr>
      <w:r w:rsidRPr="00AD29B7">
        <w:rPr>
          <w:szCs w:val="18"/>
        </w:rPr>
        <w:t>Výdavky budúcich období a výnosy budúcich období</w:t>
      </w:r>
    </w:p>
    <w:p w:rsidR="00A3677A" w:rsidRPr="00AD29B7" w:rsidRDefault="00C723D4" w:rsidP="002D5CB3">
      <w:pPr>
        <w:pStyle w:val="odstavec"/>
        <w:rPr>
          <w:rFonts w:ascii="Times New Roman" w:hAnsi="Times New Roman" w:cs="Times New Roman"/>
          <w:sz w:val="18"/>
          <w:szCs w:val="18"/>
        </w:rPr>
      </w:pPr>
      <w:r w:rsidRPr="00AD29B7">
        <w:rPr>
          <w:rFonts w:ascii="Times New Roman" w:hAnsi="Times New Roman" w:cs="Times New Roman"/>
          <w:sz w:val="18"/>
          <w:szCs w:val="18"/>
        </w:rPr>
        <w:t>Výdavky budúcich období a výnosy budúcich období sú vykázané vo výške, ktorá je potrebná na dodržanie zásady vecnej a časovej súvislosti s účtovným obdobím.</w:t>
      </w:r>
    </w:p>
    <w:p w:rsidR="005D49E9" w:rsidRDefault="005D49E9" w:rsidP="002D5CB3">
      <w:pPr>
        <w:pStyle w:val="odstavec"/>
        <w:rPr>
          <w:rFonts w:ascii="Times New Roman" w:hAnsi="Times New Roman" w:cs="Times New Roman"/>
          <w:sz w:val="18"/>
          <w:szCs w:val="18"/>
        </w:rPr>
      </w:pPr>
    </w:p>
    <w:p w:rsidR="004B6091" w:rsidRPr="00AD29B7" w:rsidRDefault="004B6091" w:rsidP="002D5CB3">
      <w:pPr>
        <w:pStyle w:val="odstavec"/>
        <w:rPr>
          <w:rFonts w:ascii="Times New Roman" w:hAnsi="Times New Roman" w:cs="Times New Roman"/>
          <w:sz w:val="18"/>
          <w:szCs w:val="18"/>
        </w:rPr>
      </w:pPr>
    </w:p>
    <w:p w:rsidR="00025915" w:rsidRDefault="00025915" w:rsidP="00D4171E">
      <w:pPr>
        <w:pStyle w:val="abc"/>
        <w:rPr>
          <w:szCs w:val="18"/>
        </w:rPr>
      </w:pPr>
      <w:r>
        <w:rPr>
          <w:szCs w:val="18"/>
        </w:rPr>
        <w:t>Zníženie hodnoty majetku a opravné položky</w:t>
      </w:r>
    </w:p>
    <w:p w:rsidR="00025915" w:rsidRDefault="00025915" w:rsidP="00025915">
      <w:pPr>
        <w:pStyle w:val="abc"/>
        <w:numPr>
          <w:ilvl w:val="0"/>
          <w:numId w:val="0"/>
        </w:numPr>
        <w:ind w:left="425"/>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t xml:space="preserve">sa </w:t>
      </w:r>
      <w:r w:rsidRPr="00D06026">
        <w:t>ich výška, ak nastane zmena predpokladu zníženia hodnoty</w:t>
      </w:r>
      <w:r>
        <w:t>.</w:t>
      </w:r>
    </w:p>
    <w:p w:rsidR="00025915" w:rsidRPr="00D06026" w:rsidRDefault="00025915" w:rsidP="00025915">
      <w:pPr>
        <w:pStyle w:val="Pismenka"/>
        <w:tabs>
          <w:tab w:val="clear" w:pos="426"/>
        </w:tabs>
        <w:ind w:firstLine="0"/>
        <w:rPr>
          <w:i/>
        </w:rPr>
      </w:pPr>
      <w:r w:rsidRPr="00D06026">
        <w:rPr>
          <w:i/>
        </w:rPr>
        <w:t>Zníženie hodnoty dlhodobého majetku a zásob</w:t>
      </w:r>
    </w:p>
    <w:p w:rsidR="00025915" w:rsidRDefault="00025915" w:rsidP="00025915">
      <w:pPr>
        <w:pStyle w:val="abc"/>
        <w:numPr>
          <w:ilvl w:val="0"/>
          <w:numId w:val="0"/>
        </w:numPr>
        <w:ind w:left="425"/>
      </w:pPr>
      <w:r w:rsidRPr="00D06026">
        <w:t>Ku každému dňu, ku ktorému sa zostavuje účtovná závierka, je účtovná hodnota majetku Spoločnosti, iného ako odloženej daňovej pohľ</w:t>
      </w:r>
      <w:r>
        <w:t xml:space="preserve">adávky </w:t>
      </w:r>
      <w:r w:rsidRPr="00D06026">
        <w:t xml:space="preserve">posudzovaná s cieľom zistiť, či existujú </w:t>
      </w:r>
      <w:r>
        <w:t xml:space="preserve">indikátory, </w:t>
      </w:r>
      <w:r w:rsidRPr="00D06026">
        <w:t>že by mohlo dôjsť k zníženiu hodnoty majetku. Ak takéto indikátory existujú, potom sa odhadnú predpokladané budúce ekonomické úžitky z daného majetku</w:t>
      </w:r>
    </w:p>
    <w:p w:rsidR="00025915" w:rsidRDefault="00025915" w:rsidP="00025915">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025915" w:rsidRPr="00AB3D9A" w:rsidRDefault="00025915" w:rsidP="00025915">
      <w:pPr>
        <w:pStyle w:val="Pismenka"/>
        <w:tabs>
          <w:tab w:val="clear" w:pos="426"/>
        </w:tabs>
        <w:ind w:firstLine="0"/>
        <w:rPr>
          <w:b w:val="0"/>
        </w:rPr>
      </w:pPr>
    </w:p>
    <w:p w:rsidR="00025915" w:rsidRPr="00CC23EC" w:rsidRDefault="00025915" w:rsidP="00025915">
      <w:pPr>
        <w:pStyle w:val="Pismenka"/>
        <w:tabs>
          <w:tab w:val="clear" w:pos="426"/>
        </w:tabs>
        <w:ind w:firstLine="0"/>
        <w:rPr>
          <w:i/>
        </w:rPr>
      </w:pPr>
      <w:r w:rsidRPr="00D06026">
        <w:rPr>
          <w:i/>
        </w:rPr>
        <w:t>Zníženie hodnoty finančného majetku a pohľadávok</w:t>
      </w:r>
      <w:r w:rsidRPr="00CC23EC">
        <w:rPr>
          <w:i/>
        </w:rPr>
        <w:t xml:space="preserve"> </w:t>
      </w:r>
    </w:p>
    <w:p w:rsidR="00025915" w:rsidRPr="00D06026" w:rsidRDefault="00025915" w:rsidP="00025915">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025915" w:rsidRPr="00D06026" w:rsidRDefault="00025915" w:rsidP="00025915">
      <w:pPr>
        <w:pStyle w:val="Pismenka"/>
        <w:tabs>
          <w:tab w:val="clear" w:pos="426"/>
        </w:tabs>
        <w:ind w:firstLine="0"/>
        <w:rPr>
          <w:b w:val="0"/>
        </w:rPr>
      </w:pPr>
    </w:p>
    <w:p w:rsidR="00025915" w:rsidRPr="00D06026" w:rsidRDefault="00025915" w:rsidP="00025915">
      <w:pPr>
        <w:pStyle w:val="Pismenka"/>
        <w:tabs>
          <w:tab w:val="clear" w:pos="426"/>
        </w:tabs>
        <w:ind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25915" w:rsidRPr="00D06026" w:rsidRDefault="00025915" w:rsidP="00025915">
      <w:pPr>
        <w:pStyle w:val="Pismenka"/>
        <w:tabs>
          <w:tab w:val="clear" w:pos="426"/>
        </w:tabs>
        <w:ind w:firstLine="0"/>
        <w:rPr>
          <w:b w:val="0"/>
          <w:i/>
          <w:szCs w:val="18"/>
        </w:rPr>
      </w:pPr>
    </w:p>
    <w:p w:rsidR="00025915" w:rsidRPr="00D06026" w:rsidRDefault="00025915" w:rsidP="00025915">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025915" w:rsidRPr="00D06026" w:rsidRDefault="00025915" w:rsidP="00025915">
      <w:pPr>
        <w:pStyle w:val="Pismenka"/>
        <w:tabs>
          <w:tab w:val="clear" w:pos="426"/>
        </w:tabs>
        <w:ind w:firstLine="0"/>
        <w:rPr>
          <w:b w:val="0"/>
        </w:rPr>
      </w:pPr>
    </w:p>
    <w:p w:rsidR="00025915" w:rsidRDefault="00025915" w:rsidP="00025915">
      <w:pPr>
        <w:pStyle w:val="abc"/>
        <w:numPr>
          <w:ilvl w:val="0"/>
          <w:numId w:val="0"/>
        </w:numPr>
        <w:ind w:left="425"/>
      </w:pPr>
      <w:r w:rsidRPr="00D06026">
        <w:t>Opravná položka sa zruší, ak následné zvýšenie predpokladaných budúcich ekonomických úžitkov možno objektívne spájať s udalosťou, ktorá nastala po vykázaní opravnej položky</w:t>
      </w:r>
      <w:r>
        <w:t>.</w:t>
      </w:r>
    </w:p>
    <w:p w:rsidR="00D637B1" w:rsidRDefault="00D637B1" w:rsidP="00025915">
      <w:pPr>
        <w:pStyle w:val="abc"/>
        <w:numPr>
          <w:ilvl w:val="0"/>
          <w:numId w:val="0"/>
        </w:numPr>
        <w:ind w:left="425"/>
        <w:rPr>
          <w:szCs w:val="18"/>
        </w:rPr>
      </w:pPr>
    </w:p>
    <w:p w:rsidR="005D49E9" w:rsidRPr="00AD29B7" w:rsidRDefault="00DD1079" w:rsidP="00D4171E">
      <w:pPr>
        <w:pStyle w:val="abc"/>
        <w:rPr>
          <w:szCs w:val="18"/>
        </w:rPr>
      </w:pPr>
      <w:r w:rsidRPr="00AD29B7">
        <w:rPr>
          <w:szCs w:val="18"/>
        </w:rPr>
        <w:t>V</w:t>
      </w:r>
      <w:r w:rsidR="00A8019C" w:rsidRPr="00AD29B7">
        <w:rPr>
          <w:szCs w:val="18"/>
        </w:rPr>
        <w:t>ykazovanie v</w:t>
      </w:r>
      <w:r w:rsidRPr="00AD29B7">
        <w:rPr>
          <w:szCs w:val="18"/>
        </w:rPr>
        <w:t>ýnos</w:t>
      </w:r>
      <w:r w:rsidR="00A8019C" w:rsidRPr="00AD29B7">
        <w:rPr>
          <w:szCs w:val="18"/>
        </w:rPr>
        <w:t>ov</w:t>
      </w:r>
    </w:p>
    <w:p w:rsidR="00A3677A" w:rsidRPr="00AD29B7" w:rsidRDefault="00B0184F" w:rsidP="002D5CB3">
      <w:pPr>
        <w:pStyle w:val="odstavec"/>
        <w:rPr>
          <w:rFonts w:ascii="Times New Roman" w:hAnsi="Times New Roman" w:cs="Times New Roman"/>
          <w:sz w:val="18"/>
          <w:szCs w:val="18"/>
        </w:rPr>
      </w:pPr>
      <w:r w:rsidRPr="00AD29B7">
        <w:rPr>
          <w:rFonts w:ascii="Times New Roman" w:hAnsi="Times New Roman" w:cs="Times New Roman"/>
          <w:sz w:val="18"/>
          <w:szCs w:val="18"/>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AD29B7" w:rsidRDefault="00A3677A" w:rsidP="002D5CB3">
      <w:pPr>
        <w:pStyle w:val="odstavec"/>
        <w:rPr>
          <w:rFonts w:ascii="Times New Roman" w:hAnsi="Times New Roman" w:cs="Times New Roman"/>
          <w:sz w:val="18"/>
          <w:szCs w:val="18"/>
        </w:rPr>
      </w:pPr>
    </w:p>
    <w:p w:rsidR="00A3677A" w:rsidRPr="00AD29B7" w:rsidRDefault="00EF04E2"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Výnosy sa vykazujú po odpočítaní dane z pridanej hodnoty, zliav a zrážok (rabaty, bonusy, skontá, dobropisy a pod.). Výnosové úroky sa účtujú </w:t>
      </w:r>
      <w:r w:rsidR="002A6B50" w:rsidRPr="00AD29B7">
        <w:rPr>
          <w:rFonts w:ascii="Times New Roman" w:hAnsi="Times New Roman" w:cs="Times New Roman"/>
          <w:sz w:val="18"/>
          <w:szCs w:val="18"/>
        </w:rPr>
        <w:t>rovnomerne v účtovných obdobiach, ktorých sa vecne a časovo týkajú</w:t>
      </w:r>
      <w:r w:rsidR="005D0400" w:rsidRPr="00AD29B7">
        <w:rPr>
          <w:rFonts w:ascii="Times New Roman" w:hAnsi="Times New Roman" w:cs="Times New Roman"/>
          <w:sz w:val="18"/>
          <w:szCs w:val="18"/>
        </w:rPr>
        <w:t>.</w:t>
      </w:r>
      <w:r w:rsidRPr="00AD29B7">
        <w:rPr>
          <w:rFonts w:ascii="Times New Roman" w:hAnsi="Times New Roman" w:cs="Times New Roman"/>
          <w:sz w:val="18"/>
          <w:szCs w:val="18"/>
        </w:rPr>
        <w:t xml:space="preserve"> Výnosy z dividend sa zaúčtujú v čase vzniku práva Spoločnosti na prijatie platby.</w:t>
      </w:r>
    </w:p>
    <w:p w:rsidR="00A3677A" w:rsidRPr="00AD29B7" w:rsidRDefault="00A3677A" w:rsidP="002D5CB3">
      <w:pPr>
        <w:pStyle w:val="odstavec"/>
        <w:rPr>
          <w:rFonts w:ascii="Times New Roman" w:hAnsi="Times New Roman" w:cs="Times New Roman"/>
          <w:sz w:val="18"/>
          <w:szCs w:val="18"/>
        </w:rPr>
      </w:pPr>
    </w:p>
    <w:p w:rsidR="00CF4995" w:rsidRPr="00AD29B7" w:rsidRDefault="00CF4995"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Výnosy Spoločnosti tvoria tržby z povrchovej úpravy kovov. </w:t>
      </w:r>
    </w:p>
    <w:p w:rsidR="00A91081" w:rsidRDefault="00A91081" w:rsidP="009D1162">
      <w:pPr>
        <w:pStyle w:val="odstavec"/>
        <w:ind w:left="0"/>
        <w:rPr>
          <w:rFonts w:ascii="Times New Roman" w:hAnsi="Times New Roman" w:cs="Times New Roman"/>
          <w:sz w:val="18"/>
          <w:szCs w:val="18"/>
        </w:rPr>
      </w:pPr>
    </w:p>
    <w:p w:rsidR="004B6091" w:rsidRPr="00AD29B7" w:rsidRDefault="004B6091" w:rsidP="009D1162">
      <w:pPr>
        <w:pStyle w:val="odstavec"/>
        <w:ind w:left="0"/>
        <w:rPr>
          <w:rFonts w:ascii="Times New Roman" w:hAnsi="Times New Roman" w:cs="Times New Roman"/>
          <w:sz w:val="18"/>
          <w:szCs w:val="18"/>
        </w:rPr>
      </w:pPr>
    </w:p>
    <w:p w:rsidR="00A91081" w:rsidRPr="00190793" w:rsidRDefault="00A91081" w:rsidP="00A91081">
      <w:pPr>
        <w:pStyle w:val="abc"/>
        <w:rPr>
          <w:szCs w:val="18"/>
          <w:lang w:eastAsia="en-US"/>
        </w:rPr>
      </w:pPr>
      <w:r w:rsidRPr="00AD29B7">
        <w:rPr>
          <w:szCs w:val="18"/>
          <w:lang w:eastAsia="en-US"/>
        </w:rPr>
        <w:t>Zamestnanecké požitky</w:t>
      </w:r>
    </w:p>
    <w:p w:rsidR="00A91081" w:rsidRPr="00AD29B7" w:rsidRDefault="00A91081" w:rsidP="00A91081">
      <w:pPr>
        <w:ind w:left="425"/>
        <w:jc w:val="both"/>
        <w:rPr>
          <w:sz w:val="18"/>
          <w:szCs w:val="18"/>
          <w:lang w:eastAsia="en-US"/>
        </w:rPr>
      </w:pPr>
      <w:r w:rsidRPr="00AD29B7">
        <w:rPr>
          <w:sz w:val="18"/>
          <w:szCs w:val="18"/>
          <w:lang w:eastAsia="en-US"/>
        </w:rPr>
        <w:lastRenderedPageBreak/>
        <w:t>Platy, mzdy, príspevky do dôchodkových a poistných fondov, platená ročná dovolenka a platená zdravotná</w:t>
      </w:r>
      <w:r w:rsidRPr="00AD29B7">
        <w:rPr>
          <w:b/>
          <w:sz w:val="18"/>
          <w:szCs w:val="18"/>
          <w:lang w:eastAsia="en-US"/>
        </w:rPr>
        <w:t xml:space="preserve"> </w:t>
      </w:r>
      <w:r w:rsidRPr="00AD29B7">
        <w:rPr>
          <w:sz w:val="18"/>
          <w:szCs w:val="18"/>
          <w:lang w:eastAsia="en-US"/>
        </w:rPr>
        <w:t>dovolenka, bonusy a ostatné nepeňažné požitky (zdravotná starostlivosť) sa účtujú v účtovnom období, s ktorým vecne a časovo súvisia.</w:t>
      </w:r>
      <w:r w:rsidR="009D1162" w:rsidRPr="00AD29B7">
        <w:rPr>
          <w:sz w:val="18"/>
          <w:szCs w:val="18"/>
          <w:lang w:eastAsia="en-US"/>
        </w:rPr>
        <w:t xml:space="preserve"> Iné zametnanecké požitky zatiaľ nie sú známe.</w:t>
      </w:r>
    </w:p>
    <w:p w:rsidR="00A3677A" w:rsidRDefault="00A3677A" w:rsidP="007C04CF">
      <w:pPr>
        <w:pStyle w:val="odstavec"/>
        <w:ind w:left="0"/>
        <w:rPr>
          <w:rFonts w:ascii="Times New Roman" w:hAnsi="Times New Roman" w:cs="Times New Roman"/>
          <w:sz w:val="18"/>
          <w:szCs w:val="18"/>
        </w:rPr>
      </w:pPr>
    </w:p>
    <w:p w:rsidR="004B6091" w:rsidRPr="00AD29B7" w:rsidRDefault="004B6091" w:rsidP="007C04CF">
      <w:pPr>
        <w:pStyle w:val="odstavec"/>
        <w:ind w:left="0"/>
        <w:rPr>
          <w:rFonts w:ascii="Times New Roman" w:hAnsi="Times New Roman" w:cs="Times New Roman"/>
          <w:sz w:val="18"/>
          <w:szCs w:val="18"/>
        </w:rPr>
      </w:pPr>
    </w:p>
    <w:p w:rsidR="009D1162" w:rsidRPr="00AD29B7" w:rsidRDefault="009D1162" w:rsidP="00D4171E">
      <w:pPr>
        <w:pStyle w:val="abc"/>
        <w:rPr>
          <w:szCs w:val="18"/>
          <w:lang w:eastAsia="en-US"/>
        </w:rPr>
      </w:pPr>
      <w:r w:rsidRPr="00AD29B7">
        <w:rPr>
          <w:szCs w:val="18"/>
          <w:lang w:eastAsia="en-US"/>
        </w:rPr>
        <w:t>Pohľadávky</w:t>
      </w:r>
    </w:p>
    <w:p w:rsidR="009D1162" w:rsidRDefault="009D1162" w:rsidP="009D1162">
      <w:pPr>
        <w:ind w:left="426"/>
        <w:jc w:val="both"/>
        <w:rPr>
          <w:sz w:val="18"/>
          <w:szCs w:val="18"/>
          <w:lang w:eastAsia="en-US"/>
        </w:rPr>
      </w:pPr>
      <w:r w:rsidRPr="00AD29B7">
        <w:rPr>
          <w:sz w:val="18"/>
          <w:szCs w:val="18"/>
          <w:lang w:eastAsia="en-US"/>
        </w:rPr>
        <w:t>Pohľadávky pri ich vzniku sa oceňujú ich menovitou hodnotou.  Na pohľadávky Spoločnosti nie je zriadené záložné právo.</w:t>
      </w:r>
    </w:p>
    <w:p w:rsidR="00190793" w:rsidRDefault="00190793" w:rsidP="009D1162">
      <w:pPr>
        <w:ind w:left="426"/>
        <w:jc w:val="both"/>
        <w:rPr>
          <w:sz w:val="18"/>
          <w:szCs w:val="18"/>
          <w:lang w:eastAsia="en-US"/>
        </w:rPr>
      </w:pPr>
    </w:p>
    <w:p w:rsidR="00190793" w:rsidRDefault="00190793" w:rsidP="009D1162">
      <w:pPr>
        <w:ind w:left="426"/>
        <w:jc w:val="both"/>
        <w:rPr>
          <w:sz w:val="18"/>
          <w:szCs w:val="18"/>
          <w:lang w:eastAsia="en-US"/>
        </w:rPr>
      </w:pPr>
    </w:p>
    <w:p w:rsidR="007C04CF" w:rsidRDefault="004B6091" w:rsidP="00D4171E">
      <w:pPr>
        <w:pStyle w:val="abc"/>
        <w:rPr>
          <w:szCs w:val="18"/>
        </w:rPr>
      </w:pPr>
      <w:r>
        <w:rPr>
          <w:szCs w:val="18"/>
        </w:rPr>
        <w:t>Cudzia mena</w:t>
      </w:r>
    </w:p>
    <w:p w:rsidR="004B6091" w:rsidRDefault="004B6091" w:rsidP="004B6091">
      <w:pPr>
        <w:pStyle w:val="abc"/>
        <w:numPr>
          <w:ilvl w:val="0"/>
          <w:numId w:val="0"/>
        </w:numPr>
        <w:ind w:left="426"/>
        <w:rPr>
          <w:szCs w:val="18"/>
        </w:rPr>
      </w:pPr>
      <w:r w:rsidRPr="004B6091">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4B6091" w:rsidRPr="00092E6F" w:rsidRDefault="004B6091" w:rsidP="004B6091">
      <w:pPr>
        <w:pStyle w:val="Pismenka"/>
        <w:tabs>
          <w:tab w:val="clear" w:pos="426"/>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B6091" w:rsidRPr="000106BA" w:rsidRDefault="004B6091" w:rsidP="004B6091">
      <w:pPr>
        <w:pStyle w:val="Pismenka"/>
        <w:tabs>
          <w:tab w:val="clear" w:pos="426"/>
        </w:tabs>
        <w:ind w:firstLine="0"/>
      </w:pPr>
    </w:p>
    <w:p w:rsidR="004B6091" w:rsidRPr="00092E6F" w:rsidRDefault="004B6091" w:rsidP="004B6091">
      <w:pPr>
        <w:pStyle w:val="Pismenka"/>
        <w:tabs>
          <w:tab w:val="clear" w:pos="426"/>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4B6091" w:rsidRPr="000106BA" w:rsidRDefault="004B6091" w:rsidP="004B6091">
      <w:pPr>
        <w:pStyle w:val="Pismenka"/>
        <w:tabs>
          <w:tab w:val="clear" w:pos="426"/>
        </w:tabs>
        <w:ind w:firstLine="0"/>
      </w:pPr>
    </w:p>
    <w:p w:rsidR="004B6091" w:rsidRPr="00092E6F" w:rsidRDefault="004B6091" w:rsidP="004B6091">
      <w:pPr>
        <w:pStyle w:val="Pismenka"/>
        <w:tabs>
          <w:tab w:val="clear" w:pos="426"/>
        </w:tabs>
        <w:ind w:firstLine="0"/>
      </w:pPr>
      <w:r w:rsidRPr="00F53D2F">
        <w:rPr>
          <w:b w:val="0"/>
        </w:rPr>
        <w:t xml:space="preserve">Ku dňu, ku ktorému sa zostavuje účtovná závierka, sa už neprepočítavajú. </w:t>
      </w:r>
    </w:p>
    <w:p w:rsidR="004B6091" w:rsidRPr="000106BA" w:rsidRDefault="004B6091" w:rsidP="004B6091">
      <w:pPr>
        <w:pStyle w:val="Pismenka"/>
        <w:tabs>
          <w:tab w:val="clear" w:pos="426"/>
        </w:tabs>
        <w:ind w:firstLine="0"/>
      </w:pPr>
    </w:p>
    <w:p w:rsidR="004B6091" w:rsidRDefault="004B6091" w:rsidP="004B6091">
      <w:pPr>
        <w:pStyle w:val="abc"/>
        <w:numPr>
          <w:ilvl w:val="0"/>
          <w:numId w:val="0"/>
        </w:numPr>
        <w:ind w:left="426"/>
      </w:pPr>
      <w:r w:rsidRPr="00F53D2F">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4B6091" w:rsidRDefault="004B6091" w:rsidP="004B6091">
      <w:pPr>
        <w:pStyle w:val="abc"/>
        <w:numPr>
          <w:ilvl w:val="0"/>
          <w:numId w:val="0"/>
        </w:numPr>
        <w:ind w:left="426"/>
        <w:rPr>
          <w:szCs w:val="18"/>
        </w:rPr>
      </w:pPr>
    </w:p>
    <w:p w:rsidR="004B6091" w:rsidRPr="00AD29B7" w:rsidRDefault="004B6091" w:rsidP="00D4171E">
      <w:pPr>
        <w:pStyle w:val="abc"/>
        <w:rPr>
          <w:szCs w:val="18"/>
        </w:rPr>
      </w:pPr>
      <w:r>
        <w:rPr>
          <w:szCs w:val="18"/>
        </w:rPr>
        <w:t>Prenájom</w:t>
      </w:r>
    </w:p>
    <w:p w:rsidR="007C04CF" w:rsidRDefault="007C04CF" w:rsidP="00A64C7D">
      <w:pPr>
        <w:pStyle w:val="abc"/>
        <w:numPr>
          <w:ilvl w:val="0"/>
          <w:numId w:val="0"/>
        </w:numPr>
        <w:ind w:left="425"/>
        <w:rPr>
          <w:szCs w:val="18"/>
        </w:rPr>
      </w:pPr>
      <w:r w:rsidRPr="00AD29B7">
        <w:rPr>
          <w:szCs w:val="18"/>
        </w:rPr>
        <w:t xml:space="preserve">Operatívny prenájom. Majetok prenajatý na základe operatívneho prenájmu vykazuje ako svoj majetok jeho vlastník, nie nájomca. Prenájom majetku formou operatívneho leasingu sa účtuje do nákladov priebežne počas doby trvania leasingovej zmluvy. Spoločnosť má prenajatú výrobnú halu a vysokozdvižné vozíky. </w:t>
      </w:r>
    </w:p>
    <w:p w:rsidR="004B6091" w:rsidRDefault="004B6091" w:rsidP="004B6091">
      <w:pPr>
        <w:pStyle w:val="abc"/>
        <w:numPr>
          <w:ilvl w:val="0"/>
          <w:numId w:val="0"/>
        </w:numPr>
        <w:ind w:left="425"/>
        <w:rPr>
          <w:szCs w:val="18"/>
        </w:rPr>
      </w:pPr>
    </w:p>
    <w:p w:rsidR="004B6091" w:rsidRPr="00AD29B7" w:rsidRDefault="004B6091" w:rsidP="004B6091">
      <w:pPr>
        <w:pStyle w:val="abc"/>
        <w:numPr>
          <w:ilvl w:val="0"/>
          <w:numId w:val="0"/>
        </w:numPr>
        <w:ind w:left="425"/>
        <w:rPr>
          <w:szCs w:val="18"/>
        </w:rPr>
        <w:sectPr w:rsidR="004B6091" w:rsidRPr="00AD29B7" w:rsidSect="00FB6913">
          <w:headerReference w:type="default" r:id="rId10"/>
          <w:pgSz w:w="11906" w:h="16838"/>
          <w:pgMar w:top="1134" w:right="1134" w:bottom="1134" w:left="1134" w:header="709" w:footer="709" w:gutter="0"/>
          <w:cols w:space="708"/>
          <w:docGrid w:linePitch="360"/>
        </w:sectPr>
      </w:pPr>
    </w:p>
    <w:p w:rsidR="002A6B50" w:rsidRPr="00AD29B7" w:rsidRDefault="00EC3598" w:rsidP="00AD29B7">
      <w:pPr>
        <w:pStyle w:val="Heading1"/>
        <w:rPr>
          <w:sz w:val="18"/>
          <w:szCs w:val="18"/>
        </w:rPr>
      </w:pPr>
      <w:r>
        <w:rPr>
          <w:sz w:val="18"/>
          <w:szCs w:val="18"/>
        </w:rPr>
        <w:lastRenderedPageBreak/>
        <w:t>INFORMÁCIE K POLOŽKÁM SÚVAHY A VÝKAZU ZISKOV A STRÁT</w:t>
      </w:r>
    </w:p>
    <w:p w:rsidR="002A6B50" w:rsidRPr="00EC3598" w:rsidRDefault="00EC3598" w:rsidP="0014071D">
      <w:pPr>
        <w:pStyle w:val="Heading2"/>
        <w:rPr>
          <w:rFonts w:ascii="Times New Roman" w:hAnsi="Times New Roman" w:cs="Times New Roman"/>
          <w:sz w:val="18"/>
          <w:szCs w:val="18"/>
        </w:rPr>
      </w:pPr>
      <w:r w:rsidRPr="00EC3598">
        <w:rPr>
          <w:rFonts w:ascii="Times New Roman" w:hAnsi="Times New Roman" w:cs="Times New Roman"/>
          <w:sz w:val="18"/>
          <w:szCs w:val="18"/>
        </w:rPr>
        <w:t>Záväzky</w:t>
      </w:r>
    </w:p>
    <w:p w:rsidR="00DF673A" w:rsidRPr="00AD29B7" w:rsidRDefault="00DF673A" w:rsidP="002D5CB3">
      <w:pPr>
        <w:pStyle w:val="odstavec"/>
        <w:rPr>
          <w:rFonts w:ascii="Times New Roman" w:hAnsi="Times New Roman" w:cs="Times New Roman"/>
          <w:sz w:val="18"/>
          <w:szCs w:val="18"/>
        </w:rPr>
      </w:pPr>
      <w:r w:rsidRPr="00AD29B7">
        <w:rPr>
          <w:rFonts w:ascii="Times New Roman" w:hAnsi="Times New Roman" w:cs="Times New Roman"/>
          <w:sz w:val="18"/>
          <w:szCs w:val="18"/>
        </w:rPr>
        <w:t>Štruktúra záväzkov podľa zostatkovej doby splatnosti je uvedená v nasledujúcej tabuľke:</w:t>
      </w:r>
    </w:p>
    <w:p w:rsidR="00DF673A" w:rsidRPr="00AD29B7" w:rsidRDefault="00DF673A" w:rsidP="002D5CB3">
      <w:pPr>
        <w:pStyle w:val="odstavec"/>
        <w:rPr>
          <w:rFonts w:ascii="Times New Roman" w:hAnsi="Times New Roman" w:cs="Times New Roman"/>
          <w:sz w:val="18"/>
          <w:szCs w:val="18"/>
        </w:rPr>
      </w:pPr>
      <w:bookmarkStart w:id="14" w:name="FWT_liabilities"/>
      <w:r w:rsidRPr="00AD29B7">
        <w:rPr>
          <w:rFonts w:ascii="Times New Roman" w:hAnsi="Times New Roman" w:cs="Times New Roman"/>
          <w:sz w:val="18"/>
          <w:szCs w:val="18"/>
        </w:rPr>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4984"/>
        <w:gridCol w:w="2082"/>
        <w:gridCol w:w="2082"/>
      </w:tblGrid>
      <w:tr w:rsidR="00DF673A" w:rsidRPr="00AD29B7" w:rsidTr="00B4149F">
        <w:trPr>
          <w:trHeight w:val="227"/>
        </w:trPr>
        <w:tc>
          <w:tcPr>
            <w:tcW w:w="4984" w:type="dxa"/>
            <w:tcBorders>
              <w:top w:val="nil"/>
              <w:left w:val="nil"/>
              <w:bottom w:val="single" w:sz="4" w:space="0" w:color="auto"/>
              <w:right w:val="nil"/>
            </w:tcBorders>
            <w:shd w:val="clear" w:color="auto" w:fill="auto"/>
            <w:vAlign w:val="bottom"/>
            <w:hideMark/>
          </w:tcPr>
          <w:p w:rsidR="00DF673A" w:rsidRPr="00AD29B7" w:rsidRDefault="00DF673A" w:rsidP="00B4149F">
            <w:pPr>
              <w:jc w:val="center"/>
              <w:rPr>
                <w:b/>
                <w:bCs/>
                <w:sz w:val="18"/>
                <w:szCs w:val="18"/>
              </w:rPr>
            </w:pPr>
            <w:bookmarkStart w:id="15" w:name="RANGE!B3:D9"/>
            <w:r w:rsidRPr="00AD29B7">
              <w:rPr>
                <w:b/>
                <w:bCs/>
                <w:sz w:val="18"/>
                <w:szCs w:val="18"/>
              </w:rPr>
              <w:t>Názov položky</w:t>
            </w:r>
            <w:bookmarkEnd w:id="15"/>
          </w:p>
        </w:tc>
        <w:tc>
          <w:tcPr>
            <w:tcW w:w="2082" w:type="dxa"/>
            <w:tcBorders>
              <w:top w:val="nil"/>
              <w:left w:val="nil"/>
              <w:bottom w:val="single" w:sz="4" w:space="0" w:color="auto"/>
              <w:right w:val="nil"/>
            </w:tcBorders>
            <w:shd w:val="clear" w:color="auto" w:fill="auto"/>
            <w:vAlign w:val="bottom"/>
            <w:hideMark/>
          </w:tcPr>
          <w:p w:rsidR="00DF673A" w:rsidRPr="00AD29B7" w:rsidRDefault="00DF673A" w:rsidP="00DF673A">
            <w:pPr>
              <w:jc w:val="center"/>
              <w:rPr>
                <w:b/>
                <w:bCs/>
                <w:sz w:val="18"/>
                <w:szCs w:val="18"/>
              </w:rPr>
            </w:pPr>
            <w:r w:rsidRPr="00AD29B7">
              <w:rPr>
                <w:b/>
                <w:bCs/>
                <w:sz w:val="18"/>
                <w:szCs w:val="18"/>
              </w:rPr>
              <w:t>Stav k 31.12.2015</w:t>
            </w:r>
          </w:p>
        </w:tc>
        <w:tc>
          <w:tcPr>
            <w:tcW w:w="2082" w:type="dxa"/>
            <w:tcBorders>
              <w:top w:val="nil"/>
              <w:left w:val="nil"/>
              <w:bottom w:val="single" w:sz="4" w:space="0" w:color="auto"/>
              <w:right w:val="nil"/>
            </w:tcBorders>
            <w:shd w:val="clear" w:color="auto" w:fill="auto"/>
            <w:vAlign w:val="bottom"/>
            <w:hideMark/>
          </w:tcPr>
          <w:p w:rsidR="00DF673A" w:rsidRPr="00AD29B7" w:rsidRDefault="00DF673A" w:rsidP="00DF673A">
            <w:pPr>
              <w:jc w:val="center"/>
              <w:rPr>
                <w:b/>
                <w:bCs/>
                <w:sz w:val="18"/>
                <w:szCs w:val="18"/>
              </w:rPr>
            </w:pPr>
            <w:r w:rsidRPr="00AD29B7">
              <w:rPr>
                <w:b/>
                <w:bCs/>
                <w:sz w:val="18"/>
                <w:szCs w:val="18"/>
              </w:rPr>
              <w:t>Stav k 31.12.2014</w:t>
            </w:r>
          </w:p>
        </w:tc>
      </w:tr>
      <w:tr w:rsidR="00DF673A" w:rsidRPr="00AD29B7" w:rsidTr="00B4149F">
        <w:trPr>
          <w:trHeight w:val="227"/>
        </w:trPr>
        <w:tc>
          <w:tcPr>
            <w:tcW w:w="4984" w:type="dxa"/>
            <w:tcBorders>
              <w:top w:val="nil"/>
              <w:left w:val="nil"/>
              <w:bottom w:val="nil"/>
              <w:right w:val="nil"/>
            </w:tcBorders>
            <w:shd w:val="clear" w:color="auto" w:fill="auto"/>
            <w:vAlign w:val="bottom"/>
            <w:hideMark/>
          </w:tcPr>
          <w:p w:rsidR="00DF673A" w:rsidRPr="00AD29B7" w:rsidRDefault="00DF673A" w:rsidP="00B4149F">
            <w:pPr>
              <w:ind w:left="-70" w:firstLine="28"/>
              <w:rPr>
                <w:sz w:val="18"/>
                <w:szCs w:val="18"/>
              </w:rPr>
            </w:pPr>
            <w:r w:rsidRPr="00AD29B7">
              <w:rPr>
                <w:sz w:val="18"/>
                <w:szCs w:val="18"/>
              </w:rPr>
              <w:t>Záväzky so zostatkovou dobou splatnosti jeden rok až päť rokov</w:t>
            </w:r>
          </w:p>
        </w:tc>
        <w:tc>
          <w:tcPr>
            <w:tcW w:w="2082" w:type="dxa"/>
            <w:tcBorders>
              <w:top w:val="nil"/>
              <w:left w:val="nil"/>
              <w:bottom w:val="nil"/>
              <w:right w:val="nil"/>
            </w:tcBorders>
            <w:shd w:val="clear" w:color="auto" w:fill="auto"/>
            <w:vAlign w:val="bottom"/>
            <w:hideMark/>
          </w:tcPr>
          <w:p w:rsidR="00DF673A" w:rsidRPr="00AD29B7" w:rsidRDefault="00F605C3" w:rsidP="00B4149F">
            <w:pPr>
              <w:jc w:val="right"/>
              <w:rPr>
                <w:sz w:val="18"/>
                <w:szCs w:val="18"/>
              </w:rPr>
            </w:pPr>
            <w:r w:rsidRPr="00AD29B7">
              <w:rPr>
                <w:sz w:val="18"/>
                <w:szCs w:val="18"/>
              </w:rPr>
              <w:t>2 158</w:t>
            </w:r>
          </w:p>
        </w:tc>
        <w:tc>
          <w:tcPr>
            <w:tcW w:w="2082" w:type="dxa"/>
            <w:tcBorders>
              <w:top w:val="nil"/>
              <w:left w:val="nil"/>
              <w:bottom w:val="nil"/>
              <w:right w:val="nil"/>
            </w:tcBorders>
            <w:shd w:val="clear" w:color="auto" w:fill="auto"/>
            <w:vAlign w:val="bottom"/>
            <w:hideMark/>
          </w:tcPr>
          <w:p w:rsidR="00DF673A" w:rsidRPr="00AD29B7" w:rsidRDefault="00DF673A" w:rsidP="00B4149F">
            <w:pPr>
              <w:jc w:val="right"/>
              <w:rPr>
                <w:sz w:val="18"/>
                <w:szCs w:val="18"/>
              </w:rPr>
            </w:pPr>
            <w:r w:rsidRPr="00AD29B7">
              <w:rPr>
                <w:sz w:val="18"/>
                <w:szCs w:val="18"/>
              </w:rPr>
              <w:t>0</w:t>
            </w:r>
          </w:p>
        </w:tc>
      </w:tr>
      <w:tr w:rsidR="00DF673A" w:rsidRPr="00AD29B7" w:rsidTr="00B4149F">
        <w:trPr>
          <w:trHeight w:val="227"/>
        </w:trPr>
        <w:tc>
          <w:tcPr>
            <w:tcW w:w="4984" w:type="dxa"/>
            <w:tcBorders>
              <w:top w:val="nil"/>
              <w:left w:val="nil"/>
              <w:bottom w:val="nil"/>
              <w:right w:val="nil"/>
            </w:tcBorders>
            <w:shd w:val="clear" w:color="auto" w:fill="auto"/>
            <w:vAlign w:val="bottom"/>
            <w:hideMark/>
          </w:tcPr>
          <w:p w:rsidR="00DF673A" w:rsidRPr="00AD29B7" w:rsidRDefault="00DF673A" w:rsidP="00B4149F">
            <w:pPr>
              <w:ind w:left="-70" w:firstLine="28"/>
              <w:rPr>
                <w:sz w:val="18"/>
                <w:szCs w:val="18"/>
              </w:rPr>
            </w:pPr>
            <w:r w:rsidRPr="00AD29B7">
              <w:rPr>
                <w:sz w:val="18"/>
                <w:szCs w:val="18"/>
              </w:rPr>
              <w:t>Záväzky so zostatkovou dobou splatnosti nad päť rokov</w:t>
            </w:r>
          </w:p>
        </w:tc>
        <w:tc>
          <w:tcPr>
            <w:tcW w:w="2082" w:type="dxa"/>
            <w:tcBorders>
              <w:top w:val="nil"/>
              <w:left w:val="nil"/>
              <w:bottom w:val="nil"/>
              <w:right w:val="nil"/>
            </w:tcBorders>
            <w:shd w:val="clear" w:color="auto" w:fill="auto"/>
            <w:vAlign w:val="bottom"/>
            <w:hideMark/>
          </w:tcPr>
          <w:p w:rsidR="00DF673A" w:rsidRPr="00AD29B7" w:rsidRDefault="00DF673A" w:rsidP="00B4149F">
            <w:pPr>
              <w:jc w:val="right"/>
              <w:rPr>
                <w:sz w:val="18"/>
                <w:szCs w:val="18"/>
              </w:rPr>
            </w:pPr>
            <w:r w:rsidRPr="00AD29B7">
              <w:rPr>
                <w:sz w:val="18"/>
                <w:szCs w:val="18"/>
              </w:rPr>
              <w:t>0</w:t>
            </w:r>
          </w:p>
        </w:tc>
        <w:tc>
          <w:tcPr>
            <w:tcW w:w="2082" w:type="dxa"/>
            <w:tcBorders>
              <w:top w:val="nil"/>
              <w:left w:val="nil"/>
              <w:bottom w:val="nil"/>
              <w:right w:val="nil"/>
            </w:tcBorders>
            <w:shd w:val="clear" w:color="auto" w:fill="auto"/>
            <w:vAlign w:val="bottom"/>
            <w:hideMark/>
          </w:tcPr>
          <w:p w:rsidR="00DF673A" w:rsidRPr="00AD29B7" w:rsidRDefault="00DF673A" w:rsidP="00B4149F">
            <w:pPr>
              <w:jc w:val="right"/>
              <w:rPr>
                <w:sz w:val="18"/>
                <w:szCs w:val="18"/>
              </w:rPr>
            </w:pPr>
            <w:r w:rsidRPr="00AD29B7">
              <w:rPr>
                <w:sz w:val="18"/>
                <w:szCs w:val="18"/>
              </w:rPr>
              <w:t>0</w:t>
            </w:r>
          </w:p>
        </w:tc>
      </w:tr>
      <w:tr w:rsidR="00DF673A" w:rsidRPr="00AD29B7" w:rsidTr="00B4149F">
        <w:trPr>
          <w:trHeight w:val="227"/>
        </w:trPr>
        <w:tc>
          <w:tcPr>
            <w:tcW w:w="4984" w:type="dxa"/>
            <w:tcBorders>
              <w:top w:val="nil"/>
              <w:left w:val="nil"/>
              <w:bottom w:val="nil"/>
              <w:right w:val="nil"/>
            </w:tcBorders>
            <w:shd w:val="clear" w:color="auto" w:fill="auto"/>
            <w:noWrap/>
            <w:vAlign w:val="bottom"/>
            <w:hideMark/>
          </w:tcPr>
          <w:p w:rsidR="00DF673A" w:rsidRPr="00AD29B7" w:rsidRDefault="00DF673A" w:rsidP="00B4149F">
            <w:pPr>
              <w:ind w:left="-70" w:firstLine="28"/>
              <w:rPr>
                <w:b/>
                <w:bCs/>
                <w:sz w:val="18"/>
                <w:szCs w:val="18"/>
              </w:rPr>
            </w:pPr>
            <w:r w:rsidRPr="00AD29B7">
              <w:rPr>
                <w:b/>
                <w:bCs/>
                <w:sz w:val="18"/>
                <w:szCs w:val="18"/>
              </w:rPr>
              <w:t>Dlhodobé záväzky spolu</w:t>
            </w:r>
          </w:p>
        </w:tc>
        <w:tc>
          <w:tcPr>
            <w:tcW w:w="2082" w:type="dxa"/>
            <w:tcBorders>
              <w:top w:val="single" w:sz="4" w:space="0" w:color="auto"/>
              <w:left w:val="nil"/>
              <w:bottom w:val="double" w:sz="6" w:space="0" w:color="auto"/>
              <w:right w:val="nil"/>
            </w:tcBorders>
            <w:shd w:val="clear" w:color="auto" w:fill="auto"/>
            <w:noWrap/>
            <w:vAlign w:val="bottom"/>
            <w:hideMark/>
          </w:tcPr>
          <w:p w:rsidR="00DF673A" w:rsidRPr="00AD29B7" w:rsidRDefault="00F605C3" w:rsidP="00B4149F">
            <w:pPr>
              <w:jc w:val="right"/>
              <w:rPr>
                <w:b/>
                <w:bCs/>
                <w:sz w:val="18"/>
                <w:szCs w:val="18"/>
              </w:rPr>
            </w:pPr>
            <w:r w:rsidRPr="00AD29B7">
              <w:rPr>
                <w:b/>
                <w:bCs/>
                <w:sz w:val="18"/>
                <w:szCs w:val="18"/>
              </w:rPr>
              <w:t>2 158</w:t>
            </w:r>
          </w:p>
        </w:tc>
        <w:tc>
          <w:tcPr>
            <w:tcW w:w="2082" w:type="dxa"/>
            <w:tcBorders>
              <w:top w:val="single" w:sz="4" w:space="0" w:color="auto"/>
              <w:left w:val="nil"/>
              <w:bottom w:val="double" w:sz="6" w:space="0" w:color="auto"/>
              <w:right w:val="nil"/>
            </w:tcBorders>
            <w:shd w:val="clear" w:color="auto" w:fill="auto"/>
            <w:noWrap/>
            <w:vAlign w:val="bottom"/>
            <w:hideMark/>
          </w:tcPr>
          <w:p w:rsidR="00DF673A" w:rsidRPr="00AD29B7" w:rsidRDefault="00DF673A" w:rsidP="00B4149F">
            <w:pPr>
              <w:jc w:val="right"/>
              <w:rPr>
                <w:b/>
                <w:bCs/>
                <w:sz w:val="18"/>
                <w:szCs w:val="18"/>
              </w:rPr>
            </w:pPr>
            <w:r w:rsidRPr="00AD29B7">
              <w:rPr>
                <w:b/>
                <w:bCs/>
                <w:sz w:val="18"/>
                <w:szCs w:val="18"/>
              </w:rPr>
              <w:t>0</w:t>
            </w:r>
          </w:p>
        </w:tc>
      </w:tr>
      <w:tr w:rsidR="00DF673A" w:rsidRPr="00AD29B7" w:rsidTr="00B4149F">
        <w:trPr>
          <w:trHeight w:val="227"/>
        </w:trPr>
        <w:tc>
          <w:tcPr>
            <w:tcW w:w="4984" w:type="dxa"/>
            <w:tcBorders>
              <w:top w:val="nil"/>
              <w:left w:val="nil"/>
              <w:bottom w:val="nil"/>
              <w:right w:val="nil"/>
            </w:tcBorders>
            <w:shd w:val="clear" w:color="auto" w:fill="auto"/>
            <w:vAlign w:val="bottom"/>
            <w:hideMark/>
          </w:tcPr>
          <w:p w:rsidR="00DF673A" w:rsidRPr="00AD29B7" w:rsidRDefault="00DF673A" w:rsidP="00B4149F">
            <w:pPr>
              <w:ind w:left="-70" w:firstLine="28"/>
              <w:rPr>
                <w:sz w:val="18"/>
                <w:szCs w:val="18"/>
              </w:rPr>
            </w:pPr>
            <w:r w:rsidRPr="00AD29B7">
              <w:rPr>
                <w:sz w:val="18"/>
                <w:szCs w:val="18"/>
              </w:rPr>
              <w:t>Záväzky po lehote splatnosti</w:t>
            </w:r>
          </w:p>
        </w:tc>
        <w:tc>
          <w:tcPr>
            <w:tcW w:w="2082" w:type="dxa"/>
            <w:tcBorders>
              <w:top w:val="nil"/>
              <w:left w:val="nil"/>
              <w:bottom w:val="nil"/>
              <w:right w:val="nil"/>
            </w:tcBorders>
            <w:shd w:val="clear" w:color="auto" w:fill="auto"/>
            <w:vAlign w:val="bottom"/>
            <w:hideMark/>
          </w:tcPr>
          <w:p w:rsidR="00DF673A" w:rsidRPr="00AD29B7" w:rsidRDefault="00F605C3" w:rsidP="00B4149F">
            <w:pPr>
              <w:jc w:val="right"/>
              <w:rPr>
                <w:sz w:val="18"/>
                <w:szCs w:val="18"/>
              </w:rPr>
            </w:pPr>
            <w:r w:rsidRPr="00AD29B7">
              <w:rPr>
                <w:sz w:val="18"/>
                <w:szCs w:val="18"/>
              </w:rPr>
              <w:t>0</w:t>
            </w:r>
          </w:p>
        </w:tc>
        <w:tc>
          <w:tcPr>
            <w:tcW w:w="2082" w:type="dxa"/>
            <w:tcBorders>
              <w:top w:val="nil"/>
              <w:left w:val="nil"/>
              <w:bottom w:val="nil"/>
              <w:right w:val="nil"/>
            </w:tcBorders>
            <w:shd w:val="clear" w:color="auto" w:fill="auto"/>
            <w:vAlign w:val="bottom"/>
            <w:hideMark/>
          </w:tcPr>
          <w:p w:rsidR="00DF673A" w:rsidRPr="00AD29B7" w:rsidRDefault="00DF673A" w:rsidP="00B4149F">
            <w:pPr>
              <w:jc w:val="right"/>
              <w:rPr>
                <w:sz w:val="18"/>
                <w:szCs w:val="18"/>
              </w:rPr>
            </w:pPr>
            <w:r w:rsidRPr="00AD29B7">
              <w:rPr>
                <w:sz w:val="18"/>
                <w:szCs w:val="18"/>
              </w:rPr>
              <w:t>0</w:t>
            </w:r>
          </w:p>
        </w:tc>
      </w:tr>
      <w:tr w:rsidR="00DF673A" w:rsidRPr="00AD29B7" w:rsidTr="00B4149F">
        <w:trPr>
          <w:trHeight w:val="227"/>
        </w:trPr>
        <w:tc>
          <w:tcPr>
            <w:tcW w:w="4984" w:type="dxa"/>
            <w:tcBorders>
              <w:top w:val="nil"/>
              <w:left w:val="nil"/>
              <w:bottom w:val="nil"/>
              <w:right w:val="nil"/>
            </w:tcBorders>
            <w:shd w:val="clear" w:color="auto" w:fill="auto"/>
            <w:vAlign w:val="bottom"/>
            <w:hideMark/>
          </w:tcPr>
          <w:p w:rsidR="00DF673A" w:rsidRPr="00AD29B7" w:rsidRDefault="00DF673A" w:rsidP="00B4149F">
            <w:pPr>
              <w:ind w:left="-70" w:firstLine="28"/>
              <w:rPr>
                <w:sz w:val="18"/>
                <w:szCs w:val="18"/>
              </w:rPr>
            </w:pPr>
            <w:r w:rsidRPr="00AD29B7">
              <w:rPr>
                <w:sz w:val="18"/>
                <w:szCs w:val="18"/>
              </w:rPr>
              <w:t>Záväzky so zostatkovou dobou splatnosti do jedného roka vrátane</w:t>
            </w:r>
          </w:p>
        </w:tc>
        <w:tc>
          <w:tcPr>
            <w:tcW w:w="2082" w:type="dxa"/>
            <w:tcBorders>
              <w:top w:val="nil"/>
              <w:left w:val="nil"/>
              <w:bottom w:val="nil"/>
              <w:right w:val="nil"/>
            </w:tcBorders>
            <w:shd w:val="clear" w:color="auto" w:fill="auto"/>
            <w:vAlign w:val="bottom"/>
            <w:hideMark/>
          </w:tcPr>
          <w:p w:rsidR="00DF673A" w:rsidRPr="00AD29B7" w:rsidRDefault="00F605C3" w:rsidP="00B4149F">
            <w:pPr>
              <w:jc w:val="right"/>
              <w:rPr>
                <w:sz w:val="18"/>
                <w:szCs w:val="18"/>
              </w:rPr>
            </w:pPr>
            <w:r w:rsidRPr="00AD29B7">
              <w:rPr>
                <w:sz w:val="18"/>
                <w:szCs w:val="18"/>
              </w:rPr>
              <w:t>10 558 525</w:t>
            </w:r>
          </w:p>
        </w:tc>
        <w:tc>
          <w:tcPr>
            <w:tcW w:w="2082" w:type="dxa"/>
            <w:tcBorders>
              <w:top w:val="nil"/>
              <w:left w:val="nil"/>
              <w:bottom w:val="nil"/>
              <w:right w:val="nil"/>
            </w:tcBorders>
            <w:shd w:val="clear" w:color="auto" w:fill="auto"/>
            <w:vAlign w:val="bottom"/>
            <w:hideMark/>
          </w:tcPr>
          <w:p w:rsidR="00DF673A" w:rsidRPr="00AD29B7" w:rsidRDefault="00DF673A" w:rsidP="00B4149F">
            <w:pPr>
              <w:jc w:val="right"/>
              <w:rPr>
                <w:sz w:val="18"/>
                <w:szCs w:val="18"/>
              </w:rPr>
            </w:pPr>
            <w:r w:rsidRPr="00AD29B7">
              <w:rPr>
                <w:sz w:val="18"/>
                <w:szCs w:val="18"/>
              </w:rPr>
              <w:t>0</w:t>
            </w:r>
          </w:p>
        </w:tc>
      </w:tr>
      <w:tr w:rsidR="00DF673A" w:rsidRPr="00AD29B7" w:rsidTr="00B4149F">
        <w:trPr>
          <w:trHeight w:val="227"/>
        </w:trPr>
        <w:tc>
          <w:tcPr>
            <w:tcW w:w="4984" w:type="dxa"/>
            <w:tcBorders>
              <w:top w:val="nil"/>
              <w:left w:val="nil"/>
              <w:bottom w:val="nil"/>
              <w:right w:val="nil"/>
            </w:tcBorders>
            <w:shd w:val="clear" w:color="auto" w:fill="auto"/>
            <w:noWrap/>
            <w:vAlign w:val="bottom"/>
            <w:hideMark/>
          </w:tcPr>
          <w:p w:rsidR="00DF673A" w:rsidRPr="00AD29B7" w:rsidRDefault="00DF673A" w:rsidP="00B4149F">
            <w:pPr>
              <w:ind w:left="-70" w:firstLine="28"/>
              <w:rPr>
                <w:b/>
                <w:bCs/>
                <w:sz w:val="18"/>
                <w:szCs w:val="18"/>
              </w:rPr>
            </w:pPr>
            <w:r w:rsidRPr="00AD29B7">
              <w:rPr>
                <w:b/>
                <w:bCs/>
                <w:sz w:val="18"/>
                <w:szCs w:val="18"/>
              </w:rPr>
              <w:t>Krátkodobé záväzky spolu</w:t>
            </w:r>
          </w:p>
        </w:tc>
        <w:tc>
          <w:tcPr>
            <w:tcW w:w="2082" w:type="dxa"/>
            <w:tcBorders>
              <w:top w:val="single" w:sz="4" w:space="0" w:color="auto"/>
              <w:left w:val="nil"/>
              <w:bottom w:val="double" w:sz="6" w:space="0" w:color="auto"/>
              <w:right w:val="nil"/>
            </w:tcBorders>
            <w:shd w:val="clear" w:color="auto" w:fill="auto"/>
            <w:noWrap/>
            <w:vAlign w:val="bottom"/>
            <w:hideMark/>
          </w:tcPr>
          <w:p w:rsidR="00DF673A" w:rsidRPr="00AD29B7" w:rsidRDefault="00F605C3" w:rsidP="00B4149F">
            <w:pPr>
              <w:jc w:val="right"/>
              <w:rPr>
                <w:b/>
                <w:bCs/>
                <w:sz w:val="18"/>
                <w:szCs w:val="18"/>
              </w:rPr>
            </w:pPr>
            <w:r w:rsidRPr="00AD29B7">
              <w:rPr>
                <w:b/>
                <w:bCs/>
                <w:sz w:val="18"/>
                <w:szCs w:val="18"/>
              </w:rPr>
              <w:t>10 558 525</w:t>
            </w:r>
          </w:p>
        </w:tc>
        <w:tc>
          <w:tcPr>
            <w:tcW w:w="2082" w:type="dxa"/>
            <w:tcBorders>
              <w:top w:val="single" w:sz="4" w:space="0" w:color="auto"/>
              <w:left w:val="nil"/>
              <w:bottom w:val="double" w:sz="6" w:space="0" w:color="auto"/>
              <w:right w:val="nil"/>
            </w:tcBorders>
            <w:shd w:val="clear" w:color="auto" w:fill="auto"/>
            <w:noWrap/>
            <w:vAlign w:val="bottom"/>
            <w:hideMark/>
          </w:tcPr>
          <w:p w:rsidR="00DF673A" w:rsidRPr="00AD29B7" w:rsidRDefault="00DF673A" w:rsidP="00B4149F">
            <w:pPr>
              <w:jc w:val="right"/>
              <w:rPr>
                <w:b/>
                <w:bCs/>
                <w:sz w:val="18"/>
                <w:szCs w:val="18"/>
              </w:rPr>
            </w:pPr>
            <w:r w:rsidRPr="00AD29B7">
              <w:rPr>
                <w:b/>
                <w:bCs/>
                <w:sz w:val="18"/>
                <w:szCs w:val="18"/>
              </w:rPr>
              <w:t>0</w:t>
            </w:r>
          </w:p>
        </w:tc>
      </w:tr>
    </w:tbl>
    <w:p w:rsidR="00DF673A" w:rsidRPr="00AD29B7" w:rsidRDefault="00DF673A" w:rsidP="002D5CB3">
      <w:pPr>
        <w:pStyle w:val="odstavec"/>
        <w:rPr>
          <w:rFonts w:ascii="Times New Roman" w:hAnsi="Times New Roman" w:cs="Times New Roman"/>
          <w:sz w:val="18"/>
          <w:szCs w:val="18"/>
        </w:rPr>
      </w:pPr>
    </w:p>
    <w:bookmarkEnd w:id="14"/>
    <w:p w:rsidR="00DF673A" w:rsidRPr="00AD29B7" w:rsidRDefault="00DF673A" w:rsidP="002D5CB3">
      <w:pPr>
        <w:pStyle w:val="odstavec"/>
        <w:rPr>
          <w:rFonts w:ascii="Times New Roman" w:hAnsi="Times New Roman" w:cs="Times New Roman"/>
          <w:sz w:val="18"/>
          <w:szCs w:val="18"/>
        </w:rPr>
      </w:pPr>
    </w:p>
    <w:p w:rsidR="002A6B50" w:rsidRPr="00AD29B7" w:rsidRDefault="00316173" w:rsidP="00AD29B7">
      <w:pPr>
        <w:pStyle w:val="Heading1"/>
        <w:rPr>
          <w:sz w:val="18"/>
          <w:szCs w:val="18"/>
        </w:rPr>
      </w:pPr>
      <w:r w:rsidRPr="00AD29B7">
        <w:rPr>
          <w:sz w:val="18"/>
          <w:szCs w:val="18"/>
        </w:rPr>
        <w:t>SKUTOČNOSTI, KTORÉ NASTALI PO DNI, KU KTORÉMU SA ZOSTAVUJE ÚČTOVNÁ ZÁVIERKA, DO DŇA JEJ ZOSTAVENIA</w:t>
      </w:r>
    </w:p>
    <w:p w:rsidR="00F53EC5" w:rsidRPr="00AD29B7" w:rsidRDefault="00A11F4B" w:rsidP="002D5CB3">
      <w:pPr>
        <w:pStyle w:val="odstavec"/>
        <w:rPr>
          <w:rFonts w:ascii="Times New Roman" w:hAnsi="Times New Roman" w:cs="Times New Roman"/>
          <w:sz w:val="18"/>
          <w:szCs w:val="18"/>
        </w:rPr>
      </w:pPr>
      <w:r w:rsidRPr="00AD29B7">
        <w:rPr>
          <w:rFonts w:ascii="Times New Roman" w:hAnsi="Times New Roman" w:cs="Times New Roman"/>
          <w:sz w:val="18"/>
          <w:szCs w:val="18"/>
        </w:rPr>
        <w:t xml:space="preserve">Po </w:t>
      </w:r>
      <w:bookmarkStart w:id="16" w:name="EntityDateEnd3"/>
      <w:r w:rsidR="00FA73B8" w:rsidRPr="00AD29B7">
        <w:rPr>
          <w:rFonts w:ascii="Times New Roman" w:hAnsi="Times New Roman" w:cs="Times New Roman"/>
          <w:sz w:val="18"/>
          <w:szCs w:val="18"/>
        </w:rPr>
        <w:t>31.decembri 201</w:t>
      </w:r>
      <w:bookmarkEnd w:id="16"/>
      <w:r w:rsidR="00BB1B91" w:rsidRPr="00AD29B7">
        <w:rPr>
          <w:rFonts w:ascii="Times New Roman" w:hAnsi="Times New Roman" w:cs="Times New Roman"/>
          <w:sz w:val="18"/>
          <w:szCs w:val="18"/>
        </w:rPr>
        <w:t>5</w:t>
      </w:r>
      <w:r w:rsidR="009E2EA3" w:rsidRPr="00AD29B7">
        <w:rPr>
          <w:rFonts w:ascii="Times New Roman" w:hAnsi="Times New Roman" w:cs="Times New Roman"/>
          <w:sz w:val="18"/>
          <w:szCs w:val="18"/>
        </w:rPr>
        <w:t xml:space="preserve"> </w:t>
      </w:r>
      <w:r w:rsidR="006F7BC4" w:rsidRPr="00AD29B7">
        <w:rPr>
          <w:rFonts w:ascii="Times New Roman" w:hAnsi="Times New Roman" w:cs="Times New Roman"/>
          <w:sz w:val="18"/>
          <w:szCs w:val="18"/>
        </w:rPr>
        <w:t>n</w:t>
      </w:r>
      <w:r w:rsidR="008B28CA" w:rsidRPr="00AD29B7">
        <w:rPr>
          <w:rFonts w:ascii="Times New Roman" w:hAnsi="Times New Roman" w:cs="Times New Roman"/>
          <w:sz w:val="18"/>
          <w:szCs w:val="18"/>
        </w:rPr>
        <w:t>e</w:t>
      </w:r>
      <w:r w:rsidR="009E5D7F" w:rsidRPr="00AD29B7">
        <w:rPr>
          <w:rFonts w:ascii="Times New Roman" w:hAnsi="Times New Roman" w:cs="Times New Roman"/>
          <w:sz w:val="18"/>
          <w:szCs w:val="18"/>
        </w:rPr>
        <w:t xml:space="preserve">nastali </w:t>
      </w:r>
      <w:r w:rsidRPr="00AD29B7">
        <w:rPr>
          <w:rFonts w:ascii="Times New Roman" w:hAnsi="Times New Roman" w:cs="Times New Roman"/>
          <w:sz w:val="18"/>
          <w:szCs w:val="18"/>
        </w:rPr>
        <w:t>také udalosti, ktoré by si vyžadovali zverejnenie alebo vykázanie v účtovnej závierke za rok</w:t>
      </w:r>
      <w:r w:rsidR="00437C1F" w:rsidRPr="00AD29B7">
        <w:rPr>
          <w:rFonts w:ascii="Times New Roman" w:hAnsi="Times New Roman" w:cs="Times New Roman"/>
          <w:sz w:val="18"/>
          <w:szCs w:val="18"/>
        </w:rPr>
        <w:t xml:space="preserve"> </w:t>
      </w:r>
      <w:r w:rsidR="00631F61" w:rsidRPr="00AD29B7">
        <w:rPr>
          <w:rFonts w:ascii="Times New Roman" w:hAnsi="Times New Roman" w:cs="Times New Roman"/>
          <w:sz w:val="18"/>
          <w:szCs w:val="18"/>
        </w:rPr>
        <w:t>201</w:t>
      </w:r>
      <w:r w:rsidR="00BB1B91" w:rsidRPr="00AD29B7">
        <w:rPr>
          <w:rFonts w:ascii="Times New Roman" w:hAnsi="Times New Roman" w:cs="Times New Roman"/>
          <w:sz w:val="18"/>
          <w:szCs w:val="18"/>
        </w:rPr>
        <w:t>5</w:t>
      </w:r>
      <w:r w:rsidR="00631F61" w:rsidRPr="00AD29B7">
        <w:rPr>
          <w:rFonts w:ascii="Times New Roman" w:hAnsi="Times New Roman" w:cs="Times New Roman"/>
          <w:sz w:val="18"/>
          <w:szCs w:val="18"/>
        </w:rPr>
        <w:t>.</w:t>
      </w:r>
    </w:p>
    <w:p w:rsidR="00F53EC5" w:rsidRPr="00AD29B7" w:rsidRDefault="00F53EC5" w:rsidP="002D5CB3">
      <w:pPr>
        <w:pStyle w:val="odstavec"/>
        <w:rPr>
          <w:rFonts w:ascii="Times New Roman" w:hAnsi="Times New Roman" w:cs="Times New Roman"/>
          <w:sz w:val="18"/>
          <w:szCs w:val="18"/>
        </w:rPr>
      </w:pPr>
    </w:p>
    <w:p w:rsidR="00D64BC4" w:rsidRPr="00AD29B7" w:rsidRDefault="00D64BC4" w:rsidP="00FB6F88">
      <w:pPr>
        <w:suppressAutoHyphens/>
        <w:rPr>
          <w:bCs/>
          <w:iCs/>
          <w:sz w:val="18"/>
          <w:szCs w:val="18"/>
        </w:rPr>
      </w:pPr>
    </w:p>
    <w:sectPr w:rsidR="00D64BC4" w:rsidRPr="00AD29B7"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758D" w:rsidRDefault="0008758D">
      <w:r>
        <w:separator/>
      </w:r>
    </w:p>
  </w:endnote>
  <w:endnote w:type="continuationSeparator" w:id="0">
    <w:p w:rsidR="0008758D" w:rsidRDefault="00087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758D" w:rsidRDefault="0008758D">
      <w:r>
        <w:separator/>
      </w:r>
    </w:p>
  </w:footnote>
  <w:footnote w:type="continuationSeparator" w:id="0">
    <w:p w:rsidR="0008758D" w:rsidRDefault="000875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0"/>
      <w:gridCol w:w="3198"/>
      <w:gridCol w:w="3220"/>
    </w:tblGrid>
    <w:tr w:rsidR="00D4171E" w:rsidRPr="00CE19D0" w:rsidTr="00715AFE">
      <w:tc>
        <w:tcPr>
          <w:tcW w:w="3259" w:type="dxa"/>
        </w:tcPr>
        <w:p w:rsidR="00D4171E" w:rsidRPr="00CE19D0" w:rsidRDefault="00D4171E" w:rsidP="007F4B1B">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Účtovná závierka k 31.12.2015</w:t>
          </w:r>
        </w:p>
      </w:tc>
      <w:tc>
        <w:tcPr>
          <w:tcW w:w="3259" w:type="dxa"/>
        </w:tcPr>
        <w:p w:rsidR="00D4171E" w:rsidRPr="00CE19D0" w:rsidRDefault="00D4171E" w:rsidP="007F4B1B">
          <w:pPr>
            <w:pStyle w:val="Header"/>
            <w:tabs>
              <w:tab w:val="clear" w:pos="4536"/>
              <w:tab w:val="clear" w:pos="9072"/>
              <w:tab w:val="right" w:pos="9639"/>
            </w:tabs>
            <w:ind w:right="-82"/>
            <w:rPr>
              <w:rFonts w:ascii="Arial" w:hAnsi="Arial" w:cs="Arial"/>
              <w:sz w:val="20"/>
              <w:szCs w:val="20"/>
            </w:rPr>
          </w:pPr>
        </w:p>
      </w:tc>
      <w:tc>
        <w:tcPr>
          <w:tcW w:w="3260" w:type="dxa"/>
        </w:tcPr>
        <w:p w:rsidR="00D4171E" w:rsidRPr="00CE19D0" w:rsidRDefault="00D4171E" w:rsidP="006E218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47960388</w:t>
          </w:r>
          <w:bookmarkEnd w:id="11"/>
        </w:p>
      </w:tc>
    </w:tr>
    <w:tr w:rsidR="00D4171E" w:rsidTr="00715AFE">
      <w:tc>
        <w:tcPr>
          <w:tcW w:w="3259" w:type="dxa"/>
        </w:tcPr>
        <w:p w:rsidR="00D4171E" w:rsidRPr="00CE19D0" w:rsidRDefault="00D4171E" w:rsidP="00CE19D0">
          <w:pPr>
            <w:pStyle w:val="Header"/>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Oerlikon Balzers Coating Slovakia s. r. o.</w:t>
          </w:r>
          <w:bookmarkEnd w:id="12"/>
          <w:r w:rsidRPr="00CE19D0">
            <w:rPr>
              <w:rFonts w:ascii="Arial" w:hAnsi="Arial" w:cs="Arial"/>
              <w:sz w:val="20"/>
              <w:szCs w:val="20"/>
            </w:rPr>
            <w:tab/>
          </w:r>
        </w:p>
      </w:tc>
      <w:tc>
        <w:tcPr>
          <w:tcW w:w="3259" w:type="dxa"/>
        </w:tcPr>
        <w:p w:rsidR="00D4171E" w:rsidRPr="00CE19D0" w:rsidRDefault="00D4171E"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A64C7D">
            <w:rPr>
              <w:rFonts w:ascii="Arial" w:hAnsi="Arial" w:cs="Arial"/>
              <w:noProof/>
              <w:sz w:val="20"/>
              <w:szCs w:val="20"/>
            </w:rPr>
            <w:t>4</w:t>
          </w:r>
          <w:r w:rsidRPr="00CE19D0">
            <w:rPr>
              <w:rFonts w:ascii="Arial" w:hAnsi="Arial" w:cs="Arial"/>
              <w:sz w:val="20"/>
              <w:szCs w:val="20"/>
            </w:rPr>
            <w:fldChar w:fldCharType="end"/>
          </w:r>
        </w:p>
      </w:tc>
      <w:tc>
        <w:tcPr>
          <w:tcW w:w="3260" w:type="dxa"/>
        </w:tcPr>
        <w:p w:rsidR="00D4171E" w:rsidRPr="00CE19D0" w:rsidRDefault="00D4171E" w:rsidP="006E218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2024164065</w:t>
          </w:r>
          <w:bookmarkEnd w:id="13"/>
        </w:p>
      </w:tc>
    </w:tr>
  </w:tbl>
  <w:p w:rsidR="00D4171E" w:rsidRPr="004D5ED9" w:rsidRDefault="00D4171E"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D4171E" w:rsidTr="00715AFE">
      <w:tc>
        <w:tcPr>
          <w:tcW w:w="3259" w:type="dxa"/>
        </w:tcPr>
        <w:p w:rsidR="00D4171E" w:rsidRDefault="00D417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fldChar w:fldCharType="separate"/>
          </w:r>
          <w:r w:rsidR="00A64C7D">
            <w:rPr>
              <w:rFonts w:ascii="Arial" w:hAnsi="Arial" w:cs="Arial"/>
              <w:b/>
              <w:bCs/>
              <w:sz w:val="20"/>
              <w:szCs w:val="20"/>
              <w:lang w:val="en-US"/>
            </w:rPr>
            <w:t>Error! Reference source not found.</w:t>
          </w:r>
          <w:r>
            <w:rPr>
              <w:rFonts w:ascii="Arial" w:hAnsi="Arial" w:cs="Arial"/>
              <w:sz w:val="20"/>
              <w:szCs w:val="20"/>
            </w:rPr>
            <w:fldChar w:fldCharType="end"/>
          </w:r>
        </w:p>
      </w:tc>
      <w:tc>
        <w:tcPr>
          <w:tcW w:w="3259" w:type="dxa"/>
        </w:tcPr>
        <w:p w:rsidR="00D4171E" w:rsidRDefault="00D4171E">
          <w:pPr>
            <w:pStyle w:val="Header"/>
            <w:rPr>
              <w:rFonts w:ascii="Arial" w:hAnsi="Arial" w:cs="Arial"/>
              <w:sz w:val="20"/>
              <w:szCs w:val="20"/>
            </w:rPr>
          </w:pPr>
        </w:p>
      </w:tc>
      <w:tc>
        <w:tcPr>
          <w:tcW w:w="3260" w:type="dxa"/>
        </w:tcPr>
        <w:p w:rsidR="00D4171E" w:rsidRPr="00307B6F" w:rsidRDefault="00D4171E"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A64C7D">
            <w:rPr>
              <w:rFonts w:ascii="Arial" w:hAnsi="Arial" w:cs="Arial"/>
              <w:sz w:val="20"/>
              <w:szCs w:val="20"/>
            </w:rPr>
            <w:t>47960388</w:t>
          </w:r>
          <w:r>
            <w:rPr>
              <w:rFonts w:ascii="Arial" w:hAnsi="Arial" w:cs="Arial"/>
              <w:sz w:val="20"/>
              <w:szCs w:val="20"/>
              <w:lang w:val="en-US"/>
            </w:rPr>
            <w:fldChar w:fldCharType="end"/>
          </w:r>
        </w:p>
      </w:tc>
    </w:tr>
    <w:tr w:rsidR="00D4171E" w:rsidTr="00715AFE">
      <w:tc>
        <w:tcPr>
          <w:tcW w:w="3259" w:type="dxa"/>
        </w:tcPr>
        <w:p w:rsidR="00D4171E" w:rsidRDefault="00D4171E">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A64C7D">
            <w:rPr>
              <w:rFonts w:ascii="Arial" w:hAnsi="Arial" w:cs="Arial"/>
              <w:sz w:val="20"/>
              <w:szCs w:val="20"/>
            </w:rPr>
            <w:t>Oerlikon Balzers Coating Slovakia s. r. o.</w:t>
          </w:r>
          <w:r>
            <w:rPr>
              <w:rFonts w:ascii="Arial" w:hAnsi="Arial" w:cs="Arial"/>
              <w:sz w:val="20"/>
              <w:szCs w:val="20"/>
            </w:rPr>
            <w:fldChar w:fldCharType="end"/>
          </w:r>
        </w:p>
      </w:tc>
      <w:tc>
        <w:tcPr>
          <w:tcW w:w="3259" w:type="dxa"/>
        </w:tcPr>
        <w:p w:rsidR="00D4171E" w:rsidRDefault="00D4171E"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A64C7D">
            <w:rPr>
              <w:rFonts w:ascii="Arial" w:hAnsi="Arial" w:cs="Arial"/>
              <w:noProof/>
              <w:sz w:val="20"/>
              <w:szCs w:val="20"/>
            </w:rPr>
            <w:t>8</w:t>
          </w:r>
          <w:r w:rsidRPr="00307B6F">
            <w:rPr>
              <w:rFonts w:ascii="Arial" w:hAnsi="Arial" w:cs="Arial"/>
              <w:sz w:val="20"/>
              <w:szCs w:val="20"/>
            </w:rPr>
            <w:fldChar w:fldCharType="end"/>
          </w:r>
        </w:p>
      </w:tc>
      <w:tc>
        <w:tcPr>
          <w:tcW w:w="3260" w:type="dxa"/>
        </w:tcPr>
        <w:p w:rsidR="00D4171E" w:rsidRPr="00307B6F" w:rsidRDefault="00D4171E"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A64C7D">
            <w:rPr>
              <w:rFonts w:ascii="Arial" w:hAnsi="Arial" w:cs="Arial"/>
              <w:sz w:val="20"/>
              <w:szCs w:val="20"/>
            </w:rPr>
            <w:t>2024164065</w:t>
          </w:r>
          <w:r>
            <w:rPr>
              <w:rFonts w:ascii="Arial" w:hAnsi="Arial" w:cs="Arial"/>
              <w:sz w:val="20"/>
              <w:szCs w:val="20"/>
              <w:lang w:val="en-US"/>
            </w:rPr>
            <w:fldChar w:fldCharType="end"/>
          </w:r>
        </w:p>
      </w:tc>
    </w:tr>
  </w:tbl>
  <w:p w:rsidR="00D4171E" w:rsidRPr="004D5ED9" w:rsidRDefault="00D4171E">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 w15:restartNumberingAfterBreak="0">
    <w:nsid w:val="32E954D3"/>
    <w:multiLevelType w:val="multilevel"/>
    <w:tmpl w:val="CB9A907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717C3148"/>
    <w:lvl w:ilvl="0" w:tplc="F1C4AB5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5617789"/>
    <w:multiLevelType w:val="hybridMultilevel"/>
    <w:tmpl w:val="C694A5EC"/>
    <w:lvl w:ilvl="0" w:tplc="84DA05DA">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6FD759CB"/>
    <w:multiLevelType w:val="hybridMultilevel"/>
    <w:tmpl w:val="E14E13FA"/>
    <w:lvl w:ilvl="0" w:tplc="A568F6D4">
      <w:start w:val="2"/>
      <w:numFmt w:val="bullet"/>
      <w:lvlText w:val="-"/>
      <w:lvlJc w:val="left"/>
      <w:pPr>
        <w:ind w:left="1125" w:hanging="360"/>
      </w:pPr>
      <w:rPr>
        <w:rFonts w:ascii="Times New Roman" w:eastAsia="Times New Roman" w:hAnsi="Times New Roman" w:cs="Times New Roman" w:hint="default"/>
      </w:rPr>
    </w:lvl>
    <w:lvl w:ilvl="1" w:tplc="041B0003" w:tentative="1">
      <w:start w:val="1"/>
      <w:numFmt w:val="bullet"/>
      <w:lvlText w:val="o"/>
      <w:lvlJc w:val="left"/>
      <w:pPr>
        <w:ind w:left="1845" w:hanging="360"/>
      </w:pPr>
      <w:rPr>
        <w:rFonts w:ascii="Courier New" w:hAnsi="Courier New" w:cs="Courier New" w:hint="default"/>
      </w:rPr>
    </w:lvl>
    <w:lvl w:ilvl="2" w:tplc="041B0005" w:tentative="1">
      <w:start w:val="1"/>
      <w:numFmt w:val="bullet"/>
      <w:lvlText w:val=""/>
      <w:lvlJc w:val="left"/>
      <w:pPr>
        <w:ind w:left="2565" w:hanging="360"/>
      </w:pPr>
      <w:rPr>
        <w:rFonts w:ascii="Wingdings" w:hAnsi="Wingdings" w:hint="default"/>
      </w:rPr>
    </w:lvl>
    <w:lvl w:ilvl="3" w:tplc="041B0001" w:tentative="1">
      <w:start w:val="1"/>
      <w:numFmt w:val="bullet"/>
      <w:lvlText w:val=""/>
      <w:lvlJc w:val="left"/>
      <w:pPr>
        <w:ind w:left="3285" w:hanging="360"/>
      </w:pPr>
      <w:rPr>
        <w:rFonts w:ascii="Symbol" w:hAnsi="Symbol" w:hint="default"/>
      </w:rPr>
    </w:lvl>
    <w:lvl w:ilvl="4" w:tplc="041B0003" w:tentative="1">
      <w:start w:val="1"/>
      <w:numFmt w:val="bullet"/>
      <w:lvlText w:val="o"/>
      <w:lvlJc w:val="left"/>
      <w:pPr>
        <w:ind w:left="4005" w:hanging="360"/>
      </w:pPr>
      <w:rPr>
        <w:rFonts w:ascii="Courier New" w:hAnsi="Courier New" w:cs="Courier New" w:hint="default"/>
      </w:rPr>
    </w:lvl>
    <w:lvl w:ilvl="5" w:tplc="041B0005" w:tentative="1">
      <w:start w:val="1"/>
      <w:numFmt w:val="bullet"/>
      <w:lvlText w:val=""/>
      <w:lvlJc w:val="left"/>
      <w:pPr>
        <w:ind w:left="4725" w:hanging="360"/>
      </w:pPr>
      <w:rPr>
        <w:rFonts w:ascii="Wingdings" w:hAnsi="Wingdings" w:hint="default"/>
      </w:rPr>
    </w:lvl>
    <w:lvl w:ilvl="6" w:tplc="041B0001" w:tentative="1">
      <w:start w:val="1"/>
      <w:numFmt w:val="bullet"/>
      <w:lvlText w:val=""/>
      <w:lvlJc w:val="left"/>
      <w:pPr>
        <w:ind w:left="5445" w:hanging="360"/>
      </w:pPr>
      <w:rPr>
        <w:rFonts w:ascii="Symbol" w:hAnsi="Symbol" w:hint="default"/>
      </w:rPr>
    </w:lvl>
    <w:lvl w:ilvl="7" w:tplc="041B0003" w:tentative="1">
      <w:start w:val="1"/>
      <w:numFmt w:val="bullet"/>
      <w:lvlText w:val="o"/>
      <w:lvlJc w:val="left"/>
      <w:pPr>
        <w:ind w:left="6165" w:hanging="360"/>
      </w:pPr>
      <w:rPr>
        <w:rFonts w:ascii="Courier New" w:hAnsi="Courier New" w:cs="Courier New" w:hint="default"/>
      </w:rPr>
    </w:lvl>
    <w:lvl w:ilvl="8" w:tplc="041B0005" w:tentative="1">
      <w:start w:val="1"/>
      <w:numFmt w:val="bullet"/>
      <w:lvlText w:val=""/>
      <w:lvlJc w:val="left"/>
      <w:pPr>
        <w:ind w:left="6885" w:hanging="360"/>
      </w:pPr>
      <w:rPr>
        <w:rFonts w:ascii="Wingdings" w:hAnsi="Wingdings" w:hint="default"/>
      </w:rPr>
    </w:lvl>
  </w:abstractNum>
  <w:abstractNum w:abstractNumId="7" w15:restartNumberingAfterBreak="0">
    <w:nsid w:val="71C43A5C"/>
    <w:multiLevelType w:val="multilevel"/>
    <w:tmpl w:val="BCE083EE"/>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8" w15:restartNumberingAfterBreak="0">
    <w:nsid w:val="752D0609"/>
    <w:multiLevelType w:val="singleLevel"/>
    <w:tmpl w:val="5A88822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9"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2"/>
  </w:num>
  <w:num w:numId="2">
    <w:abstractNumId w:val="9"/>
  </w:num>
  <w:num w:numId="3">
    <w:abstractNumId w:val="3"/>
  </w:num>
  <w:num w:numId="4">
    <w:abstractNumId w:val="4"/>
  </w:num>
  <w:num w:numId="5">
    <w:abstractNumId w:val="7"/>
  </w:num>
  <w:num w:numId="6">
    <w:abstractNumId w:val="1"/>
  </w:num>
  <w:num w:numId="7">
    <w:abstractNumId w:val="0"/>
  </w:num>
  <w:num w:numId="8">
    <w:abstractNumId w:val="10"/>
  </w:num>
  <w:num w:numId="9">
    <w:abstractNumId w:val="8"/>
  </w:num>
  <w:num w:numId="10">
    <w:abstractNumId w:val="6"/>
  </w:num>
  <w:num w:numId="11">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5915"/>
    <w:rsid w:val="00027503"/>
    <w:rsid w:val="000317FE"/>
    <w:rsid w:val="00032370"/>
    <w:rsid w:val="00032A3B"/>
    <w:rsid w:val="00032A7A"/>
    <w:rsid w:val="00032E34"/>
    <w:rsid w:val="00034B92"/>
    <w:rsid w:val="00035552"/>
    <w:rsid w:val="00036E89"/>
    <w:rsid w:val="00041B91"/>
    <w:rsid w:val="00041C17"/>
    <w:rsid w:val="000422B1"/>
    <w:rsid w:val="000448C5"/>
    <w:rsid w:val="00051B9D"/>
    <w:rsid w:val="00051ED6"/>
    <w:rsid w:val="00052D5F"/>
    <w:rsid w:val="00053F5B"/>
    <w:rsid w:val="0005509D"/>
    <w:rsid w:val="00056331"/>
    <w:rsid w:val="00057B2A"/>
    <w:rsid w:val="000636E9"/>
    <w:rsid w:val="0006426B"/>
    <w:rsid w:val="00065002"/>
    <w:rsid w:val="000651F1"/>
    <w:rsid w:val="0006540C"/>
    <w:rsid w:val="000659CA"/>
    <w:rsid w:val="00066798"/>
    <w:rsid w:val="00066B8F"/>
    <w:rsid w:val="00066BEF"/>
    <w:rsid w:val="000739E2"/>
    <w:rsid w:val="00074520"/>
    <w:rsid w:val="00075966"/>
    <w:rsid w:val="0007646D"/>
    <w:rsid w:val="00077BA2"/>
    <w:rsid w:val="00080547"/>
    <w:rsid w:val="000816DE"/>
    <w:rsid w:val="000817FE"/>
    <w:rsid w:val="00081D5A"/>
    <w:rsid w:val="000827FC"/>
    <w:rsid w:val="00084743"/>
    <w:rsid w:val="000854CE"/>
    <w:rsid w:val="00085C9A"/>
    <w:rsid w:val="0008758D"/>
    <w:rsid w:val="00090F1B"/>
    <w:rsid w:val="00091898"/>
    <w:rsid w:val="00095958"/>
    <w:rsid w:val="00096576"/>
    <w:rsid w:val="0009686E"/>
    <w:rsid w:val="0009775C"/>
    <w:rsid w:val="00097A0A"/>
    <w:rsid w:val="000A2EA7"/>
    <w:rsid w:val="000B283C"/>
    <w:rsid w:val="000B2ED1"/>
    <w:rsid w:val="000B338E"/>
    <w:rsid w:val="000B5187"/>
    <w:rsid w:val="000B5DEA"/>
    <w:rsid w:val="000B65AD"/>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5F10"/>
    <w:rsid w:val="000F7D2D"/>
    <w:rsid w:val="00101862"/>
    <w:rsid w:val="0010223C"/>
    <w:rsid w:val="001039A5"/>
    <w:rsid w:val="00106608"/>
    <w:rsid w:val="00106901"/>
    <w:rsid w:val="00107D13"/>
    <w:rsid w:val="00110F10"/>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0EB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19E7"/>
    <w:rsid w:val="001826CC"/>
    <w:rsid w:val="0018299E"/>
    <w:rsid w:val="00185FDB"/>
    <w:rsid w:val="001879D7"/>
    <w:rsid w:val="00190793"/>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493D"/>
    <w:rsid w:val="0020507D"/>
    <w:rsid w:val="0020573C"/>
    <w:rsid w:val="00206B9A"/>
    <w:rsid w:val="0021065A"/>
    <w:rsid w:val="00210C19"/>
    <w:rsid w:val="00211503"/>
    <w:rsid w:val="00211BAA"/>
    <w:rsid w:val="0021202F"/>
    <w:rsid w:val="0021461A"/>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EA2"/>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CB3"/>
    <w:rsid w:val="002D5E54"/>
    <w:rsid w:val="002E13A2"/>
    <w:rsid w:val="002E1AFD"/>
    <w:rsid w:val="002E22A7"/>
    <w:rsid w:val="002E437F"/>
    <w:rsid w:val="002E444B"/>
    <w:rsid w:val="002E5313"/>
    <w:rsid w:val="002E6102"/>
    <w:rsid w:val="002E6266"/>
    <w:rsid w:val="002E6698"/>
    <w:rsid w:val="002E6712"/>
    <w:rsid w:val="002E72EF"/>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976"/>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0D09"/>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2EE"/>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11D"/>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3366"/>
    <w:rsid w:val="003F3B56"/>
    <w:rsid w:val="003F75E5"/>
    <w:rsid w:val="003F7F4F"/>
    <w:rsid w:val="00400CEA"/>
    <w:rsid w:val="0040286B"/>
    <w:rsid w:val="00404818"/>
    <w:rsid w:val="00406E94"/>
    <w:rsid w:val="004074E7"/>
    <w:rsid w:val="00410537"/>
    <w:rsid w:val="00413A4B"/>
    <w:rsid w:val="00414A2C"/>
    <w:rsid w:val="0041609A"/>
    <w:rsid w:val="00416BD7"/>
    <w:rsid w:val="00417EE0"/>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4CB9"/>
    <w:rsid w:val="0044515A"/>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091"/>
    <w:rsid w:val="004B61C3"/>
    <w:rsid w:val="004B62B3"/>
    <w:rsid w:val="004B6916"/>
    <w:rsid w:val="004B6E87"/>
    <w:rsid w:val="004B7766"/>
    <w:rsid w:val="004C18BD"/>
    <w:rsid w:val="004C2EC5"/>
    <w:rsid w:val="004C3501"/>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E7B1C"/>
    <w:rsid w:val="004F0A18"/>
    <w:rsid w:val="004F0BA2"/>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528C"/>
    <w:rsid w:val="00627EB1"/>
    <w:rsid w:val="00627FDC"/>
    <w:rsid w:val="00627FE5"/>
    <w:rsid w:val="0063151D"/>
    <w:rsid w:val="00631F61"/>
    <w:rsid w:val="00633A1E"/>
    <w:rsid w:val="00633C64"/>
    <w:rsid w:val="00633E1E"/>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20D"/>
    <w:rsid w:val="006947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3BD9"/>
    <w:rsid w:val="006C576B"/>
    <w:rsid w:val="006C70D6"/>
    <w:rsid w:val="006D100A"/>
    <w:rsid w:val="006D2614"/>
    <w:rsid w:val="006D426C"/>
    <w:rsid w:val="006D5184"/>
    <w:rsid w:val="006D5762"/>
    <w:rsid w:val="006E1337"/>
    <w:rsid w:val="006E13BA"/>
    <w:rsid w:val="006E1993"/>
    <w:rsid w:val="006E2181"/>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BC4"/>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194"/>
    <w:rsid w:val="0074135C"/>
    <w:rsid w:val="00741459"/>
    <w:rsid w:val="00742ED2"/>
    <w:rsid w:val="007439C1"/>
    <w:rsid w:val="00747744"/>
    <w:rsid w:val="00747F9A"/>
    <w:rsid w:val="0075089F"/>
    <w:rsid w:val="00750DCF"/>
    <w:rsid w:val="00751237"/>
    <w:rsid w:val="007528C6"/>
    <w:rsid w:val="00752E05"/>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04CF"/>
    <w:rsid w:val="007C2FE9"/>
    <w:rsid w:val="007C32FD"/>
    <w:rsid w:val="007C61B0"/>
    <w:rsid w:val="007C6250"/>
    <w:rsid w:val="007D05C4"/>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3BF3"/>
    <w:rsid w:val="00834FB3"/>
    <w:rsid w:val="00836B38"/>
    <w:rsid w:val="00840231"/>
    <w:rsid w:val="00840310"/>
    <w:rsid w:val="0084171A"/>
    <w:rsid w:val="00843833"/>
    <w:rsid w:val="008449FD"/>
    <w:rsid w:val="00845D87"/>
    <w:rsid w:val="008460A7"/>
    <w:rsid w:val="00846BFF"/>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44A"/>
    <w:rsid w:val="008F1E3A"/>
    <w:rsid w:val="008F1F7A"/>
    <w:rsid w:val="008F2E0F"/>
    <w:rsid w:val="008F52F6"/>
    <w:rsid w:val="00900CB6"/>
    <w:rsid w:val="00901313"/>
    <w:rsid w:val="0090153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7E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0748"/>
    <w:rsid w:val="009C1865"/>
    <w:rsid w:val="009C2672"/>
    <w:rsid w:val="009C2D77"/>
    <w:rsid w:val="009C4456"/>
    <w:rsid w:val="009C501F"/>
    <w:rsid w:val="009C5C9E"/>
    <w:rsid w:val="009C7145"/>
    <w:rsid w:val="009C7717"/>
    <w:rsid w:val="009C793F"/>
    <w:rsid w:val="009D012E"/>
    <w:rsid w:val="009D1162"/>
    <w:rsid w:val="009D1713"/>
    <w:rsid w:val="009D29A5"/>
    <w:rsid w:val="009D2F06"/>
    <w:rsid w:val="009D4B62"/>
    <w:rsid w:val="009D541A"/>
    <w:rsid w:val="009D5835"/>
    <w:rsid w:val="009D70B5"/>
    <w:rsid w:val="009E0BF8"/>
    <w:rsid w:val="009E11E0"/>
    <w:rsid w:val="009E1ECD"/>
    <w:rsid w:val="009E20F9"/>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4F4"/>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7D"/>
    <w:rsid w:val="00A64CE3"/>
    <w:rsid w:val="00A650EB"/>
    <w:rsid w:val="00A65842"/>
    <w:rsid w:val="00A66DA8"/>
    <w:rsid w:val="00A66DF3"/>
    <w:rsid w:val="00A67D4D"/>
    <w:rsid w:val="00A703B4"/>
    <w:rsid w:val="00A7089D"/>
    <w:rsid w:val="00A70D4B"/>
    <w:rsid w:val="00A717E9"/>
    <w:rsid w:val="00A71A9F"/>
    <w:rsid w:val="00A7694D"/>
    <w:rsid w:val="00A7798E"/>
    <w:rsid w:val="00A8019C"/>
    <w:rsid w:val="00A82042"/>
    <w:rsid w:val="00A82487"/>
    <w:rsid w:val="00A831EF"/>
    <w:rsid w:val="00A8479D"/>
    <w:rsid w:val="00A877D3"/>
    <w:rsid w:val="00A90F78"/>
    <w:rsid w:val="00A91081"/>
    <w:rsid w:val="00A91EE8"/>
    <w:rsid w:val="00A94507"/>
    <w:rsid w:val="00A949AC"/>
    <w:rsid w:val="00A969D5"/>
    <w:rsid w:val="00A96BB7"/>
    <w:rsid w:val="00A97319"/>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B61C5"/>
    <w:rsid w:val="00AC08F6"/>
    <w:rsid w:val="00AC117B"/>
    <w:rsid w:val="00AC2CFD"/>
    <w:rsid w:val="00AC4255"/>
    <w:rsid w:val="00AC4675"/>
    <w:rsid w:val="00AC5605"/>
    <w:rsid w:val="00AC7372"/>
    <w:rsid w:val="00AC7D6D"/>
    <w:rsid w:val="00AD2322"/>
    <w:rsid w:val="00AD29B7"/>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D38"/>
    <w:rsid w:val="00AF5FFE"/>
    <w:rsid w:val="00AF70A7"/>
    <w:rsid w:val="00B01156"/>
    <w:rsid w:val="00B0184F"/>
    <w:rsid w:val="00B06B26"/>
    <w:rsid w:val="00B10981"/>
    <w:rsid w:val="00B121EB"/>
    <w:rsid w:val="00B13E6D"/>
    <w:rsid w:val="00B15940"/>
    <w:rsid w:val="00B15F9D"/>
    <w:rsid w:val="00B16227"/>
    <w:rsid w:val="00B206B0"/>
    <w:rsid w:val="00B217B7"/>
    <w:rsid w:val="00B22E05"/>
    <w:rsid w:val="00B23C66"/>
    <w:rsid w:val="00B23CBD"/>
    <w:rsid w:val="00B256EE"/>
    <w:rsid w:val="00B26F84"/>
    <w:rsid w:val="00B30CF2"/>
    <w:rsid w:val="00B31E01"/>
    <w:rsid w:val="00B3286D"/>
    <w:rsid w:val="00B3290B"/>
    <w:rsid w:val="00B335FE"/>
    <w:rsid w:val="00B340EE"/>
    <w:rsid w:val="00B34AFD"/>
    <w:rsid w:val="00B3520C"/>
    <w:rsid w:val="00B363A8"/>
    <w:rsid w:val="00B36B5D"/>
    <w:rsid w:val="00B379EE"/>
    <w:rsid w:val="00B37A57"/>
    <w:rsid w:val="00B4047A"/>
    <w:rsid w:val="00B4149F"/>
    <w:rsid w:val="00B41A23"/>
    <w:rsid w:val="00B41F75"/>
    <w:rsid w:val="00B43593"/>
    <w:rsid w:val="00B438F3"/>
    <w:rsid w:val="00B43A82"/>
    <w:rsid w:val="00B45E9B"/>
    <w:rsid w:val="00B47271"/>
    <w:rsid w:val="00B478E3"/>
    <w:rsid w:val="00B47AE4"/>
    <w:rsid w:val="00B5219D"/>
    <w:rsid w:val="00B52887"/>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1B91"/>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332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54D"/>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034"/>
    <w:rsid w:val="00C33454"/>
    <w:rsid w:val="00C33D3F"/>
    <w:rsid w:val="00C342F9"/>
    <w:rsid w:val="00C361ED"/>
    <w:rsid w:val="00C36F79"/>
    <w:rsid w:val="00C3763D"/>
    <w:rsid w:val="00C37EA7"/>
    <w:rsid w:val="00C419E3"/>
    <w:rsid w:val="00C4260D"/>
    <w:rsid w:val="00C42D18"/>
    <w:rsid w:val="00C42D9C"/>
    <w:rsid w:val="00C43D19"/>
    <w:rsid w:val="00C44F7F"/>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2F12"/>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462D"/>
    <w:rsid w:val="00CC5588"/>
    <w:rsid w:val="00CC566E"/>
    <w:rsid w:val="00CC633C"/>
    <w:rsid w:val="00CC7257"/>
    <w:rsid w:val="00CD121A"/>
    <w:rsid w:val="00CD2AD0"/>
    <w:rsid w:val="00CD34A9"/>
    <w:rsid w:val="00CD449F"/>
    <w:rsid w:val="00CD4BA1"/>
    <w:rsid w:val="00CD50C2"/>
    <w:rsid w:val="00CD5EAE"/>
    <w:rsid w:val="00CD79DA"/>
    <w:rsid w:val="00CE073F"/>
    <w:rsid w:val="00CE19D0"/>
    <w:rsid w:val="00CE24A5"/>
    <w:rsid w:val="00CE3345"/>
    <w:rsid w:val="00CE3DF5"/>
    <w:rsid w:val="00CE4A5A"/>
    <w:rsid w:val="00CE4E95"/>
    <w:rsid w:val="00CE591C"/>
    <w:rsid w:val="00CE62F8"/>
    <w:rsid w:val="00CF25AC"/>
    <w:rsid w:val="00CF2ED3"/>
    <w:rsid w:val="00CF3F2C"/>
    <w:rsid w:val="00CF4995"/>
    <w:rsid w:val="00CF6213"/>
    <w:rsid w:val="00CF632A"/>
    <w:rsid w:val="00CF69E1"/>
    <w:rsid w:val="00CF6D14"/>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171E"/>
    <w:rsid w:val="00D4564F"/>
    <w:rsid w:val="00D46618"/>
    <w:rsid w:val="00D51856"/>
    <w:rsid w:val="00D51ADC"/>
    <w:rsid w:val="00D546B4"/>
    <w:rsid w:val="00D554C3"/>
    <w:rsid w:val="00D56A3A"/>
    <w:rsid w:val="00D637B1"/>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C6"/>
    <w:rsid w:val="00DA46F9"/>
    <w:rsid w:val="00DA5FE5"/>
    <w:rsid w:val="00DB1157"/>
    <w:rsid w:val="00DB1816"/>
    <w:rsid w:val="00DB1D8E"/>
    <w:rsid w:val="00DB3BC5"/>
    <w:rsid w:val="00DB3CA5"/>
    <w:rsid w:val="00DB64B1"/>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673A"/>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097"/>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4CB6"/>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3598"/>
    <w:rsid w:val="00EC4596"/>
    <w:rsid w:val="00EC47D7"/>
    <w:rsid w:val="00EC5101"/>
    <w:rsid w:val="00EC5762"/>
    <w:rsid w:val="00EC5EE3"/>
    <w:rsid w:val="00EC7D23"/>
    <w:rsid w:val="00ED2F54"/>
    <w:rsid w:val="00ED3109"/>
    <w:rsid w:val="00ED4895"/>
    <w:rsid w:val="00ED649E"/>
    <w:rsid w:val="00ED669C"/>
    <w:rsid w:val="00ED7A58"/>
    <w:rsid w:val="00EE0523"/>
    <w:rsid w:val="00EE077C"/>
    <w:rsid w:val="00EE2254"/>
    <w:rsid w:val="00EE2B3A"/>
    <w:rsid w:val="00EE3B47"/>
    <w:rsid w:val="00EE4FA1"/>
    <w:rsid w:val="00EE510F"/>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05C3"/>
    <w:rsid w:val="00F618CD"/>
    <w:rsid w:val="00F62FB2"/>
    <w:rsid w:val="00F64630"/>
    <w:rsid w:val="00F66198"/>
    <w:rsid w:val="00F70006"/>
    <w:rsid w:val="00F7094A"/>
    <w:rsid w:val="00F714E3"/>
    <w:rsid w:val="00F716FD"/>
    <w:rsid w:val="00F7183E"/>
    <w:rsid w:val="00F71B65"/>
    <w:rsid w:val="00F73B36"/>
    <w:rsid w:val="00F74F83"/>
    <w:rsid w:val="00F75F5A"/>
    <w:rsid w:val="00F76602"/>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3496"/>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7D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3500DE72-9E6C-4FAC-B0D4-D526A6A9E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qFormat/>
    <w:rsid w:val="00AD29B7"/>
    <w:pPr>
      <w:numPr>
        <w:numId w:val="1"/>
      </w:numPr>
      <w:suppressAutoHyphens/>
      <w:spacing w:before="60" w:after="240"/>
      <w:ind w:left="419"/>
      <w:jc w:val="both"/>
      <w:outlineLvl w:val="0"/>
    </w:pPr>
    <w:rPr>
      <w:b/>
      <w:bCs/>
      <w:kern w:val="32"/>
      <w:sz w:val="22"/>
      <w:szCs w:val="20"/>
    </w:rPr>
  </w:style>
  <w:style w:type="paragraph" w:styleId="Heading2">
    <w:name w:val="heading 2"/>
    <w:basedOn w:val="Normal"/>
    <w:next w:val="Normal"/>
    <w:autoRedefine/>
    <w:qFormat/>
    <w:rsid w:val="009E20F9"/>
    <w:pPr>
      <w:numPr>
        <w:ilvl w:val="1"/>
        <w:numId w:val="1"/>
      </w:numPr>
      <w:tabs>
        <w:tab w:val="clear" w:pos="425"/>
        <w:tab w:val="num" w:pos="476"/>
      </w:tabs>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2D5CB3"/>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71E"/>
    <w:pPr>
      <w:numPr>
        <w:numId w:val="3"/>
      </w:numPr>
      <w:spacing w:before="60" w:after="120"/>
      <w:jc w:val="both"/>
    </w:pPr>
    <w:rPr>
      <w:sz w:val="18"/>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2D5CB3"/>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Heading1Char">
    <w:name w:val="Heading 1 Char"/>
    <w:basedOn w:val="DefaultParagraphFont"/>
    <w:link w:val="Heading1"/>
    <w:rsid w:val="00AD29B7"/>
    <w:rPr>
      <w:b/>
      <w:bCs/>
      <w:kern w:val="32"/>
      <w:sz w:val="22"/>
    </w:rPr>
  </w:style>
  <w:style w:type="paragraph" w:customStyle="1" w:styleId="AccountingPolicy">
    <w:name w:val="Accounting Policy"/>
    <w:basedOn w:val="Normal"/>
    <w:link w:val="AccountingPolicyChar"/>
    <w:uiPriority w:val="99"/>
    <w:rsid w:val="003F3366"/>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DefaultParagraphFont"/>
    <w:link w:val="AccountingPolicy"/>
    <w:uiPriority w:val="99"/>
    <w:rsid w:val="003F3366"/>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586573">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825788">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08601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789013">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090291">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2636916">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490983">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604537">
      <w:bodyDiv w:val="1"/>
      <w:marLeft w:val="0"/>
      <w:marRight w:val="0"/>
      <w:marTop w:val="0"/>
      <w:marBottom w:val="0"/>
      <w:divBdr>
        <w:top w:val="none" w:sz="0" w:space="0" w:color="auto"/>
        <w:left w:val="none" w:sz="0" w:space="0" w:color="auto"/>
        <w:bottom w:val="none" w:sz="0" w:space="0" w:color="auto"/>
        <w:right w:val="none" w:sz="0" w:space="0" w:color="auto"/>
      </w:divBdr>
    </w:div>
    <w:div w:id="28142809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544761">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550926">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661815">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321708">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7831324">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238966">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022715">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387457">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57850">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6194">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356421">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874313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293096">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537684">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684862">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628494">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77912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225157">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158547">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412482">
      <w:bodyDiv w:val="1"/>
      <w:marLeft w:val="0"/>
      <w:marRight w:val="0"/>
      <w:marTop w:val="0"/>
      <w:marBottom w:val="0"/>
      <w:divBdr>
        <w:top w:val="none" w:sz="0" w:space="0" w:color="auto"/>
        <w:left w:val="none" w:sz="0" w:space="0" w:color="auto"/>
        <w:bottom w:val="none" w:sz="0" w:space="0" w:color="auto"/>
        <w:right w:val="none" w:sz="0" w:space="0" w:color="auto"/>
      </w:divBdr>
    </w:div>
    <w:div w:id="905071867">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416917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693912">
      <w:bodyDiv w:val="1"/>
      <w:marLeft w:val="0"/>
      <w:marRight w:val="0"/>
      <w:marTop w:val="0"/>
      <w:marBottom w:val="0"/>
      <w:divBdr>
        <w:top w:val="none" w:sz="0" w:space="0" w:color="auto"/>
        <w:left w:val="none" w:sz="0" w:space="0" w:color="auto"/>
        <w:bottom w:val="none" w:sz="0" w:space="0" w:color="auto"/>
        <w:right w:val="none" w:sz="0" w:space="0" w:color="auto"/>
      </w:divBdr>
    </w:div>
    <w:div w:id="92966017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000819">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06582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234028">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372357">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652886">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51537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130048">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0311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084597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3932508">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977550">
      <w:bodyDiv w:val="1"/>
      <w:marLeft w:val="0"/>
      <w:marRight w:val="0"/>
      <w:marTop w:val="0"/>
      <w:marBottom w:val="0"/>
      <w:divBdr>
        <w:top w:val="none" w:sz="0" w:space="0" w:color="auto"/>
        <w:left w:val="none" w:sz="0" w:space="0" w:color="auto"/>
        <w:bottom w:val="none" w:sz="0" w:space="0" w:color="auto"/>
        <w:right w:val="none" w:sz="0" w:space="0" w:color="auto"/>
      </w:divBdr>
    </w:div>
    <w:div w:id="129309695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699350">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3386631">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101160">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720913">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438502">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819406">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330814">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258514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650496">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468415">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490830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402946">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6472">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61485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1746863">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853308">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797287">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030375">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37558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0563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80521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542163">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172989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4452">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8717193">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883634">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09FA30-8382-43F1-808F-1889C7DBB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3065</Words>
  <Characters>18602</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21624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Kretovičová, Anita (Oerlikon Slovakia)</cp:lastModifiedBy>
  <cp:revision>2</cp:revision>
  <cp:lastPrinted>2016-03-23T13:09:00Z</cp:lastPrinted>
  <dcterms:created xsi:type="dcterms:W3CDTF">2016-03-23T13:10:00Z</dcterms:created>
  <dcterms:modified xsi:type="dcterms:W3CDTF">2016-03-23T13:10:00Z</dcterms:modified>
</cp:coreProperties>
</file>