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9F7" w:rsidRDefault="009069F7" w:rsidP="00451724">
      <w:pPr>
        <w:ind w:right="71"/>
        <w:jc w:val="both"/>
        <w:rPr>
          <w:rFonts w:ascii="Arial Narrow" w:hAnsi="Arial Narrow"/>
          <w:b/>
          <w:bCs/>
          <w:sz w:val="22"/>
          <w:lang w:eastAsia="en-US"/>
        </w:rPr>
      </w:pPr>
    </w:p>
    <w:p w:rsidR="00451724" w:rsidRPr="006032E1" w:rsidRDefault="00B67317" w:rsidP="00451724">
      <w:pPr>
        <w:ind w:right="71"/>
        <w:jc w:val="both"/>
        <w:rPr>
          <w:bCs/>
          <w:sz w:val="22"/>
          <w:lang w:eastAsia="en-US"/>
        </w:rPr>
      </w:pPr>
      <w:r>
        <w:rPr>
          <w:rFonts w:ascii="Arial Narrow" w:hAnsi="Arial Narrow"/>
          <w:b/>
          <w:bCs/>
          <w:sz w:val="22"/>
          <w:lang w:eastAsia="en-US"/>
        </w:rPr>
        <w:t>Všeobecné informácie o účtovnej jednotke</w:t>
      </w:r>
    </w:p>
    <w:p w:rsidR="00451724" w:rsidRPr="006032E1" w:rsidRDefault="00451724" w:rsidP="00451724">
      <w:pPr>
        <w:ind w:left="360" w:right="71"/>
        <w:rPr>
          <w:b/>
          <w:bCs/>
          <w:sz w:val="22"/>
          <w:lang w:eastAsia="en-US"/>
        </w:rPr>
      </w:pPr>
    </w:p>
    <w:p w:rsidR="00451724" w:rsidRDefault="00B67317" w:rsidP="009069F7">
      <w:pPr>
        <w:ind w:left="426" w:hanging="12"/>
        <w:jc w:val="both"/>
        <w:rPr>
          <w:rFonts w:ascii="Arial Narrow" w:hAnsi="Arial Narrow"/>
          <w:sz w:val="22"/>
          <w:lang w:eastAsia="en-US"/>
        </w:rPr>
      </w:pPr>
      <w:r>
        <w:rPr>
          <w:rFonts w:ascii="Arial Narrow" w:hAnsi="Arial Narrow"/>
          <w:sz w:val="22"/>
          <w:lang w:eastAsia="en-US"/>
        </w:rPr>
        <w:t xml:space="preserve">Obchodné meno účtovnej jednotky:  </w:t>
      </w:r>
      <w:r>
        <w:rPr>
          <w:rFonts w:ascii="Arial Narrow" w:hAnsi="Arial Narrow"/>
          <w:sz w:val="22"/>
          <w:lang w:eastAsia="en-US"/>
        </w:rPr>
        <w:tab/>
      </w:r>
      <w:r w:rsidR="009069F7">
        <w:rPr>
          <w:rFonts w:ascii="Arial Narrow" w:hAnsi="Arial Narrow"/>
          <w:sz w:val="22"/>
          <w:lang w:eastAsia="en-US"/>
        </w:rPr>
        <w:tab/>
      </w:r>
      <w:r>
        <w:rPr>
          <w:rFonts w:ascii="Arial Narrow" w:hAnsi="Arial Narrow"/>
          <w:sz w:val="22"/>
          <w:lang w:eastAsia="en-US"/>
        </w:rPr>
        <w:t>BPM s.r.o.</w:t>
      </w:r>
    </w:p>
    <w:p w:rsidR="00B67317" w:rsidRPr="006032E1" w:rsidRDefault="00B67317" w:rsidP="009069F7">
      <w:pPr>
        <w:ind w:left="426" w:hanging="12"/>
        <w:jc w:val="both"/>
        <w:rPr>
          <w:rFonts w:ascii="Arial Narrow" w:hAnsi="Arial Narrow"/>
          <w:sz w:val="22"/>
          <w:lang w:eastAsia="en-US"/>
        </w:rPr>
      </w:pPr>
      <w:r>
        <w:rPr>
          <w:rFonts w:ascii="Arial Narrow" w:hAnsi="Arial Narrow"/>
          <w:sz w:val="22"/>
          <w:lang w:eastAsia="en-US"/>
        </w:rPr>
        <w:t>Sídlo účtovnej jednotky:</w:t>
      </w:r>
      <w:r>
        <w:rPr>
          <w:rFonts w:ascii="Arial Narrow" w:hAnsi="Arial Narrow"/>
          <w:sz w:val="22"/>
          <w:lang w:eastAsia="en-US"/>
        </w:rPr>
        <w:tab/>
      </w:r>
      <w:r>
        <w:rPr>
          <w:rFonts w:ascii="Arial Narrow" w:hAnsi="Arial Narrow"/>
          <w:sz w:val="22"/>
          <w:lang w:eastAsia="en-US"/>
        </w:rPr>
        <w:tab/>
      </w:r>
      <w:r>
        <w:rPr>
          <w:rFonts w:ascii="Arial Narrow" w:hAnsi="Arial Narrow"/>
          <w:sz w:val="22"/>
          <w:lang w:eastAsia="en-US"/>
        </w:rPr>
        <w:tab/>
        <w:t>Timravy 12, 974 01 Banská Bystrica</w:t>
      </w:r>
    </w:p>
    <w:p w:rsidR="00451724" w:rsidRPr="006032E1" w:rsidRDefault="00451724" w:rsidP="009069F7">
      <w:pPr>
        <w:ind w:left="426" w:hanging="12"/>
        <w:jc w:val="both"/>
        <w:rPr>
          <w:rFonts w:ascii="Arial Narrow" w:hAnsi="Arial Narrow"/>
          <w:sz w:val="22"/>
          <w:lang w:eastAsia="en-US"/>
        </w:rPr>
      </w:pPr>
    </w:p>
    <w:p w:rsidR="00451724" w:rsidRPr="00B67317" w:rsidRDefault="00451724" w:rsidP="009069F7">
      <w:pPr>
        <w:rPr>
          <w:rFonts w:ascii="Arial Narrow" w:hAnsi="Arial Narrow"/>
          <w:b/>
          <w:sz w:val="22"/>
          <w:lang w:eastAsia="en-US"/>
        </w:rPr>
      </w:pPr>
      <w:r w:rsidRPr="00B67317">
        <w:rPr>
          <w:rFonts w:ascii="Arial Narrow" w:hAnsi="Arial Narrow"/>
          <w:b/>
          <w:sz w:val="22"/>
          <w:lang w:eastAsia="en-US"/>
        </w:rPr>
        <w:t>Hlavné činnosti obchodnej spoločnosti sú:</w:t>
      </w:r>
    </w:p>
    <w:p w:rsidR="00A17E35" w:rsidRDefault="00A17E35" w:rsidP="009069F7">
      <w:pPr>
        <w:ind w:left="426"/>
        <w:rPr>
          <w:rFonts w:ascii="Arial Narrow" w:hAnsi="Arial Narrow"/>
          <w:sz w:val="22"/>
          <w:lang w:eastAsia="en-US"/>
        </w:rPr>
      </w:pPr>
    </w:p>
    <w:p w:rsidR="00451724" w:rsidRPr="006032E1" w:rsidRDefault="00961F5F" w:rsidP="009069F7">
      <w:pPr>
        <w:ind w:left="426"/>
        <w:rPr>
          <w:rFonts w:ascii="Arial Narrow" w:hAnsi="Arial Narrow"/>
          <w:sz w:val="22"/>
          <w:lang w:eastAsia="en-US"/>
        </w:rPr>
      </w:pPr>
      <w:r w:rsidRPr="006032E1">
        <w:rPr>
          <w:rFonts w:ascii="Arial Narrow" w:hAnsi="Arial Narrow"/>
          <w:sz w:val="22"/>
          <w:lang w:eastAsia="en-US"/>
        </w:rPr>
        <w:t>Prenájom bytov a nebytových priestorov</w:t>
      </w:r>
    </w:p>
    <w:p w:rsidR="00961F5F" w:rsidRPr="006032E1" w:rsidRDefault="00961F5F" w:rsidP="009069F7">
      <w:pPr>
        <w:ind w:left="426"/>
        <w:rPr>
          <w:rFonts w:ascii="Arial Narrow" w:hAnsi="Arial Narrow"/>
          <w:sz w:val="22"/>
          <w:lang w:eastAsia="en-US"/>
        </w:rPr>
      </w:pPr>
      <w:r w:rsidRPr="006032E1">
        <w:rPr>
          <w:rFonts w:ascii="Arial Narrow" w:hAnsi="Arial Narrow"/>
          <w:sz w:val="22"/>
          <w:lang w:eastAsia="en-US"/>
        </w:rPr>
        <w:t xml:space="preserve">Správa bytového a nebytového </w:t>
      </w:r>
      <w:r w:rsidR="009A5ABE" w:rsidRPr="006032E1">
        <w:rPr>
          <w:rFonts w:ascii="Arial Narrow" w:hAnsi="Arial Narrow"/>
          <w:sz w:val="22"/>
          <w:lang w:eastAsia="en-US"/>
        </w:rPr>
        <w:t>f</w:t>
      </w:r>
      <w:r w:rsidRPr="006032E1">
        <w:rPr>
          <w:rFonts w:ascii="Arial Narrow" w:hAnsi="Arial Narrow"/>
          <w:sz w:val="22"/>
          <w:lang w:eastAsia="en-US"/>
        </w:rPr>
        <w:t>ondu</w:t>
      </w:r>
    </w:p>
    <w:p w:rsidR="00961F5F" w:rsidRPr="006032E1" w:rsidRDefault="00961F5F" w:rsidP="009069F7">
      <w:pPr>
        <w:ind w:left="426"/>
        <w:rPr>
          <w:rFonts w:ascii="Arial Narrow" w:hAnsi="Arial Narrow"/>
          <w:sz w:val="22"/>
          <w:lang w:eastAsia="en-US"/>
        </w:rPr>
      </w:pPr>
      <w:r w:rsidRPr="006032E1">
        <w:rPr>
          <w:rFonts w:ascii="Arial Narrow" w:hAnsi="Arial Narrow"/>
          <w:sz w:val="22"/>
          <w:lang w:eastAsia="en-US"/>
        </w:rPr>
        <w:t>Vedenie účtovníctva</w:t>
      </w:r>
    </w:p>
    <w:p w:rsidR="00451724" w:rsidRPr="006032E1" w:rsidRDefault="00451724" w:rsidP="00451724">
      <w:pPr>
        <w:ind w:left="1080"/>
        <w:rPr>
          <w:rFonts w:ascii="Arial Narrow" w:hAnsi="Arial Narrow"/>
          <w:sz w:val="22"/>
          <w:lang w:eastAsia="en-US"/>
        </w:rPr>
      </w:pPr>
    </w:p>
    <w:p w:rsidR="00451724" w:rsidRDefault="00451724" w:rsidP="009069F7">
      <w:pPr>
        <w:keepNext/>
        <w:spacing w:after="60"/>
        <w:outlineLvl w:val="0"/>
        <w:rPr>
          <w:rFonts w:ascii="Arial Narrow" w:hAnsi="Arial Narrow"/>
          <w:b/>
          <w:bCs/>
          <w:kern w:val="28"/>
          <w:sz w:val="22"/>
          <w:szCs w:val="32"/>
          <w:lang w:eastAsia="en-US"/>
        </w:rPr>
      </w:pPr>
      <w:r w:rsidRPr="006032E1">
        <w:rPr>
          <w:rFonts w:ascii="Arial Narrow" w:hAnsi="Arial Narrow"/>
          <w:b/>
          <w:bCs/>
          <w:kern w:val="28"/>
          <w:sz w:val="22"/>
          <w:szCs w:val="32"/>
          <w:lang w:eastAsia="en-US"/>
        </w:rPr>
        <w:t xml:space="preserve"> Informácie </w:t>
      </w:r>
      <w:r w:rsidR="00B67317">
        <w:rPr>
          <w:rFonts w:ascii="Arial Narrow" w:hAnsi="Arial Narrow"/>
          <w:b/>
          <w:bCs/>
          <w:kern w:val="28"/>
          <w:sz w:val="22"/>
          <w:szCs w:val="32"/>
          <w:lang w:eastAsia="en-US"/>
        </w:rPr>
        <w:t>o počte zamestnancov</w:t>
      </w:r>
    </w:p>
    <w:p w:rsidR="00A17E35" w:rsidRPr="006032E1" w:rsidRDefault="00A17E35" w:rsidP="00A17E35">
      <w:pPr>
        <w:keepNext/>
        <w:outlineLvl w:val="0"/>
        <w:rPr>
          <w:rFonts w:ascii="Arial Narrow" w:hAnsi="Arial Narrow"/>
          <w:b/>
          <w:bCs/>
          <w:kern w:val="28"/>
          <w:sz w:val="22"/>
          <w:szCs w:val="32"/>
          <w:lang w:eastAsia="en-US"/>
        </w:rPr>
      </w:pPr>
    </w:p>
    <w:tbl>
      <w:tblPr>
        <w:tblW w:w="444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066"/>
        <w:gridCol w:w="2430"/>
      </w:tblGrid>
      <w:tr w:rsidR="00451724" w:rsidRPr="006032E1" w:rsidTr="00DC3026">
        <w:trPr>
          <w:jc w:val="center"/>
        </w:trPr>
        <w:tc>
          <w:tcPr>
            <w:tcW w:w="3693" w:type="dxa"/>
            <w:tcBorders>
              <w:top w:val="single" w:sz="12" w:space="0" w:color="auto"/>
              <w:bottom w:val="nil"/>
              <w:right w:val="single" w:sz="12" w:space="0" w:color="auto"/>
            </w:tcBorders>
            <w:vAlign w:val="center"/>
          </w:tcPr>
          <w:p w:rsidR="00451724" w:rsidRPr="006032E1" w:rsidRDefault="00451724" w:rsidP="00DC3026">
            <w:pPr>
              <w:jc w:val="center"/>
              <w:rPr>
                <w:rFonts w:ascii="Arial Narrow" w:hAnsi="Arial Narrow"/>
                <w:b/>
                <w:bCs/>
                <w:sz w:val="22"/>
                <w:szCs w:val="22"/>
                <w:lang w:eastAsia="en-US"/>
              </w:rPr>
            </w:pPr>
            <w:r w:rsidRPr="006032E1">
              <w:rPr>
                <w:rFonts w:ascii="Arial Narrow" w:hAnsi="Arial Narrow"/>
                <w:b/>
                <w:bCs/>
                <w:sz w:val="22"/>
                <w:szCs w:val="22"/>
                <w:lang w:eastAsia="en-US"/>
              </w:rPr>
              <w:t>Názov položky</w:t>
            </w:r>
          </w:p>
        </w:tc>
        <w:tc>
          <w:tcPr>
            <w:tcW w:w="2066" w:type="dxa"/>
            <w:tcBorders>
              <w:top w:val="single" w:sz="12" w:space="0" w:color="auto"/>
              <w:left w:val="single" w:sz="12" w:space="0" w:color="auto"/>
              <w:bottom w:val="nil"/>
              <w:right w:val="single" w:sz="12" w:space="0" w:color="auto"/>
            </w:tcBorders>
            <w:vAlign w:val="center"/>
          </w:tcPr>
          <w:p w:rsidR="00451724" w:rsidRPr="006032E1" w:rsidRDefault="00451724" w:rsidP="00DC3026">
            <w:pPr>
              <w:jc w:val="center"/>
              <w:rPr>
                <w:rFonts w:ascii="Arial Narrow" w:hAnsi="Arial Narrow"/>
                <w:b/>
                <w:bCs/>
                <w:sz w:val="22"/>
                <w:szCs w:val="22"/>
                <w:lang w:eastAsia="en-US"/>
              </w:rPr>
            </w:pPr>
            <w:r w:rsidRPr="006032E1">
              <w:rPr>
                <w:rFonts w:ascii="Arial Narrow" w:hAnsi="Arial Narrow"/>
                <w:b/>
                <w:bCs/>
                <w:sz w:val="22"/>
                <w:szCs w:val="22"/>
                <w:lang w:eastAsia="en-US"/>
              </w:rPr>
              <w:t>Bežné účtovné obdobie</w:t>
            </w:r>
          </w:p>
        </w:tc>
        <w:tc>
          <w:tcPr>
            <w:tcW w:w="2430" w:type="dxa"/>
            <w:tcBorders>
              <w:top w:val="single" w:sz="12" w:space="0" w:color="auto"/>
              <w:left w:val="single" w:sz="12" w:space="0" w:color="auto"/>
              <w:bottom w:val="nil"/>
            </w:tcBorders>
            <w:vAlign w:val="center"/>
          </w:tcPr>
          <w:p w:rsidR="00451724" w:rsidRPr="006032E1" w:rsidRDefault="00451724" w:rsidP="00DC3026">
            <w:pPr>
              <w:jc w:val="center"/>
              <w:rPr>
                <w:rFonts w:ascii="Arial Narrow" w:hAnsi="Arial Narrow"/>
                <w:b/>
                <w:bCs/>
                <w:sz w:val="22"/>
                <w:szCs w:val="22"/>
                <w:lang w:eastAsia="en-US"/>
              </w:rPr>
            </w:pPr>
            <w:r w:rsidRPr="006032E1">
              <w:rPr>
                <w:rFonts w:ascii="Arial Narrow" w:hAnsi="Arial Narrow"/>
                <w:b/>
                <w:bCs/>
                <w:sz w:val="22"/>
                <w:szCs w:val="22"/>
                <w:lang w:eastAsia="en-US"/>
              </w:rPr>
              <w:t>Bezprostredne predchádzajúce účtovné obdobie</w:t>
            </w:r>
          </w:p>
        </w:tc>
      </w:tr>
      <w:tr w:rsidR="00B67317" w:rsidRPr="006032E1" w:rsidTr="00961F5F">
        <w:trPr>
          <w:trHeight w:val="428"/>
          <w:jc w:val="center"/>
        </w:trPr>
        <w:tc>
          <w:tcPr>
            <w:tcW w:w="3693" w:type="dxa"/>
            <w:tcBorders>
              <w:top w:val="single" w:sz="12" w:space="0" w:color="auto"/>
              <w:right w:val="single" w:sz="12" w:space="0" w:color="auto"/>
            </w:tcBorders>
            <w:vAlign w:val="center"/>
          </w:tcPr>
          <w:p w:rsidR="00B67317" w:rsidRPr="006032E1" w:rsidRDefault="00B67317" w:rsidP="00801E71">
            <w:pPr>
              <w:rPr>
                <w:rFonts w:ascii="Arial Narrow" w:hAnsi="Arial Narrow" w:cs="Arial"/>
                <w:sz w:val="22"/>
                <w:szCs w:val="22"/>
                <w:lang w:eastAsia="en-US"/>
              </w:rPr>
            </w:pPr>
            <w:r w:rsidRPr="006032E1">
              <w:rPr>
                <w:rFonts w:ascii="Arial Narrow" w:hAnsi="Arial Narrow" w:cs="Arial"/>
                <w:sz w:val="22"/>
                <w:szCs w:val="22"/>
                <w:lang w:eastAsia="en-US"/>
              </w:rPr>
              <w:t>Priemerný prepočítaný počet zamestnancov</w:t>
            </w:r>
          </w:p>
        </w:tc>
        <w:tc>
          <w:tcPr>
            <w:tcW w:w="2066" w:type="dxa"/>
            <w:tcBorders>
              <w:top w:val="single" w:sz="12" w:space="0" w:color="auto"/>
              <w:left w:val="single" w:sz="12" w:space="0" w:color="auto"/>
              <w:right w:val="single" w:sz="12" w:space="0" w:color="auto"/>
            </w:tcBorders>
            <w:vAlign w:val="center"/>
          </w:tcPr>
          <w:p w:rsidR="00B67317" w:rsidRPr="00C27C1C" w:rsidRDefault="00B67317" w:rsidP="00801E71">
            <w:pPr>
              <w:jc w:val="center"/>
              <w:rPr>
                <w:rFonts w:ascii="Arial Narrow" w:hAnsi="Arial Narrow" w:cs="Arial"/>
                <w:sz w:val="22"/>
                <w:szCs w:val="22"/>
                <w:lang w:eastAsia="en-US"/>
              </w:rPr>
            </w:pPr>
            <w:r>
              <w:rPr>
                <w:rFonts w:ascii="Arial Narrow" w:hAnsi="Arial Narrow" w:cs="Arial"/>
                <w:sz w:val="22"/>
                <w:szCs w:val="22"/>
                <w:lang w:eastAsia="en-US"/>
              </w:rPr>
              <w:t>34</w:t>
            </w:r>
          </w:p>
        </w:tc>
        <w:tc>
          <w:tcPr>
            <w:tcW w:w="2430" w:type="dxa"/>
            <w:tcBorders>
              <w:top w:val="single" w:sz="12" w:space="0" w:color="auto"/>
              <w:left w:val="single" w:sz="12" w:space="0" w:color="auto"/>
            </w:tcBorders>
            <w:vAlign w:val="center"/>
          </w:tcPr>
          <w:p w:rsidR="00B67317" w:rsidRPr="00C27C1C" w:rsidRDefault="00B67317" w:rsidP="00890A91">
            <w:pPr>
              <w:jc w:val="center"/>
              <w:rPr>
                <w:rFonts w:ascii="Arial Narrow" w:hAnsi="Arial Narrow" w:cs="Arial"/>
                <w:sz w:val="22"/>
                <w:szCs w:val="22"/>
                <w:lang w:eastAsia="en-US"/>
              </w:rPr>
            </w:pPr>
            <w:r w:rsidRPr="00C27C1C">
              <w:rPr>
                <w:rFonts w:ascii="Arial Narrow" w:hAnsi="Arial Narrow" w:cs="Arial"/>
                <w:sz w:val="22"/>
                <w:szCs w:val="22"/>
                <w:lang w:eastAsia="en-US"/>
              </w:rPr>
              <w:t>32,32</w:t>
            </w:r>
          </w:p>
        </w:tc>
      </w:tr>
      <w:tr w:rsidR="00801E71" w:rsidRPr="006032E1" w:rsidTr="00DC3026">
        <w:trPr>
          <w:trHeight w:val="285"/>
          <w:jc w:val="center"/>
        </w:trPr>
        <w:tc>
          <w:tcPr>
            <w:tcW w:w="3693" w:type="dxa"/>
            <w:tcBorders>
              <w:right w:val="single" w:sz="12" w:space="0" w:color="auto"/>
            </w:tcBorders>
            <w:vAlign w:val="center"/>
          </w:tcPr>
          <w:p w:rsidR="00801E71" w:rsidRPr="006032E1" w:rsidRDefault="00801E71" w:rsidP="00801E71">
            <w:pPr>
              <w:rPr>
                <w:rFonts w:ascii="Arial Narrow" w:hAnsi="Arial Narrow" w:cs="Arial"/>
                <w:sz w:val="22"/>
                <w:szCs w:val="22"/>
                <w:lang w:eastAsia="en-US"/>
              </w:rPr>
            </w:pPr>
            <w:r w:rsidRPr="006032E1">
              <w:rPr>
                <w:rFonts w:ascii="Arial Narrow" w:hAnsi="Arial Narrow" w:cs="Arial"/>
                <w:sz w:val="22"/>
                <w:szCs w:val="22"/>
                <w:lang w:eastAsia="en-US"/>
              </w:rPr>
              <w:t>Stav zamestnancov ku dňu, ku ktorému sa zostavuje účtovná závierka, z toho:</w:t>
            </w:r>
          </w:p>
        </w:tc>
        <w:tc>
          <w:tcPr>
            <w:tcW w:w="2066" w:type="dxa"/>
            <w:tcBorders>
              <w:left w:val="single" w:sz="12" w:space="0" w:color="auto"/>
              <w:right w:val="single" w:sz="12" w:space="0" w:color="auto"/>
            </w:tcBorders>
            <w:vAlign w:val="center"/>
          </w:tcPr>
          <w:p w:rsidR="00801E71" w:rsidRPr="00C27C1C" w:rsidRDefault="00B67317" w:rsidP="00801E71">
            <w:pPr>
              <w:spacing w:line="360" w:lineRule="auto"/>
              <w:jc w:val="center"/>
              <w:rPr>
                <w:rFonts w:ascii="Arial Narrow" w:hAnsi="Arial Narrow" w:cs="Arial"/>
                <w:sz w:val="22"/>
                <w:szCs w:val="22"/>
                <w:lang w:eastAsia="en-US"/>
              </w:rPr>
            </w:pPr>
            <w:r>
              <w:rPr>
                <w:rFonts w:ascii="Arial Narrow" w:hAnsi="Arial Narrow" w:cs="Arial"/>
                <w:sz w:val="22"/>
                <w:szCs w:val="22"/>
                <w:lang w:eastAsia="en-US"/>
              </w:rPr>
              <w:t>34</w:t>
            </w:r>
          </w:p>
        </w:tc>
        <w:tc>
          <w:tcPr>
            <w:tcW w:w="2430" w:type="dxa"/>
            <w:tcBorders>
              <w:left w:val="single" w:sz="12" w:space="0" w:color="auto"/>
            </w:tcBorders>
            <w:vAlign w:val="center"/>
          </w:tcPr>
          <w:p w:rsidR="00801E71" w:rsidRPr="006032E1" w:rsidRDefault="00B67317" w:rsidP="00801E71">
            <w:pPr>
              <w:spacing w:line="360" w:lineRule="auto"/>
              <w:jc w:val="center"/>
              <w:rPr>
                <w:rFonts w:ascii="Arial Narrow" w:hAnsi="Arial Narrow" w:cs="Arial"/>
                <w:sz w:val="22"/>
                <w:szCs w:val="22"/>
                <w:lang w:eastAsia="en-US"/>
              </w:rPr>
            </w:pPr>
            <w:r>
              <w:rPr>
                <w:rFonts w:ascii="Arial Narrow" w:hAnsi="Arial Narrow" w:cs="Arial"/>
                <w:sz w:val="22"/>
                <w:szCs w:val="22"/>
                <w:lang w:eastAsia="en-US"/>
              </w:rPr>
              <w:t>37</w:t>
            </w:r>
          </w:p>
        </w:tc>
      </w:tr>
      <w:tr w:rsidR="00801E71" w:rsidRPr="006032E1" w:rsidTr="00DC3026">
        <w:trPr>
          <w:trHeight w:val="285"/>
          <w:jc w:val="center"/>
        </w:trPr>
        <w:tc>
          <w:tcPr>
            <w:tcW w:w="3693" w:type="dxa"/>
            <w:tcBorders>
              <w:bottom w:val="single" w:sz="12" w:space="0" w:color="auto"/>
              <w:right w:val="single" w:sz="12" w:space="0" w:color="auto"/>
            </w:tcBorders>
            <w:vAlign w:val="center"/>
          </w:tcPr>
          <w:p w:rsidR="00801E71" w:rsidRPr="006032E1" w:rsidRDefault="00801E71" w:rsidP="00801E71">
            <w:pPr>
              <w:rPr>
                <w:rFonts w:ascii="Arial Narrow" w:hAnsi="Arial Narrow" w:cs="Arial"/>
                <w:sz w:val="22"/>
                <w:szCs w:val="22"/>
                <w:highlight w:val="green"/>
                <w:lang w:eastAsia="en-US"/>
              </w:rPr>
            </w:pPr>
            <w:r w:rsidRPr="006032E1">
              <w:rPr>
                <w:rFonts w:ascii="Arial Narrow" w:hAnsi="Arial Narrow" w:cs="Arial"/>
                <w:sz w:val="22"/>
                <w:szCs w:val="22"/>
                <w:lang w:eastAsia="en-US"/>
              </w:rPr>
              <w:t>počet vedúcich zamestnancov</w:t>
            </w:r>
          </w:p>
        </w:tc>
        <w:tc>
          <w:tcPr>
            <w:tcW w:w="2066" w:type="dxa"/>
            <w:tcBorders>
              <w:left w:val="single" w:sz="12" w:space="0" w:color="auto"/>
              <w:bottom w:val="single" w:sz="12" w:space="0" w:color="auto"/>
              <w:right w:val="single" w:sz="12" w:space="0" w:color="auto"/>
            </w:tcBorders>
            <w:vAlign w:val="center"/>
          </w:tcPr>
          <w:p w:rsidR="00801E71" w:rsidRPr="00C27C1C" w:rsidRDefault="00C27C1C" w:rsidP="00801E71">
            <w:pPr>
              <w:spacing w:line="360" w:lineRule="auto"/>
              <w:jc w:val="center"/>
              <w:rPr>
                <w:rFonts w:ascii="Arial Narrow" w:hAnsi="Arial Narrow" w:cs="Arial"/>
                <w:sz w:val="22"/>
                <w:szCs w:val="22"/>
                <w:lang w:eastAsia="en-US"/>
              </w:rPr>
            </w:pPr>
            <w:r w:rsidRPr="00C27C1C">
              <w:rPr>
                <w:rFonts w:ascii="Arial Narrow" w:hAnsi="Arial Narrow" w:cs="Arial"/>
                <w:sz w:val="22"/>
                <w:szCs w:val="22"/>
                <w:lang w:eastAsia="en-US"/>
              </w:rPr>
              <w:t>6</w:t>
            </w:r>
          </w:p>
        </w:tc>
        <w:tc>
          <w:tcPr>
            <w:tcW w:w="2430" w:type="dxa"/>
            <w:tcBorders>
              <w:left w:val="single" w:sz="12" w:space="0" w:color="auto"/>
              <w:bottom w:val="single" w:sz="12" w:space="0" w:color="auto"/>
            </w:tcBorders>
            <w:vAlign w:val="center"/>
          </w:tcPr>
          <w:p w:rsidR="00801E71" w:rsidRPr="006032E1" w:rsidRDefault="00B67317" w:rsidP="00801E71">
            <w:pPr>
              <w:spacing w:line="360" w:lineRule="auto"/>
              <w:jc w:val="center"/>
              <w:rPr>
                <w:rFonts w:ascii="Arial Narrow" w:hAnsi="Arial Narrow" w:cs="Arial"/>
                <w:sz w:val="22"/>
                <w:szCs w:val="22"/>
                <w:highlight w:val="green"/>
                <w:lang w:eastAsia="en-US"/>
              </w:rPr>
            </w:pPr>
            <w:r>
              <w:rPr>
                <w:rFonts w:ascii="Arial Narrow" w:hAnsi="Arial Narrow" w:cs="Arial"/>
                <w:sz w:val="22"/>
                <w:szCs w:val="22"/>
                <w:lang w:eastAsia="en-US"/>
              </w:rPr>
              <w:t>6</w:t>
            </w:r>
          </w:p>
        </w:tc>
      </w:tr>
    </w:tbl>
    <w:p w:rsidR="00451724" w:rsidRPr="006032E1" w:rsidRDefault="00451724" w:rsidP="00451724">
      <w:pPr>
        <w:keepNext/>
        <w:outlineLvl w:val="0"/>
        <w:rPr>
          <w:rFonts w:ascii="Arial Narrow" w:hAnsi="Arial Narrow"/>
          <w:b/>
          <w:bCs/>
          <w:kern w:val="28"/>
          <w:sz w:val="22"/>
          <w:szCs w:val="32"/>
          <w:lang w:eastAsia="en-US"/>
        </w:rPr>
      </w:pPr>
    </w:p>
    <w:p w:rsidR="00451724" w:rsidRPr="006032E1" w:rsidRDefault="00961F5F" w:rsidP="00B67317">
      <w:pPr>
        <w:ind w:left="426"/>
        <w:rPr>
          <w:rFonts w:ascii="Arial Narrow" w:hAnsi="Arial Narrow"/>
          <w:sz w:val="22"/>
          <w:lang w:eastAsia="en-US"/>
        </w:rPr>
      </w:pPr>
      <w:r w:rsidRPr="006032E1">
        <w:rPr>
          <w:rFonts w:ascii="Arial Narrow" w:hAnsi="Arial Narrow"/>
          <w:sz w:val="22"/>
          <w:lang w:eastAsia="en-US"/>
        </w:rPr>
        <w:t>Obchodná</w:t>
      </w:r>
      <w:r w:rsidR="00451724" w:rsidRPr="006032E1">
        <w:rPr>
          <w:rFonts w:ascii="Arial Narrow" w:hAnsi="Arial Narrow"/>
          <w:sz w:val="22"/>
          <w:lang w:eastAsia="en-US"/>
        </w:rPr>
        <w:t xml:space="preserve"> spoločnosť nie je neobmedzene ručiacim spoločníkom v žiadnej spoločnosti.</w:t>
      </w:r>
    </w:p>
    <w:p w:rsidR="00451724" w:rsidRPr="006032E1" w:rsidRDefault="00451724" w:rsidP="00B67317">
      <w:pPr>
        <w:ind w:left="426"/>
        <w:rPr>
          <w:rFonts w:ascii="Arial Narrow" w:hAnsi="Arial Narrow"/>
          <w:sz w:val="22"/>
          <w:lang w:eastAsia="en-US"/>
        </w:rPr>
      </w:pPr>
    </w:p>
    <w:p w:rsidR="00451724" w:rsidRPr="00745FC0" w:rsidRDefault="00451724" w:rsidP="00B67317">
      <w:pPr>
        <w:ind w:left="426"/>
        <w:jc w:val="both"/>
        <w:rPr>
          <w:rFonts w:ascii="Arial Narrow" w:hAnsi="Arial Narrow"/>
          <w:sz w:val="22"/>
          <w:lang w:eastAsia="en-US"/>
        </w:rPr>
      </w:pPr>
      <w:r w:rsidRPr="00745FC0">
        <w:rPr>
          <w:rFonts w:ascii="Arial Narrow" w:hAnsi="Arial Narrow"/>
          <w:sz w:val="22"/>
          <w:lang w:eastAsia="en-US"/>
        </w:rPr>
        <w:t xml:space="preserve">Účtovná závierka </w:t>
      </w:r>
      <w:r w:rsidR="00961F5F" w:rsidRPr="00745FC0">
        <w:rPr>
          <w:rFonts w:ascii="Arial Narrow" w:hAnsi="Arial Narrow"/>
          <w:sz w:val="22"/>
          <w:lang w:eastAsia="en-US"/>
        </w:rPr>
        <w:t>obchodnej</w:t>
      </w:r>
      <w:r w:rsidRPr="00745FC0">
        <w:rPr>
          <w:rFonts w:ascii="Arial Narrow" w:hAnsi="Arial Narrow"/>
          <w:sz w:val="22"/>
          <w:lang w:eastAsia="en-US"/>
        </w:rPr>
        <w:t xml:space="preserve"> spoločnosti zostavená k 31. decembru 201</w:t>
      </w:r>
      <w:r w:rsidR="00B67317">
        <w:rPr>
          <w:rFonts w:ascii="Arial Narrow" w:hAnsi="Arial Narrow"/>
          <w:sz w:val="22"/>
          <w:lang w:eastAsia="en-US"/>
        </w:rPr>
        <w:t>5</w:t>
      </w:r>
      <w:r w:rsidRPr="00745FC0">
        <w:rPr>
          <w:rFonts w:ascii="Arial Narrow" w:hAnsi="Arial Narrow"/>
          <w:sz w:val="22"/>
          <w:lang w:eastAsia="en-US"/>
        </w:rPr>
        <w:t xml:space="preserve"> je zostavená ako riadna účtovná závierka podľa § 17 ods. 6 zákona č. 431/2002 Z. z. o účtovníctve v znení neskorších predpisov.</w:t>
      </w:r>
    </w:p>
    <w:p w:rsidR="00451724" w:rsidRPr="00745FC0" w:rsidRDefault="00451724" w:rsidP="00B67317">
      <w:pPr>
        <w:ind w:left="426"/>
        <w:rPr>
          <w:rFonts w:ascii="Arial Narrow" w:hAnsi="Arial Narrow"/>
          <w:sz w:val="22"/>
          <w:lang w:eastAsia="en-US"/>
        </w:rPr>
      </w:pPr>
    </w:p>
    <w:p w:rsidR="00451724" w:rsidRPr="00745FC0" w:rsidRDefault="00451724" w:rsidP="00B67317">
      <w:pPr>
        <w:ind w:left="426"/>
        <w:rPr>
          <w:rFonts w:ascii="Arial Narrow" w:hAnsi="Arial Narrow"/>
          <w:sz w:val="22"/>
          <w:lang w:eastAsia="en-US"/>
        </w:rPr>
      </w:pPr>
      <w:r w:rsidRPr="00745FC0">
        <w:rPr>
          <w:rFonts w:ascii="Arial Narrow" w:hAnsi="Arial Narrow"/>
          <w:sz w:val="22"/>
          <w:lang w:eastAsia="en-US"/>
        </w:rPr>
        <w:t xml:space="preserve">Účtovná závierka obchodnej spoločnosti </w:t>
      </w:r>
      <w:r w:rsidR="00272458" w:rsidRPr="00745FC0">
        <w:rPr>
          <w:rFonts w:ascii="Arial Narrow" w:hAnsi="Arial Narrow"/>
          <w:sz w:val="22"/>
          <w:lang w:eastAsia="en-US"/>
        </w:rPr>
        <w:t>za predchádzajúce účtovné obdobie</w:t>
      </w:r>
      <w:r w:rsidR="00B96D5D" w:rsidRPr="00745FC0">
        <w:rPr>
          <w:rFonts w:ascii="Arial Narrow" w:hAnsi="Arial Narrow"/>
          <w:sz w:val="22"/>
          <w:lang w:eastAsia="en-US"/>
        </w:rPr>
        <w:t xml:space="preserve"> rok 201</w:t>
      </w:r>
      <w:r w:rsidR="00B67317">
        <w:rPr>
          <w:rFonts w:ascii="Arial Narrow" w:hAnsi="Arial Narrow"/>
          <w:sz w:val="22"/>
          <w:lang w:eastAsia="en-US"/>
        </w:rPr>
        <w:t>4</w:t>
      </w:r>
      <w:r w:rsidR="00B96D5D" w:rsidRPr="00745FC0">
        <w:rPr>
          <w:rFonts w:ascii="Arial Narrow" w:hAnsi="Arial Narrow"/>
          <w:sz w:val="22"/>
          <w:lang w:eastAsia="en-US"/>
        </w:rPr>
        <w:t xml:space="preserve"> </w:t>
      </w:r>
      <w:r w:rsidRPr="00745FC0">
        <w:rPr>
          <w:rFonts w:ascii="Arial Narrow" w:hAnsi="Arial Narrow"/>
          <w:sz w:val="22"/>
          <w:lang w:eastAsia="en-US"/>
        </w:rPr>
        <w:t xml:space="preserve">bola  schválená valným zhromaždením obchodnej spoločnosti dňa </w:t>
      </w:r>
      <w:r w:rsidR="00801E71">
        <w:rPr>
          <w:rFonts w:ascii="Arial Narrow" w:hAnsi="Arial Narrow"/>
          <w:sz w:val="22"/>
          <w:lang w:eastAsia="en-US"/>
        </w:rPr>
        <w:t>2</w:t>
      </w:r>
      <w:r w:rsidR="009069F7">
        <w:rPr>
          <w:rFonts w:ascii="Arial Narrow" w:hAnsi="Arial Narrow"/>
          <w:sz w:val="22"/>
          <w:lang w:eastAsia="en-US"/>
        </w:rPr>
        <w:t>2</w:t>
      </w:r>
      <w:r w:rsidRPr="00745FC0">
        <w:rPr>
          <w:rFonts w:ascii="Arial Narrow" w:hAnsi="Arial Narrow"/>
          <w:sz w:val="22"/>
          <w:lang w:eastAsia="en-US"/>
        </w:rPr>
        <w:t xml:space="preserve">. </w:t>
      </w:r>
      <w:r w:rsidR="009069F7">
        <w:rPr>
          <w:rFonts w:ascii="Arial Narrow" w:hAnsi="Arial Narrow"/>
          <w:sz w:val="22"/>
          <w:lang w:eastAsia="en-US"/>
        </w:rPr>
        <w:t>6</w:t>
      </w:r>
      <w:r w:rsidRPr="00745FC0">
        <w:rPr>
          <w:rFonts w:ascii="Arial Narrow" w:hAnsi="Arial Narrow"/>
          <w:sz w:val="22"/>
          <w:lang w:eastAsia="en-US"/>
        </w:rPr>
        <w:t>. 201</w:t>
      </w:r>
      <w:r w:rsidR="009069F7">
        <w:rPr>
          <w:rFonts w:ascii="Arial Narrow" w:hAnsi="Arial Narrow"/>
          <w:sz w:val="22"/>
          <w:lang w:eastAsia="en-US"/>
        </w:rPr>
        <w:t>5</w:t>
      </w:r>
      <w:r w:rsidRPr="00745FC0">
        <w:rPr>
          <w:rFonts w:ascii="Arial Narrow" w:hAnsi="Arial Narrow"/>
          <w:sz w:val="22"/>
          <w:lang w:eastAsia="en-US"/>
        </w:rPr>
        <w:t xml:space="preserve">. </w:t>
      </w:r>
    </w:p>
    <w:p w:rsidR="00451724" w:rsidRPr="006032E1" w:rsidRDefault="00451724" w:rsidP="00B67317">
      <w:pPr>
        <w:ind w:left="426"/>
        <w:rPr>
          <w:rFonts w:ascii="Arial Narrow" w:hAnsi="Arial Narrow"/>
          <w:sz w:val="22"/>
          <w:lang w:eastAsia="en-US"/>
        </w:rPr>
      </w:pPr>
    </w:p>
    <w:p w:rsidR="00451724" w:rsidRPr="006032E1" w:rsidRDefault="00451724" w:rsidP="00A17E35">
      <w:pPr>
        <w:ind w:left="426"/>
        <w:jc w:val="both"/>
        <w:rPr>
          <w:rFonts w:ascii="Arial Narrow" w:hAnsi="Arial Narrow"/>
          <w:sz w:val="22"/>
          <w:lang w:eastAsia="en-US"/>
        </w:rPr>
      </w:pPr>
      <w:r w:rsidRPr="00745FC0">
        <w:rPr>
          <w:rFonts w:ascii="Arial Narrow" w:hAnsi="Arial Narrow"/>
          <w:sz w:val="22"/>
          <w:lang w:eastAsia="en-US"/>
        </w:rPr>
        <w:t>Val</w:t>
      </w:r>
      <w:r w:rsidR="00E77CC6" w:rsidRPr="00745FC0">
        <w:rPr>
          <w:rFonts w:ascii="Arial Narrow" w:hAnsi="Arial Narrow"/>
          <w:sz w:val="22"/>
          <w:lang w:eastAsia="en-US"/>
        </w:rPr>
        <w:t xml:space="preserve">né zhromaždenie </w:t>
      </w:r>
      <w:r w:rsidR="00C73F9D">
        <w:rPr>
          <w:rFonts w:ascii="Arial Narrow" w:hAnsi="Arial Narrow"/>
          <w:sz w:val="22"/>
          <w:lang w:eastAsia="en-US"/>
        </w:rPr>
        <w:t>2</w:t>
      </w:r>
      <w:r w:rsidR="009069F7">
        <w:rPr>
          <w:rFonts w:ascii="Arial Narrow" w:hAnsi="Arial Narrow"/>
          <w:sz w:val="22"/>
          <w:lang w:eastAsia="en-US"/>
        </w:rPr>
        <w:t>8</w:t>
      </w:r>
      <w:r w:rsidR="00E63C5F" w:rsidRPr="00745FC0">
        <w:rPr>
          <w:rFonts w:ascii="Arial Narrow" w:hAnsi="Arial Narrow"/>
          <w:sz w:val="22"/>
          <w:lang w:eastAsia="en-US"/>
        </w:rPr>
        <w:t xml:space="preserve">. </w:t>
      </w:r>
      <w:r w:rsidR="009069F7">
        <w:rPr>
          <w:rFonts w:ascii="Arial Narrow" w:hAnsi="Arial Narrow"/>
          <w:sz w:val="22"/>
          <w:lang w:eastAsia="en-US"/>
        </w:rPr>
        <w:t>9</w:t>
      </w:r>
      <w:r w:rsidR="00E63C5F" w:rsidRPr="00745FC0">
        <w:rPr>
          <w:rFonts w:ascii="Arial Narrow" w:hAnsi="Arial Narrow"/>
          <w:sz w:val="22"/>
          <w:lang w:eastAsia="en-US"/>
        </w:rPr>
        <w:t>. 201</w:t>
      </w:r>
      <w:r w:rsidR="009069F7">
        <w:rPr>
          <w:rFonts w:ascii="Arial Narrow" w:hAnsi="Arial Narrow"/>
          <w:sz w:val="22"/>
          <w:lang w:eastAsia="en-US"/>
        </w:rPr>
        <w:t>5</w:t>
      </w:r>
      <w:r w:rsidRPr="00745FC0">
        <w:rPr>
          <w:rFonts w:ascii="Arial Narrow" w:hAnsi="Arial Narrow"/>
          <w:sz w:val="22"/>
          <w:lang w:eastAsia="en-US"/>
        </w:rPr>
        <w:t xml:space="preserve"> schválilo audítora Ing. Lesayová </w:t>
      </w:r>
      <w:r w:rsidR="00AD6B69">
        <w:rPr>
          <w:rFonts w:ascii="Arial Narrow" w:hAnsi="Arial Narrow"/>
          <w:sz w:val="22"/>
          <w:lang w:eastAsia="en-US"/>
        </w:rPr>
        <w:t>Regina, s.r.o. Banská Bystrica,</w:t>
      </w:r>
      <w:r w:rsidRPr="00745FC0">
        <w:rPr>
          <w:rFonts w:ascii="Arial Narrow" w:hAnsi="Arial Narrow"/>
          <w:sz w:val="22"/>
          <w:lang w:eastAsia="en-US"/>
        </w:rPr>
        <w:t xml:space="preserve"> na overenie  účtovnej závierky  za účtovné obdobie  od 1. januára 201</w:t>
      </w:r>
      <w:r w:rsidR="009069F7">
        <w:rPr>
          <w:rFonts w:ascii="Arial Narrow" w:hAnsi="Arial Narrow"/>
          <w:sz w:val="22"/>
          <w:lang w:eastAsia="en-US"/>
        </w:rPr>
        <w:t>5</w:t>
      </w:r>
      <w:r w:rsidRPr="00745FC0">
        <w:rPr>
          <w:rFonts w:ascii="Arial Narrow" w:hAnsi="Arial Narrow"/>
          <w:sz w:val="22"/>
          <w:lang w:eastAsia="en-US"/>
        </w:rPr>
        <w:t xml:space="preserve"> do 31. decembra 201</w:t>
      </w:r>
      <w:r w:rsidR="009069F7">
        <w:rPr>
          <w:rFonts w:ascii="Arial Narrow" w:hAnsi="Arial Narrow"/>
          <w:sz w:val="22"/>
          <w:lang w:eastAsia="en-US"/>
        </w:rPr>
        <w:t>5</w:t>
      </w:r>
      <w:r w:rsidR="00A17E35">
        <w:rPr>
          <w:rFonts w:ascii="Arial Narrow" w:hAnsi="Arial Narrow"/>
          <w:sz w:val="22"/>
          <w:lang w:eastAsia="en-US"/>
        </w:rPr>
        <w:t>.</w:t>
      </w:r>
    </w:p>
    <w:p w:rsidR="00EA0884" w:rsidRPr="006032E1" w:rsidRDefault="00EA0884" w:rsidP="00451724">
      <w:pPr>
        <w:rPr>
          <w:rFonts w:ascii="Arial Narrow" w:hAnsi="Arial Narrow"/>
          <w:sz w:val="22"/>
          <w:lang w:eastAsia="en-US"/>
        </w:rPr>
      </w:pPr>
    </w:p>
    <w:p w:rsidR="00451724" w:rsidRPr="006032E1" w:rsidRDefault="009069F7" w:rsidP="00AF0D4E">
      <w:pPr>
        <w:ind w:left="360" w:right="71" w:hanging="360"/>
        <w:jc w:val="both"/>
        <w:rPr>
          <w:rFonts w:ascii="Arial Narrow" w:hAnsi="Arial Narrow"/>
          <w:b/>
          <w:bCs/>
          <w:sz w:val="22"/>
          <w:lang w:eastAsia="en-US"/>
        </w:rPr>
      </w:pPr>
      <w:r>
        <w:rPr>
          <w:rFonts w:ascii="Arial Narrow" w:hAnsi="Arial Narrow"/>
          <w:b/>
          <w:bCs/>
          <w:sz w:val="22"/>
          <w:lang w:eastAsia="en-US"/>
        </w:rPr>
        <w:t>Informácie o skupine</w:t>
      </w:r>
    </w:p>
    <w:p w:rsidR="00451724" w:rsidRPr="006032E1" w:rsidRDefault="00451724" w:rsidP="00451724">
      <w:pPr>
        <w:ind w:left="360" w:right="71" w:hanging="360"/>
        <w:rPr>
          <w:b/>
          <w:bCs/>
          <w:sz w:val="22"/>
          <w:lang w:eastAsia="en-US"/>
        </w:rPr>
      </w:pPr>
    </w:p>
    <w:p w:rsidR="00451724" w:rsidRDefault="00451724" w:rsidP="00451724">
      <w:pPr>
        <w:ind w:left="360" w:right="71" w:hanging="360"/>
        <w:jc w:val="both"/>
        <w:rPr>
          <w:rFonts w:ascii="Arial Narrow" w:hAnsi="Arial Narrow"/>
          <w:bCs/>
          <w:sz w:val="22"/>
          <w:lang w:eastAsia="en-US"/>
        </w:rPr>
      </w:pPr>
      <w:r w:rsidRPr="006032E1">
        <w:rPr>
          <w:rFonts w:ascii="Arial Narrow" w:hAnsi="Arial Narrow"/>
          <w:b/>
          <w:bCs/>
          <w:sz w:val="22"/>
          <w:lang w:eastAsia="en-US"/>
        </w:rPr>
        <w:tab/>
      </w:r>
      <w:r w:rsidR="00AF0D4E" w:rsidRPr="006032E1">
        <w:rPr>
          <w:rFonts w:ascii="Arial Narrow" w:hAnsi="Arial Narrow"/>
          <w:bCs/>
          <w:sz w:val="22"/>
          <w:lang w:eastAsia="en-US"/>
        </w:rPr>
        <w:t>Účtovná závierka obchodnej spoločnosti je zahrňovaná do konsolidovanej účtovnej závierky mesta Banská Bystrica – materskej účtovnej jednotky</w:t>
      </w:r>
      <w:r w:rsidR="00173DF5" w:rsidRPr="006032E1">
        <w:rPr>
          <w:rFonts w:ascii="Arial Narrow" w:hAnsi="Arial Narrow"/>
          <w:bCs/>
          <w:sz w:val="22"/>
          <w:lang w:eastAsia="en-US"/>
        </w:rPr>
        <w:t xml:space="preserve"> obchodnej spoločnosti. Konsolidovaná účtovná závierka mesta Banská Bystrica je uložená na mestskom úrade v Banskej Bystrici</w:t>
      </w:r>
      <w:r w:rsidRPr="006032E1">
        <w:rPr>
          <w:rFonts w:ascii="Arial Narrow" w:hAnsi="Arial Narrow"/>
          <w:bCs/>
          <w:sz w:val="22"/>
          <w:lang w:eastAsia="en-US"/>
        </w:rPr>
        <w:t>.</w:t>
      </w:r>
    </w:p>
    <w:p w:rsidR="00A17E35" w:rsidRPr="006032E1" w:rsidRDefault="00A17E35" w:rsidP="00451724">
      <w:pPr>
        <w:ind w:left="360" w:right="71" w:hanging="360"/>
        <w:jc w:val="both"/>
        <w:rPr>
          <w:rFonts w:ascii="Arial Narrow" w:hAnsi="Arial Narrow"/>
          <w:bCs/>
          <w:sz w:val="22"/>
          <w:lang w:eastAsia="en-US"/>
        </w:rPr>
      </w:pPr>
    </w:p>
    <w:p w:rsidR="00A17E35" w:rsidRDefault="00A17E35" w:rsidP="00A17E35">
      <w:pPr>
        <w:widowControl w:val="0"/>
        <w:spacing w:after="60"/>
        <w:jc w:val="both"/>
        <w:outlineLvl w:val="0"/>
        <w:rPr>
          <w:rFonts w:ascii="Arial Narrow" w:hAnsi="Arial Narrow"/>
          <w:b/>
          <w:bCs/>
          <w:kern w:val="28"/>
          <w:sz w:val="22"/>
          <w:szCs w:val="32"/>
          <w:lang w:eastAsia="en-US"/>
        </w:rPr>
      </w:pPr>
      <w:r w:rsidRPr="006032E1">
        <w:rPr>
          <w:rFonts w:ascii="Arial Narrow" w:hAnsi="Arial Narrow"/>
          <w:b/>
          <w:bCs/>
          <w:kern w:val="28"/>
          <w:sz w:val="22"/>
          <w:szCs w:val="32"/>
          <w:lang w:eastAsia="en-US"/>
        </w:rPr>
        <w:t>Informácie o</w:t>
      </w:r>
      <w:r>
        <w:rPr>
          <w:rFonts w:ascii="Arial Narrow" w:hAnsi="Arial Narrow"/>
          <w:b/>
          <w:bCs/>
          <w:kern w:val="28"/>
          <w:sz w:val="22"/>
          <w:szCs w:val="32"/>
          <w:lang w:eastAsia="en-US"/>
        </w:rPr>
        <w:t xml:space="preserve"> orgánoch spoločnosti </w:t>
      </w:r>
    </w:p>
    <w:p w:rsidR="00A17E35" w:rsidRDefault="00A17E35" w:rsidP="00A17E35">
      <w:pPr>
        <w:widowControl w:val="0"/>
        <w:jc w:val="both"/>
        <w:outlineLvl w:val="0"/>
        <w:rPr>
          <w:rFonts w:ascii="Arial Narrow" w:hAnsi="Arial Narrow"/>
          <w:b/>
          <w:bCs/>
          <w:kern w:val="28"/>
          <w:sz w:val="22"/>
          <w:szCs w:val="32"/>
          <w:lang w:eastAsia="en-US"/>
        </w:rPr>
      </w:pPr>
    </w:p>
    <w:p w:rsidR="00A17E35" w:rsidRPr="00A17E35" w:rsidRDefault="00A17E35" w:rsidP="00A17E35">
      <w:pPr>
        <w:ind w:left="426" w:right="71"/>
        <w:jc w:val="both"/>
        <w:rPr>
          <w:rFonts w:ascii="Arial Narrow" w:hAnsi="Arial Narrow"/>
          <w:bCs/>
          <w:sz w:val="22"/>
          <w:lang w:eastAsia="en-US"/>
        </w:rPr>
      </w:pPr>
      <w:r w:rsidRPr="00A17E35">
        <w:rPr>
          <w:rFonts w:ascii="Arial Narrow" w:hAnsi="Arial Narrow"/>
          <w:bCs/>
          <w:sz w:val="22"/>
          <w:lang w:eastAsia="en-US"/>
        </w:rPr>
        <w:t xml:space="preserve">V roku 2015 boli členom dozornej rady vyplatené odmeny za výkon funkcie v sume </w:t>
      </w:r>
      <w:r>
        <w:rPr>
          <w:rFonts w:ascii="Arial Narrow" w:hAnsi="Arial Narrow"/>
          <w:bCs/>
          <w:sz w:val="22"/>
          <w:lang w:eastAsia="en-US"/>
        </w:rPr>
        <w:t>1 406</w:t>
      </w:r>
      <w:r w:rsidRPr="00A17E35">
        <w:rPr>
          <w:rFonts w:ascii="Arial Narrow" w:hAnsi="Arial Narrow"/>
          <w:bCs/>
          <w:sz w:val="22"/>
          <w:lang w:eastAsia="en-US"/>
        </w:rPr>
        <w:t xml:space="preserve"> EUR.</w:t>
      </w:r>
    </w:p>
    <w:p w:rsidR="00A17E35" w:rsidRPr="00A17E35" w:rsidRDefault="00A17E35" w:rsidP="00A17E35">
      <w:pPr>
        <w:ind w:left="426" w:right="71"/>
        <w:jc w:val="both"/>
        <w:rPr>
          <w:rFonts w:ascii="Arial Narrow" w:hAnsi="Arial Narrow"/>
          <w:bCs/>
          <w:sz w:val="22"/>
          <w:lang w:eastAsia="en-US"/>
        </w:rPr>
      </w:pPr>
    </w:p>
    <w:p w:rsidR="00A17E35" w:rsidRPr="00A17E35" w:rsidRDefault="00A17E35" w:rsidP="00A17E35">
      <w:pPr>
        <w:ind w:left="426" w:right="71"/>
        <w:jc w:val="both"/>
        <w:rPr>
          <w:rFonts w:ascii="Arial Narrow" w:hAnsi="Arial Narrow"/>
          <w:bCs/>
          <w:sz w:val="22"/>
          <w:lang w:eastAsia="en-US"/>
        </w:rPr>
      </w:pPr>
      <w:r w:rsidRPr="00A17E35">
        <w:rPr>
          <w:rFonts w:ascii="Arial Narrow" w:hAnsi="Arial Narrow"/>
          <w:bCs/>
          <w:sz w:val="22"/>
          <w:lang w:eastAsia="en-US"/>
        </w:rPr>
        <w:t>Okrem peňažných príjmov za výkon funkcie neboli členom štatutárnych a dozorných orgánov poskytnuté žiadne iné peňažné a nepeňažné plnenia a výhody. Konateľ je zamestnancom spoločnosti a je odmeňovaný za prácu mzdou.</w:t>
      </w:r>
    </w:p>
    <w:p w:rsidR="00451724" w:rsidRPr="006032E1" w:rsidRDefault="00451724" w:rsidP="00451724">
      <w:pPr>
        <w:rPr>
          <w:rFonts w:ascii="Arial Narrow" w:hAnsi="Arial Narrow"/>
          <w:sz w:val="22"/>
          <w:lang w:eastAsia="en-US"/>
        </w:rPr>
      </w:pPr>
    </w:p>
    <w:p w:rsidR="00451724" w:rsidRPr="006032E1" w:rsidRDefault="00451724" w:rsidP="00AF0D4E">
      <w:pPr>
        <w:ind w:left="360" w:right="71" w:hanging="360"/>
        <w:jc w:val="both"/>
        <w:rPr>
          <w:rFonts w:ascii="Arial Narrow" w:hAnsi="Arial Narrow"/>
          <w:b/>
          <w:bCs/>
          <w:sz w:val="22"/>
          <w:lang w:eastAsia="en-US"/>
        </w:rPr>
      </w:pPr>
      <w:r w:rsidRPr="006032E1">
        <w:rPr>
          <w:rFonts w:ascii="Arial Narrow" w:hAnsi="Arial Narrow"/>
          <w:b/>
          <w:bCs/>
          <w:sz w:val="22"/>
          <w:lang w:eastAsia="en-US"/>
        </w:rPr>
        <w:t xml:space="preserve"> </w:t>
      </w:r>
      <w:r w:rsidR="009069F7">
        <w:rPr>
          <w:rFonts w:ascii="Arial Narrow" w:hAnsi="Arial Narrow"/>
          <w:b/>
          <w:bCs/>
          <w:sz w:val="22"/>
          <w:lang w:eastAsia="en-US"/>
        </w:rPr>
        <w:t>Informácie o použitých účtovných zásadách a metódach</w:t>
      </w:r>
    </w:p>
    <w:p w:rsidR="00451724" w:rsidRPr="006032E1" w:rsidRDefault="00451724" w:rsidP="00451724">
      <w:pPr>
        <w:ind w:right="71"/>
        <w:jc w:val="both"/>
        <w:rPr>
          <w:rFonts w:ascii="Arial Narrow" w:hAnsi="Arial Narrow"/>
          <w:bCs/>
          <w:sz w:val="22"/>
          <w:lang w:eastAsia="en-US"/>
        </w:rPr>
      </w:pPr>
    </w:p>
    <w:p w:rsidR="008B6D7C" w:rsidRDefault="00451724" w:rsidP="008B6D7C">
      <w:pPr>
        <w:ind w:left="360" w:right="71"/>
        <w:jc w:val="both"/>
        <w:rPr>
          <w:rFonts w:ascii="Arial Narrow" w:hAnsi="Arial Narrow"/>
          <w:bCs/>
          <w:sz w:val="22"/>
          <w:lang w:eastAsia="en-US"/>
        </w:rPr>
      </w:pPr>
      <w:r w:rsidRPr="006032E1">
        <w:rPr>
          <w:rFonts w:ascii="Arial Narrow" w:hAnsi="Arial Narrow"/>
          <w:bCs/>
          <w:sz w:val="22"/>
          <w:lang w:eastAsia="en-US"/>
        </w:rPr>
        <w:t xml:space="preserve">Účtovná závierka </w:t>
      </w:r>
      <w:r w:rsidR="009069F7">
        <w:rPr>
          <w:rFonts w:ascii="Arial Narrow" w:hAnsi="Arial Narrow"/>
          <w:bCs/>
          <w:sz w:val="22"/>
          <w:lang w:eastAsia="en-US"/>
        </w:rPr>
        <w:t xml:space="preserve">nie je </w:t>
      </w:r>
      <w:r w:rsidRPr="006032E1">
        <w:rPr>
          <w:rFonts w:ascii="Arial Narrow" w:hAnsi="Arial Narrow"/>
          <w:bCs/>
          <w:sz w:val="22"/>
          <w:lang w:eastAsia="en-US"/>
        </w:rPr>
        <w:t>zostavená za predpokladu nepretržitého trvania spoločnosti.</w:t>
      </w:r>
    </w:p>
    <w:p w:rsidR="008B6D7C" w:rsidRPr="006032E1" w:rsidRDefault="008B6D7C" w:rsidP="008B6D7C">
      <w:pPr>
        <w:ind w:left="360" w:right="71"/>
        <w:jc w:val="both"/>
        <w:rPr>
          <w:rFonts w:ascii="Arial Narrow" w:hAnsi="Arial Narrow"/>
          <w:bCs/>
          <w:sz w:val="22"/>
          <w:lang w:eastAsia="en-US"/>
        </w:rPr>
      </w:pPr>
      <w:r>
        <w:rPr>
          <w:rFonts w:ascii="Arial Narrow" w:hAnsi="Arial Narrow"/>
          <w:bCs/>
          <w:sz w:val="22"/>
          <w:lang w:eastAsia="en-US"/>
        </w:rPr>
        <w:t xml:space="preserve">Mestské zastupiteľstvo dňa 22.9.2015 schválilo zrušenie spoločnosti zlúčením s právnym nástupcom nástupníckou spoločnosťou MBB, a.s., so sídlom ČSA 26, 974 01 Banská Bystrica. Dňa 22.12.2015 valné </w:t>
      </w:r>
      <w:r>
        <w:rPr>
          <w:rFonts w:ascii="Arial Narrow" w:hAnsi="Arial Narrow"/>
          <w:bCs/>
          <w:sz w:val="22"/>
          <w:lang w:eastAsia="en-US"/>
        </w:rPr>
        <w:lastRenderedPageBreak/>
        <w:t xml:space="preserve">zhromaždenie spoločnosti schválilo zrušenie spoločnosti </w:t>
      </w:r>
      <w:r w:rsidR="004C79AA">
        <w:rPr>
          <w:rFonts w:ascii="Arial Narrow" w:hAnsi="Arial Narrow"/>
          <w:bCs/>
          <w:sz w:val="22"/>
          <w:lang w:eastAsia="en-US"/>
        </w:rPr>
        <w:t>bez likvidácie zlúčením</w:t>
      </w:r>
      <w:r>
        <w:rPr>
          <w:rFonts w:ascii="Arial Narrow" w:hAnsi="Arial Narrow"/>
          <w:bCs/>
          <w:sz w:val="22"/>
          <w:lang w:eastAsia="en-US"/>
        </w:rPr>
        <w:t>. Na základe tohto uznesenia spoločnosť zaniká dňa 31.12.2015.</w:t>
      </w:r>
    </w:p>
    <w:p w:rsidR="00330658" w:rsidRPr="006032E1" w:rsidRDefault="00330658" w:rsidP="00EA0884">
      <w:pPr>
        <w:ind w:left="360" w:right="71"/>
        <w:jc w:val="both"/>
        <w:rPr>
          <w:rFonts w:ascii="Arial Narrow" w:hAnsi="Arial Narrow"/>
          <w:bCs/>
          <w:sz w:val="22"/>
          <w:lang w:eastAsia="en-US"/>
        </w:rPr>
      </w:pPr>
    </w:p>
    <w:p w:rsidR="00451724" w:rsidRPr="006032E1" w:rsidRDefault="00451724" w:rsidP="00EA0884">
      <w:pPr>
        <w:ind w:left="360" w:right="71"/>
        <w:jc w:val="both"/>
        <w:rPr>
          <w:rFonts w:ascii="Arial Narrow" w:hAnsi="Arial Narrow"/>
          <w:bCs/>
          <w:sz w:val="22"/>
          <w:lang w:eastAsia="en-US"/>
        </w:rPr>
      </w:pPr>
      <w:r w:rsidRPr="006032E1">
        <w:rPr>
          <w:rFonts w:ascii="Arial Narrow" w:hAnsi="Arial Narrow"/>
          <w:bCs/>
          <w:sz w:val="22"/>
          <w:lang w:eastAsia="en-US"/>
        </w:rPr>
        <w:t>Základné účtovné metódy použité pri zostavovaní  tejto individuálnej účtovnej závierky sú opísané nižšie. Tieto metódy sa uplatňujú konzistentne p</w:t>
      </w:r>
      <w:r w:rsidR="0063724D" w:rsidRPr="006032E1">
        <w:rPr>
          <w:rFonts w:ascii="Arial Narrow" w:hAnsi="Arial Narrow"/>
          <w:bCs/>
          <w:sz w:val="22"/>
          <w:lang w:eastAsia="en-US"/>
        </w:rPr>
        <w:t>očas  všetkých účtovných období</w:t>
      </w:r>
      <w:r w:rsidRPr="006032E1">
        <w:rPr>
          <w:rFonts w:ascii="Arial Narrow" w:hAnsi="Arial Narrow"/>
          <w:bCs/>
          <w:sz w:val="22"/>
          <w:lang w:eastAsia="en-US"/>
        </w:rPr>
        <w:t>.</w:t>
      </w:r>
    </w:p>
    <w:p w:rsidR="00330658" w:rsidRPr="006032E1" w:rsidRDefault="00330658" w:rsidP="00EA0884">
      <w:pPr>
        <w:ind w:left="360" w:right="71"/>
        <w:jc w:val="both"/>
        <w:rPr>
          <w:rFonts w:ascii="Arial Narrow" w:hAnsi="Arial Narrow"/>
          <w:bCs/>
          <w:sz w:val="22"/>
          <w:lang w:eastAsia="en-US"/>
        </w:rPr>
      </w:pPr>
    </w:p>
    <w:p w:rsidR="00451724" w:rsidRPr="006032E1" w:rsidRDefault="00451724" w:rsidP="00451724">
      <w:pPr>
        <w:ind w:right="71"/>
        <w:jc w:val="both"/>
        <w:rPr>
          <w:rFonts w:ascii="Arial Narrow" w:hAnsi="Arial Narrow"/>
          <w:b/>
          <w:bCs/>
          <w:sz w:val="22"/>
          <w:lang w:eastAsia="en-US"/>
        </w:rPr>
      </w:pPr>
      <w:r w:rsidRPr="006032E1">
        <w:rPr>
          <w:rFonts w:ascii="Arial Narrow" w:hAnsi="Arial Narrow"/>
          <w:b/>
          <w:bCs/>
          <w:sz w:val="22"/>
          <w:lang w:eastAsia="en-US"/>
        </w:rPr>
        <w:t>Dlhodobý nehmotný majetok</w:t>
      </w:r>
    </w:p>
    <w:p w:rsidR="00451724" w:rsidRPr="006032E1" w:rsidRDefault="00451724" w:rsidP="00451724">
      <w:pPr>
        <w:ind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Dlhodobý nehmotný majetok nakupovaný sa oceňuje obstarávacou cenou, ktorá zahŕňa cenu obstarania a náklady súvisiace s obstaraním (clo, prepravu, montáž, poistné a pod.) </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Dlhodobý  nehmotný majetok vlastnou činnosťou spoločnosť nevytvára.</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Odpisy dlhodobého nehmotného majetku sú stanovené podľa predpokladanej doby používania a predpokladaného priebehu opotrebenia. Odpisovať sa začína </w:t>
      </w:r>
      <w:r w:rsidR="00B13025" w:rsidRPr="006032E1">
        <w:rPr>
          <w:rFonts w:ascii="Arial Narrow" w:hAnsi="Arial Narrow"/>
          <w:bCs/>
          <w:sz w:val="22"/>
          <w:lang w:eastAsia="en-US"/>
        </w:rPr>
        <w:t>v </w:t>
      </w:r>
      <w:r w:rsidRPr="006032E1">
        <w:rPr>
          <w:rFonts w:ascii="Arial Narrow" w:hAnsi="Arial Narrow"/>
          <w:bCs/>
          <w:sz w:val="22"/>
          <w:lang w:eastAsia="en-US"/>
        </w:rPr>
        <w:t>mesiac</w:t>
      </w:r>
      <w:r w:rsidR="00B13025" w:rsidRPr="006032E1">
        <w:rPr>
          <w:rFonts w:ascii="Arial Narrow" w:hAnsi="Arial Narrow"/>
          <w:bCs/>
          <w:sz w:val="22"/>
          <w:lang w:eastAsia="en-US"/>
        </w:rPr>
        <w:t xml:space="preserve">i </w:t>
      </w:r>
      <w:r w:rsidRPr="006032E1">
        <w:rPr>
          <w:rFonts w:ascii="Arial Narrow" w:hAnsi="Arial Narrow"/>
          <w:bCs/>
          <w:sz w:val="22"/>
          <w:lang w:eastAsia="en-US"/>
        </w:rPr>
        <w:t>zaraden</w:t>
      </w:r>
      <w:r w:rsidR="00B13025" w:rsidRPr="006032E1">
        <w:rPr>
          <w:rFonts w:ascii="Arial Narrow" w:hAnsi="Arial Narrow"/>
          <w:bCs/>
          <w:sz w:val="22"/>
          <w:lang w:eastAsia="en-US"/>
        </w:rPr>
        <w:t>ia</w:t>
      </w:r>
      <w:r w:rsidRPr="006032E1">
        <w:rPr>
          <w:rFonts w:ascii="Arial Narrow" w:hAnsi="Arial Narrow"/>
          <w:bCs/>
          <w:sz w:val="22"/>
          <w:lang w:eastAsia="en-US"/>
        </w:rPr>
        <w:t xml:space="preserve"> dlhodob</w:t>
      </w:r>
      <w:r w:rsidR="00B13025" w:rsidRPr="006032E1">
        <w:rPr>
          <w:rFonts w:ascii="Arial Narrow" w:hAnsi="Arial Narrow"/>
          <w:bCs/>
          <w:sz w:val="22"/>
          <w:lang w:eastAsia="en-US"/>
        </w:rPr>
        <w:t>ého</w:t>
      </w:r>
      <w:r w:rsidRPr="006032E1">
        <w:rPr>
          <w:rFonts w:ascii="Arial Narrow" w:hAnsi="Arial Narrow"/>
          <w:bCs/>
          <w:sz w:val="22"/>
          <w:lang w:eastAsia="en-US"/>
        </w:rPr>
        <w:t xml:space="preserve">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51724" w:rsidRPr="006032E1" w:rsidRDefault="00451724" w:rsidP="00451724">
      <w:pPr>
        <w:ind w:right="71"/>
        <w:jc w:val="both"/>
        <w:rPr>
          <w:rFonts w:ascii="Arial Narrow" w:hAnsi="Arial Narrow"/>
          <w:bCs/>
          <w:sz w:val="22"/>
          <w:lang w:eastAsia="en-US"/>
        </w:rPr>
      </w:pPr>
    </w:p>
    <w:tbl>
      <w:tblPr>
        <w:tblW w:w="8716"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60"/>
        <w:gridCol w:w="3317"/>
        <w:gridCol w:w="2139"/>
      </w:tblGrid>
      <w:tr w:rsidR="00451724" w:rsidRPr="006032E1" w:rsidTr="00A17E35">
        <w:tc>
          <w:tcPr>
            <w:tcW w:w="3260" w:type="dxa"/>
          </w:tcPr>
          <w:p w:rsidR="00451724" w:rsidRPr="006032E1" w:rsidRDefault="00451724" w:rsidP="00A17E35">
            <w:pPr>
              <w:ind w:right="71"/>
              <w:jc w:val="center"/>
              <w:rPr>
                <w:rFonts w:ascii="Arial Narrow" w:hAnsi="Arial Narrow"/>
                <w:bCs/>
                <w:sz w:val="22"/>
                <w:lang w:eastAsia="en-US"/>
              </w:rPr>
            </w:pPr>
          </w:p>
        </w:tc>
        <w:tc>
          <w:tcPr>
            <w:tcW w:w="3317" w:type="dxa"/>
          </w:tcPr>
          <w:p w:rsidR="00451724" w:rsidRPr="006032E1" w:rsidRDefault="00451724" w:rsidP="00A17E35">
            <w:pPr>
              <w:ind w:right="71"/>
              <w:jc w:val="center"/>
              <w:rPr>
                <w:rFonts w:ascii="Arial Narrow" w:hAnsi="Arial Narrow"/>
                <w:bCs/>
                <w:sz w:val="22"/>
                <w:lang w:eastAsia="en-US"/>
              </w:rPr>
            </w:pPr>
            <w:r w:rsidRPr="006032E1">
              <w:rPr>
                <w:rFonts w:ascii="Arial Narrow" w:hAnsi="Arial Narrow"/>
                <w:bCs/>
                <w:sz w:val="22"/>
                <w:lang w:eastAsia="en-US"/>
              </w:rPr>
              <w:t>Doba používania</w:t>
            </w:r>
          </w:p>
        </w:tc>
        <w:tc>
          <w:tcPr>
            <w:tcW w:w="2139" w:type="dxa"/>
          </w:tcPr>
          <w:p w:rsidR="00451724" w:rsidRPr="006032E1" w:rsidRDefault="00451724" w:rsidP="00A17E35">
            <w:pPr>
              <w:ind w:right="71"/>
              <w:jc w:val="center"/>
              <w:rPr>
                <w:rFonts w:ascii="Arial Narrow" w:hAnsi="Arial Narrow"/>
                <w:bCs/>
                <w:sz w:val="22"/>
                <w:lang w:eastAsia="en-US"/>
              </w:rPr>
            </w:pPr>
            <w:r w:rsidRPr="006032E1">
              <w:rPr>
                <w:rFonts w:ascii="Arial Narrow" w:hAnsi="Arial Narrow"/>
                <w:bCs/>
                <w:sz w:val="22"/>
                <w:lang w:eastAsia="en-US"/>
              </w:rPr>
              <w:t>Metóda odpisovania</w:t>
            </w:r>
          </w:p>
        </w:tc>
      </w:tr>
      <w:tr w:rsidR="00451724" w:rsidRPr="006032E1" w:rsidTr="00A17E35">
        <w:tc>
          <w:tcPr>
            <w:tcW w:w="3260" w:type="dxa"/>
          </w:tcPr>
          <w:p w:rsidR="00451724" w:rsidRPr="006032E1" w:rsidRDefault="00451724" w:rsidP="00854ACF">
            <w:pPr>
              <w:ind w:right="71"/>
              <w:jc w:val="both"/>
              <w:rPr>
                <w:rFonts w:ascii="Arial Narrow" w:hAnsi="Arial Narrow"/>
                <w:bCs/>
                <w:sz w:val="22"/>
                <w:lang w:eastAsia="en-US"/>
              </w:rPr>
            </w:pPr>
            <w:r w:rsidRPr="006032E1">
              <w:rPr>
                <w:rFonts w:ascii="Arial Narrow" w:hAnsi="Arial Narrow"/>
                <w:bCs/>
                <w:sz w:val="22"/>
                <w:lang w:eastAsia="en-US"/>
              </w:rPr>
              <w:t>013 - Softvér</w:t>
            </w:r>
          </w:p>
        </w:tc>
        <w:tc>
          <w:tcPr>
            <w:tcW w:w="3317" w:type="dxa"/>
          </w:tcPr>
          <w:p w:rsidR="00451724" w:rsidRPr="006032E1" w:rsidRDefault="00451724" w:rsidP="00854ACF">
            <w:pPr>
              <w:ind w:right="71"/>
              <w:jc w:val="center"/>
              <w:rPr>
                <w:rFonts w:ascii="Arial Narrow" w:hAnsi="Arial Narrow"/>
                <w:bCs/>
                <w:sz w:val="22"/>
                <w:lang w:eastAsia="en-US"/>
              </w:rPr>
            </w:pPr>
            <w:r w:rsidRPr="006032E1">
              <w:rPr>
                <w:rFonts w:ascii="Arial Narrow" w:hAnsi="Arial Narrow"/>
                <w:bCs/>
                <w:sz w:val="22"/>
                <w:lang w:eastAsia="en-US"/>
              </w:rPr>
              <w:t>5</w:t>
            </w:r>
          </w:p>
        </w:tc>
        <w:tc>
          <w:tcPr>
            <w:tcW w:w="2139" w:type="dxa"/>
          </w:tcPr>
          <w:p w:rsidR="00451724" w:rsidRPr="006032E1" w:rsidRDefault="00451724" w:rsidP="00A17E35">
            <w:pPr>
              <w:ind w:right="71"/>
              <w:jc w:val="center"/>
              <w:rPr>
                <w:rFonts w:ascii="Arial Narrow" w:hAnsi="Arial Narrow"/>
                <w:bCs/>
                <w:sz w:val="22"/>
                <w:lang w:eastAsia="en-US"/>
              </w:rPr>
            </w:pPr>
            <w:r w:rsidRPr="006032E1">
              <w:rPr>
                <w:rFonts w:ascii="Arial Narrow" w:hAnsi="Arial Narrow"/>
                <w:bCs/>
                <w:sz w:val="22"/>
                <w:lang w:eastAsia="en-US"/>
              </w:rPr>
              <w:t>lineárna</w:t>
            </w:r>
          </w:p>
        </w:tc>
      </w:tr>
      <w:tr w:rsidR="00451724" w:rsidRPr="006032E1" w:rsidTr="00A17E35">
        <w:tc>
          <w:tcPr>
            <w:tcW w:w="3260" w:type="dxa"/>
          </w:tcPr>
          <w:p w:rsidR="00451724" w:rsidRPr="006032E1" w:rsidRDefault="00451724" w:rsidP="00854ACF">
            <w:pPr>
              <w:ind w:right="71"/>
              <w:jc w:val="both"/>
              <w:rPr>
                <w:rFonts w:ascii="Arial Narrow" w:hAnsi="Arial Narrow"/>
                <w:bCs/>
                <w:sz w:val="22"/>
                <w:lang w:eastAsia="en-US"/>
              </w:rPr>
            </w:pPr>
          </w:p>
        </w:tc>
        <w:tc>
          <w:tcPr>
            <w:tcW w:w="3317" w:type="dxa"/>
          </w:tcPr>
          <w:p w:rsidR="00451724" w:rsidRPr="006032E1" w:rsidRDefault="00451724" w:rsidP="00854ACF">
            <w:pPr>
              <w:ind w:right="71"/>
              <w:jc w:val="center"/>
              <w:rPr>
                <w:rFonts w:ascii="Arial Narrow" w:hAnsi="Arial Narrow"/>
                <w:bCs/>
                <w:sz w:val="22"/>
                <w:lang w:eastAsia="en-US"/>
              </w:rPr>
            </w:pPr>
          </w:p>
        </w:tc>
        <w:tc>
          <w:tcPr>
            <w:tcW w:w="2139" w:type="dxa"/>
          </w:tcPr>
          <w:p w:rsidR="00451724" w:rsidRPr="006032E1" w:rsidRDefault="00451724" w:rsidP="00854ACF">
            <w:pPr>
              <w:ind w:right="71"/>
              <w:jc w:val="both"/>
              <w:rPr>
                <w:rFonts w:ascii="Arial Narrow" w:hAnsi="Arial Narrow"/>
                <w:bCs/>
                <w:sz w:val="22"/>
                <w:lang w:eastAsia="en-US"/>
              </w:rPr>
            </w:pPr>
          </w:p>
        </w:tc>
      </w:tr>
    </w:tbl>
    <w:p w:rsidR="00451724" w:rsidRPr="006032E1" w:rsidRDefault="00451724" w:rsidP="00451724">
      <w:pPr>
        <w:ind w:left="36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Dlhodobý hmotný majetok</w:t>
      </w:r>
    </w:p>
    <w:p w:rsidR="00451724" w:rsidRPr="006032E1" w:rsidRDefault="00451724" w:rsidP="00451724">
      <w:pPr>
        <w:ind w:left="360" w:right="71"/>
        <w:jc w:val="both"/>
        <w:rPr>
          <w:rFonts w:ascii="Arial Narrow" w:hAnsi="Arial Narrow"/>
          <w:b/>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Dlhodobý hmotný majetok  nakupovaný sa oceňuje obstarávacou cenou, ktorá zahŕňa cenu obstarania a náklady súvisiace s obstaraním (clo, prepravu, montáž, poistné a pod.) </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Do dlhodobého hmotného majetku patrí majetok, ku ktorému má účtovná jednotka vlastnícke právo. </w:t>
      </w:r>
    </w:p>
    <w:p w:rsidR="00451724" w:rsidRPr="006032E1" w:rsidRDefault="00451724" w:rsidP="00A17E35">
      <w:pPr>
        <w:ind w:left="284" w:right="71"/>
        <w:jc w:val="both"/>
        <w:rPr>
          <w:rFonts w:ascii="Arial Narrow" w:hAnsi="Arial Narrow"/>
          <w:bCs/>
          <w:sz w:val="22"/>
          <w:lang w:eastAsia="en-US"/>
        </w:rPr>
      </w:pPr>
    </w:p>
    <w:p w:rsidR="00451724"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Odpisy dlhodobého hmotného majetku sú stanovené podľa predpokladanej doby jeho používania a predpokladaného priebehu jeho opotrebovania. Odpisovať sa začne v mesiaci zaraden</w:t>
      </w:r>
      <w:r w:rsidR="00EA03F6" w:rsidRPr="006032E1">
        <w:rPr>
          <w:rFonts w:ascii="Arial Narrow" w:hAnsi="Arial Narrow"/>
          <w:bCs/>
          <w:sz w:val="22"/>
          <w:lang w:eastAsia="en-US"/>
        </w:rPr>
        <w:t>ia</w:t>
      </w:r>
      <w:r w:rsidRPr="006032E1">
        <w:rPr>
          <w:rFonts w:ascii="Arial Narrow" w:hAnsi="Arial Narrow"/>
          <w:bCs/>
          <w:sz w:val="22"/>
          <w:lang w:eastAsia="en-US"/>
        </w:rPr>
        <w:t xml:space="preserve"> dlhodobého hmotného majetku do používania. O dlhodobom hmotnom majetku, ktorého obstarávacia cena  je 996 eur, od 1.3. 2009 v ocenení rovnom alebo nižšom ako 1700 eur a zároveň s dobou použiteľnosti dlhšou ako jeden rok, sa </w:t>
      </w:r>
      <w:r w:rsidR="00EA03F6" w:rsidRPr="006032E1">
        <w:rPr>
          <w:rFonts w:ascii="Arial Narrow" w:hAnsi="Arial Narrow"/>
          <w:bCs/>
          <w:sz w:val="22"/>
          <w:lang w:eastAsia="en-US"/>
        </w:rPr>
        <w:t>účtuje ako o zásobách.  Pozemky</w:t>
      </w:r>
      <w:r w:rsidRPr="006032E1">
        <w:rPr>
          <w:rFonts w:ascii="Arial Narrow" w:hAnsi="Arial Narrow"/>
          <w:bCs/>
          <w:sz w:val="22"/>
          <w:lang w:eastAsia="en-US"/>
        </w:rPr>
        <w:t xml:space="preserve">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2B7C1E" w:rsidRPr="006032E1" w:rsidRDefault="002B7C1E" w:rsidP="004D17A9">
      <w:pPr>
        <w:ind w:right="71"/>
        <w:jc w:val="both"/>
        <w:rPr>
          <w:rFonts w:ascii="Arial Narrow" w:hAnsi="Arial Narrow"/>
          <w:bCs/>
          <w:sz w:val="22"/>
          <w:lang w:eastAsia="en-US"/>
        </w:rPr>
      </w:pPr>
    </w:p>
    <w:tbl>
      <w:tblPr>
        <w:tblW w:w="8716" w:type="dxa"/>
        <w:tblInd w:w="354" w:type="dxa"/>
        <w:tblCellMar>
          <w:left w:w="70" w:type="dxa"/>
          <w:right w:w="70" w:type="dxa"/>
        </w:tblCellMar>
        <w:tblLook w:val="0000"/>
      </w:tblPr>
      <w:tblGrid>
        <w:gridCol w:w="1417"/>
        <w:gridCol w:w="3119"/>
        <w:gridCol w:w="2410"/>
        <w:gridCol w:w="1770"/>
      </w:tblGrid>
      <w:tr w:rsidR="00451724" w:rsidRPr="006032E1" w:rsidTr="00A17E35">
        <w:trPr>
          <w:trHeight w:val="255"/>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b/>
                <w:bCs/>
                <w:sz w:val="20"/>
                <w:szCs w:val="20"/>
              </w:rPr>
            </w:pPr>
            <w:r w:rsidRPr="006032E1">
              <w:rPr>
                <w:rFonts w:ascii="Arial" w:hAnsi="Arial" w:cs="Arial"/>
                <w:b/>
                <w:bCs/>
                <w:sz w:val="20"/>
                <w:szCs w:val="20"/>
              </w:rPr>
              <w:t>Účet majetku</w:t>
            </w:r>
          </w:p>
        </w:tc>
        <w:tc>
          <w:tcPr>
            <w:tcW w:w="3119" w:type="dxa"/>
            <w:tcBorders>
              <w:top w:val="single" w:sz="4" w:space="0" w:color="auto"/>
              <w:left w:val="nil"/>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b/>
                <w:bCs/>
                <w:sz w:val="20"/>
                <w:szCs w:val="20"/>
              </w:rPr>
            </w:pPr>
            <w:r w:rsidRPr="006032E1">
              <w:rPr>
                <w:rFonts w:ascii="Arial" w:hAnsi="Arial" w:cs="Arial"/>
                <w:b/>
                <w:bCs/>
                <w:sz w:val="20"/>
                <w:szCs w:val="20"/>
              </w:rPr>
              <w:t> </w:t>
            </w:r>
          </w:p>
        </w:tc>
        <w:tc>
          <w:tcPr>
            <w:tcW w:w="2410" w:type="dxa"/>
            <w:tcBorders>
              <w:top w:val="single" w:sz="4" w:space="0" w:color="auto"/>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b/>
                <w:bCs/>
                <w:sz w:val="20"/>
                <w:szCs w:val="20"/>
              </w:rPr>
            </w:pPr>
            <w:r w:rsidRPr="006032E1">
              <w:rPr>
                <w:rFonts w:ascii="Arial" w:hAnsi="Arial" w:cs="Arial"/>
                <w:b/>
                <w:bCs/>
                <w:sz w:val="20"/>
                <w:szCs w:val="20"/>
              </w:rPr>
              <w:t>Ročná odpisová sadzba</w:t>
            </w:r>
          </w:p>
        </w:tc>
        <w:tc>
          <w:tcPr>
            <w:tcW w:w="1770" w:type="dxa"/>
            <w:tcBorders>
              <w:top w:val="single" w:sz="4" w:space="0" w:color="auto"/>
              <w:left w:val="nil"/>
              <w:bottom w:val="single" w:sz="4" w:space="0" w:color="auto"/>
              <w:right w:val="single" w:sz="4" w:space="0" w:color="auto"/>
            </w:tcBorders>
            <w:shd w:val="clear" w:color="auto" w:fill="auto"/>
            <w:noWrap/>
            <w:vAlign w:val="bottom"/>
          </w:tcPr>
          <w:p w:rsidR="00451724" w:rsidRPr="006032E1" w:rsidRDefault="00451724" w:rsidP="00A17E35">
            <w:pPr>
              <w:jc w:val="center"/>
              <w:rPr>
                <w:rFonts w:ascii="Arial" w:hAnsi="Arial" w:cs="Arial"/>
                <w:b/>
                <w:bCs/>
                <w:sz w:val="20"/>
                <w:szCs w:val="20"/>
              </w:rPr>
            </w:pPr>
            <w:r w:rsidRPr="006032E1">
              <w:rPr>
                <w:rFonts w:ascii="Arial" w:hAnsi="Arial" w:cs="Arial"/>
                <w:b/>
                <w:bCs/>
                <w:sz w:val="20"/>
                <w:szCs w:val="20"/>
              </w:rPr>
              <w:t>Metóda odpisovania</w:t>
            </w:r>
          </w:p>
        </w:tc>
      </w:tr>
      <w:tr w:rsidR="00451724"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021</w:t>
            </w:r>
          </w:p>
        </w:tc>
        <w:tc>
          <w:tcPr>
            <w:tcW w:w="3119" w:type="dxa"/>
            <w:tcBorders>
              <w:top w:val="nil"/>
              <w:left w:val="nil"/>
              <w:bottom w:val="single" w:sz="4" w:space="0" w:color="auto"/>
              <w:right w:val="single" w:sz="4" w:space="0" w:color="auto"/>
            </w:tcBorders>
            <w:shd w:val="clear" w:color="auto" w:fill="auto"/>
            <w:noWrap/>
            <w:vAlign w:val="bottom"/>
          </w:tcPr>
          <w:p w:rsidR="00451724" w:rsidRPr="006032E1" w:rsidRDefault="00EA03F6" w:rsidP="00DC3026">
            <w:pPr>
              <w:rPr>
                <w:rFonts w:ascii="Arial" w:hAnsi="Arial" w:cs="Arial"/>
                <w:sz w:val="20"/>
                <w:szCs w:val="20"/>
              </w:rPr>
            </w:pPr>
            <w:r w:rsidRPr="006032E1">
              <w:rPr>
                <w:rFonts w:ascii="Arial" w:hAnsi="Arial" w:cs="Arial"/>
                <w:sz w:val="20"/>
                <w:szCs w:val="20"/>
              </w:rPr>
              <w:t>B</w:t>
            </w:r>
            <w:r w:rsidR="00451724" w:rsidRPr="006032E1">
              <w:rPr>
                <w:rFonts w:ascii="Arial" w:hAnsi="Arial" w:cs="Arial"/>
                <w:sz w:val="20"/>
                <w:szCs w:val="20"/>
              </w:rPr>
              <w:t>udovy, haly</w:t>
            </w:r>
            <w:r w:rsidRPr="006032E1">
              <w:rPr>
                <w:rFonts w:ascii="Arial" w:hAnsi="Arial" w:cs="Arial"/>
                <w:sz w:val="20"/>
                <w:szCs w:val="20"/>
              </w:rPr>
              <w:t xml:space="preserve"> a</w:t>
            </w:r>
            <w:r w:rsidR="00451724" w:rsidRPr="006032E1">
              <w:rPr>
                <w:rFonts w:ascii="Arial" w:hAnsi="Arial" w:cs="Arial"/>
                <w:sz w:val="20"/>
                <w:szCs w:val="20"/>
              </w:rPr>
              <w:t xml:space="preserve"> stavby</w:t>
            </w:r>
          </w:p>
        </w:tc>
        <w:tc>
          <w:tcPr>
            <w:tcW w:w="241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20</w:t>
            </w:r>
          </w:p>
        </w:tc>
        <w:tc>
          <w:tcPr>
            <w:tcW w:w="177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lineárna</w:t>
            </w:r>
          </w:p>
        </w:tc>
      </w:tr>
      <w:tr w:rsidR="00451724"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451724" w:rsidRPr="006032E1" w:rsidRDefault="00FF33D3" w:rsidP="00DC3026">
            <w:pPr>
              <w:rPr>
                <w:rFonts w:ascii="Arial" w:hAnsi="Arial" w:cs="Arial"/>
                <w:sz w:val="20"/>
                <w:szCs w:val="20"/>
              </w:rPr>
            </w:pPr>
            <w:r w:rsidRPr="006032E1">
              <w:rPr>
                <w:rFonts w:ascii="Arial" w:hAnsi="Arial" w:cs="Arial"/>
                <w:sz w:val="20"/>
                <w:szCs w:val="20"/>
              </w:rPr>
              <w:t>021</w:t>
            </w:r>
          </w:p>
        </w:tc>
        <w:tc>
          <w:tcPr>
            <w:tcW w:w="3119" w:type="dxa"/>
            <w:tcBorders>
              <w:top w:val="nil"/>
              <w:left w:val="nil"/>
              <w:bottom w:val="single" w:sz="4" w:space="0" w:color="auto"/>
              <w:right w:val="single" w:sz="4" w:space="0" w:color="auto"/>
            </w:tcBorders>
            <w:shd w:val="clear" w:color="auto" w:fill="auto"/>
            <w:noWrap/>
            <w:vAlign w:val="bottom"/>
          </w:tcPr>
          <w:p w:rsidR="00451724" w:rsidRPr="006032E1" w:rsidRDefault="00FF33D3" w:rsidP="00DC3026">
            <w:pPr>
              <w:rPr>
                <w:rFonts w:ascii="Arial" w:hAnsi="Arial" w:cs="Arial"/>
                <w:sz w:val="20"/>
                <w:szCs w:val="20"/>
              </w:rPr>
            </w:pPr>
            <w:r w:rsidRPr="006032E1">
              <w:rPr>
                <w:rFonts w:ascii="Arial" w:hAnsi="Arial" w:cs="Arial"/>
                <w:sz w:val="20"/>
                <w:szCs w:val="20"/>
              </w:rPr>
              <w:t>B</w:t>
            </w:r>
            <w:r w:rsidR="00451724" w:rsidRPr="006032E1">
              <w:rPr>
                <w:rFonts w:ascii="Arial" w:hAnsi="Arial" w:cs="Arial"/>
                <w:sz w:val="20"/>
                <w:szCs w:val="20"/>
              </w:rPr>
              <w:t>udovy,</w:t>
            </w:r>
            <w:r w:rsidR="00872D51">
              <w:rPr>
                <w:rFonts w:ascii="Arial" w:hAnsi="Arial" w:cs="Arial"/>
                <w:sz w:val="20"/>
                <w:szCs w:val="20"/>
              </w:rPr>
              <w:t xml:space="preserve"> </w:t>
            </w:r>
            <w:r w:rsidR="00451724" w:rsidRPr="006032E1">
              <w:rPr>
                <w:rFonts w:ascii="Arial" w:hAnsi="Arial" w:cs="Arial"/>
                <w:sz w:val="20"/>
                <w:szCs w:val="20"/>
              </w:rPr>
              <w:t xml:space="preserve">haly </w:t>
            </w:r>
            <w:r w:rsidRPr="006032E1">
              <w:rPr>
                <w:rFonts w:ascii="Arial" w:hAnsi="Arial" w:cs="Arial"/>
                <w:sz w:val="20"/>
                <w:szCs w:val="20"/>
              </w:rPr>
              <w:t>a stavby</w:t>
            </w:r>
          </w:p>
        </w:tc>
        <w:tc>
          <w:tcPr>
            <w:tcW w:w="2410" w:type="dxa"/>
            <w:tcBorders>
              <w:top w:val="nil"/>
              <w:left w:val="nil"/>
              <w:bottom w:val="single" w:sz="4" w:space="0" w:color="auto"/>
              <w:right w:val="single" w:sz="4" w:space="0" w:color="auto"/>
            </w:tcBorders>
            <w:shd w:val="clear" w:color="auto" w:fill="auto"/>
            <w:noWrap/>
            <w:vAlign w:val="bottom"/>
          </w:tcPr>
          <w:p w:rsidR="00451724" w:rsidRPr="006032E1" w:rsidRDefault="00FF33D3" w:rsidP="00DC3026">
            <w:pPr>
              <w:jc w:val="center"/>
              <w:rPr>
                <w:rFonts w:ascii="Arial" w:hAnsi="Arial" w:cs="Arial"/>
                <w:sz w:val="20"/>
                <w:szCs w:val="20"/>
              </w:rPr>
            </w:pPr>
            <w:r w:rsidRPr="006032E1">
              <w:rPr>
                <w:rFonts w:ascii="Arial" w:hAnsi="Arial" w:cs="Arial"/>
                <w:sz w:val="20"/>
                <w:szCs w:val="20"/>
              </w:rPr>
              <w:t>40</w:t>
            </w:r>
          </w:p>
        </w:tc>
        <w:tc>
          <w:tcPr>
            <w:tcW w:w="177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lineárna</w:t>
            </w:r>
          </w:p>
        </w:tc>
      </w:tr>
      <w:tr w:rsidR="00FF33D3"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FF33D3" w:rsidRPr="006032E1" w:rsidRDefault="00FF33D3" w:rsidP="00DC3026">
            <w:pPr>
              <w:rPr>
                <w:rFonts w:ascii="Arial" w:hAnsi="Arial" w:cs="Arial"/>
                <w:sz w:val="20"/>
                <w:szCs w:val="20"/>
              </w:rPr>
            </w:pPr>
            <w:r w:rsidRPr="006032E1">
              <w:rPr>
                <w:rFonts w:ascii="Arial" w:hAnsi="Arial" w:cs="Arial"/>
                <w:sz w:val="20"/>
                <w:szCs w:val="20"/>
              </w:rPr>
              <w:t>021</w:t>
            </w:r>
          </w:p>
        </w:tc>
        <w:tc>
          <w:tcPr>
            <w:tcW w:w="3119" w:type="dxa"/>
            <w:tcBorders>
              <w:top w:val="nil"/>
              <w:left w:val="nil"/>
              <w:bottom w:val="single" w:sz="4" w:space="0" w:color="auto"/>
              <w:right w:val="single" w:sz="4" w:space="0" w:color="auto"/>
            </w:tcBorders>
            <w:shd w:val="clear" w:color="auto" w:fill="auto"/>
            <w:noWrap/>
            <w:vAlign w:val="bottom"/>
          </w:tcPr>
          <w:p w:rsidR="00FF33D3" w:rsidRPr="006032E1" w:rsidRDefault="00FF33D3" w:rsidP="00DC3026">
            <w:pPr>
              <w:rPr>
                <w:rFonts w:ascii="Arial" w:hAnsi="Arial" w:cs="Arial"/>
                <w:sz w:val="20"/>
                <w:szCs w:val="20"/>
              </w:rPr>
            </w:pPr>
            <w:r w:rsidRPr="006032E1">
              <w:rPr>
                <w:rFonts w:ascii="Arial" w:hAnsi="Arial" w:cs="Arial"/>
                <w:sz w:val="20"/>
                <w:szCs w:val="20"/>
              </w:rPr>
              <w:t>Drobné stavby</w:t>
            </w:r>
          </w:p>
        </w:tc>
        <w:tc>
          <w:tcPr>
            <w:tcW w:w="2410" w:type="dxa"/>
            <w:tcBorders>
              <w:top w:val="nil"/>
              <w:left w:val="nil"/>
              <w:bottom w:val="single" w:sz="4" w:space="0" w:color="auto"/>
              <w:right w:val="single" w:sz="4" w:space="0" w:color="auto"/>
            </w:tcBorders>
            <w:shd w:val="clear" w:color="auto" w:fill="auto"/>
            <w:noWrap/>
            <w:vAlign w:val="bottom"/>
          </w:tcPr>
          <w:p w:rsidR="00FF33D3" w:rsidRPr="006032E1" w:rsidRDefault="00FF33D3" w:rsidP="00DC3026">
            <w:pPr>
              <w:jc w:val="center"/>
              <w:rPr>
                <w:rFonts w:ascii="Arial" w:hAnsi="Arial" w:cs="Arial"/>
                <w:sz w:val="20"/>
                <w:szCs w:val="20"/>
              </w:rPr>
            </w:pPr>
            <w:r w:rsidRPr="006032E1">
              <w:rPr>
                <w:rFonts w:ascii="Arial" w:hAnsi="Arial" w:cs="Arial"/>
                <w:sz w:val="20"/>
                <w:szCs w:val="20"/>
              </w:rPr>
              <w:t>12</w:t>
            </w:r>
          </w:p>
        </w:tc>
        <w:tc>
          <w:tcPr>
            <w:tcW w:w="1770" w:type="dxa"/>
            <w:tcBorders>
              <w:top w:val="nil"/>
              <w:left w:val="nil"/>
              <w:bottom w:val="single" w:sz="4" w:space="0" w:color="auto"/>
              <w:right w:val="single" w:sz="4" w:space="0" w:color="auto"/>
            </w:tcBorders>
            <w:shd w:val="clear" w:color="auto" w:fill="auto"/>
            <w:noWrap/>
            <w:vAlign w:val="bottom"/>
          </w:tcPr>
          <w:p w:rsidR="00FF33D3" w:rsidRPr="006032E1" w:rsidRDefault="00FF33D3" w:rsidP="00DC3026">
            <w:pPr>
              <w:jc w:val="center"/>
              <w:rPr>
                <w:rFonts w:ascii="Arial" w:hAnsi="Arial" w:cs="Arial"/>
                <w:sz w:val="20"/>
                <w:szCs w:val="20"/>
              </w:rPr>
            </w:pPr>
            <w:r w:rsidRPr="006032E1">
              <w:rPr>
                <w:rFonts w:ascii="Arial" w:hAnsi="Arial" w:cs="Arial"/>
                <w:sz w:val="20"/>
                <w:szCs w:val="20"/>
              </w:rPr>
              <w:t>lineárna</w:t>
            </w:r>
          </w:p>
        </w:tc>
      </w:tr>
      <w:tr w:rsidR="00451724"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Stroje, prístroje a zariadenia</w:t>
            </w:r>
          </w:p>
        </w:tc>
        <w:tc>
          <w:tcPr>
            <w:tcW w:w="241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 xml:space="preserve">4 / </w:t>
            </w:r>
            <w:r w:rsidR="005F0295" w:rsidRPr="006032E1">
              <w:rPr>
                <w:rFonts w:ascii="Arial" w:hAnsi="Arial" w:cs="Arial"/>
                <w:sz w:val="20"/>
                <w:szCs w:val="20"/>
              </w:rPr>
              <w:t xml:space="preserve">5/ </w:t>
            </w:r>
            <w:r w:rsidRPr="006032E1">
              <w:rPr>
                <w:rFonts w:ascii="Arial" w:hAnsi="Arial" w:cs="Arial"/>
                <w:sz w:val="20"/>
                <w:szCs w:val="20"/>
              </w:rPr>
              <w:t>6 / 12</w:t>
            </w:r>
          </w:p>
        </w:tc>
        <w:tc>
          <w:tcPr>
            <w:tcW w:w="177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lineárna</w:t>
            </w:r>
          </w:p>
        </w:tc>
      </w:tr>
      <w:tr w:rsidR="00451724"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 xml:space="preserve">Dopravné prostriedky </w:t>
            </w:r>
          </w:p>
        </w:tc>
        <w:tc>
          <w:tcPr>
            <w:tcW w:w="241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4</w:t>
            </w:r>
            <w:r w:rsidR="004E7C1D" w:rsidRPr="006032E1">
              <w:rPr>
                <w:rFonts w:ascii="Arial" w:hAnsi="Arial" w:cs="Arial"/>
                <w:sz w:val="20"/>
                <w:szCs w:val="20"/>
              </w:rPr>
              <w:t>/5</w:t>
            </w:r>
          </w:p>
        </w:tc>
        <w:tc>
          <w:tcPr>
            <w:tcW w:w="177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lineárna</w:t>
            </w:r>
          </w:p>
        </w:tc>
      </w:tr>
      <w:tr w:rsidR="00451724" w:rsidRPr="006032E1" w:rsidTr="00A17E35">
        <w:trPr>
          <w:trHeight w:val="255"/>
        </w:trPr>
        <w:tc>
          <w:tcPr>
            <w:tcW w:w="1417" w:type="dxa"/>
            <w:tcBorders>
              <w:top w:val="nil"/>
              <w:left w:val="single" w:sz="4" w:space="0" w:color="auto"/>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022</w:t>
            </w:r>
          </w:p>
        </w:tc>
        <w:tc>
          <w:tcPr>
            <w:tcW w:w="3119"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rPr>
                <w:rFonts w:ascii="Arial" w:hAnsi="Arial" w:cs="Arial"/>
                <w:sz w:val="20"/>
                <w:szCs w:val="20"/>
              </w:rPr>
            </w:pPr>
            <w:r w:rsidRPr="006032E1">
              <w:rPr>
                <w:rFonts w:ascii="Arial" w:hAnsi="Arial" w:cs="Arial"/>
                <w:sz w:val="20"/>
                <w:szCs w:val="20"/>
              </w:rPr>
              <w:t>Inventár</w:t>
            </w:r>
          </w:p>
        </w:tc>
        <w:tc>
          <w:tcPr>
            <w:tcW w:w="2410" w:type="dxa"/>
            <w:tcBorders>
              <w:top w:val="nil"/>
              <w:left w:val="nil"/>
              <w:bottom w:val="single" w:sz="4" w:space="0" w:color="auto"/>
              <w:right w:val="single" w:sz="4" w:space="0" w:color="auto"/>
            </w:tcBorders>
            <w:shd w:val="clear" w:color="auto" w:fill="auto"/>
            <w:noWrap/>
            <w:vAlign w:val="bottom"/>
          </w:tcPr>
          <w:p w:rsidR="00451724" w:rsidRPr="006032E1" w:rsidRDefault="005F0295" w:rsidP="00DC3026">
            <w:pPr>
              <w:jc w:val="center"/>
              <w:rPr>
                <w:rFonts w:ascii="Arial" w:hAnsi="Arial" w:cs="Arial"/>
                <w:sz w:val="20"/>
                <w:szCs w:val="20"/>
              </w:rPr>
            </w:pPr>
            <w:r w:rsidRPr="006032E1">
              <w:rPr>
                <w:rFonts w:ascii="Arial" w:hAnsi="Arial" w:cs="Arial"/>
                <w:sz w:val="20"/>
                <w:szCs w:val="20"/>
              </w:rPr>
              <w:t>6</w:t>
            </w:r>
          </w:p>
        </w:tc>
        <w:tc>
          <w:tcPr>
            <w:tcW w:w="1770" w:type="dxa"/>
            <w:tcBorders>
              <w:top w:val="nil"/>
              <w:left w:val="nil"/>
              <w:bottom w:val="single" w:sz="4" w:space="0" w:color="auto"/>
              <w:right w:val="single" w:sz="4" w:space="0" w:color="auto"/>
            </w:tcBorders>
            <w:shd w:val="clear" w:color="auto" w:fill="auto"/>
            <w:noWrap/>
            <w:vAlign w:val="bottom"/>
          </w:tcPr>
          <w:p w:rsidR="00451724" w:rsidRPr="006032E1" w:rsidRDefault="00451724" w:rsidP="00DC3026">
            <w:pPr>
              <w:jc w:val="center"/>
              <w:rPr>
                <w:rFonts w:ascii="Arial" w:hAnsi="Arial" w:cs="Arial"/>
                <w:sz w:val="20"/>
                <w:szCs w:val="20"/>
              </w:rPr>
            </w:pPr>
            <w:r w:rsidRPr="006032E1">
              <w:rPr>
                <w:rFonts w:ascii="Arial" w:hAnsi="Arial" w:cs="Arial"/>
                <w:sz w:val="20"/>
                <w:szCs w:val="20"/>
              </w:rPr>
              <w:t>lineárna</w:t>
            </w:r>
          </w:p>
        </w:tc>
      </w:tr>
    </w:tbl>
    <w:p w:rsidR="00451724" w:rsidRPr="006032E1" w:rsidRDefault="00451724" w:rsidP="00451724">
      <w:pPr>
        <w:ind w:left="360" w:right="71"/>
        <w:jc w:val="both"/>
        <w:rPr>
          <w:rFonts w:ascii="Arial Narrow" w:hAnsi="Arial Narrow"/>
          <w:bCs/>
          <w:sz w:val="22"/>
          <w:lang w:eastAsia="en-US"/>
        </w:rPr>
      </w:pPr>
    </w:p>
    <w:p w:rsidR="00451724" w:rsidRPr="006032E1" w:rsidRDefault="00451724" w:rsidP="00451724">
      <w:pPr>
        <w:ind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Odhadovaná  doba životnosti a odpisový plán sú prehodnotené na konci každého účtovného obdobia.</w:t>
      </w:r>
    </w:p>
    <w:p w:rsidR="004F4AD0" w:rsidRPr="006032E1" w:rsidRDefault="004F4AD0" w:rsidP="00A17E35">
      <w:pPr>
        <w:ind w:left="284" w:right="71"/>
        <w:jc w:val="both"/>
        <w:rPr>
          <w:rFonts w:ascii="Arial Narrow" w:hAnsi="Arial Narrow"/>
          <w:bCs/>
          <w:sz w:val="22"/>
          <w:lang w:eastAsia="en-US"/>
        </w:rPr>
      </w:pPr>
    </w:p>
    <w:p w:rsidR="004F4AD0" w:rsidRPr="006032E1" w:rsidRDefault="004F4AD0" w:rsidP="00A17E35">
      <w:pPr>
        <w:ind w:left="284" w:right="71"/>
        <w:jc w:val="both"/>
        <w:rPr>
          <w:rFonts w:ascii="Arial Narrow" w:hAnsi="Arial Narrow"/>
          <w:bCs/>
          <w:sz w:val="22"/>
          <w:lang w:eastAsia="en-US"/>
        </w:rPr>
      </w:pPr>
      <w:r w:rsidRPr="006032E1">
        <w:rPr>
          <w:rFonts w:ascii="Arial Narrow" w:hAnsi="Arial Narrow"/>
          <w:bCs/>
          <w:sz w:val="22"/>
          <w:lang w:eastAsia="en-US"/>
        </w:rPr>
        <w:lastRenderedPageBreak/>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Technické zhodnotenie dlhodobého hmotného majetku nie je technickým zhodnotením, ak neprevyšuje  úhrne za účtovné obdobie sumu 1700 eur.</w:t>
      </w:r>
    </w:p>
    <w:p w:rsidR="004F4AD0" w:rsidRPr="006032E1" w:rsidRDefault="004F4AD0" w:rsidP="004F4AD0">
      <w:pPr>
        <w:ind w:right="71"/>
        <w:jc w:val="both"/>
        <w:rPr>
          <w:rFonts w:ascii="Arial Narrow" w:hAnsi="Arial Narrow"/>
          <w:bCs/>
          <w:sz w:val="22"/>
          <w:lang w:eastAsia="en-US"/>
        </w:rPr>
      </w:pPr>
    </w:p>
    <w:p w:rsidR="004F4AD0" w:rsidRPr="006032E1" w:rsidRDefault="004F4AD0" w:rsidP="00A17E35">
      <w:pPr>
        <w:ind w:right="71"/>
        <w:jc w:val="both"/>
        <w:rPr>
          <w:rFonts w:ascii="Arial Narrow" w:hAnsi="Arial Narrow"/>
          <w:b/>
          <w:bCs/>
          <w:sz w:val="22"/>
          <w:lang w:eastAsia="en-US"/>
        </w:rPr>
      </w:pPr>
      <w:r w:rsidRPr="006032E1">
        <w:rPr>
          <w:rFonts w:ascii="Arial Narrow" w:hAnsi="Arial Narrow"/>
          <w:b/>
          <w:bCs/>
          <w:sz w:val="22"/>
          <w:lang w:eastAsia="en-US"/>
        </w:rPr>
        <w:t>Cenné papiere a podiely</w:t>
      </w:r>
    </w:p>
    <w:p w:rsidR="00451724" w:rsidRPr="006032E1" w:rsidRDefault="00451724" w:rsidP="00451724">
      <w:pPr>
        <w:ind w:right="71"/>
        <w:jc w:val="both"/>
        <w:rPr>
          <w:rFonts w:ascii="Arial Narrow" w:hAnsi="Arial Narrow"/>
          <w:bCs/>
          <w:sz w:val="22"/>
          <w:lang w:eastAsia="en-US"/>
        </w:rPr>
      </w:pPr>
    </w:p>
    <w:p w:rsidR="004F4AD0" w:rsidRPr="006032E1" w:rsidRDefault="004F4AD0" w:rsidP="00A17E35">
      <w:pPr>
        <w:ind w:left="284" w:right="71"/>
        <w:jc w:val="both"/>
        <w:rPr>
          <w:rFonts w:ascii="Arial Narrow" w:hAnsi="Arial Narrow"/>
          <w:bCs/>
          <w:sz w:val="22"/>
          <w:lang w:eastAsia="en-US"/>
        </w:rPr>
      </w:pPr>
      <w:r w:rsidRPr="006032E1">
        <w:rPr>
          <w:rFonts w:ascii="Arial Narrow" w:hAnsi="Arial Narrow"/>
          <w:bCs/>
          <w:sz w:val="22"/>
          <w:lang w:eastAsia="en-US"/>
        </w:rPr>
        <w:t>Cenné papiere a podiely sa oceňujú pri nadobudnutí obstarávacou cenou, vrátane nákladov súvisiacich s obstaraním.</w:t>
      </w:r>
    </w:p>
    <w:p w:rsidR="004F4AD0" w:rsidRPr="006032E1" w:rsidRDefault="004F4AD0" w:rsidP="00A17E35">
      <w:pPr>
        <w:ind w:left="284" w:right="71"/>
        <w:jc w:val="both"/>
        <w:rPr>
          <w:rFonts w:ascii="Arial Narrow" w:hAnsi="Arial Narrow"/>
          <w:bCs/>
          <w:sz w:val="22"/>
          <w:lang w:eastAsia="en-US"/>
        </w:rPr>
      </w:pPr>
    </w:p>
    <w:p w:rsidR="004F4AD0" w:rsidRPr="006032E1" w:rsidRDefault="004F4AD0" w:rsidP="00A17E35">
      <w:pPr>
        <w:ind w:left="284" w:right="71"/>
        <w:jc w:val="both"/>
        <w:rPr>
          <w:rFonts w:ascii="Arial Narrow" w:hAnsi="Arial Narrow"/>
          <w:bCs/>
          <w:sz w:val="22"/>
          <w:lang w:eastAsia="en-US"/>
        </w:rPr>
      </w:pPr>
      <w:r w:rsidRPr="006032E1">
        <w:rPr>
          <w:rFonts w:ascii="Arial Narrow" w:hAnsi="Arial Narrow"/>
          <w:bCs/>
          <w:sz w:val="22"/>
          <w:lang w:eastAsia="en-US"/>
        </w:rPr>
        <w:t>Ku dňu, ku ktorému sa zostavuje účtovná závierka, sú cenné papiere a podiely ocenené reálnou hodnotou. Ak dôjde k zníženiu hodnoty podielu oproti jeho oceneniu v účtovníctve, vytvorí sa opravná položka.</w:t>
      </w:r>
    </w:p>
    <w:p w:rsidR="00451724" w:rsidRPr="006032E1" w:rsidRDefault="00451724" w:rsidP="00451724">
      <w:pPr>
        <w:ind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Zásoby</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Do zásob účtovnej jednotky patrí </w:t>
      </w:r>
      <w:r w:rsidR="004F4AD0" w:rsidRPr="006032E1">
        <w:rPr>
          <w:rFonts w:ascii="Arial Narrow" w:hAnsi="Arial Narrow"/>
          <w:bCs/>
          <w:sz w:val="22"/>
          <w:lang w:eastAsia="en-US"/>
        </w:rPr>
        <w:t>ne</w:t>
      </w:r>
      <w:r w:rsidRPr="006032E1">
        <w:rPr>
          <w:rFonts w:ascii="Arial Narrow" w:hAnsi="Arial Narrow"/>
          <w:bCs/>
          <w:sz w:val="22"/>
          <w:lang w:eastAsia="en-US"/>
        </w:rPr>
        <w:t>skladova</w:t>
      </w:r>
      <w:r w:rsidR="004F4AD0" w:rsidRPr="006032E1">
        <w:rPr>
          <w:rFonts w:ascii="Arial Narrow" w:hAnsi="Arial Narrow"/>
          <w:bCs/>
          <w:sz w:val="22"/>
          <w:lang w:eastAsia="en-US"/>
        </w:rPr>
        <w:t>teľ</w:t>
      </w:r>
      <w:r w:rsidRPr="006032E1">
        <w:rPr>
          <w:rFonts w:ascii="Arial Narrow" w:hAnsi="Arial Narrow"/>
          <w:bCs/>
          <w:sz w:val="22"/>
          <w:lang w:eastAsia="en-US"/>
        </w:rPr>
        <w:t>ný materiál.</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Materiál </w:t>
      </w:r>
      <w:r w:rsidR="004F4AD0" w:rsidRPr="006032E1">
        <w:rPr>
          <w:rFonts w:ascii="Arial Narrow" w:hAnsi="Arial Narrow"/>
          <w:bCs/>
          <w:sz w:val="22"/>
          <w:lang w:eastAsia="en-US"/>
        </w:rPr>
        <w:t>sa  prvotne oceňuje</w:t>
      </w:r>
      <w:r w:rsidRPr="006032E1">
        <w:rPr>
          <w:rFonts w:ascii="Arial Narrow" w:hAnsi="Arial Narrow"/>
          <w:bCs/>
          <w:sz w:val="22"/>
          <w:lang w:eastAsia="en-US"/>
        </w:rPr>
        <w:t xml:space="preserve"> obstarávacou cenou, ktorú tvorí cena obstarania a náklady súvisiace s obstaraním (prepravné, poistné, provízie, skonto).</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Neskladovateľnými zásobami</w:t>
      </w:r>
      <w:r w:rsidR="0058113B" w:rsidRPr="006032E1">
        <w:rPr>
          <w:rFonts w:ascii="Arial Narrow" w:hAnsi="Arial Narrow"/>
          <w:bCs/>
          <w:sz w:val="22"/>
          <w:lang w:eastAsia="en-US"/>
        </w:rPr>
        <w:t xml:space="preserve">, ktoré sa </w:t>
      </w:r>
      <w:r w:rsidRPr="006032E1">
        <w:rPr>
          <w:rFonts w:ascii="Arial Narrow" w:hAnsi="Arial Narrow"/>
          <w:bCs/>
          <w:sz w:val="22"/>
          <w:lang w:eastAsia="en-US"/>
        </w:rPr>
        <w:t>účtujú priamo do spotreby sú:</w:t>
      </w:r>
    </w:p>
    <w:p w:rsidR="00451724" w:rsidRPr="006032E1" w:rsidRDefault="00451724" w:rsidP="00A17E35">
      <w:pPr>
        <w:ind w:left="284" w:right="71" w:firstLine="424"/>
        <w:jc w:val="both"/>
        <w:rPr>
          <w:rFonts w:ascii="Arial Narrow" w:hAnsi="Arial Narrow"/>
          <w:bCs/>
          <w:sz w:val="22"/>
          <w:lang w:eastAsia="en-US"/>
        </w:rPr>
      </w:pPr>
      <w:r w:rsidRPr="006032E1">
        <w:rPr>
          <w:rFonts w:ascii="Arial Narrow" w:hAnsi="Arial Narrow"/>
          <w:bCs/>
          <w:sz w:val="22"/>
          <w:lang w:eastAsia="en-US"/>
        </w:rPr>
        <w:t>knihy, odborné časopisy, noviny a iné publikácie vrátane novín a periodík</w:t>
      </w:r>
    </w:p>
    <w:p w:rsidR="00451724" w:rsidRPr="006032E1" w:rsidRDefault="00872D51" w:rsidP="00A17E35">
      <w:pPr>
        <w:ind w:left="284" w:right="71" w:firstLine="424"/>
        <w:jc w:val="both"/>
        <w:rPr>
          <w:rFonts w:ascii="Arial Narrow" w:hAnsi="Arial Narrow"/>
          <w:bCs/>
          <w:sz w:val="22"/>
          <w:lang w:eastAsia="en-US"/>
        </w:rPr>
      </w:pPr>
      <w:r>
        <w:rPr>
          <w:rFonts w:ascii="Arial Narrow" w:hAnsi="Arial Narrow"/>
          <w:bCs/>
          <w:sz w:val="22"/>
          <w:lang w:eastAsia="en-US"/>
        </w:rPr>
        <w:t>ochranné pracovné pomôcky,</w:t>
      </w:r>
      <w:r w:rsidR="00451724" w:rsidRPr="006032E1">
        <w:rPr>
          <w:rFonts w:ascii="Arial Narrow" w:hAnsi="Arial Narrow"/>
          <w:bCs/>
          <w:sz w:val="22"/>
          <w:lang w:eastAsia="en-US"/>
        </w:rPr>
        <w:t xml:space="preserve"> PHM</w:t>
      </w:r>
      <w:r>
        <w:rPr>
          <w:rFonts w:ascii="Arial Narrow" w:hAnsi="Arial Narrow"/>
          <w:bCs/>
          <w:sz w:val="22"/>
          <w:lang w:eastAsia="en-US"/>
        </w:rPr>
        <w:t xml:space="preserve"> a kancelárske potreby</w:t>
      </w:r>
    </w:p>
    <w:p w:rsidR="00451724" w:rsidRPr="006032E1" w:rsidRDefault="00451724" w:rsidP="00451724">
      <w:pPr>
        <w:ind w:left="708"/>
        <w:rPr>
          <w:rFonts w:ascii="Arial Narrow" w:hAnsi="Arial Narrow"/>
          <w:bCs/>
          <w:sz w:val="22"/>
          <w:lang w:eastAsia="en-US"/>
        </w:rPr>
      </w:pPr>
    </w:p>
    <w:p w:rsidR="00451724" w:rsidRPr="006032E1" w:rsidRDefault="00451724" w:rsidP="00451724">
      <w:pPr>
        <w:ind w:left="708"/>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Pohľadávky</w:t>
      </w:r>
    </w:p>
    <w:p w:rsidR="00451724" w:rsidRPr="006032E1" w:rsidRDefault="00451724" w:rsidP="00451724">
      <w:pPr>
        <w:ind w:right="71"/>
        <w:jc w:val="both"/>
        <w:rPr>
          <w:rFonts w:ascii="Arial Narrow" w:hAnsi="Arial Narrow"/>
          <w:b/>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Pohľadávky</w:t>
      </w:r>
      <w:r w:rsidR="0058113B" w:rsidRPr="006032E1">
        <w:rPr>
          <w:rFonts w:ascii="Arial Narrow" w:hAnsi="Arial Narrow"/>
          <w:bCs/>
          <w:sz w:val="22"/>
          <w:lang w:eastAsia="en-US"/>
        </w:rPr>
        <w:t xml:space="preserve"> sa</w:t>
      </w:r>
      <w:r w:rsidRPr="006032E1">
        <w:rPr>
          <w:rFonts w:ascii="Arial Narrow" w:hAnsi="Arial Narrow"/>
          <w:bCs/>
          <w:sz w:val="22"/>
          <w:lang w:eastAsia="en-US"/>
        </w:rPr>
        <w:t xml:space="preserve"> pri ich vzniku oceňujú menovitou hodnotou. Zníženie ocenenia pohľadávok prostredníctvom tvorby opravných položiek sa tvorí k pochybným pohľadávkam a nevymožiteľným pohľadávkam.</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451724" w:rsidRPr="006032E1" w:rsidRDefault="00451724" w:rsidP="00A17E35">
      <w:pPr>
        <w:ind w:left="284" w:right="71"/>
        <w:jc w:val="both"/>
        <w:rPr>
          <w:rFonts w:ascii="Arial Narrow" w:hAnsi="Arial Narrow"/>
          <w:bCs/>
          <w:sz w:val="22"/>
          <w:lang w:eastAsia="en-US"/>
        </w:rPr>
      </w:pPr>
    </w:p>
    <w:p w:rsidR="00451724"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Opravná položka na pohľadávky z obchodného styku sa vytvára vtedy, ak existuje objektívny dôkaz, že obchodná spoločnosť nebude schopná  zinkasovať všetky dlžné čiastky podľa pôvodných podmienok splatnosti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2F707C" w:rsidRPr="006032E1" w:rsidRDefault="002F707C" w:rsidP="00A17E35">
      <w:pPr>
        <w:ind w:left="284" w:right="71"/>
        <w:jc w:val="both"/>
        <w:rPr>
          <w:rFonts w:ascii="Arial Narrow" w:hAnsi="Arial Narrow"/>
          <w:bCs/>
          <w:sz w:val="22"/>
          <w:lang w:eastAsia="en-US"/>
        </w:rPr>
      </w:pPr>
    </w:p>
    <w:p w:rsidR="002F707C" w:rsidRPr="006032E1" w:rsidRDefault="002F707C" w:rsidP="00A17E35">
      <w:pPr>
        <w:ind w:left="284" w:right="71"/>
        <w:jc w:val="both"/>
        <w:rPr>
          <w:rFonts w:ascii="Arial Narrow" w:hAnsi="Arial Narrow"/>
          <w:bCs/>
          <w:sz w:val="22"/>
          <w:lang w:eastAsia="en-US"/>
        </w:rPr>
      </w:pPr>
      <w:r w:rsidRPr="006032E1">
        <w:rPr>
          <w:rFonts w:ascii="Arial Narrow" w:hAnsi="Arial Narrow"/>
          <w:bCs/>
          <w:sz w:val="22"/>
          <w:lang w:eastAsia="en-US"/>
        </w:rPr>
        <w:t>Spoločnosť tvorí opravnú položku k pohľadávkam po lehote splatnosti dlhšej ako jeden rok vo výške 100%,</w:t>
      </w:r>
      <w:r w:rsidRPr="006032E1">
        <w:rPr>
          <w:rFonts w:ascii="Arial Narrow" w:hAnsi="Arial Narrow" w:cs="Arial"/>
          <w:sz w:val="22"/>
          <w:szCs w:val="22"/>
          <w:lang w:eastAsia="en-US"/>
        </w:rPr>
        <w:t xml:space="preserve"> k pohľadávkam po lehote splatnosti 180 dní vo výške 20%a a k pohľadávkam po lehote splatnosti 270 dní vo výške 50% na základe odhadovanej vymožiteľnosti podľa skúsenosti z minulých období.</w:t>
      </w:r>
      <w:r w:rsidRPr="006032E1">
        <w:rPr>
          <w:rFonts w:ascii="Arial Narrow" w:hAnsi="Arial Narrow"/>
          <w:bCs/>
          <w:sz w:val="22"/>
          <w:lang w:eastAsia="en-US"/>
        </w:rPr>
        <w:t xml:space="preserve"> </w:t>
      </w:r>
      <w:r w:rsidR="00822367" w:rsidRPr="006032E1">
        <w:rPr>
          <w:rFonts w:ascii="Arial Narrow" w:hAnsi="Arial Narrow"/>
          <w:bCs/>
          <w:sz w:val="22"/>
          <w:lang w:eastAsia="en-US"/>
        </w:rPr>
        <w:t>Spoločnosť rozpúšťa</w:t>
      </w:r>
      <w:r w:rsidRPr="006032E1">
        <w:rPr>
          <w:rFonts w:ascii="Arial Narrow" w:hAnsi="Arial Narrow"/>
          <w:bCs/>
          <w:sz w:val="22"/>
          <w:lang w:eastAsia="en-US"/>
        </w:rPr>
        <w:t xml:space="preserve"> opravné položky k pohľadávkam z titulu vymoženia pohľadávok</w:t>
      </w:r>
      <w:r w:rsidR="00822367" w:rsidRPr="006032E1">
        <w:rPr>
          <w:rFonts w:ascii="Arial Narrow" w:hAnsi="Arial Narrow"/>
          <w:bCs/>
          <w:sz w:val="22"/>
          <w:lang w:eastAsia="en-US"/>
        </w:rPr>
        <w:t xml:space="preserve"> a odpisu pohľadávok</w:t>
      </w:r>
      <w:r w:rsidRPr="006032E1">
        <w:rPr>
          <w:rFonts w:ascii="Arial Narrow" w:hAnsi="Arial Narrow"/>
          <w:bCs/>
          <w:sz w:val="22"/>
          <w:lang w:eastAsia="en-US"/>
        </w:rPr>
        <w:t>. Opravná položka  predstavuje rozdiel medzi menovitou a súčasnou hodnotou pohľadávky.</w:t>
      </w:r>
    </w:p>
    <w:p w:rsidR="00451724" w:rsidRPr="006032E1" w:rsidRDefault="00451724" w:rsidP="00451724">
      <w:pPr>
        <w:ind w:left="72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Peňažné prostriedky, ekvivalenty peňažných prostriedkov  a peňažné ekvivalenty</w:t>
      </w:r>
    </w:p>
    <w:p w:rsidR="00451724" w:rsidRPr="006032E1" w:rsidRDefault="00451724" w:rsidP="00451724">
      <w:pPr>
        <w:ind w:left="720" w:right="71"/>
        <w:jc w:val="both"/>
        <w:rPr>
          <w:rFonts w:ascii="Arial Narrow" w:hAnsi="Arial Narrow"/>
          <w:b/>
          <w:bCs/>
          <w:sz w:val="22"/>
          <w:lang w:eastAsia="en-US"/>
        </w:rPr>
      </w:pPr>
    </w:p>
    <w:p w:rsidR="00822367" w:rsidRPr="006032E1" w:rsidRDefault="00451724" w:rsidP="00A17E35">
      <w:pPr>
        <w:ind w:left="284" w:right="71"/>
        <w:jc w:val="both"/>
        <w:rPr>
          <w:rFonts w:ascii="Arial Narrow" w:hAnsi="Arial Narrow"/>
          <w:bCs/>
          <w:sz w:val="22"/>
          <w:lang w:eastAsia="en-US"/>
        </w:rPr>
      </w:pPr>
      <w:r w:rsidRPr="006032E1">
        <w:rPr>
          <w:rFonts w:ascii="Arial Narrow" w:hAnsi="Arial Narrow"/>
          <w:bCs/>
          <w:sz w:val="22"/>
          <w:lang w:eastAsia="en-US"/>
        </w:rPr>
        <w:t xml:space="preserve">Peňažné prostriedky a ceniny sa oceňujú ich menovitou hodnotou. </w:t>
      </w:r>
    </w:p>
    <w:p w:rsidR="00822367" w:rsidRPr="006032E1" w:rsidRDefault="00822367" w:rsidP="00A17E35">
      <w:pPr>
        <w:ind w:left="284" w:right="71"/>
        <w:jc w:val="both"/>
        <w:rPr>
          <w:rFonts w:ascii="Arial Narrow" w:hAnsi="Arial Narrow"/>
          <w:bCs/>
          <w:sz w:val="22"/>
          <w:lang w:eastAsia="en-US"/>
        </w:rPr>
      </w:pPr>
    </w:p>
    <w:p w:rsidR="00451724" w:rsidRPr="006032E1" w:rsidRDefault="00822367" w:rsidP="00295E19">
      <w:pPr>
        <w:ind w:left="284" w:right="71"/>
        <w:jc w:val="both"/>
        <w:rPr>
          <w:rFonts w:ascii="Arial Narrow" w:hAnsi="Arial Narrow"/>
          <w:bCs/>
          <w:sz w:val="22"/>
          <w:lang w:eastAsia="en-US"/>
        </w:rPr>
      </w:pPr>
      <w:r w:rsidRPr="006032E1">
        <w:rPr>
          <w:rFonts w:ascii="Arial Narrow" w:hAnsi="Arial Narrow"/>
          <w:bCs/>
          <w:sz w:val="22"/>
          <w:lang w:eastAsia="en-US"/>
        </w:rPr>
        <w:t>Peňažné prostriedky a peňažné ekvivalenty zahŕňajú peňažnú hotovosť a peňažné prostriedky na bežných účtoch v bankách</w:t>
      </w: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Náklady budúcich období  a príjmy budúcich období</w:t>
      </w:r>
    </w:p>
    <w:p w:rsidR="00451724" w:rsidRPr="006032E1" w:rsidRDefault="00451724" w:rsidP="00451724">
      <w:pPr>
        <w:ind w:left="360" w:right="71"/>
        <w:jc w:val="both"/>
        <w:rPr>
          <w:rFonts w:ascii="Arial Narrow" w:hAnsi="Arial Narrow"/>
          <w:b/>
          <w:bCs/>
          <w:sz w:val="22"/>
          <w:lang w:eastAsia="en-US"/>
        </w:rPr>
      </w:pP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Náklady  budúcich období a príjmy budúcich období sa vykazujú vo výške, ktorá je potrebná na dodržanie zásady vecnej a časovej súvislosti s účtovným obdobím. Sú tu zúčtované náklady na predplatné, poistné, spoje a služby.</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Rezervy</w:t>
      </w:r>
    </w:p>
    <w:p w:rsidR="00451724" w:rsidRPr="006032E1" w:rsidRDefault="00451724" w:rsidP="00451724">
      <w:pPr>
        <w:ind w:left="360" w:right="71"/>
        <w:jc w:val="both"/>
        <w:rPr>
          <w:rFonts w:ascii="Arial Narrow" w:hAnsi="Arial Narrow"/>
          <w:b/>
          <w:bCs/>
          <w:sz w:val="22"/>
          <w:lang w:eastAsia="en-US"/>
        </w:rPr>
      </w:pPr>
    </w:p>
    <w:p w:rsidR="00822367" w:rsidRPr="006032E1" w:rsidRDefault="00822367" w:rsidP="00822367">
      <w:pPr>
        <w:ind w:left="360" w:right="71"/>
        <w:jc w:val="both"/>
        <w:rPr>
          <w:rFonts w:ascii="Arial Narrow" w:hAnsi="Arial Narrow"/>
          <w:bCs/>
          <w:sz w:val="22"/>
          <w:lang w:eastAsia="en-US"/>
        </w:rPr>
      </w:pPr>
      <w:r w:rsidRPr="006032E1">
        <w:rPr>
          <w:rFonts w:ascii="Arial Narrow" w:hAnsi="Arial Narrow"/>
          <w:bCs/>
          <w:sz w:val="22"/>
          <w:lang w:eastAsia="en-US"/>
        </w:rPr>
        <w:t>Rezervy sa vytvárajú, ak má obchodná spoločnosť súčasný zákonný, zmluvný alebo mimozmluvný záväzok, ktorý je dôsledkom minulých udalostí a na základe ktorého je  pravdepodobne</w:t>
      </w:r>
      <w:r w:rsidR="008A427F" w:rsidRPr="006032E1">
        <w:rPr>
          <w:rFonts w:ascii="Arial Narrow" w:hAnsi="Arial Narrow"/>
          <w:bCs/>
          <w:sz w:val="22"/>
          <w:lang w:eastAsia="en-US"/>
        </w:rPr>
        <w:t>, že</w:t>
      </w:r>
      <w:r w:rsidRPr="006032E1">
        <w:rPr>
          <w:rFonts w:ascii="Arial Narrow" w:hAnsi="Arial Narrow"/>
          <w:bCs/>
          <w:sz w:val="22"/>
          <w:lang w:eastAsia="en-US"/>
        </w:rPr>
        <w:t xml:space="preserve"> dôjde k úbytku ekonomických úžitkov, a zároveň je možné vykonať spoľahlivý odhad  výšky týchto záväzkov. </w:t>
      </w:r>
    </w:p>
    <w:p w:rsidR="00822367" w:rsidRPr="006032E1" w:rsidRDefault="00822367" w:rsidP="00822367">
      <w:pPr>
        <w:ind w:left="360" w:right="71"/>
        <w:jc w:val="both"/>
        <w:rPr>
          <w:rFonts w:ascii="Arial Narrow" w:hAnsi="Arial Narrow"/>
          <w:bCs/>
          <w:sz w:val="22"/>
          <w:lang w:eastAsia="en-US"/>
        </w:rPr>
      </w:pPr>
      <w:r w:rsidRPr="006032E1">
        <w:rPr>
          <w:rFonts w:ascii="Arial Narrow" w:hAnsi="Arial Narrow"/>
          <w:bCs/>
          <w:sz w:val="22"/>
          <w:lang w:eastAsia="en-US"/>
        </w:rPr>
        <w:t>Rezervy sú záväzky s neurčitým časovým vymedzením alebo výškou, tvoria sa na krytie známych rizík alebo strát z podnikania. Oceňujú sa v očakávanej výške záväzku.</w:t>
      </w:r>
    </w:p>
    <w:p w:rsidR="00822367" w:rsidRPr="006032E1" w:rsidRDefault="00822367" w:rsidP="00822367">
      <w:pPr>
        <w:ind w:left="360" w:right="71"/>
        <w:jc w:val="both"/>
        <w:rPr>
          <w:rFonts w:ascii="Arial Narrow" w:hAnsi="Arial Narrow"/>
          <w:bCs/>
          <w:sz w:val="22"/>
          <w:lang w:eastAsia="en-US"/>
        </w:rPr>
      </w:pPr>
      <w:r w:rsidRPr="006032E1">
        <w:rPr>
          <w:rFonts w:ascii="Arial Narrow" w:hAnsi="Arial Narrow"/>
          <w:bCs/>
          <w:sz w:val="22"/>
          <w:lang w:eastAsia="en-US"/>
        </w:rPr>
        <w:t>Rezervy sa oceňujú odhadom v sume dostatočnej  na splnenie existujúcej povinnosti ku dňu, ku ktorému sa zostavuje  účtovná závierka pri zohľadnení rizík a neistôt.</w:t>
      </w:r>
    </w:p>
    <w:p w:rsidR="00451724" w:rsidRPr="006032E1" w:rsidRDefault="00451724" w:rsidP="00451724">
      <w:pPr>
        <w:ind w:left="360" w:right="71"/>
        <w:jc w:val="both"/>
        <w:rPr>
          <w:rFonts w:ascii="Arial Narrow" w:hAnsi="Arial Narrow"/>
          <w:bCs/>
          <w:sz w:val="22"/>
          <w:lang w:eastAsia="en-US"/>
        </w:rPr>
      </w:pPr>
    </w:p>
    <w:p w:rsidR="00451724" w:rsidRPr="00295E19" w:rsidRDefault="00451724" w:rsidP="00451724">
      <w:pPr>
        <w:ind w:left="360" w:right="71"/>
        <w:jc w:val="both"/>
        <w:rPr>
          <w:rFonts w:ascii="Arial Narrow" w:hAnsi="Arial Narrow"/>
          <w:bCs/>
          <w:sz w:val="22"/>
          <w:lang w:eastAsia="en-US"/>
        </w:rPr>
      </w:pPr>
      <w:r w:rsidRPr="00295E19">
        <w:rPr>
          <w:rFonts w:ascii="Arial Narrow" w:hAnsi="Arial Narrow"/>
          <w:bCs/>
          <w:sz w:val="22"/>
          <w:lang w:eastAsia="en-US"/>
        </w:rPr>
        <w:t>Rezerva na nevyčerpané dovolenky vrátane sociálneho poistenia</w:t>
      </w:r>
      <w:r w:rsidR="00295E19">
        <w:rPr>
          <w:rFonts w:ascii="Arial Narrow" w:hAnsi="Arial Narrow"/>
          <w:bCs/>
          <w:sz w:val="22"/>
          <w:lang w:eastAsia="en-US"/>
        </w:rPr>
        <w:t>.</w:t>
      </w: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Spoločnosť tvor</w:t>
      </w:r>
      <w:r w:rsidR="004E07FD" w:rsidRPr="006032E1">
        <w:rPr>
          <w:rFonts w:ascii="Arial Narrow" w:hAnsi="Arial Narrow"/>
          <w:bCs/>
          <w:sz w:val="22"/>
          <w:lang w:eastAsia="en-US"/>
        </w:rPr>
        <w:t>í</w:t>
      </w:r>
      <w:r w:rsidRPr="006032E1">
        <w:rPr>
          <w:rFonts w:ascii="Arial Narrow" w:hAnsi="Arial Narrow"/>
          <w:bCs/>
          <w:sz w:val="22"/>
          <w:lang w:eastAsia="en-US"/>
        </w:rPr>
        <w:t xml:space="preserve"> aj </w:t>
      </w:r>
      <w:r w:rsidRPr="00745FC0">
        <w:rPr>
          <w:rFonts w:ascii="Arial Narrow" w:hAnsi="Arial Narrow"/>
          <w:bCs/>
          <w:sz w:val="22"/>
          <w:lang w:eastAsia="en-US"/>
        </w:rPr>
        <w:t>rezervu na audit účtovnej závierky</w:t>
      </w:r>
      <w:r w:rsidR="004E07FD" w:rsidRPr="00745FC0">
        <w:rPr>
          <w:rFonts w:ascii="Arial Narrow" w:hAnsi="Arial Narrow"/>
          <w:bCs/>
          <w:sz w:val="22"/>
          <w:lang w:eastAsia="en-US"/>
        </w:rPr>
        <w:t xml:space="preserve"> a</w:t>
      </w:r>
      <w:r w:rsidR="004D17A9" w:rsidRPr="00745FC0">
        <w:rPr>
          <w:rFonts w:ascii="Arial Narrow" w:hAnsi="Arial Narrow"/>
          <w:bCs/>
          <w:sz w:val="22"/>
          <w:lang w:eastAsia="en-US"/>
        </w:rPr>
        <w:t xml:space="preserve"> na </w:t>
      </w:r>
      <w:r w:rsidR="004E07FD" w:rsidRPr="00745FC0">
        <w:rPr>
          <w:rFonts w:ascii="Arial Narrow" w:hAnsi="Arial Narrow"/>
          <w:bCs/>
          <w:sz w:val="22"/>
          <w:lang w:eastAsia="en-US"/>
        </w:rPr>
        <w:t>nevyúčtované</w:t>
      </w:r>
      <w:r w:rsidR="004E07FD" w:rsidRPr="006032E1">
        <w:rPr>
          <w:rFonts w:ascii="Arial Narrow" w:hAnsi="Arial Narrow"/>
          <w:bCs/>
          <w:sz w:val="22"/>
          <w:lang w:eastAsia="en-US"/>
        </w:rPr>
        <w:t xml:space="preserve"> služby.</w:t>
      </w:r>
    </w:p>
    <w:p w:rsidR="00451724" w:rsidRPr="006032E1" w:rsidRDefault="00451724" w:rsidP="00451724">
      <w:pPr>
        <w:ind w:left="72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Záväzky</w:t>
      </w:r>
    </w:p>
    <w:p w:rsidR="00451724" w:rsidRPr="006032E1" w:rsidRDefault="00451724" w:rsidP="00451724">
      <w:pPr>
        <w:ind w:left="360" w:right="71"/>
        <w:jc w:val="both"/>
        <w:rPr>
          <w:rFonts w:ascii="Arial Narrow" w:hAnsi="Arial Narrow"/>
          <w:b/>
          <w:bCs/>
          <w:sz w:val="22"/>
          <w:lang w:eastAsia="en-US"/>
        </w:rPr>
      </w:pP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Záväzky pri ich vzniku sa oceňujú menovitou hodnotou. Ak sa pri inventarizácii zistí, že suma záväzkov je iná ako ich výška v účtovníctve, uvedú sa záväzky v účtovníctve a v účtovnej závierke v tomto zistenom ocenení.</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Odložené dane</w:t>
      </w:r>
    </w:p>
    <w:p w:rsidR="00451724" w:rsidRPr="006032E1" w:rsidRDefault="00451724" w:rsidP="00451724">
      <w:pPr>
        <w:ind w:left="360" w:right="71"/>
        <w:jc w:val="both"/>
        <w:rPr>
          <w:rFonts w:ascii="Arial Narrow" w:hAnsi="Arial Narrow"/>
          <w:b/>
          <w:bCs/>
          <w:sz w:val="22"/>
          <w:lang w:eastAsia="en-US"/>
        </w:rPr>
      </w:pP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Odložené dane sa vzťahujú na:</w:t>
      </w:r>
    </w:p>
    <w:p w:rsidR="00451724" w:rsidRPr="006032E1" w:rsidRDefault="00451724" w:rsidP="00451724">
      <w:pPr>
        <w:numPr>
          <w:ilvl w:val="0"/>
          <w:numId w:val="69"/>
        </w:numPr>
        <w:ind w:left="360" w:right="71" w:firstLine="0"/>
        <w:jc w:val="both"/>
        <w:rPr>
          <w:rFonts w:ascii="Arial Narrow" w:hAnsi="Arial Narrow"/>
          <w:bCs/>
          <w:sz w:val="22"/>
          <w:lang w:eastAsia="en-US"/>
        </w:rPr>
      </w:pPr>
      <w:r w:rsidRPr="006032E1">
        <w:rPr>
          <w:rFonts w:ascii="Arial Narrow" w:hAnsi="Arial Narrow"/>
          <w:bCs/>
          <w:sz w:val="22"/>
          <w:lang w:eastAsia="en-US"/>
        </w:rPr>
        <w:t>dočasné rozdiely medzi účtovnou hodnotou  majetku a účtovnou hodnotou záväzkov vykázanou v súvahe a ich daňovou základňou,</w:t>
      </w:r>
    </w:p>
    <w:p w:rsidR="00451724" w:rsidRPr="006032E1" w:rsidRDefault="00451724" w:rsidP="00451724">
      <w:pPr>
        <w:numPr>
          <w:ilvl w:val="0"/>
          <w:numId w:val="69"/>
        </w:numPr>
        <w:ind w:left="360" w:right="71" w:firstLine="0"/>
        <w:jc w:val="both"/>
        <w:rPr>
          <w:rFonts w:ascii="Arial Narrow" w:hAnsi="Arial Narrow"/>
          <w:bCs/>
          <w:sz w:val="22"/>
          <w:lang w:eastAsia="en-US"/>
        </w:rPr>
      </w:pPr>
      <w:r w:rsidRPr="006032E1">
        <w:rPr>
          <w:rFonts w:ascii="Arial Narrow" w:hAnsi="Arial Narrow"/>
          <w:bCs/>
          <w:sz w:val="22"/>
          <w:lang w:eastAsia="en-US"/>
        </w:rPr>
        <w:t>možnosť umorovať daňovú stratu v budúcnosti, ktorou sa rozumie možnosť odpočítať daňovú stratu  od základu dane v budúcnosti,</w:t>
      </w:r>
    </w:p>
    <w:p w:rsidR="00451724" w:rsidRPr="006032E1" w:rsidRDefault="00451724" w:rsidP="00451724">
      <w:pPr>
        <w:numPr>
          <w:ilvl w:val="0"/>
          <w:numId w:val="69"/>
        </w:numPr>
        <w:ind w:left="360" w:right="71" w:firstLine="0"/>
        <w:jc w:val="both"/>
        <w:rPr>
          <w:rFonts w:ascii="Arial Narrow" w:hAnsi="Arial Narrow"/>
          <w:bCs/>
          <w:sz w:val="22"/>
          <w:lang w:eastAsia="en-US"/>
        </w:rPr>
      </w:pPr>
      <w:r w:rsidRPr="006032E1">
        <w:rPr>
          <w:rFonts w:ascii="Arial Narrow" w:hAnsi="Arial Narrow"/>
          <w:bCs/>
          <w:sz w:val="22"/>
          <w:lang w:eastAsia="en-US"/>
        </w:rPr>
        <w:t>možnosť previesť nevyužité daňové odpočty  a iné daňové nároky do budúcich období.</w:t>
      </w: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Odložená daň z príjmov sa účtuje použitím záväzkovej metódy.</w:t>
      </w: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Odložená daň z pr</w:t>
      </w:r>
      <w:r w:rsidR="004E07FD" w:rsidRPr="006032E1">
        <w:rPr>
          <w:rFonts w:ascii="Arial Narrow" w:hAnsi="Arial Narrow"/>
          <w:bCs/>
          <w:sz w:val="22"/>
          <w:lang w:eastAsia="en-US"/>
        </w:rPr>
        <w:t>íjmov sa stanovuje pomocou daňo</w:t>
      </w:r>
      <w:r w:rsidRPr="006032E1">
        <w:rPr>
          <w:rFonts w:ascii="Arial Narrow" w:hAnsi="Arial Narrow"/>
          <w:bCs/>
          <w:sz w:val="22"/>
          <w:lang w:eastAsia="en-US"/>
        </w:rPr>
        <w:t>vej sadzby, ktor</w:t>
      </w:r>
      <w:r w:rsidR="004E07FD" w:rsidRPr="006032E1">
        <w:rPr>
          <w:rFonts w:ascii="Arial Narrow" w:hAnsi="Arial Narrow"/>
          <w:bCs/>
          <w:sz w:val="22"/>
          <w:lang w:eastAsia="en-US"/>
        </w:rPr>
        <w:t>á</w:t>
      </w:r>
      <w:r w:rsidRPr="006032E1">
        <w:rPr>
          <w:rFonts w:ascii="Arial Narrow" w:hAnsi="Arial Narrow"/>
          <w:bCs/>
          <w:sz w:val="22"/>
          <w:lang w:eastAsia="en-US"/>
        </w:rPr>
        <w:t xml:space="preserve"> bol</w:t>
      </w:r>
      <w:r w:rsidR="004E07FD" w:rsidRPr="006032E1">
        <w:rPr>
          <w:rFonts w:ascii="Arial Narrow" w:hAnsi="Arial Narrow"/>
          <w:bCs/>
          <w:sz w:val="22"/>
          <w:lang w:eastAsia="en-US"/>
        </w:rPr>
        <w:t>a</w:t>
      </w:r>
      <w:r w:rsidRPr="006032E1">
        <w:rPr>
          <w:rFonts w:ascii="Arial Narrow" w:hAnsi="Arial Narrow"/>
          <w:bCs/>
          <w:sz w:val="22"/>
          <w:lang w:eastAsia="en-US"/>
        </w:rPr>
        <w:t xml:space="preserve"> zná</w:t>
      </w:r>
      <w:r w:rsidR="004E07FD" w:rsidRPr="006032E1">
        <w:rPr>
          <w:rFonts w:ascii="Arial Narrow" w:hAnsi="Arial Narrow"/>
          <w:bCs/>
          <w:sz w:val="22"/>
          <w:lang w:eastAsia="en-US"/>
        </w:rPr>
        <w:t>ma</w:t>
      </w:r>
      <w:r w:rsidRPr="006032E1">
        <w:rPr>
          <w:rFonts w:ascii="Arial Narrow" w:hAnsi="Arial Narrow"/>
          <w:bCs/>
          <w:sz w:val="22"/>
          <w:lang w:eastAsia="en-US"/>
        </w:rPr>
        <w:t xml:space="preserve"> ku dňu, ku ktorému sa zostavuje účtovná závierka a očakáva sa </w:t>
      </w:r>
      <w:r w:rsidR="004E07FD" w:rsidRPr="006032E1">
        <w:rPr>
          <w:rFonts w:ascii="Arial Narrow" w:hAnsi="Arial Narrow"/>
          <w:bCs/>
          <w:sz w:val="22"/>
          <w:lang w:eastAsia="en-US"/>
        </w:rPr>
        <w:t>jej</w:t>
      </w:r>
      <w:r w:rsidRPr="006032E1">
        <w:rPr>
          <w:rFonts w:ascii="Arial Narrow" w:hAnsi="Arial Narrow"/>
          <w:bCs/>
          <w:sz w:val="22"/>
          <w:lang w:eastAsia="en-US"/>
        </w:rPr>
        <w:t xml:space="preserve"> platnosť v čase realizácie príslušnej odloženej daňovej pohľadávky alebo vyrovnania odloženého daňového záväzku.</w:t>
      </w: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Odložené daňové pohľadávky sa účtujú, ak je pravdepodobné, že v budúcnosti bude generovaný zdaniteľný zisk, voči ktorému sa budú môcť dočasné rozdiely zrealizovať.</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451724">
      <w:pPr>
        <w:ind w:left="360" w:right="71"/>
        <w:jc w:val="both"/>
        <w:rPr>
          <w:rFonts w:ascii="Arial Narrow" w:hAnsi="Arial Narrow"/>
          <w:b/>
          <w:bCs/>
          <w:sz w:val="22"/>
          <w:lang w:eastAsia="en-US"/>
        </w:rPr>
      </w:pPr>
      <w:r w:rsidRPr="006032E1">
        <w:rPr>
          <w:rFonts w:ascii="Arial Narrow" w:hAnsi="Arial Narrow"/>
          <w:b/>
          <w:bCs/>
          <w:sz w:val="22"/>
          <w:lang w:eastAsia="en-US"/>
        </w:rPr>
        <w:t>Výdavky budúcich období a výnosy budúcich období</w:t>
      </w:r>
    </w:p>
    <w:p w:rsidR="00451724" w:rsidRPr="006032E1" w:rsidRDefault="00451724" w:rsidP="00451724">
      <w:pPr>
        <w:ind w:left="360" w:right="71"/>
        <w:jc w:val="both"/>
        <w:rPr>
          <w:rFonts w:ascii="Arial Narrow" w:hAnsi="Arial Narrow"/>
          <w:b/>
          <w:bCs/>
          <w:sz w:val="22"/>
          <w:lang w:eastAsia="en-US"/>
        </w:rPr>
      </w:pP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Výdavky budúcich období a výnosy budúcich období sa vykazujú vo výške, ktorá je potrebná na dodržanie zásady vecnej a časovej súvislosti v účtovným obdobím.</w:t>
      </w:r>
    </w:p>
    <w:p w:rsidR="00451724" w:rsidRPr="006032E1" w:rsidRDefault="00451724" w:rsidP="00451724">
      <w:pPr>
        <w:ind w:left="360" w:right="71"/>
        <w:jc w:val="both"/>
        <w:rPr>
          <w:rFonts w:ascii="Arial Narrow" w:hAnsi="Arial Narrow"/>
          <w:bCs/>
          <w:sz w:val="22"/>
          <w:lang w:eastAsia="en-US"/>
        </w:rPr>
      </w:pPr>
    </w:p>
    <w:p w:rsidR="00451724" w:rsidRPr="006032E1" w:rsidRDefault="00451724" w:rsidP="00A17E35">
      <w:pPr>
        <w:ind w:right="71"/>
        <w:jc w:val="both"/>
        <w:rPr>
          <w:rFonts w:ascii="Arial Narrow" w:hAnsi="Arial Narrow"/>
          <w:b/>
          <w:bCs/>
          <w:sz w:val="22"/>
          <w:lang w:eastAsia="en-US"/>
        </w:rPr>
      </w:pPr>
      <w:r w:rsidRPr="006032E1">
        <w:rPr>
          <w:rFonts w:ascii="Arial Narrow" w:hAnsi="Arial Narrow"/>
          <w:b/>
          <w:bCs/>
          <w:sz w:val="22"/>
          <w:lang w:eastAsia="en-US"/>
        </w:rPr>
        <w:t>Dotácie</w:t>
      </w:r>
    </w:p>
    <w:p w:rsidR="00451724" w:rsidRPr="006032E1" w:rsidRDefault="00451724" w:rsidP="00451724">
      <w:pPr>
        <w:ind w:left="360" w:right="71"/>
        <w:jc w:val="both"/>
        <w:rPr>
          <w:rFonts w:ascii="Arial Narrow" w:hAnsi="Arial Narrow"/>
          <w:b/>
          <w:bCs/>
          <w:sz w:val="22"/>
          <w:lang w:eastAsia="en-US"/>
        </w:rPr>
      </w:pPr>
    </w:p>
    <w:p w:rsidR="00451724" w:rsidRPr="006032E1" w:rsidRDefault="00295E19" w:rsidP="00451724">
      <w:pPr>
        <w:ind w:left="360" w:right="71"/>
        <w:jc w:val="both"/>
        <w:rPr>
          <w:rFonts w:ascii="Arial Narrow" w:hAnsi="Arial Narrow"/>
          <w:bCs/>
          <w:sz w:val="22"/>
          <w:lang w:eastAsia="en-US"/>
        </w:rPr>
      </w:pPr>
      <w:r>
        <w:rPr>
          <w:rFonts w:ascii="Arial Narrow" w:hAnsi="Arial Narrow"/>
          <w:bCs/>
          <w:sz w:val="22"/>
          <w:lang w:eastAsia="en-US"/>
        </w:rPr>
        <w:t xml:space="preserve">O nároku na dotácie </w:t>
      </w:r>
      <w:r w:rsidR="00451724" w:rsidRPr="006032E1">
        <w:rPr>
          <w:rFonts w:ascii="Arial Narrow" w:hAnsi="Arial Narrow"/>
          <w:bCs/>
          <w:sz w:val="22"/>
          <w:lang w:eastAsia="en-US"/>
        </w:rPr>
        <w:t>sa účtuje, ak je takmer isté, že na základe splnených podmienok na poskytnutie dotácie sa obchodnej spoločnosti dotácia poskytne.</w:t>
      </w:r>
    </w:p>
    <w:p w:rsidR="00451724" w:rsidRPr="006032E1" w:rsidRDefault="00451724" w:rsidP="00451724">
      <w:pPr>
        <w:ind w:left="360" w:right="71"/>
        <w:jc w:val="both"/>
        <w:rPr>
          <w:rFonts w:ascii="Arial Narrow" w:hAnsi="Arial Narrow"/>
          <w:bCs/>
          <w:sz w:val="22"/>
          <w:lang w:eastAsia="en-US"/>
        </w:rPr>
      </w:pPr>
      <w:r w:rsidRPr="006032E1">
        <w:rPr>
          <w:rFonts w:ascii="Arial Narrow" w:hAnsi="Arial Narrow"/>
          <w:bCs/>
          <w:sz w:val="22"/>
          <w:lang w:eastAsia="en-US"/>
        </w:rPr>
        <w:t>Dotácie na hospodársku činnosť obchodná spoločnosť najskôr účtuje ako výnosy budúcich období a do výnosov sa rozpúšťajú  v časovej a vecnej súvislosti s vynaloženými nákladmi na príslušný účel.</w:t>
      </w:r>
    </w:p>
    <w:p w:rsidR="00295E19" w:rsidRDefault="00B067CC" w:rsidP="00295E19">
      <w:pPr>
        <w:ind w:left="360" w:right="71"/>
        <w:jc w:val="both"/>
        <w:rPr>
          <w:rFonts w:ascii="Arial Narrow" w:hAnsi="Arial Narrow"/>
          <w:bCs/>
          <w:sz w:val="22"/>
          <w:lang w:eastAsia="en-US"/>
        </w:rPr>
      </w:pPr>
      <w:r w:rsidRPr="006032E1">
        <w:rPr>
          <w:rFonts w:ascii="Arial Narrow" w:hAnsi="Arial Narrow"/>
          <w:bCs/>
          <w:sz w:val="22"/>
          <w:lang w:eastAsia="en-US"/>
        </w:rPr>
        <w:t>Dotácie k tržbám sa účtujú do výnosov v mesiaci, kedy boli dotované tržby poskytnuté.</w:t>
      </w:r>
    </w:p>
    <w:p w:rsidR="00295E19" w:rsidRDefault="00295E19" w:rsidP="00295E19">
      <w:pPr>
        <w:ind w:left="360" w:right="71"/>
        <w:jc w:val="both"/>
        <w:rPr>
          <w:rFonts w:ascii="Arial Narrow" w:hAnsi="Arial Narrow"/>
          <w:bCs/>
          <w:sz w:val="22"/>
          <w:lang w:eastAsia="en-US"/>
        </w:rPr>
      </w:pPr>
      <w:r>
        <w:rPr>
          <w:rFonts w:ascii="Arial Narrow" w:hAnsi="Arial Narrow"/>
          <w:bCs/>
          <w:sz w:val="22"/>
          <w:lang w:eastAsia="en-US"/>
        </w:rPr>
        <w:lastRenderedPageBreak/>
        <w:t>Dotácie na obstaranie dlhodobého majetku sa najskôr účtujú ako výnosy budúcich období a do výnosov sa rozpúšťajú počas doby použiteľnosti majetku, kedy sa účtujú do nákladov odpisy z majetku, na obstaranie ktorého boli dotácie poskytnuté.</w:t>
      </w:r>
    </w:p>
    <w:p w:rsidR="00D33F20" w:rsidRPr="00D33F20" w:rsidRDefault="00D33F20" w:rsidP="00451724">
      <w:pPr>
        <w:ind w:left="360" w:right="71"/>
        <w:jc w:val="both"/>
        <w:rPr>
          <w:rFonts w:ascii="Arial Narrow" w:hAnsi="Arial Narrow"/>
          <w:bCs/>
          <w:sz w:val="22"/>
          <w:lang w:eastAsia="en-US"/>
        </w:rPr>
      </w:pPr>
    </w:p>
    <w:p w:rsidR="00451724" w:rsidRPr="006032E1" w:rsidRDefault="00451724" w:rsidP="004E620B">
      <w:pPr>
        <w:ind w:right="71"/>
        <w:jc w:val="both"/>
        <w:rPr>
          <w:rFonts w:ascii="Arial Narrow" w:hAnsi="Arial Narrow"/>
          <w:b/>
          <w:bCs/>
          <w:sz w:val="22"/>
          <w:lang w:eastAsia="en-US"/>
        </w:rPr>
      </w:pPr>
      <w:r w:rsidRPr="006032E1">
        <w:rPr>
          <w:rFonts w:ascii="Arial Narrow" w:hAnsi="Arial Narrow"/>
          <w:b/>
          <w:bCs/>
          <w:sz w:val="22"/>
          <w:lang w:eastAsia="en-US"/>
        </w:rPr>
        <w:t>Cudzia mena</w:t>
      </w:r>
    </w:p>
    <w:p w:rsidR="00451724" w:rsidRPr="006032E1" w:rsidRDefault="00451724" w:rsidP="00451724">
      <w:pPr>
        <w:ind w:left="720" w:right="71"/>
        <w:jc w:val="both"/>
        <w:rPr>
          <w:rFonts w:ascii="Arial Narrow" w:hAnsi="Arial Narrow"/>
          <w:b/>
          <w:bCs/>
          <w:sz w:val="22"/>
          <w:lang w:eastAsia="en-US"/>
        </w:rPr>
      </w:pPr>
    </w:p>
    <w:p w:rsidR="00451724" w:rsidRPr="006032E1" w:rsidRDefault="00451724" w:rsidP="00451724">
      <w:pPr>
        <w:tabs>
          <w:tab w:val="left" w:pos="360"/>
        </w:tabs>
        <w:ind w:left="360" w:right="71"/>
        <w:jc w:val="both"/>
        <w:rPr>
          <w:rFonts w:ascii="Arial Narrow" w:hAnsi="Arial Narrow"/>
          <w:bCs/>
          <w:sz w:val="22"/>
          <w:lang w:eastAsia="en-US"/>
        </w:rPr>
      </w:pPr>
      <w:r w:rsidRPr="006032E1">
        <w:rPr>
          <w:rFonts w:ascii="Arial Narrow" w:hAnsi="Arial Narrow"/>
          <w:bCs/>
          <w:sz w:val="22"/>
          <w:lang w:eastAsia="en-US"/>
        </w:rPr>
        <w:t>Majetok a záväzky vyjadrené v cudzej mene sa ku dňu uskutočnenia účtovného prípadu prepočítavajú na menu euro referenčným výmenným kurzom určeným a vyhláseným Európskou centrálnou bankou v deň predchádzajúci dňu uskutočnenia účtovného prípadu.</w:t>
      </w:r>
    </w:p>
    <w:p w:rsidR="00451724" w:rsidRPr="006032E1" w:rsidRDefault="00451724" w:rsidP="00451724">
      <w:pPr>
        <w:tabs>
          <w:tab w:val="left" w:pos="360"/>
        </w:tabs>
        <w:ind w:left="360" w:right="71"/>
        <w:jc w:val="both"/>
        <w:rPr>
          <w:rFonts w:ascii="Arial Narrow" w:hAnsi="Arial Narrow"/>
          <w:bCs/>
          <w:sz w:val="22"/>
          <w:lang w:eastAsia="en-US"/>
        </w:rPr>
      </w:pPr>
    </w:p>
    <w:p w:rsidR="00451724" w:rsidRPr="006032E1" w:rsidRDefault="00451724" w:rsidP="00872D51">
      <w:pPr>
        <w:tabs>
          <w:tab w:val="left" w:pos="360"/>
        </w:tabs>
        <w:ind w:left="360" w:right="71"/>
        <w:rPr>
          <w:rFonts w:ascii="Arial Narrow" w:hAnsi="Arial Narrow"/>
          <w:bCs/>
          <w:sz w:val="22"/>
          <w:lang w:eastAsia="en-US"/>
        </w:rPr>
      </w:pPr>
      <w:r w:rsidRPr="006032E1">
        <w:rPr>
          <w:rFonts w:ascii="Arial Narrow" w:hAnsi="Arial Narrow"/>
          <w:bCs/>
          <w:sz w:val="22"/>
          <w:lang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Slovenska v deň, ku ktorému sa zostavuje účtovná závierka a účtujú sa s vplyvom na výsledok hospodárenia.</w:t>
      </w:r>
    </w:p>
    <w:p w:rsidR="00451724" w:rsidRPr="006032E1" w:rsidRDefault="00451724" w:rsidP="00451724">
      <w:pPr>
        <w:tabs>
          <w:tab w:val="left" w:pos="360"/>
        </w:tabs>
        <w:ind w:left="360" w:right="71"/>
        <w:jc w:val="both"/>
        <w:rPr>
          <w:rFonts w:ascii="Arial Narrow" w:hAnsi="Arial Narrow"/>
          <w:bCs/>
          <w:sz w:val="22"/>
          <w:lang w:eastAsia="en-US"/>
        </w:rPr>
      </w:pPr>
    </w:p>
    <w:p w:rsidR="00451724" w:rsidRPr="006032E1" w:rsidRDefault="00451724" w:rsidP="00451724">
      <w:pPr>
        <w:tabs>
          <w:tab w:val="left" w:pos="360"/>
        </w:tabs>
        <w:ind w:left="360" w:right="71"/>
        <w:jc w:val="both"/>
        <w:rPr>
          <w:rFonts w:ascii="Arial Narrow" w:hAnsi="Arial Narrow"/>
          <w:bCs/>
          <w:sz w:val="22"/>
          <w:lang w:eastAsia="en-US"/>
        </w:rPr>
      </w:pPr>
      <w:r w:rsidRPr="006032E1">
        <w:rPr>
          <w:rFonts w:ascii="Arial Narrow" w:hAnsi="Arial Narrow"/>
          <w:bCs/>
          <w:sz w:val="22"/>
          <w:lang w:eastAsia="en-US"/>
        </w:rPr>
        <w:t>Prijaté a poskytnuté preddavky v cudzej mene sa prepočítavajú na menu euro referenčným výmenným kurzom určeným a vyhláseným Európskou centrálnou bankou v deň predchádzajúci dňu uskutočnenia účtovného prípadu. Ku dňu, ku ktorému sa zostavuje účtovná závierka, sa na menu euro neprepočítavajú.</w:t>
      </w:r>
    </w:p>
    <w:p w:rsidR="00451724" w:rsidRPr="006032E1" w:rsidRDefault="00451724" w:rsidP="00451724">
      <w:pPr>
        <w:tabs>
          <w:tab w:val="left" w:pos="360"/>
        </w:tabs>
        <w:ind w:left="360" w:right="71"/>
        <w:jc w:val="both"/>
        <w:rPr>
          <w:rFonts w:ascii="Arial Narrow" w:hAnsi="Arial Narrow"/>
          <w:bCs/>
          <w:sz w:val="22"/>
          <w:lang w:eastAsia="en-US"/>
        </w:rPr>
      </w:pPr>
    </w:p>
    <w:p w:rsidR="00451724" w:rsidRPr="006032E1" w:rsidRDefault="00451724" w:rsidP="004E620B">
      <w:pPr>
        <w:tabs>
          <w:tab w:val="left" w:pos="0"/>
        </w:tabs>
        <w:ind w:right="71"/>
        <w:jc w:val="both"/>
        <w:rPr>
          <w:rFonts w:ascii="Arial Narrow" w:hAnsi="Arial Narrow"/>
          <w:b/>
          <w:bCs/>
          <w:sz w:val="22"/>
          <w:lang w:eastAsia="en-US"/>
        </w:rPr>
      </w:pPr>
      <w:r w:rsidRPr="006032E1">
        <w:rPr>
          <w:rFonts w:ascii="Arial Narrow" w:hAnsi="Arial Narrow"/>
          <w:b/>
          <w:bCs/>
          <w:sz w:val="22"/>
          <w:lang w:eastAsia="en-US"/>
        </w:rPr>
        <w:t>Výnosy</w:t>
      </w:r>
    </w:p>
    <w:p w:rsidR="00451724" w:rsidRPr="006032E1" w:rsidRDefault="00451724" w:rsidP="00451724">
      <w:pPr>
        <w:tabs>
          <w:tab w:val="left" w:pos="360"/>
        </w:tabs>
        <w:ind w:left="360" w:right="71"/>
        <w:jc w:val="both"/>
        <w:rPr>
          <w:rFonts w:ascii="Arial Narrow" w:hAnsi="Arial Narrow"/>
          <w:b/>
          <w:bCs/>
          <w:sz w:val="22"/>
          <w:lang w:eastAsia="en-US"/>
        </w:rPr>
      </w:pPr>
    </w:p>
    <w:p w:rsidR="00451724" w:rsidRDefault="00451724" w:rsidP="00451724">
      <w:pPr>
        <w:tabs>
          <w:tab w:val="left" w:pos="360"/>
        </w:tabs>
        <w:ind w:left="360" w:right="71"/>
        <w:jc w:val="both"/>
        <w:rPr>
          <w:rFonts w:ascii="Arial Narrow" w:hAnsi="Arial Narrow"/>
          <w:bCs/>
          <w:sz w:val="22"/>
          <w:lang w:eastAsia="en-US"/>
        </w:rPr>
      </w:pPr>
      <w:r w:rsidRPr="006032E1">
        <w:rPr>
          <w:rFonts w:ascii="Arial Narrow" w:hAnsi="Arial Narrow"/>
          <w:bCs/>
          <w:sz w:val="22"/>
          <w:lang w:eastAsia="en-US"/>
        </w:rPr>
        <w:t>Tržb</w:t>
      </w:r>
      <w:r w:rsidR="00B067CC" w:rsidRPr="006032E1">
        <w:rPr>
          <w:rFonts w:ascii="Arial Narrow" w:hAnsi="Arial Narrow"/>
          <w:bCs/>
          <w:sz w:val="22"/>
          <w:lang w:eastAsia="en-US"/>
        </w:rPr>
        <w:t>y</w:t>
      </w:r>
      <w:r w:rsidRPr="006032E1">
        <w:rPr>
          <w:rFonts w:ascii="Arial Narrow" w:hAnsi="Arial Narrow"/>
          <w:bCs/>
          <w:sz w:val="22"/>
          <w:lang w:eastAsia="en-US"/>
        </w:rPr>
        <w:t xml:space="preserve"> za </w:t>
      </w:r>
      <w:r w:rsidR="00B067CC" w:rsidRPr="006032E1">
        <w:rPr>
          <w:rFonts w:ascii="Arial Narrow" w:hAnsi="Arial Narrow"/>
          <w:bCs/>
          <w:sz w:val="22"/>
          <w:lang w:eastAsia="en-US"/>
        </w:rPr>
        <w:t>služby a predaj dlhodobého hmotného majetku neobsahujú</w:t>
      </w:r>
      <w:r w:rsidRPr="006032E1">
        <w:rPr>
          <w:rFonts w:ascii="Arial Narrow" w:hAnsi="Arial Narrow"/>
          <w:bCs/>
          <w:sz w:val="22"/>
          <w:lang w:eastAsia="en-US"/>
        </w:rPr>
        <w:t xml:space="preserve"> daň z pridanej hodnoty. Sú tiež znížené o zľavy a</w:t>
      </w:r>
      <w:r w:rsidR="00FB1F06" w:rsidRPr="006032E1">
        <w:rPr>
          <w:rFonts w:ascii="Arial Narrow" w:hAnsi="Arial Narrow"/>
          <w:bCs/>
          <w:sz w:val="22"/>
          <w:lang w:eastAsia="en-US"/>
        </w:rPr>
        <w:t> </w:t>
      </w:r>
      <w:r w:rsidRPr="006032E1">
        <w:rPr>
          <w:rFonts w:ascii="Arial Narrow" w:hAnsi="Arial Narrow"/>
          <w:bCs/>
          <w:sz w:val="22"/>
          <w:lang w:eastAsia="en-US"/>
        </w:rPr>
        <w:t>zrážky</w:t>
      </w:r>
      <w:r w:rsidR="00FB1F06" w:rsidRPr="006032E1">
        <w:rPr>
          <w:rFonts w:ascii="Arial Narrow" w:hAnsi="Arial Narrow"/>
          <w:bCs/>
          <w:sz w:val="22"/>
          <w:lang w:eastAsia="en-US"/>
        </w:rPr>
        <w:t xml:space="preserve"> </w:t>
      </w:r>
      <w:r w:rsidRPr="006032E1">
        <w:rPr>
          <w:rFonts w:ascii="Arial Narrow" w:hAnsi="Arial Narrow"/>
          <w:bCs/>
          <w:sz w:val="22"/>
          <w:lang w:eastAsia="en-US"/>
        </w:rPr>
        <w:t xml:space="preserve">bez ohľadu na to, či zákazník mal </w:t>
      </w:r>
      <w:r w:rsidR="008A427F" w:rsidRPr="006032E1">
        <w:rPr>
          <w:rFonts w:ascii="Arial Narrow" w:hAnsi="Arial Narrow"/>
          <w:bCs/>
          <w:sz w:val="22"/>
          <w:lang w:eastAsia="en-US"/>
        </w:rPr>
        <w:t xml:space="preserve">na ne </w:t>
      </w:r>
      <w:r w:rsidRPr="006032E1">
        <w:rPr>
          <w:rFonts w:ascii="Arial Narrow" w:hAnsi="Arial Narrow"/>
          <w:bCs/>
          <w:sz w:val="22"/>
          <w:lang w:eastAsia="en-US"/>
        </w:rPr>
        <w:t>vopred nárok, alebo či ide o dodatočne uznanú zľavu.</w:t>
      </w:r>
    </w:p>
    <w:p w:rsidR="00A02B59" w:rsidRDefault="00A02B59" w:rsidP="00451724">
      <w:pPr>
        <w:tabs>
          <w:tab w:val="left" w:pos="360"/>
        </w:tabs>
        <w:ind w:left="360" w:right="71"/>
        <w:jc w:val="both"/>
        <w:rPr>
          <w:rFonts w:ascii="Arial Narrow" w:hAnsi="Arial Narrow"/>
          <w:bCs/>
          <w:sz w:val="22"/>
          <w:lang w:eastAsia="en-US"/>
        </w:rPr>
      </w:pPr>
    </w:p>
    <w:p w:rsidR="00A02B59" w:rsidRPr="00A02B59" w:rsidRDefault="00A02B59" w:rsidP="00A02B59">
      <w:pPr>
        <w:tabs>
          <w:tab w:val="left" w:pos="0"/>
        </w:tabs>
        <w:ind w:right="71"/>
        <w:jc w:val="both"/>
        <w:rPr>
          <w:rFonts w:ascii="Arial Narrow" w:hAnsi="Arial Narrow"/>
          <w:b/>
          <w:bCs/>
          <w:sz w:val="22"/>
          <w:lang w:eastAsia="en-US"/>
        </w:rPr>
      </w:pPr>
      <w:r>
        <w:rPr>
          <w:rFonts w:ascii="Arial Narrow" w:hAnsi="Arial Narrow"/>
          <w:b/>
          <w:bCs/>
          <w:sz w:val="22"/>
          <w:lang w:eastAsia="en-US"/>
        </w:rPr>
        <w:t>Ocenenie majetku pri zlúčení</w:t>
      </w:r>
    </w:p>
    <w:p w:rsidR="00644AA3" w:rsidRDefault="00644AA3" w:rsidP="00451724">
      <w:pPr>
        <w:tabs>
          <w:tab w:val="left" w:pos="360"/>
        </w:tabs>
        <w:ind w:left="360" w:right="71"/>
        <w:jc w:val="both"/>
        <w:rPr>
          <w:rFonts w:ascii="Arial Narrow" w:hAnsi="Arial Narrow"/>
          <w:bCs/>
          <w:sz w:val="22"/>
          <w:lang w:eastAsia="en-US"/>
        </w:rPr>
      </w:pPr>
    </w:p>
    <w:p w:rsidR="00644AA3" w:rsidRDefault="00644AA3" w:rsidP="00451724">
      <w:pPr>
        <w:tabs>
          <w:tab w:val="left" w:pos="360"/>
        </w:tabs>
        <w:ind w:left="360" w:right="71"/>
        <w:jc w:val="both"/>
        <w:rPr>
          <w:rFonts w:ascii="Arial Narrow" w:hAnsi="Arial Narrow"/>
          <w:bCs/>
          <w:sz w:val="22"/>
          <w:lang w:eastAsia="en-US"/>
        </w:rPr>
      </w:pPr>
      <w:r>
        <w:rPr>
          <w:rFonts w:ascii="Arial Narrow" w:hAnsi="Arial Narrow"/>
          <w:bCs/>
          <w:sz w:val="22"/>
          <w:lang w:eastAsia="en-US"/>
        </w:rPr>
        <w:t>V súlade s § 25 zákona o účtovníctve, bol ku dňu predchádzajúcemu rozhodnému dňu majetok a záväzky zanikajúcej obchodnej spoločnosti ocenený reálnou hodnotou. Oceňovac</w:t>
      </w:r>
      <w:r w:rsidR="009F62DD">
        <w:rPr>
          <w:rFonts w:ascii="Arial Narrow" w:hAnsi="Arial Narrow"/>
          <w:bCs/>
          <w:sz w:val="22"/>
          <w:lang w:eastAsia="en-US"/>
        </w:rPr>
        <w:t>ie</w:t>
      </w:r>
      <w:r>
        <w:rPr>
          <w:rFonts w:ascii="Arial Narrow" w:hAnsi="Arial Narrow"/>
          <w:bCs/>
          <w:sz w:val="22"/>
          <w:lang w:eastAsia="en-US"/>
        </w:rPr>
        <w:t xml:space="preserve"> rozdie</w:t>
      </w:r>
      <w:r w:rsidR="009F62DD">
        <w:rPr>
          <w:rFonts w:ascii="Arial Narrow" w:hAnsi="Arial Narrow"/>
          <w:bCs/>
          <w:sz w:val="22"/>
          <w:lang w:eastAsia="en-US"/>
        </w:rPr>
        <w:t>ly, ktoré vznikli</w:t>
      </w:r>
      <w:r>
        <w:rPr>
          <w:rFonts w:ascii="Arial Narrow" w:hAnsi="Arial Narrow"/>
          <w:bCs/>
          <w:sz w:val="22"/>
          <w:lang w:eastAsia="en-US"/>
        </w:rPr>
        <w:t xml:space="preserve"> </w:t>
      </w:r>
      <w:r w:rsidR="009F62DD">
        <w:rPr>
          <w:rFonts w:ascii="Arial Narrow" w:hAnsi="Arial Narrow"/>
          <w:bCs/>
          <w:sz w:val="22"/>
          <w:lang w:eastAsia="en-US"/>
        </w:rPr>
        <w:t xml:space="preserve">medzi reálnou hodnotou majetku a záväzkov a ich účtovnou hodnotou </w:t>
      </w:r>
      <w:r>
        <w:rPr>
          <w:rFonts w:ascii="Arial Narrow" w:hAnsi="Arial Narrow"/>
          <w:bCs/>
          <w:sz w:val="22"/>
          <w:lang w:eastAsia="en-US"/>
        </w:rPr>
        <w:t xml:space="preserve">v sume  3 256 010 EUR </w:t>
      </w:r>
      <w:r w:rsidR="009F62DD">
        <w:rPr>
          <w:rFonts w:ascii="Arial Narrow" w:hAnsi="Arial Narrow"/>
          <w:bCs/>
          <w:sz w:val="22"/>
          <w:lang w:eastAsia="en-US"/>
        </w:rPr>
        <w:t>sú</w:t>
      </w:r>
      <w:r>
        <w:rPr>
          <w:rFonts w:ascii="Arial Narrow" w:hAnsi="Arial Narrow"/>
          <w:bCs/>
          <w:sz w:val="22"/>
          <w:lang w:eastAsia="en-US"/>
        </w:rPr>
        <w:t xml:space="preserve"> zaúčtovan</w:t>
      </w:r>
      <w:r w:rsidR="009F62DD">
        <w:rPr>
          <w:rFonts w:ascii="Arial Narrow" w:hAnsi="Arial Narrow"/>
          <w:bCs/>
          <w:sz w:val="22"/>
          <w:lang w:eastAsia="en-US"/>
        </w:rPr>
        <w:t>é</w:t>
      </w:r>
      <w:r>
        <w:rPr>
          <w:rFonts w:ascii="Arial Narrow" w:hAnsi="Arial Narrow"/>
          <w:bCs/>
          <w:sz w:val="22"/>
          <w:lang w:eastAsia="en-US"/>
        </w:rPr>
        <w:t xml:space="preserve"> na účte 416.</w:t>
      </w:r>
    </w:p>
    <w:p w:rsidR="006C37C7" w:rsidRDefault="006C37C7" w:rsidP="00451724">
      <w:pPr>
        <w:tabs>
          <w:tab w:val="left" w:pos="360"/>
        </w:tabs>
        <w:ind w:left="360" w:right="71"/>
        <w:jc w:val="both"/>
        <w:rPr>
          <w:rFonts w:ascii="Arial Narrow" w:hAnsi="Arial Narrow"/>
          <w:bCs/>
          <w:sz w:val="22"/>
          <w:lang w:eastAsia="en-US"/>
        </w:rPr>
      </w:pPr>
    </w:p>
    <w:p w:rsidR="006C37C7" w:rsidRPr="006C37C7" w:rsidRDefault="006C37C7" w:rsidP="006C37C7">
      <w:pPr>
        <w:tabs>
          <w:tab w:val="left" w:pos="0"/>
        </w:tabs>
        <w:ind w:right="71"/>
        <w:jc w:val="both"/>
        <w:rPr>
          <w:rFonts w:ascii="Arial Narrow" w:hAnsi="Arial Narrow"/>
          <w:b/>
          <w:bCs/>
          <w:sz w:val="22"/>
          <w:lang w:eastAsia="en-US"/>
        </w:rPr>
      </w:pPr>
      <w:r w:rsidRPr="006C37C7">
        <w:rPr>
          <w:rFonts w:ascii="Arial Narrow" w:hAnsi="Arial Narrow"/>
          <w:b/>
          <w:bCs/>
          <w:sz w:val="22"/>
          <w:lang w:eastAsia="en-US"/>
        </w:rPr>
        <w:t>Určenie odhadu zníženia hodnoty majetku a tvorba opravnej položky k majetku</w:t>
      </w:r>
    </w:p>
    <w:p w:rsidR="00451724" w:rsidRDefault="00451724" w:rsidP="006C37C7">
      <w:pPr>
        <w:ind w:right="71"/>
        <w:jc w:val="both"/>
        <w:rPr>
          <w:rFonts w:ascii="Arial Narrow" w:hAnsi="Arial Narrow"/>
          <w:bCs/>
          <w:sz w:val="22"/>
          <w:lang w:eastAsia="en-US"/>
        </w:rPr>
      </w:pPr>
    </w:p>
    <w:p w:rsidR="006C37C7" w:rsidRDefault="006C37C7" w:rsidP="006C37C7">
      <w:pPr>
        <w:tabs>
          <w:tab w:val="left" w:pos="360"/>
        </w:tabs>
        <w:ind w:left="360" w:right="71"/>
        <w:jc w:val="both"/>
        <w:rPr>
          <w:rFonts w:ascii="Arial Narrow" w:hAnsi="Arial Narrow"/>
          <w:bCs/>
          <w:sz w:val="22"/>
          <w:lang w:eastAsia="en-US"/>
        </w:rPr>
      </w:pPr>
      <w:r w:rsidRPr="006C37C7">
        <w:rPr>
          <w:rFonts w:ascii="Arial Narrow" w:hAnsi="Arial Narrow"/>
          <w:bCs/>
          <w:sz w:val="22"/>
          <w:lang w:eastAsia="en-US"/>
        </w:rPr>
        <w:t xml:space="preserve">Pohľadávky sa pri ich vzniku sa oceňujú menovitou hodnotou. Ak je zostatková doba splatnosti pohľadávky dlhšia ako jeden rok, vytvára sa opravná položka.   </w:t>
      </w:r>
    </w:p>
    <w:p w:rsidR="006C37C7" w:rsidRDefault="006C37C7" w:rsidP="006C37C7">
      <w:pPr>
        <w:tabs>
          <w:tab w:val="left" w:pos="360"/>
        </w:tabs>
        <w:ind w:left="360" w:right="71"/>
        <w:jc w:val="both"/>
        <w:rPr>
          <w:rFonts w:ascii="Arial Narrow" w:hAnsi="Arial Narrow"/>
          <w:bCs/>
          <w:sz w:val="22"/>
          <w:lang w:eastAsia="en-US"/>
        </w:rPr>
      </w:pPr>
    </w:p>
    <w:p w:rsidR="006C37C7" w:rsidRPr="006032E1" w:rsidRDefault="006C37C7" w:rsidP="006C37C7">
      <w:pPr>
        <w:ind w:left="284"/>
        <w:jc w:val="both"/>
        <w:rPr>
          <w:rFonts w:ascii="Arial Narrow" w:hAnsi="Arial Narrow" w:cs="Arial"/>
          <w:sz w:val="22"/>
          <w:szCs w:val="22"/>
          <w:lang w:eastAsia="en-US"/>
        </w:rPr>
      </w:pPr>
      <w:r w:rsidRPr="006032E1">
        <w:rPr>
          <w:rFonts w:ascii="Arial Narrow" w:hAnsi="Arial Narrow" w:cs="Arial"/>
          <w:sz w:val="22"/>
          <w:szCs w:val="22"/>
          <w:lang w:eastAsia="en-US"/>
        </w:rPr>
        <w:t>Obchodná spoločnosť tvorila opravné položky vo výške 100 % na pohľadávky po splatnosti 365 dní, pretože na základe minulých skúseností sú väčšinou  tieto pohľadávky nevymožiteľné.</w:t>
      </w:r>
    </w:p>
    <w:p w:rsidR="006C37C7" w:rsidRDefault="006C37C7" w:rsidP="006C37C7">
      <w:pPr>
        <w:ind w:left="284"/>
        <w:jc w:val="both"/>
        <w:rPr>
          <w:rFonts w:ascii="Arial Narrow" w:hAnsi="Arial Narrow" w:cs="Arial"/>
          <w:sz w:val="22"/>
          <w:szCs w:val="22"/>
          <w:lang w:eastAsia="en-US"/>
        </w:rPr>
      </w:pPr>
      <w:r w:rsidRPr="006032E1">
        <w:rPr>
          <w:rFonts w:ascii="Arial Narrow" w:hAnsi="Arial Narrow" w:cs="Arial"/>
          <w:sz w:val="22"/>
          <w:szCs w:val="22"/>
          <w:lang w:eastAsia="en-US"/>
        </w:rPr>
        <w:t>Na pohľadávky po lehote splatnosti 180 dní sa vytvorila opravná položka vo výške 20%a na pohľadávky po lehote splatnosti 270 dní opravná položka vo výške 50% na základe odhadovanej vymožiteľnosti podľa skúsenosti z minulých období.</w:t>
      </w:r>
    </w:p>
    <w:p w:rsidR="006C37C7" w:rsidRPr="006032E1" w:rsidRDefault="006C37C7" w:rsidP="006C37C7">
      <w:pPr>
        <w:ind w:left="284"/>
        <w:jc w:val="both"/>
        <w:rPr>
          <w:rFonts w:ascii="Arial Narrow" w:hAnsi="Arial Narrow" w:cs="Arial"/>
          <w:sz w:val="22"/>
          <w:szCs w:val="22"/>
          <w:lang w:eastAsia="en-US"/>
        </w:rPr>
      </w:pPr>
    </w:p>
    <w:p w:rsidR="006C37C7" w:rsidRDefault="006C37C7" w:rsidP="006C37C7">
      <w:pPr>
        <w:ind w:left="284"/>
        <w:jc w:val="both"/>
        <w:rPr>
          <w:rFonts w:ascii="Arial Narrow" w:hAnsi="Arial Narrow" w:cs="Arial"/>
          <w:sz w:val="22"/>
          <w:szCs w:val="22"/>
          <w:lang w:eastAsia="en-US"/>
        </w:rPr>
      </w:pPr>
      <w:r w:rsidRPr="006032E1">
        <w:rPr>
          <w:rFonts w:ascii="Arial Narrow" w:hAnsi="Arial Narrow" w:cs="Arial"/>
          <w:sz w:val="22"/>
          <w:szCs w:val="22"/>
          <w:lang w:eastAsia="en-US"/>
        </w:rPr>
        <w:t xml:space="preserve">V stave obchodných </w:t>
      </w:r>
      <w:r w:rsidRPr="00C0792E">
        <w:rPr>
          <w:rFonts w:ascii="Arial Narrow" w:hAnsi="Arial Narrow" w:cs="Arial"/>
          <w:sz w:val="22"/>
          <w:szCs w:val="22"/>
          <w:lang w:eastAsia="en-US"/>
        </w:rPr>
        <w:t>pohľadávok k 31.12.201</w:t>
      </w:r>
      <w:r>
        <w:rPr>
          <w:rFonts w:ascii="Arial Narrow" w:hAnsi="Arial Narrow" w:cs="Arial"/>
          <w:sz w:val="22"/>
          <w:szCs w:val="22"/>
          <w:lang w:eastAsia="en-US"/>
        </w:rPr>
        <w:t>5</w:t>
      </w:r>
      <w:r w:rsidRPr="00C0792E">
        <w:rPr>
          <w:rFonts w:ascii="Arial Narrow" w:hAnsi="Arial Narrow" w:cs="Arial"/>
          <w:sz w:val="22"/>
          <w:szCs w:val="22"/>
          <w:lang w:eastAsia="en-US"/>
        </w:rPr>
        <w:t xml:space="preserve"> sú odberatelia po lehote splatnosti, u ktorých sa netvorila opravná položka, pretože bonita klienta sa významne</w:t>
      </w:r>
      <w:r w:rsidRPr="006032E1">
        <w:rPr>
          <w:rFonts w:ascii="Arial Narrow" w:hAnsi="Arial Narrow" w:cs="Arial"/>
          <w:sz w:val="22"/>
          <w:szCs w:val="22"/>
          <w:lang w:eastAsia="en-US"/>
        </w:rPr>
        <w:t xml:space="preserve"> nezmenila a preto sa považujú za vymožiteľné.</w:t>
      </w:r>
    </w:p>
    <w:p w:rsidR="006C37C7" w:rsidRPr="006032E1" w:rsidRDefault="006C37C7" w:rsidP="006C37C7">
      <w:pPr>
        <w:ind w:left="284"/>
        <w:jc w:val="both"/>
        <w:rPr>
          <w:rFonts w:ascii="Arial Narrow" w:hAnsi="Arial Narrow" w:cs="Arial"/>
          <w:sz w:val="22"/>
          <w:szCs w:val="22"/>
          <w:lang w:eastAsia="en-US"/>
        </w:rPr>
      </w:pPr>
    </w:p>
    <w:p w:rsidR="006C37C7" w:rsidRPr="00C130E5" w:rsidRDefault="006C37C7" w:rsidP="00C130E5">
      <w:pPr>
        <w:ind w:left="284"/>
        <w:jc w:val="both"/>
        <w:rPr>
          <w:rFonts w:ascii="Arial Narrow" w:hAnsi="Arial Narrow" w:cs="Arial"/>
          <w:sz w:val="22"/>
          <w:szCs w:val="22"/>
          <w:lang w:eastAsia="en-US"/>
        </w:rPr>
      </w:pPr>
      <w:r w:rsidRPr="006032E1">
        <w:rPr>
          <w:rFonts w:ascii="Arial Narrow" w:hAnsi="Arial Narrow" w:cs="Arial"/>
          <w:sz w:val="22"/>
          <w:szCs w:val="22"/>
          <w:lang w:eastAsia="en-US"/>
        </w:rPr>
        <w:t xml:space="preserve">Pri zisťovaní vymožiteľnosti pohľadávok sa zvažujú všetky zmeny v bonite odberateľov, ktoré nastanú do dňa zostavenia účtovnej závierky. </w:t>
      </w:r>
    </w:p>
    <w:p w:rsidR="006C37C7" w:rsidRPr="006C37C7" w:rsidRDefault="006C37C7" w:rsidP="006C37C7">
      <w:pPr>
        <w:tabs>
          <w:tab w:val="left" w:pos="360"/>
        </w:tabs>
        <w:ind w:left="360" w:right="71"/>
        <w:jc w:val="both"/>
        <w:rPr>
          <w:rFonts w:ascii="Arial Narrow" w:hAnsi="Arial Narrow"/>
          <w:bCs/>
          <w:sz w:val="22"/>
          <w:lang w:eastAsia="en-US"/>
        </w:rPr>
      </w:pPr>
    </w:p>
    <w:tbl>
      <w:tblPr>
        <w:tblW w:w="0" w:type="auto"/>
        <w:jc w:val="center"/>
        <w:tblLayout w:type="fixed"/>
        <w:tblCellMar>
          <w:left w:w="70" w:type="dxa"/>
          <w:right w:w="70" w:type="dxa"/>
        </w:tblCellMar>
        <w:tblLook w:val="0000"/>
      </w:tblPr>
      <w:tblGrid>
        <w:gridCol w:w="1913"/>
        <w:gridCol w:w="1418"/>
        <w:gridCol w:w="1559"/>
        <w:gridCol w:w="1164"/>
        <w:gridCol w:w="1529"/>
        <w:gridCol w:w="1629"/>
      </w:tblGrid>
      <w:tr w:rsidR="006C37C7" w:rsidRPr="003C1E82" w:rsidTr="00C130E5">
        <w:trPr>
          <w:trHeight w:val="458"/>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Druh majetku</w:t>
            </w:r>
          </w:p>
        </w:tc>
        <w:tc>
          <w:tcPr>
            <w:tcW w:w="1418"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Odhad zníženia hodnoty</w:t>
            </w:r>
          </w:p>
        </w:tc>
        <w:tc>
          <w:tcPr>
            <w:tcW w:w="1559"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lang w:eastAsia="en-US" w:bidi="ar-SA"/>
              </w:rPr>
              <w:t>Stav OP na začiatku účtovného obdobia</w:t>
            </w:r>
          </w:p>
        </w:tc>
        <w:tc>
          <w:tcPr>
            <w:tcW w:w="1164"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Tvorba OP</w:t>
            </w:r>
          </w:p>
        </w:tc>
        <w:tc>
          <w:tcPr>
            <w:tcW w:w="1529"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lang w:eastAsia="en-US" w:bidi="ar-SA"/>
              </w:rPr>
              <w:t xml:space="preserve">Zúčtovanie OP </w:t>
            </w:r>
          </w:p>
        </w:tc>
        <w:tc>
          <w:tcPr>
            <w:tcW w:w="1629" w:type="dxa"/>
            <w:tcBorders>
              <w:top w:val="single" w:sz="2" w:space="0" w:color="000000"/>
              <w:left w:val="single" w:sz="2" w:space="0" w:color="000000"/>
              <w:bottom w:val="single" w:sz="2" w:space="0" w:color="000000"/>
              <w:right w:val="single" w:sz="2" w:space="0" w:color="000000"/>
            </w:tcBorders>
            <w:vAlign w:val="center"/>
          </w:tcPr>
          <w:p w:rsidR="006C37C7" w:rsidRPr="00890A91" w:rsidRDefault="006C37C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lang w:eastAsia="en-US" w:bidi="ar-SA"/>
              </w:rPr>
              <w:t>Stav OP na konci účtovného obdobia</w:t>
            </w:r>
          </w:p>
        </w:tc>
      </w:tr>
      <w:tr w:rsidR="00C130E5" w:rsidRPr="003C1E82" w:rsidTr="00C130E5">
        <w:trPr>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C130E5">
            <w:pPr>
              <w:pStyle w:val="Vchodzie"/>
              <w:autoSpaceDE/>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OP k pohľadávkam z prenájmu bytov</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70 012</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77 345</w:t>
            </w: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9 255</w:t>
            </w: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16 588</w:t>
            </w: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70 012</w:t>
            </w:r>
          </w:p>
        </w:tc>
      </w:tr>
      <w:tr w:rsidR="00C130E5" w:rsidRPr="003C1E82" w:rsidTr="00C130E5">
        <w:trPr>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C130E5">
            <w:pPr>
              <w:pStyle w:val="Vchodzie"/>
              <w:autoSpaceDE/>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OP k pohľadávkam z prenájmu NP</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37 943</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49 590</w:t>
            </w: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1 619</w:t>
            </w: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13 266</w:t>
            </w: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37 943</w:t>
            </w:r>
          </w:p>
        </w:tc>
      </w:tr>
      <w:tr w:rsidR="00C130E5" w:rsidRPr="003C1E82" w:rsidTr="00C130E5">
        <w:trPr>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C130E5">
            <w:pPr>
              <w:pStyle w:val="Vchodzie"/>
              <w:autoSpaceDE/>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OP k pohľadávkam z predaja bytov</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17 156</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18 997</w:t>
            </w: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1 286</w:t>
            </w: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3 12</w:t>
            </w:r>
            <w:r w:rsidR="00301814">
              <w:rPr>
                <w:rFonts w:ascii="Arial Narrow" w:hAnsi="Arial Narrow"/>
                <w:color w:val="000000"/>
                <w:sz w:val="18"/>
                <w:szCs w:val="18"/>
              </w:rPr>
              <w:t>7</w:t>
            </w: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17 156</w:t>
            </w:r>
          </w:p>
        </w:tc>
      </w:tr>
      <w:tr w:rsidR="00C130E5" w:rsidRPr="003C1E82" w:rsidTr="00C130E5">
        <w:trPr>
          <w:trHeight w:val="323"/>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C130E5">
            <w:pPr>
              <w:pStyle w:val="Vchodzie"/>
              <w:autoSpaceDE/>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lastRenderedPageBreak/>
              <w:t>OP k nezaplatenej pôžičke</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18 000</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18 000</w:t>
            </w: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18 000</w:t>
            </w:r>
          </w:p>
        </w:tc>
      </w:tr>
      <w:tr w:rsidR="00C130E5" w:rsidRPr="003C1E82" w:rsidTr="00C130E5">
        <w:trPr>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C130E5">
            <w:pPr>
              <w:pStyle w:val="Vchodzie"/>
              <w:autoSpaceDE/>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OP k pohľadávkam za poskyt.služby</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1 395</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27 526</w:t>
            </w: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26 131</w:t>
            </w: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1 395</w:t>
            </w:r>
          </w:p>
        </w:tc>
      </w:tr>
      <w:tr w:rsidR="00C130E5" w:rsidRPr="003C1E82" w:rsidTr="00C130E5">
        <w:trPr>
          <w:trHeight w:val="277"/>
          <w:jc w:val="center"/>
        </w:trPr>
        <w:tc>
          <w:tcPr>
            <w:tcW w:w="1913" w:type="dxa"/>
            <w:tcBorders>
              <w:top w:val="single" w:sz="2" w:space="0" w:color="000000"/>
              <w:left w:val="single" w:sz="2" w:space="0" w:color="000000"/>
              <w:bottom w:val="single" w:sz="2" w:space="0" w:color="000000"/>
              <w:right w:val="single" w:sz="2" w:space="0" w:color="000000"/>
            </w:tcBorders>
            <w:vAlign w:val="center"/>
          </w:tcPr>
          <w:p w:rsidR="00C130E5" w:rsidRPr="00890A91" w:rsidRDefault="00C130E5" w:rsidP="006C37C7">
            <w:pPr>
              <w:pStyle w:val="Vchodzie"/>
              <w:autoSpaceDE/>
              <w:spacing w:line="276" w:lineRule="auto"/>
              <w:rPr>
                <w:rFonts w:ascii="Arial Narrow" w:hAnsi="Arial Narrow"/>
                <w:b/>
                <w:color w:val="000000"/>
                <w:sz w:val="18"/>
                <w:szCs w:val="18"/>
                <w:lang w:eastAsia="en-US" w:bidi="ar-SA"/>
              </w:rPr>
            </w:pPr>
            <w:r w:rsidRPr="00890A91">
              <w:rPr>
                <w:rFonts w:ascii="Arial Narrow" w:hAnsi="Arial Narrow"/>
                <w:b/>
                <w:color w:val="000000"/>
                <w:sz w:val="18"/>
                <w:szCs w:val="18"/>
                <w:lang w:eastAsia="en-US" w:bidi="ar-SA"/>
              </w:rPr>
              <w:t>SPOLU:</w:t>
            </w:r>
          </w:p>
        </w:tc>
        <w:tc>
          <w:tcPr>
            <w:tcW w:w="1418"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144 506</w:t>
            </w:r>
          </w:p>
        </w:tc>
        <w:tc>
          <w:tcPr>
            <w:tcW w:w="155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173 458</w:t>
            </w:r>
          </w:p>
        </w:tc>
        <w:tc>
          <w:tcPr>
            <w:tcW w:w="1164"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30 160</w:t>
            </w:r>
          </w:p>
        </w:tc>
        <w:tc>
          <w:tcPr>
            <w:tcW w:w="15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59 112</w:t>
            </w:r>
          </w:p>
        </w:tc>
        <w:tc>
          <w:tcPr>
            <w:tcW w:w="1629" w:type="dxa"/>
            <w:tcBorders>
              <w:top w:val="single" w:sz="2" w:space="0" w:color="000000"/>
              <w:left w:val="single" w:sz="2" w:space="0" w:color="000000"/>
              <w:bottom w:val="single" w:sz="2" w:space="0" w:color="000000"/>
              <w:right w:val="single" w:sz="2" w:space="0" w:color="000000"/>
            </w:tcBorders>
            <w:vAlign w:val="center"/>
          </w:tcPr>
          <w:p w:rsidR="00C130E5" w:rsidRDefault="00C130E5" w:rsidP="00C130E5">
            <w:pPr>
              <w:jc w:val="center"/>
              <w:rPr>
                <w:rFonts w:ascii="Arial Narrow" w:hAnsi="Arial Narrow"/>
                <w:color w:val="000000"/>
                <w:sz w:val="18"/>
                <w:szCs w:val="18"/>
              </w:rPr>
            </w:pPr>
            <w:r>
              <w:rPr>
                <w:rFonts w:ascii="Arial Narrow" w:hAnsi="Arial Narrow"/>
                <w:color w:val="000000"/>
                <w:sz w:val="18"/>
                <w:szCs w:val="18"/>
              </w:rPr>
              <w:t>144 506</w:t>
            </w:r>
          </w:p>
        </w:tc>
      </w:tr>
    </w:tbl>
    <w:p w:rsidR="006C37C7" w:rsidRDefault="006C37C7" w:rsidP="006C37C7">
      <w:pPr>
        <w:pStyle w:val="Vchodzie"/>
        <w:autoSpaceDE/>
        <w:spacing w:line="200" w:lineRule="atLeast"/>
        <w:rPr>
          <w:rFonts w:ascii="Arial Narrow" w:hAnsi="Arial Narrow"/>
          <w:sz w:val="20"/>
          <w:szCs w:val="20"/>
        </w:rPr>
      </w:pPr>
    </w:p>
    <w:p w:rsidR="006C37C7" w:rsidRPr="00913E25" w:rsidRDefault="006C37C7" w:rsidP="006C37C7">
      <w:pPr>
        <w:pStyle w:val="Vchodzie"/>
        <w:keepNext/>
        <w:tabs>
          <w:tab w:val="left" w:pos="-2127"/>
          <w:tab w:val="left" w:pos="-1843"/>
        </w:tabs>
        <w:autoSpaceDE/>
        <w:spacing w:before="120" w:line="200" w:lineRule="atLeast"/>
        <w:rPr>
          <w:rFonts w:ascii="Arial Narrow" w:hAnsi="Arial Narrow"/>
          <w:b/>
          <w:sz w:val="20"/>
          <w:lang w:eastAsia="en-US" w:bidi="ar-SA"/>
        </w:rPr>
      </w:pPr>
      <w:r w:rsidRPr="00913E25">
        <w:rPr>
          <w:rFonts w:ascii="Arial Narrow" w:hAnsi="Arial Narrow"/>
          <w:b/>
          <w:sz w:val="20"/>
          <w:lang w:eastAsia="en-US" w:bidi="ar-SA"/>
        </w:rPr>
        <w:t>Poskytnuté dotácie</w:t>
      </w:r>
    </w:p>
    <w:p w:rsidR="00295E19" w:rsidRDefault="00295E19" w:rsidP="00295E19">
      <w:pPr>
        <w:ind w:right="71"/>
        <w:jc w:val="both"/>
        <w:rPr>
          <w:rFonts w:ascii="Arial Narrow" w:hAnsi="Arial Narrow"/>
          <w:bCs/>
          <w:sz w:val="22"/>
          <w:lang w:eastAsia="en-US"/>
        </w:rPr>
      </w:pPr>
    </w:p>
    <w:tbl>
      <w:tblPr>
        <w:tblW w:w="0" w:type="auto"/>
        <w:jc w:val="center"/>
        <w:tblInd w:w="-3540" w:type="dxa"/>
        <w:tblLayout w:type="fixed"/>
        <w:tblCellMar>
          <w:left w:w="70" w:type="dxa"/>
          <w:right w:w="70" w:type="dxa"/>
        </w:tblCellMar>
        <w:tblLook w:val="0000"/>
      </w:tblPr>
      <w:tblGrid>
        <w:gridCol w:w="3364"/>
        <w:gridCol w:w="2429"/>
        <w:gridCol w:w="2974"/>
      </w:tblGrid>
      <w:tr w:rsidR="00295E19" w:rsidRPr="00B93F02" w:rsidTr="00890A91">
        <w:trPr>
          <w:trHeight w:val="497"/>
          <w:jc w:val="center"/>
        </w:trPr>
        <w:tc>
          <w:tcPr>
            <w:tcW w:w="3364"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19329A" w:rsidP="0019329A">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Dotácie</w:t>
            </w:r>
          </w:p>
        </w:tc>
        <w:tc>
          <w:tcPr>
            <w:tcW w:w="2429"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19329A"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Účel</w:t>
            </w:r>
          </w:p>
        </w:tc>
        <w:tc>
          <w:tcPr>
            <w:tcW w:w="2974"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Výška dotácie</w:t>
            </w:r>
          </w:p>
        </w:tc>
      </w:tr>
      <w:tr w:rsidR="00295E19" w:rsidRPr="00B93F02" w:rsidTr="00890A91">
        <w:trPr>
          <w:trHeight w:val="225"/>
          <w:jc w:val="center"/>
        </w:trPr>
        <w:tc>
          <w:tcPr>
            <w:tcW w:w="3364" w:type="dxa"/>
            <w:tcBorders>
              <w:top w:val="single" w:sz="2" w:space="0" w:color="000000"/>
              <w:left w:val="single" w:sz="2" w:space="0" w:color="000000"/>
              <w:bottom w:val="single" w:sz="2" w:space="0" w:color="000000"/>
              <w:right w:val="single" w:sz="2" w:space="0" w:color="000000"/>
            </w:tcBorders>
            <w:vAlign w:val="center"/>
          </w:tcPr>
          <w:p w:rsidR="00295E19" w:rsidRPr="00B93F02" w:rsidRDefault="00295E19" w:rsidP="00890A91">
            <w:pPr>
              <w:rPr>
                <w:rFonts w:ascii="Arial Narrow" w:hAnsi="Arial Narrow"/>
                <w:color w:val="000000"/>
                <w:sz w:val="18"/>
                <w:szCs w:val="18"/>
              </w:rPr>
            </w:pPr>
            <w:r>
              <w:rPr>
                <w:rFonts w:ascii="Arial Narrow" w:hAnsi="Arial Narrow"/>
                <w:color w:val="000000"/>
                <w:sz w:val="18"/>
                <w:szCs w:val="18"/>
              </w:rPr>
              <w:t>Krytá plaváreň Štiavničky</w:t>
            </w:r>
          </w:p>
        </w:tc>
        <w:tc>
          <w:tcPr>
            <w:tcW w:w="2429" w:type="dxa"/>
            <w:tcBorders>
              <w:top w:val="single" w:sz="2" w:space="0" w:color="000000"/>
              <w:left w:val="single" w:sz="2" w:space="0" w:color="000000"/>
              <w:bottom w:val="single" w:sz="2" w:space="0" w:color="000000"/>
              <w:right w:val="single" w:sz="2" w:space="0" w:color="000000"/>
            </w:tcBorders>
            <w:vAlign w:val="bottom"/>
          </w:tcPr>
          <w:p w:rsidR="00295E19" w:rsidRPr="00872D51" w:rsidRDefault="00295E19" w:rsidP="00890A91">
            <w:pPr>
              <w:rPr>
                <w:rFonts w:ascii="Arial Narrow" w:hAnsi="Arial Narrow"/>
                <w:color w:val="000000"/>
                <w:sz w:val="18"/>
                <w:szCs w:val="18"/>
              </w:rPr>
            </w:pPr>
            <w:r>
              <w:rPr>
                <w:rFonts w:ascii="Arial Narrow" w:hAnsi="Arial Narrow"/>
                <w:color w:val="000000"/>
                <w:sz w:val="18"/>
                <w:szCs w:val="18"/>
              </w:rPr>
              <w:t>Dotácia na prevádzku</w:t>
            </w:r>
          </w:p>
        </w:tc>
        <w:tc>
          <w:tcPr>
            <w:tcW w:w="2974" w:type="dxa"/>
            <w:tcBorders>
              <w:top w:val="single" w:sz="2" w:space="0" w:color="000000"/>
              <w:left w:val="single" w:sz="2" w:space="0" w:color="000000"/>
              <w:bottom w:val="single" w:sz="2" w:space="0" w:color="000000"/>
              <w:right w:val="single" w:sz="2" w:space="0" w:color="000000"/>
            </w:tcBorders>
            <w:vAlign w:val="bottom"/>
          </w:tcPr>
          <w:p w:rsidR="00295E19" w:rsidRPr="00872D51" w:rsidRDefault="00295E19" w:rsidP="00890A91">
            <w:pPr>
              <w:jc w:val="center"/>
              <w:rPr>
                <w:rFonts w:ascii="Arial Narrow" w:hAnsi="Arial Narrow"/>
                <w:color w:val="000000"/>
                <w:sz w:val="18"/>
                <w:szCs w:val="18"/>
              </w:rPr>
            </w:pPr>
            <w:r w:rsidRPr="00872D51">
              <w:rPr>
                <w:rFonts w:ascii="Arial Narrow" w:hAnsi="Arial Narrow"/>
                <w:color w:val="000000"/>
                <w:sz w:val="18"/>
                <w:szCs w:val="18"/>
              </w:rPr>
              <w:t>480 000</w:t>
            </w:r>
          </w:p>
        </w:tc>
      </w:tr>
      <w:tr w:rsidR="00295E19" w:rsidRPr="00B93F02" w:rsidTr="00890A91">
        <w:trPr>
          <w:trHeight w:val="225"/>
          <w:jc w:val="center"/>
        </w:trPr>
        <w:tc>
          <w:tcPr>
            <w:tcW w:w="3364"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spacing w:line="276" w:lineRule="auto"/>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Zimný štadión</w:t>
            </w:r>
          </w:p>
        </w:tc>
        <w:tc>
          <w:tcPr>
            <w:tcW w:w="2429" w:type="dxa"/>
            <w:tcBorders>
              <w:top w:val="single" w:sz="2" w:space="0" w:color="000000"/>
              <w:left w:val="single" w:sz="2" w:space="0" w:color="000000"/>
              <w:bottom w:val="single" w:sz="2" w:space="0" w:color="000000"/>
              <w:right w:val="single" w:sz="2" w:space="0" w:color="000000"/>
            </w:tcBorders>
            <w:vAlign w:val="bottom"/>
          </w:tcPr>
          <w:p w:rsidR="00295E19" w:rsidRPr="00872D51" w:rsidRDefault="00295E19" w:rsidP="00890A91">
            <w:pPr>
              <w:rPr>
                <w:rFonts w:ascii="Arial Narrow" w:hAnsi="Arial Narrow"/>
                <w:color w:val="000000"/>
                <w:sz w:val="18"/>
                <w:szCs w:val="18"/>
              </w:rPr>
            </w:pPr>
            <w:r>
              <w:rPr>
                <w:rFonts w:ascii="Arial Narrow" w:hAnsi="Arial Narrow"/>
                <w:color w:val="000000"/>
                <w:sz w:val="18"/>
                <w:szCs w:val="18"/>
              </w:rPr>
              <w:t>Dotácia na prevádzku</w:t>
            </w:r>
          </w:p>
        </w:tc>
        <w:tc>
          <w:tcPr>
            <w:tcW w:w="2974" w:type="dxa"/>
            <w:tcBorders>
              <w:top w:val="single" w:sz="2" w:space="0" w:color="000000"/>
              <w:left w:val="single" w:sz="2" w:space="0" w:color="000000"/>
              <w:bottom w:val="single" w:sz="2" w:space="0" w:color="000000"/>
              <w:right w:val="single" w:sz="2" w:space="0" w:color="000000"/>
            </w:tcBorders>
            <w:vAlign w:val="bottom"/>
          </w:tcPr>
          <w:p w:rsidR="00295E19" w:rsidRPr="00872D51" w:rsidRDefault="00295E19" w:rsidP="00890A91">
            <w:pPr>
              <w:jc w:val="center"/>
              <w:rPr>
                <w:rFonts w:ascii="Arial Narrow" w:hAnsi="Arial Narrow"/>
                <w:color w:val="000000"/>
                <w:sz w:val="18"/>
                <w:szCs w:val="18"/>
              </w:rPr>
            </w:pPr>
            <w:r w:rsidRPr="00872D51">
              <w:rPr>
                <w:rFonts w:ascii="Arial Narrow" w:hAnsi="Arial Narrow"/>
                <w:color w:val="000000"/>
                <w:sz w:val="18"/>
                <w:szCs w:val="18"/>
              </w:rPr>
              <w:t>440 100</w:t>
            </w:r>
          </w:p>
        </w:tc>
      </w:tr>
      <w:tr w:rsidR="00295E19" w:rsidRPr="00B93F02" w:rsidTr="00890A91">
        <w:trPr>
          <w:trHeight w:val="225"/>
          <w:jc w:val="center"/>
        </w:trPr>
        <w:tc>
          <w:tcPr>
            <w:tcW w:w="3364"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spacing w:line="276" w:lineRule="auto"/>
              <w:rPr>
                <w:rFonts w:ascii="Arial Narrow" w:hAnsi="Arial Narrow"/>
                <w:color w:val="000000"/>
                <w:sz w:val="18"/>
                <w:szCs w:val="18"/>
              </w:rPr>
            </w:pPr>
          </w:p>
        </w:tc>
        <w:tc>
          <w:tcPr>
            <w:tcW w:w="2429"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sz w:val="18"/>
                <w:szCs w:val="18"/>
                <w:lang w:eastAsia="en-US"/>
              </w:rPr>
            </w:pPr>
          </w:p>
        </w:tc>
        <w:tc>
          <w:tcPr>
            <w:tcW w:w="2974"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sz w:val="18"/>
                <w:szCs w:val="18"/>
                <w:lang w:eastAsia="en-US"/>
              </w:rPr>
            </w:pPr>
          </w:p>
        </w:tc>
      </w:tr>
    </w:tbl>
    <w:p w:rsidR="00295E19" w:rsidRDefault="00295E19" w:rsidP="00295E19">
      <w:pPr>
        <w:ind w:left="426" w:right="-142"/>
        <w:jc w:val="both"/>
        <w:rPr>
          <w:rFonts w:ascii="Arial Narrow" w:hAnsi="Arial Narrow"/>
          <w:bCs/>
          <w:sz w:val="22"/>
          <w:lang w:eastAsia="en-US"/>
        </w:rPr>
      </w:pPr>
    </w:p>
    <w:p w:rsidR="00295E19" w:rsidRDefault="00295E19" w:rsidP="00295E19">
      <w:pPr>
        <w:ind w:left="426" w:right="-142"/>
        <w:jc w:val="both"/>
        <w:rPr>
          <w:rFonts w:ascii="Arial Narrow" w:hAnsi="Arial Narrow"/>
          <w:bCs/>
          <w:sz w:val="22"/>
          <w:lang w:eastAsia="en-US"/>
        </w:rPr>
      </w:pPr>
      <w:r>
        <w:rPr>
          <w:rFonts w:ascii="Arial Narrow" w:hAnsi="Arial Narrow"/>
          <w:bCs/>
          <w:sz w:val="22"/>
          <w:lang w:eastAsia="en-US"/>
        </w:rPr>
        <w:t>M</w:t>
      </w:r>
      <w:r w:rsidRPr="00D33F20">
        <w:rPr>
          <w:rFonts w:ascii="Arial Narrow" w:hAnsi="Arial Narrow"/>
          <w:bCs/>
          <w:sz w:val="22"/>
          <w:lang w:eastAsia="en-US"/>
        </w:rPr>
        <w:t>esto B.</w:t>
      </w:r>
      <w:r>
        <w:rPr>
          <w:rFonts w:ascii="Arial Narrow" w:hAnsi="Arial Narrow"/>
          <w:bCs/>
          <w:sz w:val="22"/>
          <w:lang w:eastAsia="en-US"/>
        </w:rPr>
        <w:t xml:space="preserve"> </w:t>
      </w:r>
      <w:r w:rsidRPr="00D33F20">
        <w:rPr>
          <w:rFonts w:ascii="Arial Narrow" w:hAnsi="Arial Narrow"/>
          <w:bCs/>
          <w:sz w:val="22"/>
          <w:lang w:eastAsia="en-US"/>
        </w:rPr>
        <w:t>Bystrica poskytlo dotáciu na zimný štadión a krytú plaváreň, podľa  par.7 ods.2 zákona č.583/2004, na zabezpečenie konkrétnych úloh</w:t>
      </w:r>
      <w:r w:rsidRPr="00D33F20">
        <w:t xml:space="preserve"> </w:t>
      </w:r>
      <w:r w:rsidRPr="00D33F20">
        <w:rPr>
          <w:rFonts w:ascii="Arial Narrow" w:hAnsi="Arial Narrow"/>
          <w:bCs/>
          <w:sz w:val="22"/>
          <w:lang w:eastAsia="en-US"/>
        </w:rPr>
        <w:t>a akcií  vo verejnom záujme</w:t>
      </w:r>
      <w:r>
        <w:rPr>
          <w:rFonts w:ascii="Arial Narrow" w:hAnsi="Arial Narrow"/>
          <w:bCs/>
          <w:sz w:val="22"/>
          <w:lang w:eastAsia="en-US"/>
        </w:rPr>
        <w:t>.</w:t>
      </w:r>
    </w:p>
    <w:p w:rsidR="00295E19" w:rsidRDefault="00295E19" w:rsidP="00295E19">
      <w:pPr>
        <w:ind w:left="426" w:right="-142"/>
        <w:jc w:val="both"/>
        <w:rPr>
          <w:rFonts w:ascii="Arial Narrow" w:hAnsi="Arial Narrow"/>
          <w:bCs/>
          <w:sz w:val="22"/>
          <w:lang w:eastAsia="en-US"/>
        </w:rPr>
      </w:pPr>
    </w:p>
    <w:tbl>
      <w:tblPr>
        <w:tblW w:w="0" w:type="auto"/>
        <w:jc w:val="center"/>
        <w:tblInd w:w="-3916" w:type="dxa"/>
        <w:tblLayout w:type="fixed"/>
        <w:tblCellMar>
          <w:left w:w="70" w:type="dxa"/>
          <w:right w:w="70" w:type="dxa"/>
        </w:tblCellMar>
        <w:tblLook w:val="0000"/>
      </w:tblPr>
      <w:tblGrid>
        <w:gridCol w:w="3427"/>
        <w:gridCol w:w="2410"/>
        <w:gridCol w:w="3000"/>
      </w:tblGrid>
      <w:tr w:rsidR="00295E19" w:rsidRPr="00B93F02" w:rsidTr="00C0254A">
        <w:trPr>
          <w:trHeight w:val="419"/>
          <w:jc w:val="center"/>
        </w:trPr>
        <w:tc>
          <w:tcPr>
            <w:tcW w:w="3427"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Dotácie/Majetok</w:t>
            </w:r>
          </w:p>
        </w:tc>
        <w:tc>
          <w:tcPr>
            <w:tcW w:w="2410"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Ocenenie</w:t>
            </w:r>
          </w:p>
        </w:tc>
        <w:tc>
          <w:tcPr>
            <w:tcW w:w="3000"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Výška dotácie</w:t>
            </w:r>
          </w:p>
        </w:tc>
      </w:tr>
      <w:tr w:rsidR="00295E19" w:rsidRPr="00B93F02" w:rsidTr="00C0254A">
        <w:trPr>
          <w:trHeight w:val="225"/>
          <w:jc w:val="center"/>
        </w:trPr>
        <w:tc>
          <w:tcPr>
            <w:tcW w:w="3427"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spacing w:line="276" w:lineRule="auto"/>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Hala A zimný štadión - severná tribúna</w:t>
            </w:r>
          </w:p>
        </w:tc>
        <w:tc>
          <w:tcPr>
            <w:tcW w:w="2410" w:type="dxa"/>
            <w:tcBorders>
              <w:top w:val="single" w:sz="2" w:space="0" w:color="000000"/>
              <w:left w:val="single" w:sz="2" w:space="0" w:color="000000"/>
              <w:bottom w:val="single" w:sz="2" w:space="0" w:color="000000"/>
              <w:right w:val="single" w:sz="2" w:space="0" w:color="000000"/>
            </w:tcBorders>
            <w:vAlign w:val="bottom"/>
          </w:tcPr>
          <w:p w:rsidR="00295E19" w:rsidRDefault="00295E19" w:rsidP="00890A91">
            <w:pPr>
              <w:jc w:val="center"/>
              <w:rPr>
                <w:rFonts w:ascii="Arial Narrow" w:hAnsi="Arial Narrow"/>
                <w:color w:val="000000"/>
                <w:sz w:val="18"/>
                <w:szCs w:val="18"/>
              </w:rPr>
            </w:pPr>
            <w:r>
              <w:rPr>
                <w:rFonts w:ascii="Arial Narrow" w:hAnsi="Arial Narrow"/>
                <w:color w:val="000000"/>
                <w:sz w:val="18"/>
                <w:szCs w:val="18"/>
              </w:rPr>
              <w:t>2 424 024</w:t>
            </w:r>
          </w:p>
        </w:tc>
        <w:tc>
          <w:tcPr>
            <w:tcW w:w="3000" w:type="dxa"/>
            <w:tcBorders>
              <w:top w:val="single" w:sz="2" w:space="0" w:color="000000"/>
              <w:left w:val="single" w:sz="2" w:space="0" w:color="000000"/>
              <w:bottom w:val="single" w:sz="2" w:space="0" w:color="000000"/>
              <w:right w:val="single" w:sz="2" w:space="0" w:color="000000"/>
            </w:tcBorders>
            <w:vAlign w:val="center"/>
          </w:tcPr>
          <w:p w:rsidR="00295E19" w:rsidRDefault="00295E19" w:rsidP="00890A91">
            <w:pPr>
              <w:jc w:val="center"/>
              <w:rPr>
                <w:rFonts w:ascii="Arial Narrow" w:hAnsi="Arial Narrow"/>
                <w:color w:val="000000"/>
                <w:sz w:val="18"/>
                <w:szCs w:val="18"/>
              </w:rPr>
            </w:pPr>
            <w:r>
              <w:rPr>
                <w:rFonts w:ascii="Arial Narrow" w:hAnsi="Arial Narrow"/>
                <w:color w:val="000000"/>
                <w:sz w:val="18"/>
                <w:szCs w:val="18"/>
              </w:rPr>
              <w:t>1 000 000</w:t>
            </w:r>
          </w:p>
        </w:tc>
      </w:tr>
      <w:tr w:rsidR="00295E19" w:rsidRPr="00B93F02" w:rsidTr="00C0254A">
        <w:trPr>
          <w:trHeight w:val="225"/>
          <w:jc w:val="center"/>
        </w:trPr>
        <w:tc>
          <w:tcPr>
            <w:tcW w:w="3427"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spacing w:line="276" w:lineRule="auto"/>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Bytovka Severná 5</w:t>
            </w:r>
          </w:p>
        </w:tc>
        <w:tc>
          <w:tcPr>
            <w:tcW w:w="2410" w:type="dxa"/>
            <w:tcBorders>
              <w:top w:val="single" w:sz="2" w:space="0" w:color="000000"/>
              <w:left w:val="single" w:sz="2" w:space="0" w:color="000000"/>
              <w:bottom w:val="single" w:sz="2" w:space="0" w:color="000000"/>
              <w:right w:val="single" w:sz="2" w:space="0" w:color="000000"/>
            </w:tcBorders>
            <w:vAlign w:val="bottom"/>
          </w:tcPr>
          <w:p w:rsidR="00295E19" w:rsidRDefault="00295E19" w:rsidP="00890A91">
            <w:pPr>
              <w:jc w:val="center"/>
              <w:rPr>
                <w:rFonts w:ascii="Arial Narrow" w:hAnsi="Arial Narrow"/>
                <w:color w:val="000000"/>
                <w:sz w:val="18"/>
                <w:szCs w:val="18"/>
              </w:rPr>
            </w:pPr>
            <w:r>
              <w:rPr>
                <w:rFonts w:ascii="Arial Narrow" w:hAnsi="Arial Narrow"/>
                <w:color w:val="000000"/>
                <w:sz w:val="18"/>
                <w:szCs w:val="18"/>
              </w:rPr>
              <w:t>1 957 934</w:t>
            </w:r>
          </w:p>
        </w:tc>
        <w:tc>
          <w:tcPr>
            <w:tcW w:w="3000" w:type="dxa"/>
            <w:tcBorders>
              <w:top w:val="single" w:sz="2" w:space="0" w:color="000000"/>
              <w:left w:val="single" w:sz="2" w:space="0" w:color="000000"/>
              <w:bottom w:val="single" w:sz="2" w:space="0" w:color="000000"/>
              <w:right w:val="single" w:sz="2" w:space="0" w:color="000000"/>
            </w:tcBorders>
            <w:vAlign w:val="center"/>
          </w:tcPr>
          <w:p w:rsidR="00295E19" w:rsidRDefault="00295E19" w:rsidP="00890A91">
            <w:pPr>
              <w:jc w:val="center"/>
              <w:rPr>
                <w:rFonts w:ascii="Arial Narrow" w:hAnsi="Arial Narrow"/>
                <w:color w:val="000000"/>
                <w:sz w:val="18"/>
                <w:szCs w:val="18"/>
              </w:rPr>
            </w:pPr>
            <w:r>
              <w:rPr>
                <w:rFonts w:ascii="Arial Narrow" w:hAnsi="Arial Narrow"/>
                <w:color w:val="000000"/>
                <w:sz w:val="18"/>
                <w:szCs w:val="18"/>
              </w:rPr>
              <w:t>180 000</w:t>
            </w:r>
          </w:p>
        </w:tc>
      </w:tr>
      <w:tr w:rsidR="00295E19" w:rsidRPr="00B93F02" w:rsidTr="00C0254A">
        <w:trPr>
          <w:trHeight w:val="225"/>
          <w:jc w:val="center"/>
        </w:trPr>
        <w:tc>
          <w:tcPr>
            <w:tcW w:w="3427"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spacing w:line="276" w:lineRule="auto"/>
              <w:rPr>
                <w:rFonts w:ascii="Arial Narrow" w:hAnsi="Arial Narrow"/>
                <w:color w:val="000000"/>
                <w:sz w:val="18"/>
                <w:szCs w:val="18"/>
              </w:rPr>
            </w:pPr>
          </w:p>
        </w:tc>
        <w:tc>
          <w:tcPr>
            <w:tcW w:w="2410"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sz w:val="18"/>
                <w:szCs w:val="18"/>
                <w:lang w:eastAsia="en-US"/>
              </w:rPr>
            </w:pPr>
          </w:p>
        </w:tc>
        <w:tc>
          <w:tcPr>
            <w:tcW w:w="3000" w:type="dxa"/>
            <w:tcBorders>
              <w:top w:val="single" w:sz="2" w:space="0" w:color="000000"/>
              <w:left w:val="single" w:sz="2" w:space="0" w:color="000000"/>
              <w:bottom w:val="single" w:sz="2" w:space="0" w:color="000000"/>
              <w:right w:val="single" w:sz="2" w:space="0" w:color="000000"/>
            </w:tcBorders>
            <w:vAlign w:val="center"/>
          </w:tcPr>
          <w:p w:rsidR="00295E19" w:rsidRPr="00890A91" w:rsidRDefault="00295E19" w:rsidP="00890A91">
            <w:pPr>
              <w:pStyle w:val="Vchodzie"/>
              <w:autoSpaceDE/>
              <w:jc w:val="center"/>
              <w:rPr>
                <w:rFonts w:ascii="Arial Narrow" w:hAnsi="Arial Narrow"/>
                <w:sz w:val="18"/>
                <w:szCs w:val="18"/>
                <w:lang w:eastAsia="en-US"/>
              </w:rPr>
            </w:pPr>
          </w:p>
        </w:tc>
      </w:tr>
    </w:tbl>
    <w:p w:rsidR="00295E19" w:rsidRPr="006032E1" w:rsidRDefault="00295E19" w:rsidP="00295E19">
      <w:pPr>
        <w:ind w:right="71"/>
        <w:jc w:val="both"/>
        <w:rPr>
          <w:rFonts w:ascii="Arial Narrow" w:hAnsi="Arial Narrow"/>
          <w:bCs/>
          <w:sz w:val="22"/>
          <w:lang w:eastAsia="en-US"/>
        </w:rPr>
      </w:pPr>
    </w:p>
    <w:p w:rsidR="00295E19" w:rsidRDefault="00295E19" w:rsidP="00295E19">
      <w:pPr>
        <w:ind w:left="360" w:right="71"/>
        <w:jc w:val="both"/>
        <w:rPr>
          <w:rFonts w:ascii="Arial Narrow" w:hAnsi="Arial Narrow"/>
          <w:bCs/>
          <w:sz w:val="22"/>
          <w:lang w:eastAsia="en-US"/>
        </w:rPr>
      </w:pPr>
      <w:r w:rsidRPr="00D33F20">
        <w:rPr>
          <w:rFonts w:ascii="Arial Narrow" w:hAnsi="Arial Narrow"/>
          <w:bCs/>
          <w:sz w:val="22"/>
          <w:lang w:eastAsia="en-US"/>
        </w:rPr>
        <w:t xml:space="preserve">Dotácia na zimný štadión z Úradu vlády SR bola poskytnutá na prestavbu severnej tribúny, grant </w:t>
      </w:r>
      <w:r w:rsidR="00184447">
        <w:rPr>
          <w:rFonts w:ascii="Arial Narrow" w:hAnsi="Arial Narrow"/>
          <w:bCs/>
          <w:sz w:val="22"/>
          <w:lang w:eastAsia="en-US"/>
        </w:rPr>
        <w:t>z EU na zateplenie OD Severná 5.</w:t>
      </w:r>
    </w:p>
    <w:p w:rsidR="00295E19" w:rsidRDefault="00295E19" w:rsidP="006C37C7">
      <w:pPr>
        <w:pStyle w:val="Vchodzie"/>
        <w:autoSpaceDE/>
        <w:spacing w:line="200" w:lineRule="atLeast"/>
        <w:rPr>
          <w:rFonts w:ascii="Arial Narrow" w:hAnsi="Arial Narrow"/>
          <w:sz w:val="20"/>
          <w:szCs w:val="20"/>
        </w:rPr>
      </w:pPr>
    </w:p>
    <w:p w:rsidR="006C37C7" w:rsidRPr="00184447" w:rsidRDefault="006C37C7" w:rsidP="006C37C7">
      <w:pPr>
        <w:pStyle w:val="Vchodzie"/>
        <w:keepNext/>
        <w:autoSpaceDE/>
        <w:spacing w:after="60" w:line="276" w:lineRule="auto"/>
        <w:rPr>
          <w:sz w:val="22"/>
          <w:szCs w:val="22"/>
        </w:rPr>
      </w:pPr>
      <w:r w:rsidRPr="00184447">
        <w:rPr>
          <w:rFonts w:ascii="Arial Narrow" w:hAnsi="Arial Narrow"/>
          <w:b/>
          <w:sz w:val="22"/>
          <w:szCs w:val="22"/>
          <w:lang w:eastAsia="en-US"/>
        </w:rPr>
        <w:t>Informácie, ktoré vysvetľujú a dopĺňajú súvahu a výkaz ziskov</w:t>
      </w:r>
    </w:p>
    <w:p w:rsidR="006C37C7" w:rsidRPr="00184447" w:rsidRDefault="006C37C7" w:rsidP="007B2B28">
      <w:pPr>
        <w:ind w:left="426" w:right="71"/>
        <w:jc w:val="both"/>
        <w:rPr>
          <w:rFonts w:ascii="Arial Narrow" w:hAnsi="Arial Narrow"/>
          <w:bCs/>
          <w:sz w:val="22"/>
          <w:lang w:eastAsia="en-US"/>
        </w:rPr>
      </w:pPr>
      <w:r w:rsidRPr="00184447">
        <w:rPr>
          <w:rFonts w:ascii="Arial Narrow" w:hAnsi="Arial Narrow"/>
          <w:bCs/>
          <w:sz w:val="22"/>
          <w:lang w:eastAsia="en-US"/>
        </w:rPr>
        <w:t>Celková suma záväzkov so zostatkovou dobou splatnosti dlhšou ako päť rokov</w:t>
      </w:r>
    </w:p>
    <w:p w:rsidR="006C37C7" w:rsidRPr="00711EC8" w:rsidRDefault="006C37C7" w:rsidP="006C37C7">
      <w:pPr>
        <w:pStyle w:val="Vchodzie"/>
        <w:keepNext/>
        <w:tabs>
          <w:tab w:val="left" w:pos="720"/>
        </w:tabs>
        <w:autoSpaceDE/>
        <w:spacing w:line="200" w:lineRule="atLeast"/>
        <w:ind w:left="720" w:hanging="360"/>
      </w:pPr>
    </w:p>
    <w:tbl>
      <w:tblPr>
        <w:tblW w:w="0" w:type="auto"/>
        <w:jc w:val="center"/>
        <w:tblInd w:w="-7198" w:type="dxa"/>
        <w:tblLayout w:type="fixed"/>
        <w:tblCellMar>
          <w:left w:w="70" w:type="dxa"/>
          <w:right w:w="70" w:type="dxa"/>
        </w:tblCellMar>
        <w:tblLook w:val="0000"/>
      </w:tblPr>
      <w:tblGrid>
        <w:gridCol w:w="3495"/>
        <w:gridCol w:w="2459"/>
        <w:gridCol w:w="2945"/>
      </w:tblGrid>
      <w:tr w:rsidR="00184447" w:rsidRPr="00B93F02" w:rsidTr="00184447">
        <w:trPr>
          <w:trHeight w:val="497"/>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Záväzky</w:t>
            </w:r>
          </w:p>
        </w:tc>
        <w:tc>
          <w:tcPr>
            <w:tcW w:w="2459"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Hodnota v bežnom účtovnom období</w:t>
            </w:r>
          </w:p>
        </w:tc>
        <w:tc>
          <w:tcPr>
            <w:tcW w:w="2945"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jc w:val="center"/>
              <w:rPr>
                <w:rFonts w:ascii="Arial Narrow" w:hAnsi="Arial Narrow"/>
                <w:b/>
                <w:color w:val="000000"/>
                <w:sz w:val="18"/>
                <w:szCs w:val="18"/>
              </w:rPr>
            </w:pPr>
            <w:r w:rsidRPr="00890A91">
              <w:rPr>
                <w:rFonts w:ascii="Arial Narrow" w:hAnsi="Arial Narrow"/>
                <w:b/>
                <w:color w:val="000000"/>
                <w:sz w:val="18"/>
                <w:szCs w:val="18"/>
              </w:rPr>
              <w:t>Hodnota v predchádzajúcom účtovnom období</w:t>
            </w:r>
          </w:p>
        </w:tc>
      </w:tr>
      <w:tr w:rsidR="00184447" w:rsidRPr="00B93F02" w:rsidTr="00184447">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spacing w:line="276" w:lineRule="auto"/>
              <w:rPr>
                <w:rFonts w:ascii="Arial Narrow" w:hAnsi="Arial Narrow"/>
                <w:color w:val="000000"/>
                <w:sz w:val="18"/>
                <w:szCs w:val="18"/>
                <w:lang w:eastAsia="en-US" w:bidi="ar-SA"/>
              </w:rPr>
            </w:pPr>
            <w:r w:rsidRPr="00890A91">
              <w:rPr>
                <w:rFonts w:ascii="Arial Narrow" w:hAnsi="Arial Narrow"/>
                <w:color w:val="000000"/>
                <w:sz w:val="18"/>
                <w:szCs w:val="18"/>
                <w:lang w:eastAsia="en-US" w:bidi="ar-SA"/>
              </w:rPr>
              <w:t>Sociálny fond</w:t>
            </w:r>
          </w:p>
        </w:tc>
        <w:tc>
          <w:tcPr>
            <w:tcW w:w="2459"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jc w:val="center"/>
              <w:rPr>
                <w:rFonts w:ascii="Arial Narrow" w:hAnsi="Arial Narrow"/>
                <w:sz w:val="18"/>
                <w:szCs w:val="18"/>
                <w:lang w:eastAsia="en-US"/>
              </w:rPr>
            </w:pPr>
            <w:r>
              <w:rPr>
                <w:rFonts w:ascii="Arial Narrow" w:hAnsi="Arial Narrow"/>
                <w:sz w:val="18"/>
                <w:szCs w:val="18"/>
                <w:lang w:eastAsia="en-US"/>
              </w:rPr>
              <w:t>365</w:t>
            </w:r>
          </w:p>
        </w:tc>
        <w:tc>
          <w:tcPr>
            <w:tcW w:w="2945"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90A91">
            <w:pPr>
              <w:pStyle w:val="Vchodzie"/>
              <w:autoSpaceDE/>
              <w:jc w:val="center"/>
              <w:rPr>
                <w:rFonts w:ascii="Arial Narrow" w:hAnsi="Arial Narrow"/>
                <w:sz w:val="18"/>
                <w:szCs w:val="18"/>
                <w:lang w:eastAsia="en-US"/>
              </w:rPr>
            </w:pPr>
            <w:r>
              <w:rPr>
                <w:rFonts w:ascii="Arial Narrow" w:hAnsi="Arial Narrow"/>
                <w:sz w:val="18"/>
                <w:szCs w:val="18"/>
                <w:lang w:eastAsia="en-US"/>
              </w:rPr>
              <w:t>2 216</w:t>
            </w:r>
          </w:p>
        </w:tc>
      </w:tr>
      <w:tr w:rsidR="00184447" w:rsidRPr="00B93F02" w:rsidTr="00184447">
        <w:trPr>
          <w:trHeight w:val="225"/>
          <w:jc w:val="center"/>
        </w:trPr>
        <w:tc>
          <w:tcPr>
            <w:tcW w:w="3495" w:type="dxa"/>
            <w:tcBorders>
              <w:top w:val="single" w:sz="2" w:space="0" w:color="000000"/>
              <w:left w:val="single" w:sz="2" w:space="0" w:color="000000"/>
              <w:bottom w:val="single" w:sz="2" w:space="0" w:color="000000"/>
              <w:right w:val="single" w:sz="2" w:space="0" w:color="000000"/>
            </w:tcBorders>
            <w:vAlign w:val="center"/>
          </w:tcPr>
          <w:p w:rsidR="00184447" w:rsidRPr="00890A91" w:rsidRDefault="00184447" w:rsidP="00840216">
            <w:pPr>
              <w:pStyle w:val="Vchodzie"/>
              <w:autoSpaceDE/>
              <w:spacing w:line="276" w:lineRule="auto"/>
              <w:rPr>
                <w:rFonts w:ascii="Arial Narrow" w:hAnsi="Arial Narrow"/>
                <w:color w:val="000000"/>
                <w:sz w:val="18"/>
                <w:szCs w:val="18"/>
              </w:rPr>
            </w:pPr>
            <w:r w:rsidRPr="00890A91">
              <w:rPr>
                <w:rFonts w:ascii="Arial Narrow" w:hAnsi="Arial Narrow"/>
                <w:color w:val="000000"/>
                <w:sz w:val="18"/>
                <w:szCs w:val="18"/>
                <w:lang w:eastAsia="en-US" w:bidi="ar-SA"/>
              </w:rPr>
              <w:t>Odložený daňový záväzok</w:t>
            </w:r>
          </w:p>
        </w:tc>
        <w:tc>
          <w:tcPr>
            <w:tcW w:w="2459" w:type="dxa"/>
            <w:tcBorders>
              <w:top w:val="single" w:sz="2" w:space="0" w:color="000000"/>
              <w:left w:val="single" w:sz="2" w:space="0" w:color="000000"/>
              <w:bottom w:val="single" w:sz="2" w:space="0" w:color="000000"/>
              <w:right w:val="single" w:sz="2" w:space="0" w:color="000000"/>
            </w:tcBorders>
            <w:vAlign w:val="bottom"/>
          </w:tcPr>
          <w:p w:rsidR="00184447" w:rsidRDefault="00184447" w:rsidP="00184447">
            <w:pPr>
              <w:jc w:val="center"/>
              <w:rPr>
                <w:rFonts w:ascii="Arial Narrow" w:hAnsi="Arial Narrow"/>
                <w:color w:val="000000"/>
                <w:sz w:val="18"/>
                <w:szCs w:val="18"/>
              </w:rPr>
            </w:pPr>
            <w:r>
              <w:rPr>
                <w:rFonts w:ascii="Arial Narrow" w:hAnsi="Arial Narrow"/>
                <w:color w:val="000000"/>
                <w:sz w:val="18"/>
                <w:szCs w:val="18"/>
              </w:rPr>
              <w:t>73 495</w:t>
            </w:r>
          </w:p>
        </w:tc>
        <w:tc>
          <w:tcPr>
            <w:tcW w:w="2945" w:type="dxa"/>
            <w:tcBorders>
              <w:top w:val="single" w:sz="2" w:space="0" w:color="000000"/>
              <w:left w:val="single" w:sz="2" w:space="0" w:color="000000"/>
              <w:bottom w:val="single" w:sz="2" w:space="0" w:color="000000"/>
              <w:right w:val="single" w:sz="2" w:space="0" w:color="000000"/>
            </w:tcBorders>
            <w:vAlign w:val="bottom"/>
          </w:tcPr>
          <w:p w:rsidR="00184447" w:rsidRDefault="00184447" w:rsidP="00184447">
            <w:pPr>
              <w:jc w:val="center"/>
              <w:rPr>
                <w:rFonts w:ascii="Arial Narrow" w:hAnsi="Arial Narrow"/>
                <w:color w:val="000000"/>
                <w:sz w:val="18"/>
                <w:szCs w:val="18"/>
              </w:rPr>
            </w:pPr>
            <w:r>
              <w:rPr>
                <w:rFonts w:ascii="Arial Narrow" w:hAnsi="Arial Narrow"/>
                <w:color w:val="000000"/>
                <w:sz w:val="18"/>
                <w:szCs w:val="18"/>
              </w:rPr>
              <w:t>50 415</w:t>
            </w:r>
          </w:p>
        </w:tc>
      </w:tr>
    </w:tbl>
    <w:p w:rsidR="00134B6C" w:rsidRDefault="00134B6C" w:rsidP="006C37C7">
      <w:pPr>
        <w:pStyle w:val="Vchodzie"/>
        <w:keepNext/>
        <w:autoSpaceDE/>
        <w:spacing w:line="200" w:lineRule="atLeast"/>
        <w:rPr>
          <w:rFonts w:ascii="Arial Narrow" w:hAnsi="Arial Narrow"/>
          <w:b/>
          <w:sz w:val="22"/>
          <w:szCs w:val="22"/>
          <w:lang w:eastAsia="en-US" w:bidi="ar-SA"/>
        </w:rPr>
      </w:pPr>
    </w:p>
    <w:p w:rsidR="00134B6C" w:rsidRDefault="00134B6C" w:rsidP="006C37C7">
      <w:pPr>
        <w:pStyle w:val="Vchodzie"/>
        <w:keepNext/>
        <w:autoSpaceDE/>
        <w:spacing w:line="200" w:lineRule="atLeast"/>
        <w:rPr>
          <w:rFonts w:ascii="Arial Narrow" w:hAnsi="Arial Narrow"/>
          <w:b/>
          <w:sz w:val="22"/>
          <w:szCs w:val="22"/>
          <w:lang w:eastAsia="en-US" w:bidi="ar-SA"/>
        </w:rPr>
      </w:pPr>
    </w:p>
    <w:p w:rsidR="006C37C7" w:rsidRPr="00134B6C" w:rsidRDefault="006C37C7" w:rsidP="006C37C7">
      <w:pPr>
        <w:pStyle w:val="Vchodzie"/>
        <w:keepNext/>
        <w:autoSpaceDE/>
        <w:spacing w:line="200" w:lineRule="atLeast"/>
        <w:rPr>
          <w:rFonts w:ascii="Arial Narrow" w:hAnsi="Arial Narrow"/>
          <w:b/>
          <w:sz w:val="22"/>
          <w:szCs w:val="22"/>
          <w:lang w:eastAsia="en-US" w:bidi="ar-SA"/>
        </w:rPr>
      </w:pPr>
      <w:r w:rsidRPr="00134B6C">
        <w:rPr>
          <w:rFonts w:ascii="Arial Narrow" w:hAnsi="Arial Narrow"/>
          <w:b/>
          <w:sz w:val="22"/>
          <w:szCs w:val="22"/>
          <w:lang w:eastAsia="en-US" w:bidi="ar-SA"/>
        </w:rPr>
        <w:t>Informácie o zabezpečených záväzkoch</w:t>
      </w:r>
    </w:p>
    <w:p w:rsidR="006C37C7" w:rsidRPr="00322A46" w:rsidRDefault="006C37C7" w:rsidP="006C37C7">
      <w:pPr>
        <w:pStyle w:val="Vchodzie"/>
        <w:keepNext/>
        <w:autoSpaceDE/>
        <w:spacing w:line="200" w:lineRule="atLeast"/>
        <w:rPr>
          <w:rFonts w:ascii="Arial Narrow" w:hAnsi="Arial Narrow"/>
          <w:b/>
          <w:sz w:val="20"/>
          <w:lang w:eastAsia="en-US" w:bidi="ar-SA"/>
        </w:rPr>
      </w:pPr>
    </w:p>
    <w:tbl>
      <w:tblPr>
        <w:tblW w:w="8905" w:type="dxa"/>
        <w:jc w:val="center"/>
        <w:tblInd w:w="-914" w:type="dxa"/>
        <w:tblLayout w:type="fixed"/>
        <w:tblCellMar>
          <w:left w:w="70" w:type="dxa"/>
          <w:right w:w="70" w:type="dxa"/>
        </w:tblCellMar>
        <w:tblLook w:val="0000"/>
      </w:tblPr>
      <w:tblGrid>
        <w:gridCol w:w="1985"/>
        <w:gridCol w:w="1701"/>
        <w:gridCol w:w="2126"/>
        <w:gridCol w:w="1701"/>
        <w:gridCol w:w="1392"/>
      </w:tblGrid>
      <w:tr w:rsidR="00853D9F" w:rsidRPr="00322A46" w:rsidTr="00853D9F">
        <w:trPr>
          <w:trHeight w:val="497"/>
          <w:jc w:val="center"/>
        </w:trPr>
        <w:tc>
          <w:tcPr>
            <w:tcW w:w="1985"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90A91">
            <w:pPr>
              <w:pStyle w:val="Vchodzie"/>
              <w:autoSpaceDE/>
              <w:jc w:val="center"/>
              <w:rPr>
                <w:rFonts w:ascii="Arial Narrow" w:hAnsi="Arial Narrow"/>
                <w:b/>
                <w:sz w:val="18"/>
                <w:szCs w:val="18"/>
              </w:rPr>
            </w:pPr>
            <w:r w:rsidRPr="00890A91">
              <w:rPr>
                <w:rFonts w:ascii="Arial Narrow" w:hAnsi="Arial Narrow"/>
                <w:b/>
                <w:sz w:val="18"/>
                <w:szCs w:val="18"/>
              </w:rPr>
              <w:t>Zabezpečené záväzky</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Pr="00184447" w:rsidRDefault="00853D9F" w:rsidP="00184447">
            <w:pPr>
              <w:jc w:val="center"/>
              <w:rPr>
                <w:rFonts w:ascii="Arial Narrow" w:hAnsi="Arial Narrow"/>
                <w:b/>
                <w:bCs/>
                <w:color w:val="000000"/>
                <w:sz w:val="18"/>
                <w:szCs w:val="18"/>
              </w:rPr>
            </w:pPr>
            <w:r>
              <w:rPr>
                <w:rFonts w:ascii="Arial Narrow" w:hAnsi="Arial Narrow"/>
                <w:b/>
                <w:bCs/>
                <w:color w:val="000000"/>
                <w:sz w:val="18"/>
                <w:szCs w:val="18"/>
              </w:rPr>
              <w:t>Hodnota v bežnom účtovnom období</w:t>
            </w:r>
          </w:p>
        </w:tc>
        <w:tc>
          <w:tcPr>
            <w:tcW w:w="2126"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40216">
            <w:pPr>
              <w:pStyle w:val="Vchodzie"/>
              <w:autoSpaceDE/>
              <w:jc w:val="center"/>
              <w:rPr>
                <w:rFonts w:ascii="Arial Narrow" w:hAnsi="Arial Narrow"/>
                <w:b/>
                <w:sz w:val="18"/>
                <w:szCs w:val="18"/>
              </w:rPr>
            </w:pPr>
            <w:r w:rsidRPr="00890A91">
              <w:rPr>
                <w:rFonts w:ascii="Arial Narrow" w:hAnsi="Arial Narrow"/>
                <w:b/>
                <w:sz w:val="18"/>
                <w:szCs w:val="18"/>
              </w:rPr>
              <w:t>Opis zabezpečenia záväzkov</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40216">
            <w:pPr>
              <w:pStyle w:val="Vchodzie"/>
              <w:autoSpaceDE/>
              <w:jc w:val="center"/>
              <w:rPr>
                <w:rFonts w:ascii="Arial Narrow" w:hAnsi="Arial Narrow"/>
                <w:b/>
                <w:sz w:val="18"/>
                <w:szCs w:val="18"/>
              </w:rPr>
            </w:pPr>
            <w:r w:rsidRPr="00890A91">
              <w:rPr>
                <w:rFonts w:ascii="Arial Narrow" w:hAnsi="Arial Narrow"/>
                <w:b/>
                <w:sz w:val="18"/>
                <w:szCs w:val="18"/>
              </w:rPr>
              <w:t>Celková suma zabezpečených záväzkov</w:t>
            </w:r>
          </w:p>
        </w:tc>
        <w:tc>
          <w:tcPr>
            <w:tcW w:w="1392" w:type="dxa"/>
            <w:tcBorders>
              <w:top w:val="single" w:sz="2" w:space="0" w:color="000000"/>
              <w:left w:val="single" w:sz="2" w:space="0" w:color="000000"/>
              <w:bottom w:val="single" w:sz="2" w:space="0" w:color="000000"/>
              <w:right w:val="single" w:sz="2" w:space="0" w:color="000000"/>
            </w:tcBorders>
            <w:vAlign w:val="center"/>
          </w:tcPr>
          <w:p w:rsidR="00853D9F" w:rsidRPr="00134B6C" w:rsidRDefault="00853D9F" w:rsidP="00134B6C">
            <w:pPr>
              <w:jc w:val="center"/>
              <w:rPr>
                <w:rFonts w:ascii="Arial Narrow" w:hAnsi="Arial Narrow"/>
                <w:b/>
                <w:color w:val="000000"/>
                <w:sz w:val="18"/>
                <w:szCs w:val="18"/>
              </w:rPr>
            </w:pPr>
            <w:r>
              <w:rPr>
                <w:rFonts w:ascii="Arial Narrow" w:hAnsi="Arial Narrow"/>
                <w:b/>
                <w:color w:val="000000"/>
                <w:sz w:val="18"/>
                <w:szCs w:val="18"/>
              </w:rPr>
              <w:t>V</w:t>
            </w:r>
            <w:r w:rsidRPr="00134B6C">
              <w:rPr>
                <w:rFonts w:ascii="Arial Narrow" w:hAnsi="Arial Narrow"/>
                <w:b/>
                <w:color w:val="000000"/>
                <w:sz w:val="18"/>
                <w:szCs w:val="18"/>
              </w:rPr>
              <w:t xml:space="preserve"> prospech </w:t>
            </w:r>
            <w:r w:rsidRPr="00134B6C">
              <w:rPr>
                <w:rFonts w:ascii="Arial Narrow" w:hAnsi="Arial Narrow"/>
                <w:b/>
                <w:color w:val="000000"/>
                <w:sz w:val="18"/>
                <w:szCs w:val="18"/>
              </w:rPr>
              <w:br/>
              <w:t>banky</w:t>
            </w:r>
          </w:p>
        </w:tc>
      </w:tr>
      <w:tr w:rsidR="00853D9F" w:rsidRPr="00B93F02" w:rsidTr="00853D9F">
        <w:trPr>
          <w:trHeight w:val="225"/>
          <w:jc w:val="center"/>
        </w:trPr>
        <w:tc>
          <w:tcPr>
            <w:tcW w:w="1985"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90A91">
            <w:pPr>
              <w:pStyle w:val="Vchodzie"/>
              <w:autoSpaceDE/>
              <w:spacing w:line="276" w:lineRule="auto"/>
              <w:rPr>
                <w:rFonts w:ascii="Arial Narrow" w:hAnsi="Arial Narrow"/>
                <w:color w:val="000000"/>
                <w:sz w:val="18"/>
                <w:szCs w:val="18"/>
                <w:lang w:eastAsia="en-US" w:bidi="ar-SA"/>
              </w:rPr>
            </w:pPr>
            <w:r>
              <w:rPr>
                <w:rFonts w:ascii="Arial Narrow" w:hAnsi="Arial Narrow"/>
                <w:color w:val="000000"/>
                <w:sz w:val="18"/>
                <w:szCs w:val="18"/>
                <w:lang w:eastAsia="en-US" w:bidi="ar-SA"/>
              </w:rPr>
              <w:t>Bankový úver</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rPr>
                <w:rFonts w:ascii="Arial Narrow" w:hAnsi="Arial Narrow"/>
                <w:color w:val="000000"/>
                <w:sz w:val="18"/>
                <w:szCs w:val="18"/>
              </w:rPr>
            </w:pPr>
            <w:r>
              <w:rPr>
                <w:rFonts w:ascii="Arial Narrow" w:hAnsi="Arial Narrow"/>
                <w:color w:val="000000"/>
                <w:sz w:val="18"/>
                <w:szCs w:val="18"/>
              </w:rPr>
              <w:t xml:space="preserve">    1 110 000    </w:t>
            </w:r>
          </w:p>
        </w:tc>
        <w:tc>
          <w:tcPr>
            <w:tcW w:w="2126"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Záložné právo na dlhodobý majetok</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 xml:space="preserve"> 1 110 000    </w:t>
            </w:r>
          </w:p>
        </w:tc>
        <w:tc>
          <w:tcPr>
            <w:tcW w:w="1392"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jc w:val="center"/>
              <w:rPr>
                <w:rFonts w:ascii="Arial Narrow" w:hAnsi="Arial Narrow"/>
                <w:color w:val="000000"/>
                <w:sz w:val="18"/>
                <w:szCs w:val="18"/>
              </w:rPr>
            </w:pPr>
            <w:r>
              <w:rPr>
                <w:rFonts w:ascii="Arial Narrow" w:hAnsi="Arial Narrow"/>
                <w:color w:val="000000"/>
                <w:sz w:val="18"/>
                <w:szCs w:val="18"/>
              </w:rPr>
              <w:t>VÚB BB</w:t>
            </w:r>
          </w:p>
        </w:tc>
      </w:tr>
      <w:tr w:rsidR="00853D9F" w:rsidRPr="00B93F02" w:rsidTr="00853D9F">
        <w:trPr>
          <w:trHeight w:val="225"/>
          <w:jc w:val="center"/>
        </w:trPr>
        <w:tc>
          <w:tcPr>
            <w:tcW w:w="1985"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40216">
            <w:pPr>
              <w:pStyle w:val="Vchodzie"/>
              <w:autoSpaceDE/>
              <w:spacing w:line="276" w:lineRule="auto"/>
              <w:rPr>
                <w:rFonts w:ascii="Arial Narrow" w:hAnsi="Arial Narrow"/>
                <w:color w:val="000000"/>
                <w:sz w:val="18"/>
                <w:szCs w:val="18"/>
                <w:lang w:eastAsia="en-US" w:bidi="ar-SA"/>
              </w:rPr>
            </w:pPr>
            <w:r>
              <w:rPr>
                <w:rFonts w:ascii="Arial Narrow" w:hAnsi="Arial Narrow"/>
                <w:color w:val="000000"/>
                <w:sz w:val="18"/>
                <w:szCs w:val="18"/>
                <w:lang w:eastAsia="en-US" w:bidi="ar-SA"/>
              </w:rPr>
              <w:t>Bankový úver</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rPr>
                <w:rFonts w:ascii="Arial Narrow" w:hAnsi="Arial Narrow"/>
                <w:color w:val="000000"/>
                <w:sz w:val="18"/>
                <w:szCs w:val="18"/>
              </w:rPr>
            </w:pPr>
            <w:r>
              <w:rPr>
                <w:rFonts w:ascii="Arial Narrow" w:hAnsi="Arial Narrow"/>
                <w:color w:val="000000"/>
                <w:sz w:val="18"/>
                <w:szCs w:val="18"/>
              </w:rPr>
              <w:t xml:space="preserve">       615 000    </w:t>
            </w:r>
          </w:p>
        </w:tc>
        <w:tc>
          <w:tcPr>
            <w:tcW w:w="2126"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Záložné právo na dlhodobý majetok</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 xml:space="preserve">    615 000    </w:t>
            </w:r>
          </w:p>
        </w:tc>
        <w:tc>
          <w:tcPr>
            <w:tcW w:w="1392"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jc w:val="center"/>
              <w:rPr>
                <w:rFonts w:ascii="Arial Narrow" w:hAnsi="Arial Narrow"/>
                <w:color w:val="000000"/>
                <w:sz w:val="18"/>
                <w:szCs w:val="18"/>
              </w:rPr>
            </w:pPr>
            <w:r>
              <w:rPr>
                <w:rFonts w:ascii="Arial Narrow" w:hAnsi="Arial Narrow"/>
                <w:color w:val="000000"/>
                <w:sz w:val="18"/>
                <w:szCs w:val="18"/>
              </w:rPr>
              <w:t>VÚB BB</w:t>
            </w:r>
          </w:p>
        </w:tc>
      </w:tr>
      <w:tr w:rsidR="00853D9F" w:rsidRPr="00B93F02" w:rsidTr="00853D9F">
        <w:trPr>
          <w:trHeight w:val="225"/>
          <w:jc w:val="center"/>
        </w:trPr>
        <w:tc>
          <w:tcPr>
            <w:tcW w:w="1985" w:type="dxa"/>
            <w:tcBorders>
              <w:top w:val="single" w:sz="2" w:space="0" w:color="000000"/>
              <w:left w:val="single" w:sz="2" w:space="0" w:color="000000"/>
              <w:bottom w:val="single" w:sz="2" w:space="0" w:color="000000"/>
              <w:right w:val="single" w:sz="2" w:space="0" w:color="000000"/>
            </w:tcBorders>
            <w:vAlign w:val="center"/>
          </w:tcPr>
          <w:p w:rsidR="00853D9F" w:rsidRPr="00890A91" w:rsidRDefault="00853D9F" w:rsidP="00840216">
            <w:pPr>
              <w:pStyle w:val="Vchodzie"/>
              <w:autoSpaceDE/>
              <w:spacing w:line="276" w:lineRule="auto"/>
              <w:rPr>
                <w:rFonts w:ascii="Arial Narrow" w:hAnsi="Arial Narrow"/>
                <w:color w:val="000000"/>
                <w:sz w:val="18"/>
                <w:szCs w:val="18"/>
                <w:lang w:eastAsia="en-US" w:bidi="ar-SA"/>
              </w:rPr>
            </w:pPr>
            <w:r>
              <w:rPr>
                <w:rFonts w:ascii="Arial Narrow" w:hAnsi="Arial Narrow"/>
                <w:color w:val="000000"/>
                <w:sz w:val="18"/>
                <w:szCs w:val="18"/>
                <w:lang w:eastAsia="en-US" w:bidi="ar-SA"/>
              </w:rPr>
              <w:t>Bankový úver</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rPr>
                <w:rFonts w:ascii="Arial Narrow" w:hAnsi="Arial Narrow"/>
                <w:color w:val="000000"/>
                <w:sz w:val="18"/>
                <w:szCs w:val="18"/>
              </w:rPr>
            </w:pPr>
            <w:r>
              <w:rPr>
                <w:rFonts w:ascii="Arial Narrow" w:hAnsi="Arial Narrow"/>
                <w:color w:val="000000"/>
                <w:sz w:val="18"/>
                <w:szCs w:val="18"/>
              </w:rPr>
              <w:t xml:space="preserve">       361 764    </w:t>
            </w:r>
          </w:p>
        </w:tc>
        <w:tc>
          <w:tcPr>
            <w:tcW w:w="2126"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Záložné právo na dlhodobý majetok</w:t>
            </w:r>
          </w:p>
        </w:tc>
        <w:tc>
          <w:tcPr>
            <w:tcW w:w="1701" w:type="dxa"/>
            <w:tcBorders>
              <w:top w:val="single" w:sz="2" w:space="0" w:color="000000"/>
              <w:left w:val="single" w:sz="2" w:space="0" w:color="000000"/>
              <w:bottom w:val="single" w:sz="2" w:space="0" w:color="000000"/>
              <w:right w:val="single" w:sz="2" w:space="0" w:color="000000"/>
            </w:tcBorders>
            <w:vAlign w:val="center"/>
          </w:tcPr>
          <w:p w:rsidR="00853D9F" w:rsidRDefault="00853D9F">
            <w:pPr>
              <w:jc w:val="center"/>
              <w:rPr>
                <w:rFonts w:ascii="Arial Narrow" w:hAnsi="Arial Narrow"/>
                <w:color w:val="000000"/>
                <w:sz w:val="18"/>
                <w:szCs w:val="18"/>
              </w:rPr>
            </w:pPr>
            <w:r>
              <w:rPr>
                <w:rFonts w:ascii="Arial Narrow" w:hAnsi="Arial Narrow"/>
                <w:color w:val="000000"/>
                <w:sz w:val="18"/>
                <w:szCs w:val="18"/>
              </w:rPr>
              <w:t xml:space="preserve">    361 764    </w:t>
            </w:r>
          </w:p>
        </w:tc>
        <w:tc>
          <w:tcPr>
            <w:tcW w:w="1392" w:type="dxa"/>
            <w:tcBorders>
              <w:top w:val="single" w:sz="2" w:space="0" w:color="000000"/>
              <w:left w:val="single" w:sz="2" w:space="0" w:color="000000"/>
              <w:bottom w:val="single" w:sz="2" w:space="0" w:color="000000"/>
              <w:right w:val="single" w:sz="2" w:space="0" w:color="000000"/>
            </w:tcBorders>
            <w:vAlign w:val="center"/>
          </w:tcPr>
          <w:p w:rsidR="00853D9F" w:rsidRDefault="00853D9F" w:rsidP="00134B6C">
            <w:pPr>
              <w:jc w:val="center"/>
              <w:rPr>
                <w:rFonts w:ascii="Arial Narrow" w:hAnsi="Arial Narrow"/>
                <w:color w:val="000000"/>
                <w:sz w:val="18"/>
                <w:szCs w:val="18"/>
              </w:rPr>
            </w:pPr>
            <w:r>
              <w:rPr>
                <w:rFonts w:ascii="Arial Narrow" w:hAnsi="Arial Narrow"/>
                <w:color w:val="000000"/>
                <w:sz w:val="18"/>
                <w:szCs w:val="18"/>
              </w:rPr>
              <w:t>Tatrabanka BB</w:t>
            </w:r>
          </w:p>
        </w:tc>
      </w:tr>
    </w:tbl>
    <w:p w:rsidR="006C37C7" w:rsidRPr="00322A46" w:rsidRDefault="006C37C7" w:rsidP="006C37C7">
      <w:pPr>
        <w:pStyle w:val="Vchodzie"/>
        <w:keepNext/>
        <w:tabs>
          <w:tab w:val="left" w:pos="-1843"/>
        </w:tabs>
        <w:autoSpaceDE/>
        <w:spacing w:line="200" w:lineRule="atLeast"/>
        <w:rPr>
          <w:rFonts w:ascii="Arial Narrow" w:hAnsi="Arial Narrow"/>
          <w:sz w:val="20"/>
          <w:szCs w:val="20"/>
          <w:lang w:eastAsia="en-US"/>
        </w:rPr>
      </w:pPr>
    </w:p>
    <w:tbl>
      <w:tblPr>
        <w:tblW w:w="9157" w:type="dxa"/>
        <w:tblInd w:w="55" w:type="dxa"/>
        <w:tblCellMar>
          <w:left w:w="70" w:type="dxa"/>
          <w:right w:w="70" w:type="dxa"/>
        </w:tblCellMar>
        <w:tblLook w:val="04A0"/>
      </w:tblPr>
      <w:tblGrid>
        <w:gridCol w:w="9157"/>
      </w:tblGrid>
      <w:tr w:rsidR="00134B6C" w:rsidRPr="00134B6C" w:rsidTr="00853D9F">
        <w:trPr>
          <w:trHeight w:val="300"/>
        </w:trPr>
        <w:tc>
          <w:tcPr>
            <w:tcW w:w="9157" w:type="dxa"/>
            <w:tcBorders>
              <w:top w:val="nil"/>
              <w:left w:val="nil"/>
              <w:bottom w:val="nil"/>
              <w:right w:val="nil"/>
            </w:tcBorders>
            <w:shd w:val="clear" w:color="auto" w:fill="auto"/>
            <w:noWrap/>
            <w:vAlign w:val="bottom"/>
            <w:hideMark/>
          </w:tcPr>
          <w:p w:rsidR="00134B6C" w:rsidRPr="00134B6C" w:rsidRDefault="00853D9F" w:rsidP="007B2B28">
            <w:pPr>
              <w:ind w:left="371"/>
              <w:rPr>
                <w:rFonts w:ascii="Arial Narrow" w:hAnsi="Arial Narrow"/>
                <w:sz w:val="22"/>
                <w:szCs w:val="22"/>
              </w:rPr>
            </w:pPr>
            <w:r>
              <w:rPr>
                <w:rFonts w:ascii="Arial Narrow" w:hAnsi="Arial Narrow"/>
                <w:sz w:val="22"/>
                <w:szCs w:val="22"/>
              </w:rPr>
              <w:t>Na zabezpečenie úverov je z</w:t>
            </w:r>
            <w:r w:rsidR="00134B6C" w:rsidRPr="00134B6C">
              <w:rPr>
                <w:rFonts w:ascii="Arial Narrow" w:hAnsi="Arial Narrow"/>
                <w:sz w:val="22"/>
                <w:szCs w:val="22"/>
              </w:rPr>
              <w:t xml:space="preserve">riadené záložné právo na majetok: OD Internátna 12, Majerská cesta 63 stavba a pozemok, Rudohorská </w:t>
            </w:r>
            <w:r>
              <w:rPr>
                <w:rFonts w:ascii="Arial Narrow" w:hAnsi="Arial Narrow"/>
                <w:sz w:val="22"/>
                <w:szCs w:val="22"/>
              </w:rPr>
              <w:t xml:space="preserve"> </w:t>
            </w:r>
            <w:r w:rsidR="00134B6C" w:rsidRPr="00134B6C">
              <w:rPr>
                <w:rFonts w:ascii="Arial Narrow" w:hAnsi="Arial Narrow"/>
                <w:sz w:val="22"/>
                <w:szCs w:val="22"/>
              </w:rPr>
              <w:t>27 - bytový dom a pozemok,</w:t>
            </w:r>
            <w:r w:rsidRPr="00134B6C">
              <w:rPr>
                <w:rFonts w:ascii="Arial Narrow" w:hAnsi="Arial Narrow"/>
                <w:color w:val="000000"/>
                <w:sz w:val="22"/>
                <w:szCs w:val="22"/>
              </w:rPr>
              <w:t xml:space="preserve"> </w:t>
            </w:r>
            <w:r>
              <w:rPr>
                <w:rFonts w:ascii="Arial Narrow" w:hAnsi="Arial Narrow"/>
                <w:color w:val="000000"/>
                <w:sz w:val="22"/>
                <w:szCs w:val="22"/>
              </w:rPr>
              <w:t xml:space="preserve"> </w:t>
            </w:r>
            <w:r w:rsidRPr="00134B6C">
              <w:rPr>
                <w:rFonts w:ascii="Arial Narrow" w:hAnsi="Arial Narrow"/>
                <w:color w:val="000000"/>
                <w:sz w:val="22"/>
                <w:szCs w:val="22"/>
              </w:rPr>
              <w:t>AB Timravy 12, garáž Timravy 12 a  pozemok, OD Severná 5 s</w:t>
            </w:r>
            <w:r w:rsidR="00B56A72">
              <w:rPr>
                <w:rFonts w:ascii="Arial Narrow" w:hAnsi="Arial Narrow"/>
                <w:color w:val="000000"/>
                <w:sz w:val="22"/>
                <w:szCs w:val="22"/>
              </w:rPr>
              <w:t> </w:t>
            </w:r>
            <w:r w:rsidRPr="00134B6C">
              <w:rPr>
                <w:rFonts w:ascii="Arial Narrow" w:hAnsi="Arial Narrow"/>
                <w:color w:val="000000"/>
                <w:sz w:val="22"/>
                <w:szCs w:val="22"/>
              </w:rPr>
              <w:t>pozemkom</w:t>
            </w:r>
            <w:r w:rsidR="00B56A72">
              <w:rPr>
                <w:rFonts w:ascii="Arial Narrow" w:hAnsi="Arial Narrow"/>
                <w:color w:val="000000"/>
                <w:sz w:val="22"/>
                <w:szCs w:val="22"/>
              </w:rPr>
              <w:t>.</w:t>
            </w:r>
          </w:p>
        </w:tc>
      </w:tr>
    </w:tbl>
    <w:p w:rsidR="006C37C7" w:rsidRPr="00134B6C" w:rsidRDefault="006C37C7" w:rsidP="00134B6C">
      <w:pPr>
        <w:pStyle w:val="Vchodzie"/>
        <w:autoSpaceDE/>
        <w:rPr>
          <w:sz w:val="22"/>
          <w:szCs w:val="22"/>
        </w:rPr>
      </w:pPr>
    </w:p>
    <w:p w:rsidR="006C37C7" w:rsidRPr="00134B6C" w:rsidRDefault="006C37C7" w:rsidP="006C37C7">
      <w:pPr>
        <w:pStyle w:val="Vchodzie"/>
        <w:keepNext/>
        <w:autoSpaceDE/>
        <w:spacing w:line="200" w:lineRule="atLeast"/>
        <w:rPr>
          <w:rFonts w:ascii="Arial Narrow" w:hAnsi="Arial Narrow"/>
          <w:b/>
          <w:sz w:val="22"/>
          <w:szCs w:val="22"/>
          <w:lang w:eastAsia="en-US" w:bidi="ar-SA"/>
        </w:rPr>
      </w:pPr>
      <w:r w:rsidRPr="00134B6C">
        <w:rPr>
          <w:rFonts w:ascii="Arial Narrow" w:hAnsi="Arial Narrow"/>
          <w:b/>
          <w:sz w:val="22"/>
          <w:szCs w:val="22"/>
          <w:lang w:eastAsia="en-US" w:bidi="ar-SA"/>
        </w:rPr>
        <w:t>Informácie o nákladoch voči audítorovi, audítorskej spoločnosti</w:t>
      </w:r>
    </w:p>
    <w:p w:rsidR="006C37C7" w:rsidRPr="00711EC8" w:rsidRDefault="006C37C7" w:rsidP="006C37C7">
      <w:pPr>
        <w:pStyle w:val="Vchodzie"/>
        <w:keepNext/>
        <w:autoSpaceDE/>
        <w:spacing w:line="200" w:lineRule="atLeast"/>
      </w:pPr>
    </w:p>
    <w:tbl>
      <w:tblPr>
        <w:tblW w:w="0" w:type="auto"/>
        <w:jc w:val="center"/>
        <w:tblInd w:w="250" w:type="dxa"/>
        <w:tblLayout w:type="fixed"/>
        <w:tblLook w:val="0000"/>
      </w:tblPr>
      <w:tblGrid>
        <w:gridCol w:w="4394"/>
        <w:gridCol w:w="2268"/>
        <w:gridCol w:w="2376"/>
      </w:tblGrid>
      <w:tr w:rsidR="006C37C7" w:rsidRPr="00711EC8" w:rsidTr="00853D9F">
        <w:trPr>
          <w:trHeight w:val="619"/>
          <w:jc w:val="center"/>
        </w:trPr>
        <w:tc>
          <w:tcPr>
            <w:tcW w:w="4394" w:type="dxa"/>
            <w:tcBorders>
              <w:top w:val="single" w:sz="8" w:space="0" w:color="000000"/>
              <w:left w:val="single" w:sz="8" w:space="0" w:color="000000"/>
              <w:bottom w:val="single" w:sz="8" w:space="0" w:color="000000"/>
              <w:right w:val="single" w:sz="8" w:space="0" w:color="000000"/>
            </w:tcBorders>
            <w:vAlign w:val="center"/>
          </w:tcPr>
          <w:p w:rsidR="006C37C7" w:rsidRPr="00890A91" w:rsidRDefault="006C37C7" w:rsidP="00890A91">
            <w:pPr>
              <w:pStyle w:val="Vchodzie"/>
              <w:autoSpaceDE/>
              <w:jc w:val="center"/>
              <w:rPr>
                <w:sz w:val="18"/>
                <w:szCs w:val="18"/>
              </w:rPr>
            </w:pPr>
            <w:r w:rsidRPr="00890A91">
              <w:rPr>
                <w:rFonts w:ascii="Arial Narrow" w:hAnsi="Arial Narrow"/>
                <w:b/>
                <w:sz w:val="18"/>
                <w:szCs w:val="18"/>
                <w:lang w:eastAsia="en-US" w:bidi="ar-SA"/>
              </w:rPr>
              <w:t>Názov položky</w:t>
            </w:r>
          </w:p>
        </w:tc>
        <w:tc>
          <w:tcPr>
            <w:tcW w:w="2268" w:type="dxa"/>
            <w:tcBorders>
              <w:top w:val="single" w:sz="8" w:space="0" w:color="000000"/>
              <w:left w:val="single" w:sz="8" w:space="0" w:color="000000"/>
              <w:bottom w:val="single" w:sz="8" w:space="0" w:color="000000"/>
              <w:right w:val="single" w:sz="8" w:space="0" w:color="000000"/>
            </w:tcBorders>
            <w:vAlign w:val="center"/>
          </w:tcPr>
          <w:p w:rsidR="006C37C7" w:rsidRPr="00890A91" w:rsidRDefault="006C37C7" w:rsidP="00890A91">
            <w:pPr>
              <w:pStyle w:val="Vchodzie"/>
              <w:autoSpaceDE/>
              <w:jc w:val="center"/>
              <w:rPr>
                <w:sz w:val="18"/>
                <w:szCs w:val="18"/>
              </w:rPr>
            </w:pPr>
            <w:r w:rsidRPr="00890A91">
              <w:rPr>
                <w:rFonts w:ascii="Arial Narrow" w:hAnsi="Arial Narrow"/>
                <w:b/>
                <w:sz w:val="18"/>
                <w:szCs w:val="18"/>
                <w:lang w:eastAsia="en-US" w:bidi="ar-SA"/>
              </w:rPr>
              <w:t>Bežné účtovné obdobie</w:t>
            </w:r>
          </w:p>
        </w:tc>
        <w:tc>
          <w:tcPr>
            <w:tcW w:w="2376" w:type="dxa"/>
            <w:tcBorders>
              <w:top w:val="single" w:sz="8" w:space="0" w:color="000000"/>
              <w:left w:val="single" w:sz="8" w:space="0" w:color="000000"/>
              <w:bottom w:val="single" w:sz="8" w:space="0" w:color="000000"/>
              <w:right w:val="single" w:sz="8" w:space="0" w:color="000000"/>
            </w:tcBorders>
            <w:vAlign w:val="center"/>
          </w:tcPr>
          <w:p w:rsidR="006C37C7" w:rsidRPr="00890A91" w:rsidRDefault="006C37C7" w:rsidP="00890A91">
            <w:pPr>
              <w:pStyle w:val="Vchodzie"/>
              <w:autoSpaceDE/>
              <w:jc w:val="center"/>
              <w:rPr>
                <w:sz w:val="18"/>
                <w:szCs w:val="18"/>
              </w:rPr>
            </w:pPr>
            <w:r w:rsidRPr="00890A91">
              <w:rPr>
                <w:rFonts w:ascii="Arial Narrow" w:hAnsi="Arial Narrow"/>
                <w:b/>
                <w:sz w:val="18"/>
                <w:szCs w:val="18"/>
                <w:lang w:eastAsia="en-US" w:bidi="ar-SA"/>
              </w:rPr>
              <w:t>Bezprostredne predchádzajúce účtovné obdobie</w:t>
            </w:r>
          </w:p>
        </w:tc>
      </w:tr>
      <w:tr w:rsidR="006C37C7" w:rsidRPr="00711EC8" w:rsidTr="00853D9F">
        <w:trPr>
          <w:trHeight w:val="284"/>
          <w:jc w:val="center"/>
        </w:trPr>
        <w:tc>
          <w:tcPr>
            <w:tcW w:w="4394" w:type="dxa"/>
            <w:tcBorders>
              <w:top w:val="nil"/>
              <w:left w:val="single" w:sz="8" w:space="0" w:color="000000"/>
              <w:bottom w:val="single" w:sz="2" w:space="0" w:color="000000"/>
              <w:right w:val="single" w:sz="8" w:space="0" w:color="000000"/>
            </w:tcBorders>
            <w:vAlign w:val="center"/>
          </w:tcPr>
          <w:p w:rsidR="006C37C7" w:rsidRPr="00890A91" w:rsidRDefault="006C37C7" w:rsidP="00890A91">
            <w:pPr>
              <w:pStyle w:val="Vchodzie"/>
              <w:autoSpaceDE/>
              <w:rPr>
                <w:sz w:val="18"/>
                <w:szCs w:val="18"/>
              </w:rPr>
            </w:pPr>
            <w:r w:rsidRPr="00890A91">
              <w:rPr>
                <w:rFonts w:ascii="Arial Narrow" w:hAnsi="Arial Narrow"/>
                <w:b/>
                <w:sz w:val="18"/>
                <w:szCs w:val="18"/>
                <w:lang w:eastAsia="en-US"/>
              </w:rPr>
              <w:t>Náklady voči audítorovi, audítorskej spoločnosti, z toho:</w:t>
            </w:r>
          </w:p>
        </w:tc>
        <w:tc>
          <w:tcPr>
            <w:tcW w:w="2268" w:type="dxa"/>
            <w:tcBorders>
              <w:top w:val="nil"/>
              <w:left w:val="single" w:sz="8" w:space="0" w:color="000000"/>
              <w:bottom w:val="single" w:sz="2" w:space="0" w:color="000000"/>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c>
          <w:tcPr>
            <w:tcW w:w="2376" w:type="dxa"/>
            <w:tcBorders>
              <w:top w:val="nil"/>
              <w:left w:val="single" w:sz="8" w:space="0" w:color="000000"/>
              <w:bottom w:val="single" w:sz="2" w:space="0" w:color="000000"/>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r>
      <w:tr w:rsidR="006C37C7" w:rsidRPr="00711EC8" w:rsidTr="00853D9F">
        <w:trPr>
          <w:trHeight w:val="284"/>
          <w:jc w:val="center"/>
        </w:trPr>
        <w:tc>
          <w:tcPr>
            <w:tcW w:w="4394" w:type="dxa"/>
            <w:tcBorders>
              <w:top w:val="nil"/>
              <w:left w:val="single" w:sz="8" w:space="0" w:color="000000"/>
              <w:bottom w:val="single" w:sz="2" w:space="0" w:color="000000"/>
              <w:right w:val="single" w:sz="8" w:space="0" w:color="000000"/>
            </w:tcBorders>
            <w:vAlign w:val="center"/>
          </w:tcPr>
          <w:p w:rsidR="006C37C7" w:rsidRPr="00890A91" w:rsidRDefault="006C37C7" w:rsidP="00890A91">
            <w:pPr>
              <w:pStyle w:val="Vchodzie"/>
              <w:autoSpaceDE/>
              <w:rPr>
                <w:sz w:val="18"/>
                <w:szCs w:val="18"/>
              </w:rPr>
            </w:pPr>
            <w:r w:rsidRPr="00890A91">
              <w:rPr>
                <w:rFonts w:ascii="Arial Narrow" w:hAnsi="Arial Narrow"/>
                <w:sz w:val="18"/>
                <w:szCs w:val="18"/>
                <w:lang w:eastAsia="en-US"/>
              </w:rPr>
              <w:t>náklady za overenie individuálnej účtovnej závierky</w:t>
            </w:r>
          </w:p>
        </w:tc>
        <w:tc>
          <w:tcPr>
            <w:tcW w:w="2268" w:type="dxa"/>
            <w:tcBorders>
              <w:top w:val="nil"/>
              <w:left w:val="single" w:sz="8" w:space="0" w:color="000000"/>
              <w:bottom w:val="single" w:sz="2" w:space="0" w:color="000000"/>
              <w:right w:val="single" w:sz="8" w:space="0" w:color="000000"/>
            </w:tcBorders>
            <w:vAlign w:val="center"/>
          </w:tcPr>
          <w:p w:rsidR="006C37C7" w:rsidRPr="00134B6C" w:rsidRDefault="00134B6C" w:rsidP="00134B6C">
            <w:pPr>
              <w:pStyle w:val="Vchodzie"/>
              <w:autoSpaceDE/>
              <w:jc w:val="center"/>
              <w:rPr>
                <w:rFonts w:ascii="Arial Narrow" w:hAnsi="Arial Narrow"/>
                <w:sz w:val="18"/>
                <w:szCs w:val="18"/>
              </w:rPr>
            </w:pPr>
            <w:r w:rsidRPr="00134B6C">
              <w:rPr>
                <w:rFonts w:ascii="Arial Narrow" w:hAnsi="Arial Narrow"/>
                <w:sz w:val="18"/>
                <w:szCs w:val="18"/>
              </w:rPr>
              <w:t>4 400</w:t>
            </w:r>
          </w:p>
        </w:tc>
        <w:tc>
          <w:tcPr>
            <w:tcW w:w="2376" w:type="dxa"/>
            <w:tcBorders>
              <w:top w:val="nil"/>
              <w:left w:val="single" w:sz="8" w:space="0" w:color="000000"/>
              <w:bottom w:val="single" w:sz="2" w:space="0" w:color="000000"/>
              <w:right w:val="single" w:sz="8" w:space="0" w:color="000000"/>
            </w:tcBorders>
            <w:vAlign w:val="center"/>
          </w:tcPr>
          <w:p w:rsidR="006C37C7" w:rsidRPr="00134B6C" w:rsidRDefault="00134B6C" w:rsidP="00134B6C">
            <w:pPr>
              <w:pStyle w:val="Vchodzie"/>
              <w:autoSpaceDE/>
              <w:jc w:val="center"/>
              <w:rPr>
                <w:rFonts w:ascii="Arial Narrow" w:hAnsi="Arial Narrow"/>
                <w:sz w:val="18"/>
                <w:szCs w:val="18"/>
              </w:rPr>
            </w:pPr>
            <w:r>
              <w:rPr>
                <w:rFonts w:ascii="Arial Narrow" w:hAnsi="Arial Narrow"/>
                <w:sz w:val="18"/>
                <w:szCs w:val="18"/>
              </w:rPr>
              <w:t>4 433</w:t>
            </w:r>
          </w:p>
        </w:tc>
      </w:tr>
      <w:tr w:rsidR="006C37C7" w:rsidRPr="00711EC8" w:rsidTr="00853D9F">
        <w:trPr>
          <w:trHeight w:val="284"/>
          <w:jc w:val="center"/>
        </w:trPr>
        <w:tc>
          <w:tcPr>
            <w:tcW w:w="4394" w:type="dxa"/>
            <w:tcBorders>
              <w:top w:val="single" w:sz="2" w:space="0" w:color="000000"/>
              <w:left w:val="single" w:sz="8" w:space="0" w:color="000000"/>
              <w:bottom w:val="single" w:sz="4" w:space="0" w:color="auto"/>
              <w:right w:val="single" w:sz="8" w:space="0" w:color="000000"/>
            </w:tcBorders>
            <w:vAlign w:val="center"/>
          </w:tcPr>
          <w:p w:rsidR="006C37C7" w:rsidRPr="00890A91" w:rsidRDefault="006C37C7" w:rsidP="00890A91">
            <w:pPr>
              <w:pStyle w:val="Vchodzie"/>
              <w:autoSpaceDE/>
              <w:rPr>
                <w:sz w:val="18"/>
                <w:szCs w:val="18"/>
              </w:rPr>
            </w:pPr>
            <w:r w:rsidRPr="00890A91">
              <w:rPr>
                <w:rFonts w:ascii="Arial Narrow" w:hAnsi="Arial Narrow"/>
                <w:sz w:val="18"/>
                <w:szCs w:val="18"/>
                <w:lang w:eastAsia="en-US"/>
              </w:rPr>
              <w:lastRenderedPageBreak/>
              <w:t>iné uisťovacie audítorské služby</w:t>
            </w:r>
          </w:p>
        </w:tc>
        <w:tc>
          <w:tcPr>
            <w:tcW w:w="2268" w:type="dxa"/>
            <w:tcBorders>
              <w:top w:val="single" w:sz="2" w:space="0" w:color="000000"/>
              <w:left w:val="single" w:sz="8" w:space="0" w:color="000000"/>
              <w:bottom w:val="single" w:sz="4" w:space="0" w:color="auto"/>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c>
          <w:tcPr>
            <w:tcW w:w="2376" w:type="dxa"/>
            <w:tcBorders>
              <w:top w:val="single" w:sz="2" w:space="0" w:color="000000"/>
              <w:left w:val="single" w:sz="8" w:space="0" w:color="000000"/>
              <w:bottom w:val="single" w:sz="4" w:space="0" w:color="auto"/>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r>
      <w:tr w:rsidR="006C37C7" w:rsidRPr="00711EC8" w:rsidTr="00853D9F">
        <w:trPr>
          <w:trHeight w:val="284"/>
          <w:jc w:val="center"/>
        </w:trPr>
        <w:tc>
          <w:tcPr>
            <w:tcW w:w="4394" w:type="dxa"/>
            <w:tcBorders>
              <w:top w:val="single" w:sz="4" w:space="0" w:color="auto"/>
              <w:left w:val="single" w:sz="8" w:space="0" w:color="000000"/>
              <w:bottom w:val="single" w:sz="4" w:space="0" w:color="auto"/>
              <w:right w:val="single" w:sz="8" w:space="0" w:color="000000"/>
            </w:tcBorders>
            <w:vAlign w:val="center"/>
          </w:tcPr>
          <w:p w:rsidR="006C37C7" w:rsidRPr="00890A91" w:rsidRDefault="006C37C7" w:rsidP="00890A91">
            <w:pPr>
              <w:pStyle w:val="Vchodzie"/>
              <w:autoSpaceDE/>
              <w:rPr>
                <w:sz w:val="18"/>
                <w:szCs w:val="18"/>
              </w:rPr>
            </w:pPr>
            <w:r w:rsidRPr="00890A91">
              <w:rPr>
                <w:rFonts w:ascii="Arial Narrow" w:hAnsi="Arial Narrow"/>
                <w:sz w:val="18"/>
                <w:szCs w:val="18"/>
                <w:lang w:eastAsia="en-US"/>
              </w:rPr>
              <w:t>súvisiace audítorské služby</w:t>
            </w:r>
          </w:p>
        </w:tc>
        <w:tc>
          <w:tcPr>
            <w:tcW w:w="2268" w:type="dxa"/>
            <w:tcBorders>
              <w:top w:val="single" w:sz="4" w:space="0" w:color="auto"/>
              <w:left w:val="single" w:sz="8" w:space="0" w:color="000000"/>
              <w:bottom w:val="single" w:sz="4" w:space="0" w:color="auto"/>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c>
          <w:tcPr>
            <w:tcW w:w="2376" w:type="dxa"/>
            <w:tcBorders>
              <w:top w:val="single" w:sz="4" w:space="0" w:color="auto"/>
              <w:left w:val="single" w:sz="8" w:space="0" w:color="000000"/>
              <w:bottom w:val="single" w:sz="4" w:space="0" w:color="auto"/>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r>
      <w:tr w:rsidR="006C37C7" w:rsidRPr="00711EC8" w:rsidTr="00853D9F">
        <w:trPr>
          <w:trHeight w:val="284"/>
          <w:jc w:val="center"/>
        </w:trPr>
        <w:tc>
          <w:tcPr>
            <w:tcW w:w="4394" w:type="dxa"/>
            <w:tcBorders>
              <w:top w:val="single" w:sz="4" w:space="0" w:color="auto"/>
              <w:left w:val="single" w:sz="8" w:space="0" w:color="000000"/>
              <w:bottom w:val="single" w:sz="2" w:space="0" w:color="000000"/>
              <w:right w:val="single" w:sz="8" w:space="0" w:color="000000"/>
            </w:tcBorders>
            <w:vAlign w:val="center"/>
          </w:tcPr>
          <w:p w:rsidR="006C37C7" w:rsidRPr="00890A91" w:rsidRDefault="006C37C7" w:rsidP="00890A91">
            <w:pPr>
              <w:pStyle w:val="Vchodzie"/>
              <w:autoSpaceDE/>
              <w:rPr>
                <w:sz w:val="18"/>
                <w:szCs w:val="18"/>
              </w:rPr>
            </w:pPr>
            <w:r w:rsidRPr="00890A91">
              <w:rPr>
                <w:rFonts w:ascii="Arial Narrow" w:hAnsi="Arial Narrow"/>
                <w:sz w:val="18"/>
                <w:szCs w:val="18"/>
                <w:lang w:eastAsia="en-US"/>
              </w:rPr>
              <w:t>daňové poradenstvo</w:t>
            </w:r>
          </w:p>
        </w:tc>
        <w:tc>
          <w:tcPr>
            <w:tcW w:w="2268" w:type="dxa"/>
            <w:tcBorders>
              <w:top w:val="single" w:sz="4" w:space="0" w:color="auto"/>
              <w:left w:val="single" w:sz="8" w:space="0" w:color="000000"/>
              <w:bottom w:val="single" w:sz="2" w:space="0" w:color="000000"/>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c>
          <w:tcPr>
            <w:tcW w:w="2376" w:type="dxa"/>
            <w:tcBorders>
              <w:top w:val="single" w:sz="4" w:space="0" w:color="auto"/>
              <w:left w:val="single" w:sz="8" w:space="0" w:color="000000"/>
              <w:bottom w:val="single" w:sz="2" w:space="0" w:color="000000"/>
              <w:right w:val="single" w:sz="8" w:space="0" w:color="000000"/>
            </w:tcBorders>
            <w:vAlign w:val="center"/>
          </w:tcPr>
          <w:p w:rsidR="006C37C7" w:rsidRPr="00134B6C" w:rsidRDefault="006C37C7" w:rsidP="00134B6C">
            <w:pPr>
              <w:pStyle w:val="Vchodzie"/>
              <w:autoSpaceDE/>
              <w:jc w:val="center"/>
              <w:rPr>
                <w:rFonts w:ascii="Arial Narrow" w:hAnsi="Arial Narrow"/>
                <w:sz w:val="18"/>
                <w:szCs w:val="18"/>
              </w:rPr>
            </w:pPr>
          </w:p>
        </w:tc>
      </w:tr>
      <w:tr w:rsidR="006C37C7" w:rsidRPr="00644A51" w:rsidTr="00853D9F">
        <w:trPr>
          <w:trHeight w:val="284"/>
          <w:jc w:val="center"/>
        </w:trPr>
        <w:tc>
          <w:tcPr>
            <w:tcW w:w="4394" w:type="dxa"/>
            <w:tcBorders>
              <w:top w:val="single" w:sz="2" w:space="0" w:color="000000"/>
              <w:left w:val="single" w:sz="8" w:space="0" w:color="000000"/>
              <w:bottom w:val="single" w:sz="8" w:space="0" w:color="000000"/>
              <w:right w:val="single" w:sz="8" w:space="0" w:color="000000"/>
            </w:tcBorders>
            <w:vAlign w:val="center"/>
          </w:tcPr>
          <w:p w:rsidR="006C37C7" w:rsidRPr="00890A91" w:rsidRDefault="006C37C7" w:rsidP="00890A91">
            <w:pPr>
              <w:pStyle w:val="Vchodzie"/>
              <w:autoSpaceDE/>
              <w:rPr>
                <w:rFonts w:ascii="Arial Narrow" w:hAnsi="Arial Narrow"/>
                <w:sz w:val="18"/>
                <w:szCs w:val="18"/>
              </w:rPr>
            </w:pPr>
            <w:r w:rsidRPr="00890A91">
              <w:rPr>
                <w:rFonts w:ascii="Arial Narrow" w:hAnsi="Arial Narrow"/>
                <w:sz w:val="18"/>
                <w:szCs w:val="18"/>
                <w:lang w:eastAsia="en-US"/>
              </w:rPr>
              <w:t>ostatné neaudítorské služby</w:t>
            </w:r>
          </w:p>
        </w:tc>
        <w:tc>
          <w:tcPr>
            <w:tcW w:w="2268" w:type="dxa"/>
            <w:tcBorders>
              <w:top w:val="single" w:sz="2" w:space="0" w:color="000000"/>
              <w:left w:val="single" w:sz="8" w:space="0" w:color="000000"/>
              <w:bottom w:val="single" w:sz="8" w:space="0" w:color="000000"/>
              <w:right w:val="single" w:sz="8" w:space="0" w:color="000000"/>
            </w:tcBorders>
            <w:vAlign w:val="center"/>
          </w:tcPr>
          <w:p w:rsidR="006C37C7" w:rsidRPr="00134B6C" w:rsidRDefault="006C37C7" w:rsidP="00890A91">
            <w:pPr>
              <w:pStyle w:val="Vchodzie"/>
              <w:autoSpaceDE/>
              <w:rPr>
                <w:rFonts w:ascii="Arial Narrow" w:hAnsi="Arial Narrow"/>
                <w:sz w:val="18"/>
                <w:szCs w:val="18"/>
              </w:rPr>
            </w:pPr>
            <w:r w:rsidRPr="00134B6C">
              <w:rPr>
                <w:rFonts w:ascii="Arial Narrow" w:hAnsi="Arial Narrow"/>
                <w:sz w:val="18"/>
                <w:szCs w:val="18"/>
                <w:lang w:eastAsia="en-US"/>
              </w:rPr>
              <w:t xml:space="preserve">        </w:t>
            </w:r>
          </w:p>
        </w:tc>
        <w:tc>
          <w:tcPr>
            <w:tcW w:w="2376" w:type="dxa"/>
            <w:tcBorders>
              <w:top w:val="single" w:sz="2" w:space="0" w:color="000000"/>
              <w:left w:val="single" w:sz="8" w:space="0" w:color="000000"/>
              <w:bottom w:val="single" w:sz="8" w:space="0" w:color="000000"/>
              <w:right w:val="single" w:sz="8" w:space="0" w:color="000000"/>
            </w:tcBorders>
            <w:vAlign w:val="center"/>
          </w:tcPr>
          <w:p w:rsidR="006C37C7" w:rsidRPr="00134B6C" w:rsidRDefault="006C37C7" w:rsidP="00890A91">
            <w:pPr>
              <w:pStyle w:val="Vchodzie"/>
              <w:autoSpaceDE/>
              <w:rPr>
                <w:rFonts w:ascii="Arial Narrow" w:hAnsi="Arial Narrow"/>
                <w:sz w:val="18"/>
                <w:szCs w:val="18"/>
              </w:rPr>
            </w:pPr>
            <w:r w:rsidRPr="00134B6C">
              <w:rPr>
                <w:rFonts w:ascii="Arial Narrow" w:hAnsi="Arial Narrow"/>
                <w:sz w:val="18"/>
                <w:szCs w:val="18"/>
                <w:lang w:eastAsia="en-US"/>
              </w:rPr>
              <w:t xml:space="preserve">        </w:t>
            </w:r>
          </w:p>
        </w:tc>
      </w:tr>
    </w:tbl>
    <w:p w:rsidR="006C37C7" w:rsidRPr="00644A51" w:rsidRDefault="006C37C7" w:rsidP="006C37C7">
      <w:pPr>
        <w:pStyle w:val="Vchodzie"/>
        <w:autoSpaceDE/>
        <w:spacing w:line="200" w:lineRule="atLeast"/>
        <w:rPr>
          <w:rFonts w:ascii="Arial Narrow" w:hAnsi="Arial Narrow"/>
          <w:sz w:val="20"/>
          <w:szCs w:val="20"/>
        </w:rPr>
      </w:pPr>
    </w:p>
    <w:p w:rsidR="00D86E98" w:rsidRPr="006032E1" w:rsidRDefault="00D86E98" w:rsidP="00893D32">
      <w:pPr>
        <w:keepNext/>
        <w:outlineLvl w:val="0"/>
        <w:rPr>
          <w:rFonts w:ascii="Arial Narrow" w:hAnsi="Arial Narrow"/>
          <w:b/>
          <w:bCs/>
          <w:sz w:val="22"/>
          <w:lang w:eastAsia="en-US"/>
        </w:rPr>
      </w:pPr>
    </w:p>
    <w:p w:rsidR="007B2B28" w:rsidRPr="006032E1" w:rsidRDefault="007B2B28" w:rsidP="00893D32">
      <w:pPr>
        <w:keepNext/>
        <w:outlineLvl w:val="0"/>
        <w:rPr>
          <w:rFonts w:ascii="Arial Narrow" w:hAnsi="Arial Narrow"/>
          <w:b/>
          <w:bCs/>
          <w:sz w:val="22"/>
          <w:lang w:eastAsia="en-US"/>
        </w:rPr>
      </w:pPr>
      <w:r>
        <w:rPr>
          <w:rFonts w:ascii="Arial Narrow" w:hAnsi="Arial Narrow"/>
          <w:b/>
          <w:bCs/>
          <w:sz w:val="22"/>
          <w:lang w:eastAsia="en-US"/>
        </w:rPr>
        <w:t>Informácie o údajoch sledovaných na podsúvahových účtoch</w:t>
      </w:r>
    </w:p>
    <w:p w:rsidR="00893D32" w:rsidRPr="006032E1" w:rsidRDefault="00893D32" w:rsidP="008F4849">
      <w:pPr>
        <w:ind w:left="360" w:right="71" w:hanging="360"/>
        <w:jc w:val="both"/>
        <w:rPr>
          <w:b/>
          <w:bCs/>
          <w:sz w:val="22"/>
          <w:szCs w:val="22"/>
          <w:lang w:eastAsia="en-US"/>
        </w:rPr>
      </w:pPr>
    </w:p>
    <w:p w:rsidR="00986564" w:rsidRPr="006032E1" w:rsidRDefault="00893D32" w:rsidP="007B2B28">
      <w:pPr>
        <w:ind w:left="426" w:right="71"/>
        <w:jc w:val="both"/>
        <w:rPr>
          <w:b/>
          <w:bCs/>
          <w:sz w:val="22"/>
          <w:szCs w:val="22"/>
          <w:lang w:eastAsia="en-US"/>
        </w:rPr>
      </w:pPr>
      <w:r w:rsidRPr="006032E1">
        <w:rPr>
          <w:rFonts w:ascii="Arial Narrow" w:hAnsi="Arial Narrow"/>
          <w:bCs/>
          <w:kern w:val="28"/>
          <w:sz w:val="22"/>
          <w:szCs w:val="32"/>
          <w:lang w:eastAsia="en-US"/>
        </w:rPr>
        <w:t>Na podsúvahových účtoch eviduje spoločnosť náklady na služby spojené s nájmom a predpis záloh za služby spojené s nájmom za byty vlastníkov, ktorým spoločnosť zabezpečuje správu bytov</w:t>
      </w:r>
      <w:r w:rsidR="00853D9F">
        <w:rPr>
          <w:rFonts w:ascii="Arial Narrow" w:hAnsi="Arial Narrow"/>
          <w:bCs/>
          <w:kern w:val="28"/>
          <w:sz w:val="22"/>
          <w:szCs w:val="32"/>
          <w:lang w:eastAsia="en-US"/>
        </w:rPr>
        <w:t xml:space="preserve"> a nebytových priestorov, ke</w:t>
      </w:r>
      <w:r w:rsidR="007B2B28">
        <w:rPr>
          <w:rFonts w:ascii="Arial Narrow" w:hAnsi="Arial Narrow"/>
          <w:bCs/>
          <w:kern w:val="28"/>
          <w:sz w:val="22"/>
          <w:szCs w:val="32"/>
          <w:lang w:eastAsia="en-US"/>
        </w:rPr>
        <w:t xml:space="preserve">ď </w:t>
      </w:r>
      <w:r w:rsidR="00853D9F">
        <w:rPr>
          <w:rFonts w:ascii="Arial Narrow" w:hAnsi="Arial Narrow"/>
          <w:bCs/>
          <w:kern w:val="28"/>
          <w:sz w:val="22"/>
          <w:szCs w:val="32"/>
          <w:lang w:eastAsia="en-US"/>
        </w:rPr>
        <w:t>ide o </w:t>
      </w:r>
      <w:r w:rsidR="007B2B28">
        <w:rPr>
          <w:rFonts w:ascii="Arial Narrow" w:hAnsi="Arial Narrow"/>
          <w:bCs/>
          <w:kern w:val="28"/>
          <w:sz w:val="22"/>
          <w:szCs w:val="32"/>
          <w:lang w:eastAsia="en-US"/>
        </w:rPr>
        <w:t>pr</w:t>
      </w:r>
      <w:r w:rsidR="00853D9F">
        <w:rPr>
          <w:rFonts w:ascii="Arial Narrow" w:hAnsi="Arial Narrow"/>
          <w:bCs/>
          <w:kern w:val="28"/>
          <w:sz w:val="22"/>
          <w:szCs w:val="32"/>
          <w:lang w:eastAsia="en-US"/>
        </w:rPr>
        <w:t>i</w:t>
      </w:r>
      <w:r w:rsidR="007B2B28">
        <w:rPr>
          <w:rFonts w:ascii="Arial Narrow" w:hAnsi="Arial Narrow"/>
          <w:bCs/>
          <w:kern w:val="28"/>
          <w:sz w:val="22"/>
          <w:szCs w:val="32"/>
          <w:lang w:eastAsia="en-US"/>
        </w:rPr>
        <w:t>a</w:t>
      </w:r>
      <w:r w:rsidR="00853D9F">
        <w:rPr>
          <w:rFonts w:ascii="Arial Narrow" w:hAnsi="Arial Narrow"/>
          <w:bCs/>
          <w:kern w:val="28"/>
          <w:sz w:val="22"/>
          <w:szCs w:val="32"/>
          <w:lang w:eastAsia="en-US"/>
        </w:rPr>
        <w:t>mu správu</w:t>
      </w:r>
      <w:r w:rsidRPr="006032E1">
        <w:rPr>
          <w:rFonts w:ascii="Arial Narrow" w:hAnsi="Arial Narrow"/>
          <w:bCs/>
          <w:kern w:val="28"/>
          <w:sz w:val="22"/>
          <w:szCs w:val="32"/>
          <w:lang w:eastAsia="en-US"/>
        </w:rPr>
        <w:t>.</w:t>
      </w:r>
    </w:p>
    <w:p w:rsidR="00986564" w:rsidRPr="006032E1" w:rsidRDefault="00986564" w:rsidP="008F4849">
      <w:pPr>
        <w:ind w:right="71"/>
        <w:rPr>
          <w:bCs/>
          <w:sz w:val="22"/>
          <w:szCs w:val="22"/>
          <w:lang w:eastAsia="en-US"/>
        </w:rPr>
      </w:pPr>
    </w:p>
    <w:p w:rsidR="00986564" w:rsidRPr="006032E1" w:rsidRDefault="007B2B28" w:rsidP="00893D32">
      <w:pPr>
        <w:keepNext/>
        <w:outlineLvl w:val="0"/>
        <w:rPr>
          <w:rFonts w:ascii="Arial Narrow" w:hAnsi="Arial Narrow"/>
          <w:b/>
          <w:bCs/>
          <w:sz w:val="22"/>
          <w:lang w:eastAsia="en-US"/>
        </w:rPr>
      </w:pPr>
      <w:r>
        <w:rPr>
          <w:rFonts w:ascii="Arial Narrow" w:hAnsi="Arial Narrow"/>
          <w:b/>
          <w:bCs/>
          <w:sz w:val="22"/>
          <w:lang w:eastAsia="en-US"/>
        </w:rPr>
        <w:t>Informácie o iných aktívach a iných pasívach</w:t>
      </w:r>
      <w:r w:rsidR="00986564" w:rsidRPr="006032E1">
        <w:rPr>
          <w:rFonts w:ascii="Arial Narrow" w:hAnsi="Arial Narrow"/>
          <w:b/>
          <w:bCs/>
          <w:sz w:val="22"/>
          <w:lang w:eastAsia="en-US"/>
        </w:rPr>
        <w:t xml:space="preserve"> </w:t>
      </w:r>
    </w:p>
    <w:p w:rsidR="00986564" w:rsidRPr="006032E1" w:rsidRDefault="00986564" w:rsidP="008F4849">
      <w:pPr>
        <w:ind w:right="71"/>
        <w:rPr>
          <w:b/>
          <w:bCs/>
          <w:sz w:val="22"/>
          <w:szCs w:val="22"/>
          <w:lang w:eastAsia="en-US"/>
        </w:rPr>
      </w:pPr>
    </w:p>
    <w:p w:rsidR="00986564" w:rsidRPr="006032E1" w:rsidRDefault="00863F60" w:rsidP="007B2B28">
      <w:pPr>
        <w:keepNext/>
        <w:ind w:left="426"/>
        <w:outlineLvl w:val="0"/>
        <w:rPr>
          <w:rFonts w:ascii="Arial Narrow" w:hAnsi="Arial Narrow"/>
          <w:bCs/>
          <w:kern w:val="28"/>
          <w:sz w:val="22"/>
          <w:szCs w:val="32"/>
          <w:lang w:eastAsia="en-US"/>
        </w:rPr>
      </w:pPr>
      <w:r w:rsidRPr="006032E1">
        <w:rPr>
          <w:rFonts w:ascii="Arial Narrow" w:hAnsi="Arial Narrow"/>
          <w:bCs/>
          <w:kern w:val="28"/>
          <w:sz w:val="22"/>
          <w:szCs w:val="32"/>
          <w:lang w:eastAsia="en-US"/>
        </w:rPr>
        <w:t xml:space="preserve">Nie je známa žiadna hodnota budúcich možných záväzkov, ani hodnota budúcich možných práv a povinností </w:t>
      </w:r>
      <w:r w:rsidR="00946D11" w:rsidRPr="006032E1">
        <w:rPr>
          <w:rFonts w:ascii="Arial Narrow" w:hAnsi="Arial Narrow"/>
          <w:bCs/>
          <w:kern w:val="28"/>
          <w:sz w:val="22"/>
          <w:szCs w:val="32"/>
          <w:lang w:eastAsia="en-US"/>
        </w:rPr>
        <w:t>spoločnosti, ktoré sa nevykazujú v súvahe.</w:t>
      </w:r>
      <w:r w:rsidR="00986564" w:rsidRPr="006032E1">
        <w:rPr>
          <w:rFonts w:ascii="Arial Narrow" w:hAnsi="Arial Narrow"/>
          <w:bCs/>
          <w:kern w:val="28"/>
          <w:sz w:val="22"/>
          <w:szCs w:val="32"/>
          <w:lang w:eastAsia="en-US"/>
        </w:rPr>
        <w:t xml:space="preserve"> </w:t>
      </w:r>
    </w:p>
    <w:p w:rsidR="00986564" w:rsidRPr="006032E1" w:rsidRDefault="00986564" w:rsidP="008F4849">
      <w:pPr>
        <w:keepNext/>
        <w:outlineLvl w:val="0"/>
        <w:rPr>
          <w:rFonts w:ascii="Arial Narrow" w:hAnsi="Arial Narrow"/>
          <w:bCs/>
          <w:kern w:val="28"/>
          <w:sz w:val="22"/>
          <w:szCs w:val="32"/>
          <w:lang w:eastAsia="en-US"/>
        </w:rPr>
      </w:pPr>
    </w:p>
    <w:p w:rsidR="00986564" w:rsidRPr="006032E1" w:rsidRDefault="00986564" w:rsidP="008F4849">
      <w:pPr>
        <w:ind w:right="71"/>
        <w:rPr>
          <w:bCs/>
          <w:sz w:val="22"/>
          <w:lang w:eastAsia="en-US"/>
        </w:rPr>
      </w:pPr>
    </w:p>
    <w:p w:rsidR="007B2B28" w:rsidRPr="006032E1" w:rsidRDefault="007B2B28" w:rsidP="007B2B28">
      <w:pPr>
        <w:ind w:right="71"/>
        <w:jc w:val="both"/>
        <w:rPr>
          <w:rFonts w:ascii="Arial Narrow" w:hAnsi="Arial Narrow"/>
          <w:b/>
          <w:bCs/>
          <w:sz w:val="22"/>
          <w:lang w:eastAsia="en-US"/>
        </w:rPr>
      </w:pPr>
      <w:r>
        <w:rPr>
          <w:rFonts w:ascii="Arial Narrow" w:hAnsi="Arial Narrow"/>
          <w:b/>
          <w:bCs/>
          <w:sz w:val="22"/>
          <w:lang w:eastAsia="en-US"/>
        </w:rPr>
        <w:t>Informácie o skutočnostiach, ktoré nastali po dni ku ktorému sa zostavuje účtovná závierka do dňa zostavenia účtovnej závierky</w:t>
      </w:r>
    </w:p>
    <w:p w:rsidR="00946D11" w:rsidRPr="006032E1" w:rsidRDefault="00946D11" w:rsidP="008F4849">
      <w:pPr>
        <w:ind w:left="360" w:right="71" w:hanging="360"/>
        <w:jc w:val="both"/>
        <w:rPr>
          <w:b/>
          <w:bCs/>
          <w:sz w:val="22"/>
          <w:lang w:eastAsia="en-US"/>
        </w:rPr>
      </w:pPr>
    </w:p>
    <w:p w:rsidR="00986564" w:rsidRPr="006032E1" w:rsidRDefault="00946D11" w:rsidP="007B2B28">
      <w:pPr>
        <w:keepNext/>
        <w:ind w:left="426"/>
        <w:outlineLvl w:val="0"/>
        <w:rPr>
          <w:rFonts w:ascii="Arial Narrow" w:hAnsi="Arial Narrow"/>
          <w:bCs/>
          <w:kern w:val="28"/>
          <w:sz w:val="22"/>
          <w:szCs w:val="32"/>
          <w:lang w:eastAsia="en-US"/>
        </w:rPr>
      </w:pPr>
      <w:r w:rsidRPr="006032E1">
        <w:rPr>
          <w:rFonts w:ascii="Arial Narrow" w:hAnsi="Arial Narrow"/>
          <w:bCs/>
          <w:kern w:val="28"/>
          <w:sz w:val="22"/>
          <w:szCs w:val="32"/>
          <w:lang w:eastAsia="en-US"/>
        </w:rPr>
        <w:t>Nie sú známe žiadne skutočnosti, ktoré nastali po dni, ku ktorému sa zostavuje účtovná závierka. Do dňa zostavenia účtovnej závierky , ktoré by mohli mať vplyv na zmenu vykázaných skutočností v účtovnej závierke.</w:t>
      </w:r>
    </w:p>
    <w:p w:rsidR="00986564" w:rsidRDefault="00986564" w:rsidP="008F4849">
      <w:pPr>
        <w:widowControl w:val="0"/>
        <w:spacing w:after="60"/>
        <w:jc w:val="both"/>
        <w:outlineLvl w:val="0"/>
        <w:rPr>
          <w:b/>
          <w:bCs/>
          <w:kern w:val="28"/>
          <w:sz w:val="22"/>
          <w:szCs w:val="32"/>
          <w:lang w:eastAsia="en-US"/>
        </w:rPr>
      </w:pPr>
    </w:p>
    <w:p w:rsidR="00DC3026" w:rsidRPr="006032E1" w:rsidRDefault="00DC3026" w:rsidP="008F4849">
      <w:pPr>
        <w:widowControl w:val="0"/>
        <w:spacing w:after="60"/>
        <w:outlineLvl w:val="0"/>
        <w:rPr>
          <w:rFonts w:ascii="Arial Narrow" w:hAnsi="Arial Narrow"/>
          <w:b/>
          <w:bCs/>
          <w:kern w:val="28"/>
          <w:sz w:val="22"/>
          <w:szCs w:val="32"/>
          <w:lang w:eastAsia="en-US"/>
        </w:rPr>
      </w:pPr>
    </w:p>
    <w:sectPr w:rsidR="00DC3026" w:rsidRPr="006032E1" w:rsidSect="0019329A">
      <w:headerReference w:type="default" r:id="rId8"/>
      <w:footerReference w:type="even" r:id="rId9"/>
      <w:footerReference w:type="default" r:id="rId10"/>
      <w:pgSz w:w="11906" w:h="16838"/>
      <w:pgMar w:top="1417"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0216" w:rsidRDefault="00840216">
      <w:r>
        <w:separator/>
      </w:r>
    </w:p>
  </w:endnote>
  <w:endnote w:type="continuationSeparator" w:id="1">
    <w:p w:rsidR="00840216" w:rsidRDefault="008402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15FC" w:rsidRDefault="00FA15F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A15FC" w:rsidRDefault="00FA15F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15FC" w:rsidRDefault="00FA15F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C061F">
      <w:rPr>
        <w:rStyle w:val="slostrany"/>
        <w:noProof/>
      </w:rPr>
      <w:t>7</w:t>
    </w:r>
    <w:r>
      <w:rPr>
        <w:rStyle w:val="slostrany"/>
      </w:rPr>
      <w:fldChar w:fldCharType="end"/>
    </w:r>
  </w:p>
  <w:p w:rsidR="00FA15FC" w:rsidRDefault="00FA15F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0216" w:rsidRDefault="00840216">
      <w:r>
        <w:separator/>
      </w:r>
    </w:p>
  </w:footnote>
  <w:footnote w:type="continuationSeparator" w:id="1">
    <w:p w:rsidR="00840216" w:rsidRDefault="008402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80"/>
      <w:gridCol w:w="291"/>
      <w:gridCol w:w="291"/>
      <w:gridCol w:w="280"/>
      <w:gridCol w:w="280"/>
      <w:gridCol w:w="291"/>
      <w:gridCol w:w="291"/>
      <w:gridCol w:w="291"/>
      <w:gridCol w:w="291"/>
      <w:gridCol w:w="291"/>
    </w:tblGrid>
    <w:tr w:rsidR="002B7C1E" w:rsidRPr="002B7C1E" w:rsidTr="00D251F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B7C1E" w:rsidRPr="002B7C1E" w:rsidRDefault="002B7C1E" w:rsidP="00B67317">
          <w:pPr>
            <w:rPr>
              <w:rFonts w:ascii="Arial Narrow" w:hAnsi="Arial Narrow"/>
              <w:color w:val="000000"/>
              <w:sz w:val="22"/>
              <w:szCs w:val="22"/>
              <w:lang w:eastAsia="sk-SK"/>
            </w:rPr>
          </w:pPr>
          <w:r w:rsidRPr="002B7C1E">
            <w:rPr>
              <w:rFonts w:ascii="Arial Narrow" w:hAnsi="Arial Narrow"/>
              <w:color w:val="000000"/>
              <w:sz w:val="22"/>
              <w:szCs w:val="22"/>
              <w:lang w:eastAsia="sk-SK"/>
            </w:rPr>
            <w:t>Poznámky Úč POD</w:t>
          </w:r>
          <w:r w:rsidR="00B67317">
            <w:rPr>
              <w:rFonts w:ascii="Arial Narrow" w:hAnsi="Arial Narrow"/>
              <w:color w:val="000000"/>
              <w:sz w:val="22"/>
              <w:szCs w:val="22"/>
              <w:lang w:eastAsia="sk-SK"/>
            </w:rPr>
            <w:t xml:space="preserve">V  </w:t>
          </w:r>
          <w:r w:rsidRPr="002B7C1E">
            <w:rPr>
              <w:rFonts w:ascii="Arial Narrow" w:hAnsi="Arial Narrow"/>
              <w:color w:val="000000"/>
              <w:sz w:val="22"/>
              <w:szCs w:val="22"/>
              <w:lang w:eastAsia="sk-SK"/>
            </w:rPr>
            <w:t>3 - 01</w:t>
          </w:r>
        </w:p>
      </w:tc>
      <w:tc>
        <w:tcPr>
          <w:tcW w:w="2260" w:type="dxa"/>
          <w:tcBorders>
            <w:top w:val="nil"/>
            <w:left w:val="nil"/>
            <w:bottom w:val="nil"/>
            <w:right w:val="nil"/>
          </w:tcBorders>
          <w:noWrap/>
          <w:vAlign w:val="bottom"/>
          <w:hideMark/>
        </w:tcPr>
        <w:p w:rsidR="002B7C1E" w:rsidRPr="002B7C1E" w:rsidRDefault="002B7C1E" w:rsidP="00D251F4">
          <w:pPr>
            <w:jc w:val="center"/>
            <w:rPr>
              <w:rFonts w:ascii="Arial Narrow" w:hAnsi="Arial Narrow"/>
              <w:color w:val="000000"/>
              <w:sz w:val="22"/>
              <w:szCs w:val="22"/>
              <w:lang w:eastAsia="sk-SK"/>
            </w:rPr>
          </w:pPr>
        </w:p>
      </w:tc>
      <w:tc>
        <w:tcPr>
          <w:tcW w:w="420" w:type="dxa"/>
          <w:tcBorders>
            <w:top w:val="nil"/>
            <w:left w:val="nil"/>
            <w:bottom w:val="nil"/>
            <w:right w:val="nil"/>
          </w:tcBorders>
          <w:noWrap/>
          <w:vAlign w:val="bottom"/>
          <w:hideMark/>
        </w:tcPr>
        <w:p w:rsidR="002B7C1E" w:rsidRPr="002B7C1E" w:rsidRDefault="002B7C1E" w:rsidP="00D251F4">
          <w:pPr>
            <w:rPr>
              <w:rFonts w:ascii="Arial Narrow" w:hAnsi="Arial Narrow"/>
              <w:color w:val="000000"/>
              <w:sz w:val="22"/>
              <w:szCs w:val="22"/>
              <w:lang w:eastAsia="sk-SK"/>
            </w:rPr>
          </w:pPr>
          <w:r w:rsidRPr="002B7C1E">
            <w:rPr>
              <w:rFonts w:ascii="Arial Narrow" w:hAnsi="Arial Narrow"/>
              <w:color w:val="000000"/>
              <w:sz w:val="22"/>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 0</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2 </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5 </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4 </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sidRPr="002B7C1E">
            <w:rPr>
              <w:rFonts w:ascii="Arial Narrow" w:hAnsi="Arial Narrow"/>
              <w:sz w:val="22"/>
              <w:szCs w:val="22"/>
              <w:lang w:eastAsia="sk-SK"/>
            </w:rPr>
            <w:t>3 </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Pr>
              <w:rFonts w:ascii="Arial Narrow" w:hAnsi="Arial Narrow"/>
              <w:sz w:val="22"/>
              <w:szCs w:val="22"/>
              <w:lang w:eastAsia="sk-SK"/>
            </w:rPr>
            <w:t>8</w:t>
          </w:r>
          <w:r w:rsidRPr="002B7C1E">
            <w:rPr>
              <w:rFonts w:ascii="Arial Narrow" w:hAnsi="Arial Narrow"/>
              <w:sz w:val="22"/>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7C1E" w:rsidRPr="002B7C1E" w:rsidRDefault="002B7C1E" w:rsidP="00D251F4">
          <w:pPr>
            <w:jc w:val="center"/>
            <w:rPr>
              <w:rFonts w:ascii="Arial Narrow" w:hAnsi="Arial Narrow"/>
              <w:sz w:val="22"/>
              <w:szCs w:val="22"/>
              <w:lang w:eastAsia="sk-SK"/>
            </w:rPr>
          </w:pPr>
          <w:r>
            <w:rPr>
              <w:rFonts w:ascii="Arial Narrow" w:hAnsi="Arial Narrow"/>
              <w:sz w:val="22"/>
              <w:szCs w:val="22"/>
              <w:lang w:eastAsia="sk-SK"/>
            </w:rPr>
            <w:t>1</w:t>
          </w:r>
          <w:r w:rsidRPr="002B7C1E">
            <w:rPr>
              <w:rFonts w:ascii="Arial Narrow" w:hAnsi="Arial Narrow"/>
              <w:sz w:val="22"/>
              <w:szCs w:val="22"/>
              <w:lang w:eastAsia="sk-SK"/>
            </w:rPr>
            <w:t> </w:t>
          </w:r>
        </w:p>
      </w:tc>
    </w:tr>
  </w:tbl>
  <w:p w:rsidR="002B7C1E" w:rsidRDefault="002B7C1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72C4E38"/>
    <w:multiLevelType w:val="hybridMultilevel"/>
    <w:tmpl w:val="F0B28532"/>
    <w:lvl w:ilvl="0" w:tplc="041B000F">
      <w:start w:val="1"/>
      <w:numFmt w:val="decimal"/>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6">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0AD534AF"/>
    <w:multiLevelType w:val="hybridMultilevel"/>
    <w:tmpl w:val="CA1C36F2"/>
    <w:lvl w:ilvl="0" w:tplc="041B000F">
      <w:start w:val="1"/>
      <w:numFmt w:val="decimal"/>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8">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2">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5">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20">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1">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2">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3">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2">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nsid w:val="2E6E66A4"/>
    <w:multiLevelType w:val="hybridMultilevel"/>
    <w:tmpl w:val="65F01EB8"/>
    <w:lvl w:ilvl="0" w:tplc="285A6F40">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6">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7">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9">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1">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42">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4">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5">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6">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7">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8">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49">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1">
    <w:nsid w:val="4517539E"/>
    <w:multiLevelType w:val="hybridMultilevel"/>
    <w:tmpl w:val="4682491E"/>
    <w:lvl w:ilvl="0" w:tplc="165E551E">
      <w:start w:val="1"/>
      <w:numFmt w:val="decimal"/>
      <w:lvlText w:val="%1."/>
      <w:lvlJc w:val="left"/>
      <w:pPr>
        <w:tabs>
          <w:tab w:val="num" w:pos="1617"/>
        </w:tabs>
        <w:ind w:left="1617" w:hanging="357"/>
      </w:pPr>
      <w:rPr>
        <w:rFonts w:cs="Times New Roman" w:hint="default"/>
      </w:rPr>
    </w:lvl>
    <w:lvl w:ilvl="1" w:tplc="946ED034">
      <w:start w:val="1"/>
      <w:numFmt w:val="lowerLetter"/>
      <w:lvlText w:val="%2)"/>
      <w:lvlJc w:val="left"/>
      <w:pPr>
        <w:tabs>
          <w:tab w:val="num" w:pos="-27"/>
        </w:tabs>
        <w:ind w:left="824" w:hanging="284"/>
      </w:pPr>
      <w:rPr>
        <w:rFonts w:cs="Times New Roman" w:hint="default"/>
      </w:rPr>
    </w:lvl>
    <w:lvl w:ilvl="2" w:tplc="0405001B">
      <w:start w:val="1"/>
      <w:numFmt w:val="lowerRoman"/>
      <w:lvlText w:val="%3."/>
      <w:lvlJc w:val="right"/>
      <w:pPr>
        <w:tabs>
          <w:tab w:val="num" w:pos="2264"/>
        </w:tabs>
        <w:ind w:left="2264" w:hanging="180"/>
      </w:pPr>
      <w:rPr>
        <w:rFonts w:cs="Times New Roman"/>
      </w:rPr>
    </w:lvl>
    <w:lvl w:ilvl="3" w:tplc="0405000F">
      <w:start w:val="1"/>
      <w:numFmt w:val="decimal"/>
      <w:lvlText w:val="%4."/>
      <w:lvlJc w:val="left"/>
      <w:pPr>
        <w:tabs>
          <w:tab w:val="num" w:pos="2984"/>
        </w:tabs>
        <w:ind w:left="2984" w:hanging="360"/>
      </w:pPr>
      <w:rPr>
        <w:rFonts w:cs="Times New Roman"/>
      </w:rPr>
    </w:lvl>
    <w:lvl w:ilvl="4" w:tplc="04050019" w:tentative="1">
      <w:start w:val="1"/>
      <w:numFmt w:val="lowerLetter"/>
      <w:lvlText w:val="%5."/>
      <w:lvlJc w:val="left"/>
      <w:pPr>
        <w:tabs>
          <w:tab w:val="num" w:pos="3704"/>
        </w:tabs>
        <w:ind w:left="3704" w:hanging="360"/>
      </w:pPr>
      <w:rPr>
        <w:rFonts w:cs="Times New Roman"/>
      </w:rPr>
    </w:lvl>
    <w:lvl w:ilvl="5" w:tplc="0405001B" w:tentative="1">
      <w:start w:val="1"/>
      <w:numFmt w:val="lowerRoman"/>
      <w:lvlText w:val="%6."/>
      <w:lvlJc w:val="right"/>
      <w:pPr>
        <w:tabs>
          <w:tab w:val="num" w:pos="4424"/>
        </w:tabs>
        <w:ind w:left="4424" w:hanging="180"/>
      </w:pPr>
      <w:rPr>
        <w:rFonts w:cs="Times New Roman"/>
      </w:rPr>
    </w:lvl>
    <w:lvl w:ilvl="6" w:tplc="0405000F" w:tentative="1">
      <w:start w:val="1"/>
      <w:numFmt w:val="decimal"/>
      <w:lvlText w:val="%7."/>
      <w:lvlJc w:val="left"/>
      <w:pPr>
        <w:tabs>
          <w:tab w:val="num" w:pos="5144"/>
        </w:tabs>
        <w:ind w:left="5144" w:hanging="360"/>
      </w:pPr>
      <w:rPr>
        <w:rFonts w:cs="Times New Roman"/>
      </w:rPr>
    </w:lvl>
    <w:lvl w:ilvl="7" w:tplc="04050019" w:tentative="1">
      <w:start w:val="1"/>
      <w:numFmt w:val="lowerLetter"/>
      <w:lvlText w:val="%8."/>
      <w:lvlJc w:val="left"/>
      <w:pPr>
        <w:tabs>
          <w:tab w:val="num" w:pos="5864"/>
        </w:tabs>
        <w:ind w:left="5864" w:hanging="360"/>
      </w:pPr>
      <w:rPr>
        <w:rFonts w:cs="Times New Roman"/>
      </w:rPr>
    </w:lvl>
    <w:lvl w:ilvl="8" w:tplc="0405001B" w:tentative="1">
      <w:start w:val="1"/>
      <w:numFmt w:val="lowerRoman"/>
      <w:lvlText w:val="%9."/>
      <w:lvlJc w:val="right"/>
      <w:pPr>
        <w:tabs>
          <w:tab w:val="num" w:pos="6584"/>
        </w:tabs>
        <w:ind w:left="6584" w:hanging="180"/>
      </w:pPr>
      <w:rPr>
        <w:rFonts w:cs="Times New Roman"/>
      </w:rPr>
    </w:lvl>
  </w:abstractNum>
  <w:abstractNum w:abstractNumId="52">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3">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4">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5">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6">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8">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1">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2">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3">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7">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7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2">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3">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4">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6">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nsid w:val="5EBE5F2A"/>
    <w:multiLevelType w:val="hybridMultilevel"/>
    <w:tmpl w:val="E5EAD5E4"/>
    <w:lvl w:ilvl="0" w:tplc="31A2A2B8">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8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1">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3">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4">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7">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8">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9">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9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2">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3">
    <w:nsid w:val="74E67D53"/>
    <w:multiLevelType w:val="hybridMultilevel"/>
    <w:tmpl w:val="B2FE3536"/>
    <w:lvl w:ilvl="0" w:tplc="59CC4992">
      <w:start w:val="9"/>
      <w:numFmt w:val="bullet"/>
      <w:lvlText w:val=""/>
      <w:lvlJc w:val="left"/>
      <w:pPr>
        <w:ind w:left="720" w:hanging="360"/>
      </w:pPr>
      <w:rPr>
        <w:rFonts w:ascii="Wingdings" w:eastAsia="Times New Roman" w:hAnsi="Wingding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7">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3">
    <w:nsid w:val="7E0029B6"/>
    <w:multiLevelType w:val="hybridMultilevel"/>
    <w:tmpl w:val="2E9C90BC"/>
    <w:lvl w:ilvl="0" w:tplc="B5C6F56E">
      <w:start w:val="5"/>
      <w:numFmt w:val="bullet"/>
      <w:lvlText w:val="-"/>
      <w:lvlJc w:val="left"/>
      <w:pPr>
        <w:tabs>
          <w:tab w:val="num" w:pos="1065"/>
        </w:tabs>
        <w:ind w:left="1065" w:hanging="360"/>
      </w:pPr>
      <w:rPr>
        <w:rFonts w:ascii="Arial Narrow" w:eastAsia="Times New Roman" w:hAnsi="Arial Narrow" w:cs="Times New Roman" w:hint="default"/>
      </w:rPr>
    </w:lvl>
    <w:lvl w:ilvl="1" w:tplc="041B0003" w:tentative="1">
      <w:start w:val="1"/>
      <w:numFmt w:val="bullet"/>
      <w:lvlText w:val="o"/>
      <w:lvlJc w:val="left"/>
      <w:pPr>
        <w:tabs>
          <w:tab w:val="num" w:pos="1785"/>
        </w:tabs>
        <w:ind w:left="1785" w:hanging="360"/>
      </w:pPr>
      <w:rPr>
        <w:rFonts w:ascii="Courier New" w:hAnsi="Courier New" w:cs="Courier New" w:hint="default"/>
      </w:rPr>
    </w:lvl>
    <w:lvl w:ilvl="2" w:tplc="041B0005" w:tentative="1">
      <w:start w:val="1"/>
      <w:numFmt w:val="bullet"/>
      <w:lvlText w:val=""/>
      <w:lvlJc w:val="left"/>
      <w:pPr>
        <w:tabs>
          <w:tab w:val="num" w:pos="2505"/>
        </w:tabs>
        <w:ind w:left="2505" w:hanging="360"/>
      </w:pPr>
      <w:rPr>
        <w:rFonts w:ascii="Wingdings" w:hAnsi="Wingdings" w:hint="default"/>
      </w:rPr>
    </w:lvl>
    <w:lvl w:ilvl="3" w:tplc="041B0001" w:tentative="1">
      <w:start w:val="1"/>
      <w:numFmt w:val="bullet"/>
      <w:lvlText w:val=""/>
      <w:lvlJc w:val="left"/>
      <w:pPr>
        <w:tabs>
          <w:tab w:val="num" w:pos="3225"/>
        </w:tabs>
        <w:ind w:left="3225" w:hanging="360"/>
      </w:pPr>
      <w:rPr>
        <w:rFonts w:ascii="Symbol" w:hAnsi="Symbol" w:hint="default"/>
      </w:rPr>
    </w:lvl>
    <w:lvl w:ilvl="4" w:tplc="041B0003" w:tentative="1">
      <w:start w:val="1"/>
      <w:numFmt w:val="bullet"/>
      <w:lvlText w:val="o"/>
      <w:lvlJc w:val="left"/>
      <w:pPr>
        <w:tabs>
          <w:tab w:val="num" w:pos="3945"/>
        </w:tabs>
        <w:ind w:left="3945" w:hanging="360"/>
      </w:pPr>
      <w:rPr>
        <w:rFonts w:ascii="Courier New" w:hAnsi="Courier New" w:cs="Courier New" w:hint="default"/>
      </w:rPr>
    </w:lvl>
    <w:lvl w:ilvl="5" w:tplc="041B0005" w:tentative="1">
      <w:start w:val="1"/>
      <w:numFmt w:val="bullet"/>
      <w:lvlText w:val=""/>
      <w:lvlJc w:val="left"/>
      <w:pPr>
        <w:tabs>
          <w:tab w:val="num" w:pos="4665"/>
        </w:tabs>
        <w:ind w:left="4665" w:hanging="360"/>
      </w:pPr>
      <w:rPr>
        <w:rFonts w:ascii="Wingdings" w:hAnsi="Wingdings" w:hint="default"/>
      </w:rPr>
    </w:lvl>
    <w:lvl w:ilvl="6" w:tplc="041B0001" w:tentative="1">
      <w:start w:val="1"/>
      <w:numFmt w:val="bullet"/>
      <w:lvlText w:val=""/>
      <w:lvlJc w:val="left"/>
      <w:pPr>
        <w:tabs>
          <w:tab w:val="num" w:pos="5385"/>
        </w:tabs>
        <w:ind w:left="5385" w:hanging="360"/>
      </w:pPr>
      <w:rPr>
        <w:rFonts w:ascii="Symbol" w:hAnsi="Symbol" w:hint="default"/>
      </w:rPr>
    </w:lvl>
    <w:lvl w:ilvl="7" w:tplc="041B0003" w:tentative="1">
      <w:start w:val="1"/>
      <w:numFmt w:val="bullet"/>
      <w:lvlText w:val="o"/>
      <w:lvlJc w:val="left"/>
      <w:pPr>
        <w:tabs>
          <w:tab w:val="num" w:pos="6105"/>
        </w:tabs>
        <w:ind w:left="6105" w:hanging="360"/>
      </w:pPr>
      <w:rPr>
        <w:rFonts w:ascii="Courier New" w:hAnsi="Courier New" w:cs="Courier New" w:hint="default"/>
      </w:rPr>
    </w:lvl>
    <w:lvl w:ilvl="8" w:tplc="041B0005" w:tentative="1">
      <w:start w:val="1"/>
      <w:numFmt w:val="bullet"/>
      <w:lvlText w:val=""/>
      <w:lvlJc w:val="left"/>
      <w:pPr>
        <w:tabs>
          <w:tab w:val="num" w:pos="6825"/>
        </w:tabs>
        <w:ind w:left="6825" w:hanging="360"/>
      </w:pPr>
      <w:rPr>
        <w:rFonts w:ascii="Wingdings" w:hAnsi="Wingdings" w:hint="default"/>
      </w:rPr>
    </w:lvl>
  </w:abstractNum>
  <w:abstractNum w:abstractNumId="104">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96"/>
  </w:num>
  <w:num w:numId="3">
    <w:abstractNumId w:val="35"/>
  </w:num>
  <w:num w:numId="4">
    <w:abstractNumId w:val="48"/>
  </w:num>
  <w:num w:numId="5">
    <w:abstractNumId w:val="69"/>
  </w:num>
  <w:num w:numId="6">
    <w:abstractNumId w:val="72"/>
  </w:num>
  <w:num w:numId="7">
    <w:abstractNumId w:val="37"/>
  </w:num>
  <w:num w:numId="8">
    <w:abstractNumId w:val="10"/>
  </w:num>
  <w:num w:numId="9">
    <w:abstractNumId w:val="25"/>
  </w:num>
  <w:num w:numId="10">
    <w:abstractNumId w:val="57"/>
  </w:num>
  <w:num w:numId="11">
    <w:abstractNumId w:val="91"/>
  </w:num>
  <w:num w:numId="12">
    <w:abstractNumId w:val="39"/>
  </w:num>
  <w:num w:numId="13">
    <w:abstractNumId w:val="68"/>
  </w:num>
  <w:num w:numId="14">
    <w:abstractNumId w:val="20"/>
  </w:num>
  <w:num w:numId="15">
    <w:abstractNumId w:val="43"/>
  </w:num>
  <w:num w:numId="16">
    <w:abstractNumId w:val="61"/>
  </w:num>
  <w:num w:numId="17">
    <w:abstractNumId w:val="53"/>
  </w:num>
  <w:num w:numId="18">
    <w:abstractNumId w:val="44"/>
  </w:num>
  <w:num w:numId="19">
    <w:abstractNumId w:val="54"/>
  </w:num>
  <w:num w:numId="20">
    <w:abstractNumId w:val="47"/>
  </w:num>
  <w:num w:numId="21">
    <w:abstractNumId w:val="99"/>
  </w:num>
  <w:num w:numId="22">
    <w:abstractNumId w:val="27"/>
  </w:num>
  <w:num w:numId="23">
    <w:abstractNumId w:val="76"/>
  </w:num>
  <w:num w:numId="24">
    <w:abstractNumId w:val="92"/>
  </w:num>
  <w:num w:numId="25">
    <w:abstractNumId w:val="3"/>
  </w:num>
  <w:num w:numId="26">
    <w:abstractNumId w:val="21"/>
  </w:num>
  <w:num w:numId="27">
    <w:abstractNumId w:val="60"/>
  </w:num>
  <w:num w:numId="28">
    <w:abstractNumId w:val="71"/>
  </w:num>
  <w:num w:numId="29">
    <w:abstractNumId w:val="86"/>
  </w:num>
  <w:num w:numId="30">
    <w:abstractNumId w:val="19"/>
  </w:num>
  <w:num w:numId="31">
    <w:abstractNumId w:val="81"/>
  </w:num>
  <w:num w:numId="32">
    <w:abstractNumId w:val="4"/>
  </w:num>
  <w:num w:numId="33">
    <w:abstractNumId w:val="46"/>
  </w:num>
  <w:num w:numId="34">
    <w:abstractNumId w:val="1"/>
  </w:num>
  <w:num w:numId="35">
    <w:abstractNumId w:val="85"/>
  </w:num>
  <w:num w:numId="36">
    <w:abstractNumId w:val="89"/>
  </w:num>
  <w:num w:numId="37">
    <w:abstractNumId w:val="98"/>
  </w:num>
  <w:num w:numId="38">
    <w:abstractNumId w:val="73"/>
  </w:num>
  <w:num w:numId="39">
    <w:abstractNumId w:val="13"/>
  </w:num>
  <w:num w:numId="40">
    <w:abstractNumId w:val="84"/>
  </w:num>
  <w:num w:numId="41">
    <w:abstractNumId w:val="15"/>
  </w:num>
  <w:num w:numId="42">
    <w:abstractNumId w:val="18"/>
  </w:num>
  <w:num w:numId="43">
    <w:abstractNumId w:val="29"/>
  </w:num>
  <w:num w:numId="44">
    <w:abstractNumId w:val="14"/>
  </w:num>
  <w:num w:numId="45">
    <w:abstractNumId w:val="82"/>
  </w:num>
  <w:num w:numId="46">
    <w:abstractNumId w:val="11"/>
  </w:num>
  <w:num w:numId="47">
    <w:abstractNumId w:val="83"/>
  </w:num>
  <w:num w:numId="48">
    <w:abstractNumId w:val="2"/>
  </w:num>
  <w:num w:numId="49">
    <w:abstractNumId w:val="64"/>
  </w:num>
  <w:num w:numId="50">
    <w:abstractNumId w:val="12"/>
  </w:num>
  <w:num w:numId="51">
    <w:abstractNumId w:val="77"/>
  </w:num>
  <w:num w:numId="52">
    <w:abstractNumId w:val="30"/>
  </w:num>
  <w:num w:numId="53">
    <w:abstractNumId w:val="65"/>
  </w:num>
  <w:num w:numId="54">
    <w:abstractNumId w:val="100"/>
  </w:num>
  <w:num w:numId="55">
    <w:abstractNumId w:val="50"/>
  </w:num>
  <w:num w:numId="56">
    <w:abstractNumId w:val="6"/>
  </w:num>
  <w:num w:numId="57">
    <w:abstractNumId w:val="0"/>
  </w:num>
  <w:num w:numId="58">
    <w:abstractNumId w:val="32"/>
  </w:num>
  <w:num w:numId="59">
    <w:abstractNumId w:val="58"/>
  </w:num>
  <w:num w:numId="60">
    <w:abstractNumId w:val="75"/>
  </w:num>
  <w:num w:numId="61">
    <w:abstractNumId w:val="36"/>
  </w:num>
  <w:num w:numId="62">
    <w:abstractNumId w:val="74"/>
  </w:num>
  <w:num w:numId="63">
    <w:abstractNumId w:val="101"/>
  </w:num>
  <w:num w:numId="64">
    <w:abstractNumId w:val="95"/>
  </w:num>
  <w:num w:numId="65">
    <w:abstractNumId w:val="87"/>
  </w:num>
  <w:num w:numId="66">
    <w:abstractNumId w:val="16"/>
  </w:num>
  <w:num w:numId="67">
    <w:abstractNumId w:val="67"/>
  </w:num>
  <w:num w:numId="68">
    <w:abstractNumId w:val="22"/>
  </w:num>
  <w:num w:numId="69">
    <w:abstractNumId w:val="55"/>
  </w:num>
  <w:num w:numId="70">
    <w:abstractNumId w:val="49"/>
  </w:num>
  <w:num w:numId="71">
    <w:abstractNumId w:val="90"/>
  </w:num>
  <w:num w:numId="72">
    <w:abstractNumId w:val="63"/>
  </w:num>
  <w:num w:numId="73">
    <w:abstractNumId w:val="52"/>
  </w:num>
  <w:num w:numId="74">
    <w:abstractNumId w:val="23"/>
  </w:num>
  <w:num w:numId="75">
    <w:abstractNumId w:val="45"/>
  </w:num>
  <w:num w:numId="76">
    <w:abstractNumId w:val="31"/>
  </w:num>
  <w:num w:numId="77">
    <w:abstractNumId w:val="56"/>
  </w:num>
  <w:num w:numId="78">
    <w:abstractNumId w:val="9"/>
  </w:num>
  <w:num w:numId="79">
    <w:abstractNumId w:val="42"/>
  </w:num>
  <w:num w:numId="80">
    <w:abstractNumId w:val="88"/>
  </w:num>
  <w:num w:numId="81">
    <w:abstractNumId w:val="59"/>
  </w:num>
  <w:num w:numId="82">
    <w:abstractNumId w:val="17"/>
  </w:num>
  <w:num w:numId="83">
    <w:abstractNumId w:val="94"/>
  </w:num>
  <w:num w:numId="84">
    <w:abstractNumId w:val="104"/>
  </w:num>
  <w:num w:numId="85">
    <w:abstractNumId w:val="26"/>
  </w:num>
  <w:num w:numId="86">
    <w:abstractNumId w:val="41"/>
  </w:num>
  <w:num w:numId="87">
    <w:abstractNumId w:val="40"/>
  </w:num>
  <w:num w:numId="88">
    <w:abstractNumId w:val="8"/>
  </w:num>
  <w:num w:numId="89">
    <w:abstractNumId w:val="51"/>
  </w:num>
  <w:num w:numId="90">
    <w:abstractNumId w:val="80"/>
  </w:num>
  <w:num w:numId="91">
    <w:abstractNumId w:val="102"/>
  </w:num>
  <w:num w:numId="92">
    <w:abstractNumId w:val="66"/>
  </w:num>
  <w:num w:numId="93">
    <w:abstractNumId w:val="70"/>
  </w:num>
  <w:num w:numId="94">
    <w:abstractNumId w:val="62"/>
  </w:num>
  <w:num w:numId="95">
    <w:abstractNumId w:val="97"/>
  </w:num>
  <w:num w:numId="96">
    <w:abstractNumId w:val="79"/>
  </w:num>
  <w:num w:numId="97">
    <w:abstractNumId w:val="24"/>
  </w:num>
  <w:num w:numId="98">
    <w:abstractNumId w:val="33"/>
  </w:num>
  <w:num w:numId="99">
    <w:abstractNumId w:val="38"/>
  </w:num>
  <w:num w:numId="100">
    <w:abstractNumId w:val="7"/>
  </w:num>
  <w:num w:numId="101">
    <w:abstractNumId w:val="5"/>
  </w:num>
  <w:num w:numId="102">
    <w:abstractNumId w:val="103"/>
  </w:num>
  <w:num w:numId="103">
    <w:abstractNumId w:val="93"/>
  </w:num>
  <w:num w:numId="104">
    <w:abstractNumId w:val="34"/>
  </w:num>
  <w:num w:numId="105">
    <w:abstractNumId w:val="78"/>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grammar="clean"/>
  <w:defaultTabStop w:val="708"/>
  <w:hyphenationZone w:val="425"/>
  <w:noPunctuationKerning/>
  <w:characterSpacingControl w:val="doNotCompress"/>
  <w:footnotePr>
    <w:footnote w:id="0"/>
    <w:footnote w:id="1"/>
  </w:footnotePr>
  <w:endnotePr>
    <w:endnote w:id="0"/>
    <w:endnote w:id="1"/>
  </w:endnotePr>
  <w:compat/>
  <w:rsids>
    <w:rsidRoot w:val="0070224A"/>
    <w:rsid w:val="0000563F"/>
    <w:rsid w:val="0000597B"/>
    <w:rsid w:val="00013022"/>
    <w:rsid w:val="00014565"/>
    <w:rsid w:val="0001735B"/>
    <w:rsid w:val="00022068"/>
    <w:rsid w:val="00023A3A"/>
    <w:rsid w:val="0002557D"/>
    <w:rsid w:val="00027232"/>
    <w:rsid w:val="000304EB"/>
    <w:rsid w:val="00030972"/>
    <w:rsid w:val="00034726"/>
    <w:rsid w:val="0003683A"/>
    <w:rsid w:val="0004127F"/>
    <w:rsid w:val="00052304"/>
    <w:rsid w:val="0005470C"/>
    <w:rsid w:val="00054D19"/>
    <w:rsid w:val="000558F7"/>
    <w:rsid w:val="00056E99"/>
    <w:rsid w:val="00067811"/>
    <w:rsid w:val="00067C83"/>
    <w:rsid w:val="0007004E"/>
    <w:rsid w:val="000715D0"/>
    <w:rsid w:val="000807FB"/>
    <w:rsid w:val="000810AF"/>
    <w:rsid w:val="00082704"/>
    <w:rsid w:val="00091AB4"/>
    <w:rsid w:val="000A79AB"/>
    <w:rsid w:val="000B1DC6"/>
    <w:rsid w:val="000B2B2B"/>
    <w:rsid w:val="000B2C74"/>
    <w:rsid w:val="000B428E"/>
    <w:rsid w:val="000B429A"/>
    <w:rsid w:val="000C619A"/>
    <w:rsid w:val="000C726C"/>
    <w:rsid w:val="000D0FA8"/>
    <w:rsid w:val="000D1710"/>
    <w:rsid w:val="000D5595"/>
    <w:rsid w:val="000E0212"/>
    <w:rsid w:val="000E12E2"/>
    <w:rsid w:val="000E2F94"/>
    <w:rsid w:val="000E44A8"/>
    <w:rsid w:val="000E4DDE"/>
    <w:rsid w:val="000E4DFE"/>
    <w:rsid w:val="000E5650"/>
    <w:rsid w:val="000E6DC6"/>
    <w:rsid w:val="00101E28"/>
    <w:rsid w:val="00105C6F"/>
    <w:rsid w:val="0010738F"/>
    <w:rsid w:val="00110306"/>
    <w:rsid w:val="00112A60"/>
    <w:rsid w:val="001245BA"/>
    <w:rsid w:val="001257A2"/>
    <w:rsid w:val="00125EB0"/>
    <w:rsid w:val="001269BD"/>
    <w:rsid w:val="00134B6C"/>
    <w:rsid w:val="001431CF"/>
    <w:rsid w:val="001442FA"/>
    <w:rsid w:val="001471F7"/>
    <w:rsid w:val="001477CB"/>
    <w:rsid w:val="00151EC6"/>
    <w:rsid w:val="001544F6"/>
    <w:rsid w:val="00154E87"/>
    <w:rsid w:val="00154F3C"/>
    <w:rsid w:val="001559F7"/>
    <w:rsid w:val="0015655B"/>
    <w:rsid w:val="00163474"/>
    <w:rsid w:val="00165F7D"/>
    <w:rsid w:val="00172A9D"/>
    <w:rsid w:val="00173DF5"/>
    <w:rsid w:val="0017593E"/>
    <w:rsid w:val="00176919"/>
    <w:rsid w:val="0018333C"/>
    <w:rsid w:val="00183DFC"/>
    <w:rsid w:val="00184447"/>
    <w:rsid w:val="00187CA4"/>
    <w:rsid w:val="00191042"/>
    <w:rsid w:val="001915EC"/>
    <w:rsid w:val="001926A9"/>
    <w:rsid w:val="0019329A"/>
    <w:rsid w:val="00193902"/>
    <w:rsid w:val="001A2B5D"/>
    <w:rsid w:val="001A6C00"/>
    <w:rsid w:val="001B2616"/>
    <w:rsid w:val="001B4175"/>
    <w:rsid w:val="001B575C"/>
    <w:rsid w:val="001B7C66"/>
    <w:rsid w:val="001D01AA"/>
    <w:rsid w:val="001D1116"/>
    <w:rsid w:val="001D241A"/>
    <w:rsid w:val="001D3977"/>
    <w:rsid w:val="001E1A64"/>
    <w:rsid w:val="001E391B"/>
    <w:rsid w:val="001E5310"/>
    <w:rsid w:val="001E5629"/>
    <w:rsid w:val="001E580D"/>
    <w:rsid w:val="001E6B23"/>
    <w:rsid w:val="001F7CB9"/>
    <w:rsid w:val="0020071A"/>
    <w:rsid w:val="00202151"/>
    <w:rsid w:val="002042C6"/>
    <w:rsid w:val="0020487C"/>
    <w:rsid w:val="00206CEC"/>
    <w:rsid w:val="00215FDA"/>
    <w:rsid w:val="0022319C"/>
    <w:rsid w:val="00225417"/>
    <w:rsid w:val="002269F6"/>
    <w:rsid w:val="00234837"/>
    <w:rsid w:val="00235A79"/>
    <w:rsid w:val="00240A7C"/>
    <w:rsid w:val="00243298"/>
    <w:rsid w:val="00243BEE"/>
    <w:rsid w:val="002464D4"/>
    <w:rsid w:val="00246D7E"/>
    <w:rsid w:val="00255397"/>
    <w:rsid w:val="00257FEF"/>
    <w:rsid w:val="00263E65"/>
    <w:rsid w:val="00272458"/>
    <w:rsid w:val="00274FDC"/>
    <w:rsid w:val="0027558B"/>
    <w:rsid w:val="00277494"/>
    <w:rsid w:val="00281C5A"/>
    <w:rsid w:val="00287433"/>
    <w:rsid w:val="00291228"/>
    <w:rsid w:val="00295775"/>
    <w:rsid w:val="00295E19"/>
    <w:rsid w:val="002963B5"/>
    <w:rsid w:val="00297C63"/>
    <w:rsid w:val="002B12D0"/>
    <w:rsid w:val="002B32D0"/>
    <w:rsid w:val="002B7C1E"/>
    <w:rsid w:val="002C675E"/>
    <w:rsid w:val="002C678D"/>
    <w:rsid w:val="002D1F3B"/>
    <w:rsid w:val="002D4AAF"/>
    <w:rsid w:val="002D5955"/>
    <w:rsid w:val="002E0836"/>
    <w:rsid w:val="002E1144"/>
    <w:rsid w:val="002E37FF"/>
    <w:rsid w:val="002E4D8C"/>
    <w:rsid w:val="002E62E9"/>
    <w:rsid w:val="002E736A"/>
    <w:rsid w:val="002F6190"/>
    <w:rsid w:val="002F707C"/>
    <w:rsid w:val="002F7335"/>
    <w:rsid w:val="00301814"/>
    <w:rsid w:val="003041B0"/>
    <w:rsid w:val="00313281"/>
    <w:rsid w:val="00314ED2"/>
    <w:rsid w:val="00325F61"/>
    <w:rsid w:val="00327056"/>
    <w:rsid w:val="0033042E"/>
    <w:rsid w:val="00330658"/>
    <w:rsid w:val="00334C7A"/>
    <w:rsid w:val="00337F7D"/>
    <w:rsid w:val="003423A2"/>
    <w:rsid w:val="00344562"/>
    <w:rsid w:val="00345255"/>
    <w:rsid w:val="00352DC6"/>
    <w:rsid w:val="00353B61"/>
    <w:rsid w:val="00355735"/>
    <w:rsid w:val="00356931"/>
    <w:rsid w:val="00360785"/>
    <w:rsid w:val="00367702"/>
    <w:rsid w:val="0038380D"/>
    <w:rsid w:val="00386CF8"/>
    <w:rsid w:val="0039004D"/>
    <w:rsid w:val="00395B75"/>
    <w:rsid w:val="003A59AB"/>
    <w:rsid w:val="003A6509"/>
    <w:rsid w:val="003B7D9D"/>
    <w:rsid w:val="003C2458"/>
    <w:rsid w:val="003C2779"/>
    <w:rsid w:val="003C5D91"/>
    <w:rsid w:val="003D17BA"/>
    <w:rsid w:val="003F3B38"/>
    <w:rsid w:val="003F6211"/>
    <w:rsid w:val="00400C40"/>
    <w:rsid w:val="00402215"/>
    <w:rsid w:val="004040EF"/>
    <w:rsid w:val="0040592F"/>
    <w:rsid w:val="00405CE4"/>
    <w:rsid w:val="00410896"/>
    <w:rsid w:val="00411075"/>
    <w:rsid w:val="004123AB"/>
    <w:rsid w:val="00415AB0"/>
    <w:rsid w:val="00417239"/>
    <w:rsid w:val="00424E2A"/>
    <w:rsid w:val="00425DB9"/>
    <w:rsid w:val="00432A42"/>
    <w:rsid w:val="004340AE"/>
    <w:rsid w:val="0043555D"/>
    <w:rsid w:val="00436622"/>
    <w:rsid w:val="00436BF3"/>
    <w:rsid w:val="00442737"/>
    <w:rsid w:val="0044459B"/>
    <w:rsid w:val="00445696"/>
    <w:rsid w:val="00445E6A"/>
    <w:rsid w:val="00447DA9"/>
    <w:rsid w:val="004502F6"/>
    <w:rsid w:val="00450BF6"/>
    <w:rsid w:val="00451724"/>
    <w:rsid w:val="00452DAD"/>
    <w:rsid w:val="0045631B"/>
    <w:rsid w:val="00460C76"/>
    <w:rsid w:val="00462123"/>
    <w:rsid w:val="0046271F"/>
    <w:rsid w:val="00475454"/>
    <w:rsid w:val="00476134"/>
    <w:rsid w:val="00477D22"/>
    <w:rsid w:val="004906B8"/>
    <w:rsid w:val="004957B7"/>
    <w:rsid w:val="00496978"/>
    <w:rsid w:val="004A4F6D"/>
    <w:rsid w:val="004A5E98"/>
    <w:rsid w:val="004A6B01"/>
    <w:rsid w:val="004B0C5F"/>
    <w:rsid w:val="004C04DC"/>
    <w:rsid w:val="004C39F2"/>
    <w:rsid w:val="004C556E"/>
    <w:rsid w:val="004C617B"/>
    <w:rsid w:val="004C79AA"/>
    <w:rsid w:val="004D0801"/>
    <w:rsid w:val="004D17A9"/>
    <w:rsid w:val="004D185B"/>
    <w:rsid w:val="004D3BBC"/>
    <w:rsid w:val="004D463B"/>
    <w:rsid w:val="004D4F98"/>
    <w:rsid w:val="004D507D"/>
    <w:rsid w:val="004D73C7"/>
    <w:rsid w:val="004E07FD"/>
    <w:rsid w:val="004E620B"/>
    <w:rsid w:val="004E7C1D"/>
    <w:rsid w:val="004F4832"/>
    <w:rsid w:val="004F4AD0"/>
    <w:rsid w:val="004F56CC"/>
    <w:rsid w:val="004F57DA"/>
    <w:rsid w:val="004F5BFB"/>
    <w:rsid w:val="00501991"/>
    <w:rsid w:val="0050260F"/>
    <w:rsid w:val="00504F03"/>
    <w:rsid w:val="00505375"/>
    <w:rsid w:val="005127AC"/>
    <w:rsid w:val="00517A7E"/>
    <w:rsid w:val="005228DC"/>
    <w:rsid w:val="005267D6"/>
    <w:rsid w:val="005338AA"/>
    <w:rsid w:val="00534840"/>
    <w:rsid w:val="00536740"/>
    <w:rsid w:val="00536C0E"/>
    <w:rsid w:val="0054075F"/>
    <w:rsid w:val="00544BF0"/>
    <w:rsid w:val="0055072B"/>
    <w:rsid w:val="0055336F"/>
    <w:rsid w:val="00555EAF"/>
    <w:rsid w:val="005569F2"/>
    <w:rsid w:val="00566C46"/>
    <w:rsid w:val="00566F3D"/>
    <w:rsid w:val="0058113B"/>
    <w:rsid w:val="00591DD6"/>
    <w:rsid w:val="005A394D"/>
    <w:rsid w:val="005A3E59"/>
    <w:rsid w:val="005C2676"/>
    <w:rsid w:val="005C57C9"/>
    <w:rsid w:val="005D0D73"/>
    <w:rsid w:val="005D2798"/>
    <w:rsid w:val="005D37EE"/>
    <w:rsid w:val="005D5675"/>
    <w:rsid w:val="005D586F"/>
    <w:rsid w:val="005E412F"/>
    <w:rsid w:val="005E7006"/>
    <w:rsid w:val="005F0295"/>
    <w:rsid w:val="005F1720"/>
    <w:rsid w:val="005F316F"/>
    <w:rsid w:val="005F4D6C"/>
    <w:rsid w:val="005F65B7"/>
    <w:rsid w:val="006032E1"/>
    <w:rsid w:val="0060340E"/>
    <w:rsid w:val="00606AE5"/>
    <w:rsid w:val="00607A2A"/>
    <w:rsid w:val="00614159"/>
    <w:rsid w:val="00624005"/>
    <w:rsid w:val="00626001"/>
    <w:rsid w:val="006266E5"/>
    <w:rsid w:val="00627E19"/>
    <w:rsid w:val="00631EEE"/>
    <w:rsid w:val="006325DD"/>
    <w:rsid w:val="00636AE7"/>
    <w:rsid w:val="0063724D"/>
    <w:rsid w:val="00637C9A"/>
    <w:rsid w:val="006418BC"/>
    <w:rsid w:val="00642588"/>
    <w:rsid w:val="006447D4"/>
    <w:rsid w:val="00644AA3"/>
    <w:rsid w:val="00644CD0"/>
    <w:rsid w:val="00646177"/>
    <w:rsid w:val="00646911"/>
    <w:rsid w:val="00646980"/>
    <w:rsid w:val="00650FD0"/>
    <w:rsid w:val="00651207"/>
    <w:rsid w:val="0066057E"/>
    <w:rsid w:val="00660F5A"/>
    <w:rsid w:val="006619C6"/>
    <w:rsid w:val="006674F1"/>
    <w:rsid w:val="00672645"/>
    <w:rsid w:val="00673143"/>
    <w:rsid w:val="00675011"/>
    <w:rsid w:val="00675422"/>
    <w:rsid w:val="00677532"/>
    <w:rsid w:val="006808D4"/>
    <w:rsid w:val="00682A10"/>
    <w:rsid w:val="00687D09"/>
    <w:rsid w:val="00690093"/>
    <w:rsid w:val="00690516"/>
    <w:rsid w:val="00690ADB"/>
    <w:rsid w:val="00694775"/>
    <w:rsid w:val="006953C7"/>
    <w:rsid w:val="006A66AB"/>
    <w:rsid w:val="006C37C7"/>
    <w:rsid w:val="006C487A"/>
    <w:rsid w:val="006C4B4F"/>
    <w:rsid w:val="006C6C03"/>
    <w:rsid w:val="006C769A"/>
    <w:rsid w:val="006D6723"/>
    <w:rsid w:val="006D7111"/>
    <w:rsid w:val="006D7F47"/>
    <w:rsid w:val="006E0532"/>
    <w:rsid w:val="006E40EA"/>
    <w:rsid w:val="006E5B04"/>
    <w:rsid w:val="006F070B"/>
    <w:rsid w:val="006F3F20"/>
    <w:rsid w:val="006F6295"/>
    <w:rsid w:val="006F7401"/>
    <w:rsid w:val="006F7A34"/>
    <w:rsid w:val="0070224A"/>
    <w:rsid w:val="007022FC"/>
    <w:rsid w:val="00704CD7"/>
    <w:rsid w:val="00711FE4"/>
    <w:rsid w:val="0071622D"/>
    <w:rsid w:val="00723663"/>
    <w:rsid w:val="00725FE4"/>
    <w:rsid w:val="00727A46"/>
    <w:rsid w:val="007308D9"/>
    <w:rsid w:val="00731CA9"/>
    <w:rsid w:val="00731F2C"/>
    <w:rsid w:val="0073663E"/>
    <w:rsid w:val="00745FC0"/>
    <w:rsid w:val="00747540"/>
    <w:rsid w:val="00755C4E"/>
    <w:rsid w:val="00756045"/>
    <w:rsid w:val="00765972"/>
    <w:rsid w:val="007764EE"/>
    <w:rsid w:val="00780993"/>
    <w:rsid w:val="0078333A"/>
    <w:rsid w:val="007839EF"/>
    <w:rsid w:val="00785CA1"/>
    <w:rsid w:val="007922D8"/>
    <w:rsid w:val="007950A7"/>
    <w:rsid w:val="007977E3"/>
    <w:rsid w:val="00797D58"/>
    <w:rsid w:val="007A4619"/>
    <w:rsid w:val="007A4A35"/>
    <w:rsid w:val="007B2B28"/>
    <w:rsid w:val="007C2771"/>
    <w:rsid w:val="007C40F2"/>
    <w:rsid w:val="007D5D8C"/>
    <w:rsid w:val="007D6C37"/>
    <w:rsid w:val="007E4E87"/>
    <w:rsid w:val="007E781C"/>
    <w:rsid w:val="007E7863"/>
    <w:rsid w:val="007F0967"/>
    <w:rsid w:val="007F20ED"/>
    <w:rsid w:val="007F2493"/>
    <w:rsid w:val="00800FAA"/>
    <w:rsid w:val="00801E71"/>
    <w:rsid w:val="00803C89"/>
    <w:rsid w:val="00813B6A"/>
    <w:rsid w:val="00814A6C"/>
    <w:rsid w:val="0081668E"/>
    <w:rsid w:val="008200F3"/>
    <w:rsid w:val="008205B3"/>
    <w:rsid w:val="00821582"/>
    <w:rsid w:val="00822367"/>
    <w:rsid w:val="00822A51"/>
    <w:rsid w:val="00823E91"/>
    <w:rsid w:val="00825E9B"/>
    <w:rsid w:val="00827DF8"/>
    <w:rsid w:val="008308D8"/>
    <w:rsid w:val="00837C7D"/>
    <w:rsid w:val="00840008"/>
    <w:rsid w:val="00840216"/>
    <w:rsid w:val="0084127C"/>
    <w:rsid w:val="00842B7E"/>
    <w:rsid w:val="00846ECA"/>
    <w:rsid w:val="008476BB"/>
    <w:rsid w:val="00853D9F"/>
    <w:rsid w:val="0085444C"/>
    <w:rsid w:val="00854ACF"/>
    <w:rsid w:val="00855353"/>
    <w:rsid w:val="00861E3A"/>
    <w:rsid w:val="00863F60"/>
    <w:rsid w:val="00865D78"/>
    <w:rsid w:val="00866218"/>
    <w:rsid w:val="00867C7D"/>
    <w:rsid w:val="00872D51"/>
    <w:rsid w:val="008741C9"/>
    <w:rsid w:val="00876F5B"/>
    <w:rsid w:val="0088126D"/>
    <w:rsid w:val="008843C5"/>
    <w:rsid w:val="00885CA4"/>
    <w:rsid w:val="00890A91"/>
    <w:rsid w:val="0089156E"/>
    <w:rsid w:val="00893D32"/>
    <w:rsid w:val="008A2DEC"/>
    <w:rsid w:val="008A2EC5"/>
    <w:rsid w:val="008A427F"/>
    <w:rsid w:val="008A446F"/>
    <w:rsid w:val="008B1757"/>
    <w:rsid w:val="008B3A40"/>
    <w:rsid w:val="008B6494"/>
    <w:rsid w:val="008B6D7C"/>
    <w:rsid w:val="008B7CB6"/>
    <w:rsid w:val="008C1434"/>
    <w:rsid w:val="008C18D1"/>
    <w:rsid w:val="008C289D"/>
    <w:rsid w:val="008C368E"/>
    <w:rsid w:val="008D272A"/>
    <w:rsid w:val="008D5DA2"/>
    <w:rsid w:val="008E2D9E"/>
    <w:rsid w:val="008E416E"/>
    <w:rsid w:val="008E624D"/>
    <w:rsid w:val="008F0226"/>
    <w:rsid w:val="008F22FB"/>
    <w:rsid w:val="008F23C0"/>
    <w:rsid w:val="008F2C33"/>
    <w:rsid w:val="008F3C36"/>
    <w:rsid w:val="008F478A"/>
    <w:rsid w:val="008F4849"/>
    <w:rsid w:val="008F5881"/>
    <w:rsid w:val="00901500"/>
    <w:rsid w:val="009050D4"/>
    <w:rsid w:val="0090602A"/>
    <w:rsid w:val="009069F7"/>
    <w:rsid w:val="00907D0D"/>
    <w:rsid w:val="00911C7C"/>
    <w:rsid w:val="00925F6D"/>
    <w:rsid w:val="00931268"/>
    <w:rsid w:val="00937984"/>
    <w:rsid w:val="00942E8E"/>
    <w:rsid w:val="00943498"/>
    <w:rsid w:val="0094404B"/>
    <w:rsid w:val="00946D11"/>
    <w:rsid w:val="00947A73"/>
    <w:rsid w:val="00955034"/>
    <w:rsid w:val="00955D4D"/>
    <w:rsid w:val="009570D0"/>
    <w:rsid w:val="009614EC"/>
    <w:rsid w:val="00961F5F"/>
    <w:rsid w:val="00963CDA"/>
    <w:rsid w:val="0096705E"/>
    <w:rsid w:val="0096798A"/>
    <w:rsid w:val="00972507"/>
    <w:rsid w:val="0097731C"/>
    <w:rsid w:val="009810AF"/>
    <w:rsid w:val="00986564"/>
    <w:rsid w:val="00993A08"/>
    <w:rsid w:val="009A1B85"/>
    <w:rsid w:val="009A2085"/>
    <w:rsid w:val="009A24AB"/>
    <w:rsid w:val="009A2D92"/>
    <w:rsid w:val="009A570D"/>
    <w:rsid w:val="009A5ABE"/>
    <w:rsid w:val="009A743C"/>
    <w:rsid w:val="009B2E88"/>
    <w:rsid w:val="009C1F51"/>
    <w:rsid w:val="009C4E47"/>
    <w:rsid w:val="009D2D87"/>
    <w:rsid w:val="009E2C33"/>
    <w:rsid w:val="009E50B3"/>
    <w:rsid w:val="009E5413"/>
    <w:rsid w:val="009E636F"/>
    <w:rsid w:val="009E65B9"/>
    <w:rsid w:val="009E7D21"/>
    <w:rsid w:val="009F4871"/>
    <w:rsid w:val="009F53EC"/>
    <w:rsid w:val="009F544A"/>
    <w:rsid w:val="009F62DD"/>
    <w:rsid w:val="009F7EB4"/>
    <w:rsid w:val="00A02B59"/>
    <w:rsid w:val="00A061F7"/>
    <w:rsid w:val="00A073AA"/>
    <w:rsid w:val="00A13241"/>
    <w:rsid w:val="00A14C1B"/>
    <w:rsid w:val="00A17E35"/>
    <w:rsid w:val="00A32B20"/>
    <w:rsid w:val="00A40B9D"/>
    <w:rsid w:val="00A445F0"/>
    <w:rsid w:val="00A446FB"/>
    <w:rsid w:val="00A4795C"/>
    <w:rsid w:val="00A520DE"/>
    <w:rsid w:val="00A539CB"/>
    <w:rsid w:val="00A53EEE"/>
    <w:rsid w:val="00A561A6"/>
    <w:rsid w:val="00A67D77"/>
    <w:rsid w:val="00A701DC"/>
    <w:rsid w:val="00A738A2"/>
    <w:rsid w:val="00A75F70"/>
    <w:rsid w:val="00A77B45"/>
    <w:rsid w:val="00A804FB"/>
    <w:rsid w:val="00A81136"/>
    <w:rsid w:val="00A82729"/>
    <w:rsid w:val="00A913B8"/>
    <w:rsid w:val="00A94EEB"/>
    <w:rsid w:val="00A9599F"/>
    <w:rsid w:val="00AA223A"/>
    <w:rsid w:val="00AB2D2E"/>
    <w:rsid w:val="00AB4E0C"/>
    <w:rsid w:val="00AC053A"/>
    <w:rsid w:val="00AC3EE5"/>
    <w:rsid w:val="00AC3F8F"/>
    <w:rsid w:val="00AD2845"/>
    <w:rsid w:val="00AD56F3"/>
    <w:rsid w:val="00AD6B69"/>
    <w:rsid w:val="00AE0F22"/>
    <w:rsid w:val="00AE3F82"/>
    <w:rsid w:val="00AE5F17"/>
    <w:rsid w:val="00AE6859"/>
    <w:rsid w:val="00AE7A83"/>
    <w:rsid w:val="00AF0A66"/>
    <w:rsid w:val="00AF0D4E"/>
    <w:rsid w:val="00AF368D"/>
    <w:rsid w:val="00AF41E4"/>
    <w:rsid w:val="00AF7CED"/>
    <w:rsid w:val="00B06345"/>
    <w:rsid w:val="00B067CC"/>
    <w:rsid w:val="00B108F0"/>
    <w:rsid w:val="00B12528"/>
    <w:rsid w:val="00B13025"/>
    <w:rsid w:val="00B20511"/>
    <w:rsid w:val="00B206EA"/>
    <w:rsid w:val="00B210F6"/>
    <w:rsid w:val="00B224D4"/>
    <w:rsid w:val="00B225C2"/>
    <w:rsid w:val="00B23340"/>
    <w:rsid w:val="00B2358E"/>
    <w:rsid w:val="00B33376"/>
    <w:rsid w:val="00B3419B"/>
    <w:rsid w:val="00B35A5E"/>
    <w:rsid w:val="00B372F4"/>
    <w:rsid w:val="00B47F85"/>
    <w:rsid w:val="00B5103A"/>
    <w:rsid w:val="00B56049"/>
    <w:rsid w:val="00B56A72"/>
    <w:rsid w:val="00B57C4F"/>
    <w:rsid w:val="00B61650"/>
    <w:rsid w:val="00B67317"/>
    <w:rsid w:val="00B747EA"/>
    <w:rsid w:val="00B801E0"/>
    <w:rsid w:val="00B80A0D"/>
    <w:rsid w:val="00B84EC1"/>
    <w:rsid w:val="00B86517"/>
    <w:rsid w:val="00B866F0"/>
    <w:rsid w:val="00B876C2"/>
    <w:rsid w:val="00B92EE6"/>
    <w:rsid w:val="00B93BA6"/>
    <w:rsid w:val="00B94007"/>
    <w:rsid w:val="00B95562"/>
    <w:rsid w:val="00B96D5D"/>
    <w:rsid w:val="00BA1219"/>
    <w:rsid w:val="00BA12E5"/>
    <w:rsid w:val="00BA1F09"/>
    <w:rsid w:val="00BA3216"/>
    <w:rsid w:val="00BB187A"/>
    <w:rsid w:val="00BB5846"/>
    <w:rsid w:val="00BB731E"/>
    <w:rsid w:val="00BC061F"/>
    <w:rsid w:val="00BC1162"/>
    <w:rsid w:val="00BC1C97"/>
    <w:rsid w:val="00BC6E3E"/>
    <w:rsid w:val="00BD06AE"/>
    <w:rsid w:val="00BD2350"/>
    <w:rsid w:val="00BE25AB"/>
    <w:rsid w:val="00BE2A37"/>
    <w:rsid w:val="00BE50EB"/>
    <w:rsid w:val="00BE54C8"/>
    <w:rsid w:val="00BF012E"/>
    <w:rsid w:val="00BF03FC"/>
    <w:rsid w:val="00BF1067"/>
    <w:rsid w:val="00BF3275"/>
    <w:rsid w:val="00BF4F34"/>
    <w:rsid w:val="00C00D16"/>
    <w:rsid w:val="00C0254A"/>
    <w:rsid w:val="00C054F2"/>
    <w:rsid w:val="00C05DB4"/>
    <w:rsid w:val="00C06A43"/>
    <w:rsid w:val="00C0792E"/>
    <w:rsid w:val="00C12892"/>
    <w:rsid w:val="00C130E5"/>
    <w:rsid w:val="00C27C1C"/>
    <w:rsid w:val="00C346E6"/>
    <w:rsid w:val="00C34709"/>
    <w:rsid w:val="00C516E0"/>
    <w:rsid w:val="00C54C13"/>
    <w:rsid w:val="00C57B7B"/>
    <w:rsid w:val="00C6035E"/>
    <w:rsid w:val="00C60B5B"/>
    <w:rsid w:val="00C6464B"/>
    <w:rsid w:val="00C655E9"/>
    <w:rsid w:val="00C65B8D"/>
    <w:rsid w:val="00C67983"/>
    <w:rsid w:val="00C73F9D"/>
    <w:rsid w:val="00C8088C"/>
    <w:rsid w:val="00C9514D"/>
    <w:rsid w:val="00CA2C95"/>
    <w:rsid w:val="00CA30A1"/>
    <w:rsid w:val="00CA3D9D"/>
    <w:rsid w:val="00CA5A6E"/>
    <w:rsid w:val="00CA6EA2"/>
    <w:rsid w:val="00CB0481"/>
    <w:rsid w:val="00CB0613"/>
    <w:rsid w:val="00CB2F47"/>
    <w:rsid w:val="00CB3FFF"/>
    <w:rsid w:val="00CC035A"/>
    <w:rsid w:val="00CC283A"/>
    <w:rsid w:val="00CC7127"/>
    <w:rsid w:val="00CD1CE1"/>
    <w:rsid w:val="00CD7466"/>
    <w:rsid w:val="00CE401F"/>
    <w:rsid w:val="00CE7428"/>
    <w:rsid w:val="00CF12E4"/>
    <w:rsid w:val="00CF795E"/>
    <w:rsid w:val="00D015AA"/>
    <w:rsid w:val="00D01AC0"/>
    <w:rsid w:val="00D0255B"/>
    <w:rsid w:val="00D02EF1"/>
    <w:rsid w:val="00D0401A"/>
    <w:rsid w:val="00D06531"/>
    <w:rsid w:val="00D1182E"/>
    <w:rsid w:val="00D13146"/>
    <w:rsid w:val="00D17835"/>
    <w:rsid w:val="00D24CE3"/>
    <w:rsid w:val="00D251F4"/>
    <w:rsid w:val="00D25701"/>
    <w:rsid w:val="00D32BA5"/>
    <w:rsid w:val="00D33F20"/>
    <w:rsid w:val="00D34FF8"/>
    <w:rsid w:val="00D36BFD"/>
    <w:rsid w:val="00D37F26"/>
    <w:rsid w:val="00D41165"/>
    <w:rsid w:val="00D42E46"/>
    <w:rsid w:val="00D44480"/>
    <w:rsid w:val="00D4632A"/>
    <w:rsid w:val="00D46581"/>
    <w:rsid w:val="00D51042"/>
    <w:rsid w:val="00D545F9"/>
    <w:rsid w:val="00D54DB1"/>
    <w:rsid w:val="00D5693D"/>
    <w:rsid w:val="00D5741E"/>
    <w:rsid w:val="00D57685"/>
    <w:rsid w:val="00D57C72"/>
    <w:rsid w:val="00D673A5"/>
    <w:rsid w:val="00D742C3"/>
    <w:rsid w:val="00D81C08"/>
    <w:rsid w:val="00D83619"/>
    <w:rsid w:val="00D84DF8"/>
    <w:rsid w:val="00D85119"/>
    <w:rsid w:val="00D86745"/>
    <w:rsid w:val="00D86E98"/>
    <w:rsid w:val="00D8751B"/>
    <w:rsid w:val="00DA6A5F"/>
    <w:rsid w:val="00DA7374"/>
    <w:rsid w:val="00DB3762"/>
    <w:rsid w:val="00DB4755"/>
    <w:rsid w:val="00DB6AB8"/>
    <w:rsid w:val="00DC19EC"/>
    <w:rsid w:val="00DC2D6C"/>
    <w:rsid w:val="00DC3026"/>
    <w:rsid w:val="00DC43DB"/>
    <w:rsid w:val="00DC5BE6"/>
    <w:rsid w:val="00DC6704"/>
    <w:rsid w:val="00DD524E"/>
    <w:rsid w:val="00DE202F"/>
    <w:rsid w:val="00DE31A5"/>
    <w:rsid w:val="00DE4279"/>
    <w:rsid w:val="00DF32BE"/>
    <w:rsid w:val="00DF333D"/>
    <w:rsid w:val="00DF4D17"/>
    <w:rsid w:val="00DF7375"/>
    <w:rsid w:val="00E07A9A"/>
    <w:rsid w:val="00E07D8C"/>
    <w:rsid w:val="00E112E4"/>
    <w:rsid w:val="00E16944"/>
    <w:rsid w:val="00E22F8C"/>
    <w:rsid w:val="00E2537C"/>
    <w:rsid w:val="00E30D28"/>
    <w:rsid w:val="00E32D4B"/>
    <w:rsid w:val="00E42F82"/>
    <w:rsid w:val="00E44EAE"/>
    <w:rsid w:val="00E466CB"/>
    <w:rsid w:val="00E52508"/>
    <w:rsid w:val="00E55BBE"/>
    <w:rsid w:val="00E5757D"/>
    <w:rsid w:val="00E631DC"/>
    <w:rsid w:val="00E63B06"/>
    <w:rsid w:val="00E63C5F"/>
    <w:rsid w:val="00E63D86"/>
    <w:rsid w:val="00E64DB6"/>
    <w:rsid w:val="00E67569"/>
    <w:rsid w:val="00E71A8D"/>
    <w:rsid w:val="00E75092"/>
    <w:rsid w:val="00E77CC6"/>
    <w:rsid w:val="00E86C4A"/>
    <w:rsid w:val="00E939C8"/>
    <w:rsid w:val="00E951CA"/>
    <w:rsid w:val="00EA03F6"/>
    <w:rsid w:val="00EA0884"/>
    <w:rsid w:val="00EA18FF"/>
    <w:rsid w:val="00EB2D41"/>
    <w:rsid w:val="00EB3234"/>
    <w:rsid w:val="00EC6712"/>
    <w:rsid w:val="00ED5E19"/>
    <w:rsid w:val="00EE019D"/>
    <w:rsid w:val="00EF206B"/>
    <w:rsid w:val="00EF5C5F"/>
    <w:rsid w:val="00EF6129"/>
    <w:rsid w:val="00F00509"/>
    <w:rsid w:val="00F00EE7"/>
    <w:rsid w:val="00F03903"/>
    <w:rsid w:val="00F1076C"/>
    <w:rsid w:val="00F30CA3"/>
    <w:rsid w:val="00F31AD4"/>
    <w:rsid w:val="00F3232D"/>
    <w:rsid w:val="00F34877"/>
    <w:rsid w:val="00F41099"/>
    <w:rsid w:val="00F44430"/>
    <w:rsid w:val="00F451AE"/>
    <w:rsid w:val="00F5224D"/>
    <w:rsid w:val="00F52873"/>
    <w:rsid w:val="00F53155"/>
    <w:rsid w:val="00F547AC"/>
    <w:rsid w:val="00F54F06"/>
    <w:rsid w:val="00F57728"/>
    <w:rsid w:val="00F66CE4"/>
    <w:rsid w:val="00F75843"/>
    <w:rsid w:val="00F7592D"/>
    <w:rsid w:val="00F805FC"/>
    <w:rsid w:val="00F85B0D"/>
    <w:rsid w:val="00F8787A"/>
    <w:rsid w:val="00F87C74"/>
    <w:rsid w:val="00F928A5"/>
    <w:rsid w:val="00F9354E"/>
    <w:rsid w:val="00FA0E50"/>
    <w:rsid w:val="00FA15FC"/>
    <w:rsid w:val="00FA4213"/>
    <w:rsid w:val="00FA68C6"/>
    <w:rsid w:val="00FB1F06"/>
    <w:rsid w:val="00FB40A6"/>
    <w:rsid w:val="00FB5988"/>
    <w:rsid w:val="00FD0359"/>
    <w:rsid w:val="00FD581A"/>
    <w:rsid w:val="00FD5929"/>
    <w:rsid w:val="00FD6520"/>
    <w:rsid w:val="00FD76C1"/>
    <w:rsid w:val="00FE283A"/>
    <w:rsid w:val="00FE297D"/>
    <w:rsid w:val="00FE3766"/>
    <w:rsid w:val="00FE4E7A"/>
    <w:rsid w:val="00FE585F"/>
    <w:rsid w:val="00FF33D3"/>
    <w:rsid w:val="00FF57C8"/>
    <w:rsid w:val="00FF61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eastAsia="cs-CZ"/>
    </w:rPr>
  </w:style>
  <w:style w:type="paragraph" w:styleId="Nadpis1">
    <w:name w:val="heading 1"/>
    <w:basedOn w:val="Normlny"/>
    <w:next w:val="Normlny"/>
    <w:link w:val="Nadpis1Char"/>
    <w:qFormat/>
    <w:rsid w:val="0096798A"/>
    <w:pPr>
      <w:keepNext/>
      <w:outlineLvl w:val="0"/>
    </w:pPr>
    <w:rPr>
      <w:rFonts w:ascii="Arial Narrow" w:hAnsi="Arial Narrow"/>
      <w:b/>
      <w:bCs/>
      <w:i/>
      <w:sz w:val="28"/>
      <w:szCs w:val="28"/>
      <w:lang/>
    </w:rPr>
  </w:style>
  <w:style w:type="paragraph" w:styleId="Nadpis2">
    <w:name w:val="heading 2"/>
    <w:basedOn w:val="Normlny"/>
    <w:next w:val="Normlny"/>
    <w:link w:val="Nadpis2Char"/>
    <w:qFormat/>
    <w:rsid w:val="0096798A"/>
    <w:pPr>
      <w:keepNext/>
      <w:outlineLvl w:val="1"/>
    </w:pPr>
    <w:rPr>
      <w:rFonts w:ascii="Arial Narrow" w:hAnsi="Arial Narrow"/>
      <w:i/>
      <w:iCs/>
      <w:lang/>
    </w:rPr>
  </w:style>
  <w:style w:type="paragraph" w:styleId="Nadpis3">
    <w:name w:val="heading 3"/>
    <w:basedOn w:val="Normlny"/>
    <w:next w:val="Normlny"/>
    <w:link w:val="Nadpis3Char"/>
    <w:qFormat/>
    <w:rsid w:val="0096798A"/>
    <w:pPr>
      <w:keepNext/>
      <w:jc w:val="both"/>
      <w:outlineLvl w:val="2"/>
    </w:pPr>
    <w:rPr>
      <w:b/>
      <w:bCs/>
      <w:lang/>
    </w:rPr>
  </w:style>
  <w:style w:type="paragraph" w:styleId="Nadpis4">
    <w:name w:val="heading 4"/>
    <w:basedOn w:val="Normlny"/>
    <w:next w:val="Normlny"/>
    <w:link w:val="Nadpis4Char"/>
    <w:qFormat/>
    <w:rsid w:val="0096798A"/>
    <w:pPr>
      <w:keepNext/>
      <w:jc w:val="both"/>
      <w:outlineLvl w:val="3"/>
    </w:pPr>
    <w:rPr>
      <w:rFonts w:ascii="Arial Narrow" w:hAnsi="Arial Narrow"/>
      <w:lang/>
    </w:rPr>
  </w:style>
  <w:style w:type="paragraph" w:styleId="Nadpis5">
    <w:name w:val="heading 5"/>
    <w:basedOn w:val="Normlny"/>
    <w:next w:val="Normlny"/>
    <w:link w:val="Nadpis5Char"/>
    <w:qFormat/>
    <w:rsid w:val="0096798A"/>
    <w:pPr>
      <w:keepNext/>
      <w:outlineLvl w:val="4"/>
    </w:pPr>
    <w:rPr>
      <w:rFonts w:ascii="Arial Narrow" w:hAnsi="Arial Narrow"/>
      <w:lang/>
    </w:rPr>
  </w:style>
  <w:style w:type="paragraph" w:styleId="Nadpis6">
    <w:name w:val="heading 6"/>
    <w:basedOn w:val="Normlny"/>
    <w:next w:val="Normlny"/>
    <w:link w:val="Nadpis6Char"/>
    <w:qFormat/>
    <w:rsid w:val="0096798A"/>
    <w:pPr>
      <w:keepNext/>
      <w:jc w:val="center"/>
      <w:outlineLvl w:val="5"/>
    </w:pPr>
    <w:rPr>
      <w:rFonts w:ascii="Arial Narrow" w:hAnsi="Arial Narrow"/>
      <w:b/>
      <w:bCs/>
      <w:lang/>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rPr>
  </w:style>
  <w:style w:type="paragraph" w:styleId="Nzov">
    <w:name w:val="Title"/>
    <w:basedOn w:val="Normlny"/>
    <w:link w:val="NzovChar"/>
    <w:qFormat/>
    <w:rsid w:val="0096798A"/>
    <w:pPr>
      <w:tabs>
        <w:tab w:val="left" w:pos="1560"/>
        <w:tab w:val="center" w:pos="4536"/>
      </w:tabs>
      <w:jc w:val="center"/>
    </w:pPr>
    <w:rPr>
      <w:rFonts w:ascii="Arial Narrow" w:hAnsi="Arial Narrow"/>
      <w:iCs/>
      <w:sz w:val="28"/>
      <w:szCs w:val="28"/>
      <w:lang/>
    </w:rPr>
  </w:style>
  <w:style w:type="paragraph" w:styleId="Zkladntext">
    <w:name w:val="Body Text"/>
    <w:basedOn w:val="Normlny"/>
    <w:link w:val="ZkladntextChar"/>
    <w:rsid w:val="00E63D86"/>
    <w:pPr>
      <w:spacing w:before="144" w:after="144"/>
      <w:ind w:firstLine="709"/>
      <w:jc w:val="both"/>
    </w:pPr>
    <w:rPr>
      <w:rFonts w:ascii="Arial Narrow" w:hAnsi="Arial Narrow"/>
      <w:iCs/>
      <w:sz w:val="28"/>
      <w:szCs w:val="28"/>
      <w:lang/>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rPr>
      <w:lang w:val="cs-CZ"/>
    </w:r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rPr>
  </w:style>
  <w:style w:type="paragraph" w:styleId="Zkladntext2">
    <w:name w:val="Body Text 2"/>
    <w:basedOn w:val="Normlny"/>
    <w:link w:val="Zkladntext2Char"/>
    <w:rsid w:val="0096798A"/>
    <w:rPr>
      <w:rFonts w:ascii="Arial Narrow" w:hAnsi="Arial Narrow"/>
      <w:lang/>
    </w:rPr>
  </w:style>
  <w:style w:type="paragraph" w:styleId="Zarkazkladnhotextu2">
    <w:name w:val="Body Text Indent 2"/>
    <w:basedOn w:val="Normlny"/>
    <w:link w:val="Zarkazkladnhotextu2Char"/>
    <w:rsid w:val="0096798A"/>
    <w:pPr>
      <w:ind w:left="720"/>
    </w:pPr>
    <w:rPr>
      <w:rFonts w:ascii="Arial Narrow" w:hAnsi="Arial Narrow"/>
      <w:b/>
      <w:bCs/>
      <w:lang/>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rPr>
  </w:style>
  <w:style w:type="character" w:customStyle="1" w:styleId="HlavikaChar">
    <w:name w:val="Hlavička Char"/>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eastAsia="sk-SK"/>
    </w:rPr>
  </w:style>
  <w:style w:type="paragraph" w:customStyle="1" w:styleId="Tabulka">
    <w:name w:val="Tabulka"/>
    <w:basedOn w:val="Normlny"/>
    <w:rsid w:val="00E63D86"/>
    <w:rPr>
      <w:color w:val="000000"/>
      <w:sz w:val="18"/>
      <w:szCs w:val="20"/>
      <w:lang w:eastAsia="en-US"/>
    </w:rPr>
  </w:style>
  <w:style w:type="paragraph" w:customStyle="1" w:styleId="Pismenka">
    <w:name w:val="Pismenka"/>
    <w:basedOn w:val="Zkladntext"/>
    <w:rsid w:val="00E63D86"/>
    <w:pPr>
      <w:numPr>
        <w:numId w:val="2"/>
      </w:numPr>
      <w:tabs>
        <w:tab w:val="num" w:pos="426"/>
      </w:tabs>
      <w:spacing w:before="0" w:after="0"/>
      <w:ind w:left="426" w:hanging="426"/>
    </w:pPr>
    <w:rPr>
      <w:b/>
      <w:sz w:val="18"/>
      <w:lang w:eastAsia="en-US"/>
    </w:rPr>
  </w:style>
  <w:style w:type="paragraph" w:styleId="Textkomentra">
    <w:name w:val="annotation text"/>
    <w:basedOn w:val="Normlny"/>
    <w:link w:val="TextkomentraChar"/>
    <w:semiHidden/>
    <w:rsid w:val="00E63D86"/>
    <w:rPr>
      <w:sz w:val="20"/>
      <w:szCs w:val="20"/>
      <w:lang/>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ision">
    <w:name w:val="Revision"/>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sz w:val="16"/>
      <w:szCs w:val="16"/>
      <w:lang/>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eastAsia="en-US"/>
    </w:rPr>
  </w:style>
  <w:style w:type="paragraph" w:styleId="Obsah3">
    <w:name w:val="toc 3"/>
    <w:basedOn w:val="Normlny"/>
    <w:next w:val="Normlny"/>
    <w:autoRedefine/>
    <w:rsid w:val="00E63D86"/>
    <w:pPr>
      <w:ind w:left="200"/>
    </w:pPr>
    <w:rPr>
      <w:sz w:val="20"/>
      <w:lang w:eastAsia="en-US"/>
    </w:rPr>
  </w:style>
  <w:style w:type="paragraph" w:styleId="Obsah4">
    <w:name w:val="toc 4"/>
    <w:basedOn w:val="Normlny"/>
    <w:next w:val="Normlny"/>
    <w:autoRedefine/>
    <w:rsid w:val="00E63D86"/>
    <w:pPr>
      <w:ind w:left="400"/>
    </w:pPr>
    <w:rPr>
      <w:sz w:val="20"/>
      <w:lang w:eastAsia="en-US"/>
    </w:rPr>
  </w:style>
  <w:style w:type="paragraph" w:styleId="Obsah5">
    <w:name w:val="toc 5"/>
    <w:basedOn w:val="Normlny"/>
    <w:next w:val="Normlny"/>
    <w:autoRedefine/>
    <w:rsid w:val="00E63D86"/>
    <w:pPr>
      <w:ind w:left="600"/>
    </w:pPr>
    <w:rPr>
      <w:sz w:val="20"/>
      <w:lang w:eastAsia="en-US"/>
    </w:rPr>
  </w:style>
  <w:style w:type="paragraph" w:styleId="Obsah6">
    <w:name w:val="toc 6"/>
    <w:basedOn w:val="Normlny"/>
    <w:next w:val="Normlny"/>
    <w:autoRedefine/>
    <w:rsid w:val="00E63D86"/>
    <w:pPr>
      <w:ind w:left="800"/>
    </w:pPr>
    <w:rPr>
      <w:sz w:val="20"/>
      <w:lang w:eastAsia="en-US"/>
    </w:rPr>
  </w:style>
  <w:style w:type="paragraph" w:styleId="Obsah7">
    <w:name w:val="toc 7"/>
    <w:basedOn w:val="Normlny"/>
    <w:next w:val="Normlny"/>
    <w:autoRedefine/>
    <w:rsid w:val="00E63D86"/>
    <w:pPr>
      <w:ind w:left="1000"/>
    </w:pPr>
    <w:rPr>
      <w:sz w:val="20"/>
      <w:lang w:eastAsia="en-US"/>
    </w:rPr>
  </w:style>
  <w:style w:type="paragraph" w:styleId="Obsah8">
    <w:name w:val="toc 8"/>
    <w:basedOn w:val="Normlny"/>
    <w:next w:val="Normlny"/>
    <w:autoRedefine/>
    <w:rsid w:val="00E63D86"/>
    <w:pPr>
      <w:ind w:left="1200"/>
    </w:pPr>
    <w:rPr>
      <w:sz w:val="20"/>
      <w:lang w:eastAsia="en-US"/>
    </w:rPr>
  </w:style>
  <w:style w:type="paragraph" w:styleId="Obsah9">
    <w:name w:val="toc 9"/>
    <w:basedOn w:val="Normlny"/>
    <w:next w:val="Normlny"/>
    <w:autoRedefine/>
    <w:rsid w:val="00E63D86"/>
    <w:pPr>
      <w:ind w:left="1400"/>
    </w:pPr>
    <w:rPr>
      <w:sz w:val="20"/>
      <w:lang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ListParagraph">
    <w:name w:val="List Paragraph"/>
    <w:basedOn w:val="Normlny"/>
    <w:rsid w:val="00091AB4"/>
    <w:pPr>
      <w:spacing w:after="200" w:line="276" w:lineRule="auto"/>
      <w:ind w:left="720"/>
      <w:contextualSpacing/>
    </w:pPr>
    <w:rPr>
      <w:rFonts w:ascii="Calibri" w:hAnsi="Calibri"/>
      <w:sz w:val="22"/>
      <w:szCs w:val="22"/>
      <w:lang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lang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8F4849"/>
    <w:rPr>
      <w:sz w:val="20"/>
      <w:szCs w:val="20"/>
      <w:lang/>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 w:type="paragraph" w:customStyle="1" w:styleId="Vchodzie">
    <w:name w:val="Vchodzie"/>
    <w:rsid w:val="00872D51"/>
    <w:pPr>
      <w:widowControl w:val="0"/>
      <w:autoSpaceDE w:val="0"/>
      <w:autoSpaceDN w:val="0"/>
      <w:adjustRightInd w:val="0"/>
    </w:pPr>
    <w:rPr>
      <w:kern w:val="1"/>
      <w:sz w:val="24"/>
      <w:szCs w:val="24"/>
      <w:lang w:bidi="hi-IN"/>
    </w:rPr>
  </w:style>
</w:styles>
</file>

<file path=word/webSettings.xml><?xml version="1.0" encoding="utf-8"?>
<w:webSettings xmlns:r="http://schemas.openxmlformats.org/officeDocument/2006/relationships" xmlns:w="http://schemas.openxmlformats.org/wordprocessingml/2006/main">
  <w:divs>
    <w:div w:id="314534109">
      <w:bodyDiv w:val="1"/>
      <w:marLeft w:val="0"/>
      <w:marRight w:val="0"/>
      <w:marTop w:val="0"/>
      <w:marBottom w:val="0"/>
      <w:divBdr>
        <w:top w:val="none" w:sz="0" w:space="0" w:color="auto"/>
        <w:left w:val="none" w:sz="0" w:space="0" w:color="auto"/>
        <w:bottom w:val="none" w:sz="0" w:space="0" w:color="auto"/>
        <w:right w:val="none" w:sz="0" w:space="0" w:color="auto"/>
      </w:divBdr>
    </w:div>
    <w:div w:id="382141777">
      <w:bodyDiv w:val="1"/>
      <w:marLeft w:val="0"/>
      <w:marRight w:val="0"/>
      <w:marTop w:val="0"/>
      <w:marBottom w:val="0"/>
      <w:divBdr>
        <w:top w:val="none" w:sz="0" w:space="0" w:color="auto"/>
        <w:left w:val="none" w:sz="0" w:space="0" w:color="auto"/>
        <w:bottom w:val="none" w:sz="0" w:space="0" w:color="auto"/>
        <w:right w:val="none" w:sz="0" w:space="0" w:color="auto"/>
      </w:divBdr>
    </w:div>
    <w:div w:id="465006200">
      <w:bodyDiv w:val="1"/>
      <w:marLeft w:val="0"/>
      <w:marRight w:val="0"/>
      <w:marTop w:val="0"/>
      <w:marBottom w:val="0"/>
      <w:divBdr>
        <w:top w:val="none" w:sz="0" w:space="0" w:color="auto"/>
        <w:left w:val="none" w:sz="0" w:space="0" w:color="auto"/>
        <w:bottom w:val="none" w:sz="0" w:space="0" w:color="auto"/>
        <w:right w:val="none" w:sz="0" w:space="0" w:color="auto"/>
      </w:divBdr>
    </w:div>
    <w:div w:id="529727632">
      <w:bodyDiv w:val="1"/>
      <w:marLeft w:val="0"/>
      <w:marRight w:val="0"/>
      <w:marTop w:val="0"/>
      <w:marBottom w:val="0"/>
      <w:divBdr>
        <w:top w:val="none" w:sz="0" w:space="0" w:color="auto"/>
        <w:left w:val="none" w:sz="0" w:space="0" w:color="auto"/>
        <w:bottom w:val="none" w:sz="0" w:space="0" w:color="auto"/>
        <w:right w:val="none" w:sz="0" w:space="0" w:color="auto"/>
      </w:divBdr>
    </w:div>
    <w:div w:id="613437808">
      <w:bodyDiv w:val="1"/>
      <w:marLeft w:val="0"/>
      <w:marRight w:val="0"/>
      <w:marTop w:val="0"/>
      <w:marBottom w:val="0"/>
      <w:divBdr>
        <w:top w:val="none" w:sz="0" w:space="0" w:color="auto"/>
        <w:left w:val="none" w:sz="0" w:space="0" w:color="auto"/>
        <w:bottom w:val="none" w:sz="0" w:space="0" w:color="auto"/>
        <w:right w:val="none" w:sz="0" w:space="0" w:color="auto"/>
      </w:divBdr>
    </w:div>
    <w:div w:id="847980892">
      <w:bodyDiv w:val="1"/>
      <w:marLeft w:val="0"/>
      <w:marRight w:val="0"/>
      <w:marTop w:val="0"/>
      <w:marBottom w:val="0"/>
      <w:divBdr>
        <w:top w:val="none" w:sz="0" w:space="0" w:color="auto"/>
        <w:left w:val="none" w:sz="0" w:space="0" w:color="auto"/>
        <w:bottom w:val="none" w:sz="0" w:space="0" w:color="auto"/>
        <w:right w:val="none" w:sz="0" w:space="0" w:color="auto"/>
      </w:divBdr>
    </w:div>
    <w:div w:id="1272399064">
      <w:bodyDiv w:val="1"/>
      <w:marLeft w:val="0"/>
      <w:marRight w:val="0"/>
      <w:marTop w:val="0"/>
      <w:marBottom w:val="0"/>
      <w:divBdr>
        <w:top w:val="none" w:sz="0" w:space="0" w:color="auto"/>
        <w:left w:val="none" w:sz="0" w:space="0" w:color="auto"/>
        <w:bottom w:val="none" w:sz="0" w:space="0" w:color="auto"/>
        <w:right w:val="none" w:sz="0" w:space="0" w:color="auto"/>
      </w:divBdr>
    </w:div>
    <w:div w:id="1800143664">
      <w:bodyDiv w:val="1"/>
      <w:marLeft w:val="0"/>
      <w:marRight w:val="0"/>
      <w:marTop w:val="0"/>
      <w:marBottom w:val="0"/>
      <w:divBdr>
        <w:top w:val="none" w:sz="0" w:space="0" w:color="auto"/>
        <w:left w:val="none" w:sz="0" w:space="0" w:color="auto"/>
        <w:bottom w:val="none" w:sz="0" w:space="0" w:color="auto"/>
        <w:right w:val="none" w:sz="0" w:space="0" w:color="auto"/>
      </w:divBdr>
    </w:div>
    <w:div w:id="1805658499">
      <w:bodyDiv w:val="1"/>
      <w:marLeft w:val="0"/>
      <w:marRight w:val="0"/>
      <w:marTop w:val="0"/>
      <w:marBottom w:val="0"/>
      <w:divBdr>
        <w:top w:val="none" w:sz="0" w:space="0" w:color="auto"/>
        <w:left w:val="none" w:sz="0" w:space="0" w:color="auto"/>
        <w:bottom w:val="none" w:sz="0" w:space="0" w:color="auto"/>
        <w:right w:val="none" w:sz="0" w:space="0" w:color="auto"/>
      </w:divBdr>
    </w:div>
    <w:div w:id="210784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45116-D9AF-4E1D-A399-CA4623258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2420</Words>
  <Characters>14413</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16800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cp:lastModifiedBy>KohutM</cp:lastModifiedBy>
  <cp:revision>2</cp:revision>
  <cp:lastPrinted>2015-03-13T12:45:00Z</cp:lastPrinted>
  <dcterms:created xsi:type="dcterms:W3CDTF">2016-03-22T06:49:00Z</dcterms:created>
  <dcterms:modified xsi:type="dcterms:W3CDTF">2016-03-22T06:49:00Z</dcterms:modified>
</cp:coreProperties>
</file>