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0" w:line="100" w:lineRule="atLeast"/>
        <w:contextualSpacing w:val="false"/>
        <w:jc w:val="center"/>
      </w:pPr>
      <w:bookmarkStart w:id="0" w:name="_GoBack"/>
      <w:bookmarkEnd w:id="0"/>
      <w:r>
        <w:rPr>
          <w:rFonts w:ascii="Times New Roman" w:cs="Times New Roman" w:hAnsi="Times New Roman"/>
          <w:b/>
          <w:sz w:val="24"/>
          <w:szCs w:val="24"/>
        </w:rPr>
        <w:t>Čl. I</w:t>
      </w:r>
    </w:p>
    <w:p>
      <w:pPr>
        <w:pStyle w:val="style0"/>
        <w:spacing w:line="100" w:lineRule="atLeast"/>
        <w:jc w:val="center"/>
      </w:pPr>
      <w:r>
        <w:rPr>
          <w:rFonts w:ascii="Times New Roman" w:cs="Times New Roman" w:hAnsi="Times New Roman"/>
          <w:b/>
          <w:sz w:val="24"/>
          <w:szCs w:val="24"/>
        </w:rPr>
        <w:t>Všeobecné údaje</w:t>
      </w:r>
    </w:p>
    <w:p>
      <w:pPr>
        <w:pStyle w:val="style0"/>
        <w:spacing w:line="100" w:lineRule="atLeast"/>
        <w:jc w:val="center"/>
      </w:pPr>
      <w:r>
        <w:rPr/>
      </w:r>
    </w:p>
    <w:p>
      <w:pPr>
        <w:pStyle w:val="style0"/>
        <w:spacing w:after="0" w:before="0" w:line="100" w:lineRule="atLeast"/>
        <w:contextualSpacing w:val="false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ascii="Times New Roman" w:cs="Times New Roman" w:hAnsi="Times New Roman"/>
          <w:b/>
          <w:sz w:val="24"/>
          <w:szCs w:val="24"/>
        </w:rPr>
        <w:t>R.O.P. Slovakia s.r.o.</w:t>
      </w:r>
    </w:p>
    <w:p>
      <w:pPr>
        <w:pStyle w:val="style26"/>
        <w:spacing w:after="160" w:before="60" w:line="100" w:lineRule="atLeast"/>
        <w:contextualSpacing w:val="false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Sídlo: </w:t>
      </w:r>
      <w:r>
        <w:rPr>
          <w:rFonts w:ascii="Times New Roman" w:cs="Times New Roman" w:hAnsi="Times New Roman"/>
          <w:b/>
          <w:sz w:val="24"/>
          <w:szCs w:val="24"/>
        </w:rPr>
        <w:t>Kamenná 11, 010 01 Žilina</w:t>
      </w:r>
    </w:p>
    <w:p>
      <w:pPr>
        <w:pStyle w:val="style26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2. </w:t>
        <w:tab/>
        <w:t xml:space="preserve">Informácie o konsolidovanom celku, ak je účtovná jednotka jeho súčasťou: </w:t>
      </w:r>
      <w:r>
        <w:rPr>
          <w:rFonts w:ascii="Times New Roman" w:cs="Times New Roman" w:hAnsi="Times New Roman"/>
          <w:b/>
          <w:sz w:val="24"/>
          <w:szCs w:val="24"/>
        </w:rPr>
        <w:t>ÚJ nie je</w:t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>2.a)</w:t>
      </w:r>
      <w:r>
        <w:rPr>
          <w:rFonts w:ascii="Times New Roman" w:cs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sz w:val="24"/>
          <w:szCs w:val="24"/>
        </w:rPr>
        <w:tab/>
        <w:pict>
          <v:line from="34.15pt,14.1pt" id="shape_0" style="position:absolute" to="454.8pt,14.75pt">
            <v:stroke color="black" dashstyle="shortdot" joinstyle="miter" weight="12600"/>
            <v:fill detectmouseclick="t"/>
          </v:line>
        </w:pict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>2.b)</w:t>
      </w:r>
      <w:r>
        <w:rPr>
          <w:rFonts w:ascii="Times New Roman" w:cs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style0"/>
        <w:spacing w:line="100" w:lineRule="atLeast"/>
        <w:jc w:val="both"/>
      </w:pPr>
      <w:r>
        <w:rPr>
          <w:rFonts w:ascii="Segoe UI Symbol" w:cs="Segoe UI Symbol" w:eastAsia="MS Gothic" w:hAnsi="Segoe UI Symbol"/>
          <w:b/>
          <w:sz w:val="32"/>
          <w:szCs w:val="24"/>
        </w:rPr>
        <w:t>☐</w:t>
      </w:r>
      <w:r>
        <w:rPr>
          <w:rFonts w:ascii="Times New Roman" w:cs="Times New Roman" w:eastAsia="MS Gothic" w:hAnsi="Times New Roman"/>
          <w:b/>
          <w:sz w:val="32"/>
          <w:szCs w:val="24"/>
        </w:rPr>
        <w:tab/>
      </w:r>
      <w:r>
        <w:rPr>
          <w:rFonts w:ascii="Times New Roman" w:cs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style0"/>
        <w:spacing w:line="100" w:lineRule="atLeast"/>
        <w:ind w:hanging="0" w:left="709" w:right="0"/>
        <w:jc w:val="both"/>
      </w:pPr>
      <w:r>
        <w:rPr>
          <w:rFonts w:ascii="Times New Roman" w:cs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sz w:val="24"/>
          <w:szCs w:val="24"/>
        </w:rPr>
        <w:t xml:space="preserve">                  </w:t>
        <w:pict>
          <v:line from="34.5pt,12.7pt" id="shape_0" style="position:absolute" to="455.15pt,13.35pt">
            <v:stroke color="black" dashstyle="shortdot" joinstyle="miter" weight="12600"/>
            <v:fill detectmouseclick="t"/>
          </v:line>
        </w:pict>
      </w:r>
    </w:p>
    <w:p>
      <w:pPr>
        <w:pStyle w:val="style0"/>
        <w:spacing w:line="100" w:lineRule="atLeast"/>
        <w:jc w:val="both"/>
      </w:pPr>
      <w:r>
        <w:rPr>
          <w:rFonts w:ascii="Segoe UI Symbol" w:cs="Segoe UI Symbol" w:eastAsia="MS Gothic" w:hAnsi="Segoe UI Symbol"/>
          <w:b/>
          <w:sz w:val="32"/>
          <w:szCs w:val="24"/>
        </w:rPr>
        <w:t>☐</w:t>
      </w:r>
      <w:r>
        <w:rPr>
          <w:rFonts w:ascii="Times New Roman" w:cs="Times New Roman" w:hAnsi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5103"/>
        <w:gridCol w:w="3982"/>
      </w:tblGrid>
      <w:tr>
        <w:trPr>
          <w:cantSplit w:val="false"/>
        </w:trPr>
        <w:tc>
          <w:tcPr>
            <w:tcW w:type="dxa" w:w="5103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type="dxa" w:w="3982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5103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98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510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98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510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98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5103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98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5103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982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4124"/>
        <w:gridCol w:w="2409"/>
        <w:gridCol w:w="2555"/>
      </w:tblGrid>
      <w:tr>
        <w:trPr>
          <w:cantSplit w:val="false"/>
        </w:trPr>
        <w:tc>
          <w:tcPr>
            <w:tcW w:type="dxa" w:w="412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type="dxa" w:w="2409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type="dxa" w:w="2555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4124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type="dxa" w:w="2409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2</w:t>
            </w:r>
          </w:p>
        </w:tc>
        <w:tc>
          <w:tcPr>
            <w:tcW w:type="dxa" w:w="2555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2</w:t>
            </w:r>
          </w:p>
        </w:tc>
      </w:tr>
    </w:tbl>
    <w:p>
      <w:pPr>
        <w:pStyle w:val="style0"/>
        <w:spacing w:line="100" w:lineRule="atLeast"/>
        <w:ind w:hanging="709" w:left="1418" w:right="0"/>
        <w:jc w:val="both"/>
      </w:pPr>
      <w:r>
        <w:rPr/>
      </w:r>
    </w:p>
    <w:p>
      <w:pPr>
        <w:pStyle w:val="style0"/>
        <w:spacing w:line="100" w:lineRule="atLeast"/>
        <w:ind w:hanging="709" w:left="1418" w:right="0"/>
        <w:jc w:val="both"/>
      </w:pPr>
      <w:r>
        <w:rPr/>
      </w:r>
    </w:p>
    <w:p>
      <w:pPr>
        <w:pStyle w:val="style0"/>
        <w:spacing w:after="0" w:before="0" w:line="100" w:lineRule="atLeast"/>
        <w:contextualSpacing w:val="false"/>
        <w:jc w:val="center"/>
      </w:pPr>
      <w:r>
        <w:rPr>
          <w:rFonts w:ascii="Times New Roman" w:cs="Times New Roman" w:hAnsi="Times New Roman"/>
          <w:b/>
          <w:sz w:val="24"/>
          <w:szCs w:val="24"/>
        </w:rPr>
        <w:t>Čl. II</w:t>
      </w:r>
    </w:p>
    <w:p>
      <w:pPr>
        <w:pStyle w:val="style0"/>
        <w:spacing w:line="100" w:lineRule="atLeast"/>
        <w:jc w:val="center"/>
      </w:pPr>
      <w:r>
        <w:rPr>
          <w:rFonts w:ascii="Times New Roman" w:cs="Times New Roman" w:hAnsi="Times New Roman"/>
          <w:b/>
          <w:sz w:val="24"/>
          <w:szCs w:val="24"/>
        </w:rPr>
        <w:t>Informácie o prijatých postupoch</w:t>
      </w:r>
    </w:p>
    <w:p>
      <w:pPr>
        <w:pStyle w:val="style0"/>
        <w:spacing w:line="100" w:lineRule="atLeast"/>
        <w:jc w:val="center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style0"/>
        <w:spacing w:after="360" w:before="0" w:line="100" w:lineRule="atLeast"/>
        <w:contextualSpacing w:val="false"/>
        <w:jc w:val="both"/>
      </w:pPr>
      <w:r>
        <w:rPr>
          <w:rFonts w:ascii="Times New Roman" w:cs="Times New Roman" w:hAnsi="Times New Roman"/>
          <w:b/>
          <w:sz w:val="24"/>
          <w:szCs w:val="24"/>
        </w:rPr>
        <w:tab/>
      </w:r>
      <w:r>
        <w:rPr>
          <w:rFonts w:ascii="Times New Roman" w:cs="Times New Roman" w:eastAsia="MS Gothic" w:hAnsi="Times New Roman"/>
          <w:b/>
          <w:sz w:val="24"/>
          <w:szCs w:val="24"/>
        </w:rPr>
        <w:tab/>
      </w:r>
      <w:r>
        <w:rPr>
          <w:rFonts w:ascii="Times New Roman" w:cs="Times New Roman" w:eastAsia="MS Gothic" w:hAnsi="Times New Roman"/>
          <w:b/>
          <w:sz w:val="24"/>
          <w:szCs w:val="24"/>
        </w:rPr>
        <w:t>x</w:t>
      </w:r>
      <w:r>
        <w:rPr>
          <w:rFonts w:ascii="MS Gothic" w:cs="Times New Roman" w:eastAsia="MS Gothic" w:hAnsi="MS Gothic"/>
          <w:b/>
          <w:sz w:val="32"/>
          <w:szCs w:val="24"/>
        </w:rPr>
        <w:t>☐</w:t>
      </w:r>
      <w:r>
        <w:rPr>
          <w:rFonts w:ascii="Times New Roman" w:cs="Times New Roman" w:eastAsia="MS Gothic" w:hAnsi="Times New Roman"/>
          <w:b/>
          <w:sz w:val="24"/>
          <w:szCs w:val="24"/>
        </w:rPr>
        <w:t xml:space="preserve">  áno</w:t>
        <w:tab/>
      </w:r>
      <w:r>
        <w:rPr>
          <w:rFonts w:ascii="MS Gothic" w:cs="Times New Roman" w:eastAsia="MS Gothic" w:hAnsi="MS Gothic"/>
          <w:b/>
          <w:sz w:val="32"/>
          <w:szCs w:val="24"/>
        </w:rPr>
        <w:t>☐</w:t>
      </w:r>
      <w:r>
        <w:rPr>
          <w:rFonts w:ascii="Times New Roman" w:cs="Times New Roman" w:eastAsia="MS Gothic" w:hAnsi="Times New Roman"/>
          <w:b/>
          <w:sz w:val="24"/>
          <w:szCs w:val="24"/>
        </w:rPr>
        <w:t xml:space="preserve">  nie</w:t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>2.</w:t>
        <w:tab/>
        <w:t>Spôsob oceňovania jednotlivých zložiek majetku a záväzkov:</w:t>
      </w:r>
    </w:p>
    <w:tbl>
      <w:tblPr>
        <w:jc w:val="left"/>
        <w:tblInd w:type="dxa" w:w="-230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3826"/>
        <w:gridCol w:w="2547"/>
        <w:gridCol w:w="2684"/>
      </w:tblGrid>
      <w:tr>
        <w:trPr>
          <w:cantSplit w:val="false"/>
        </w:trPr>
        <w:tc>
          <w:tcPr>
            <w:tcW w:type="dxa" w:w="3826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type="dxa" w:w="2547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type="dxa" w:w="268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type="dxa" w:w="2547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  <w:tc>
          <w:tcPr>
            <w:tcW w:type="dxa" w:w="268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OC</w:t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454"/>
          <w:cantSplit w:val="false"/>
        </w:trPr>
        <w:tc>
          <w:tcPr>
            <w:tcW w:type="dxa" w:w="3826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type="dxa" w:w="2547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8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style0"/>
        <w:spacing w:line="100" w:lineRule="atLeast"/>
        <w:ind w:hanging="0" w:left="705" w:right="0"/>
        <w:jc w:val="both"/>
      </w:pPr>
      <w:r>
        <w:rPr>
          <w:rFonts w:ascii="Times New Roman" w:cs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jc w:val="left"/>
        <w:tblInd w:type="dxa" w:w="-230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6" w:val="single"/>
        </w:tblBorders>
      </w:tblPr>
      <w:tblGrid>
        <w:gridCol w:w="2837"/>
        <w:gridCol w:w="2122"/>
        <w:gridCol w:w="1979"/>
        <w:gridCol w:w="2117"/>
      </w:tblGrid>
      <w:tr>
        <w:trPr>
          <w:cantSplit w:val="false"/>
        </w:trPr>
        <w:tc>
          <w:tcPr>
            <w:tcW w:type="dxa" w:w="2837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type="dxa" w:w="2122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type="dxa" w:w="1979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type="dxa" w:w="2117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37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stroje</w:t>
            </w:r>
          </w:p>
        </w:tc>
        <w:tc>
          <w:tcPr>
            <w:tcW w:type="dxa" w:w="212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4</w:t>
            </w:r>
          </w:p>
        </w:tc>
        <w:tc>
          <w:tcPr>
            <w:tcW w:type="dxa" w:w="1979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25%/1 rok</w:t>
            </w:r>
          </w:p>
        </w:tc>
        <w:tc>
          <w:tcPr>
            <w:tcW w:type="dxa" w:w="2117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rovnomerná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goodwil</w:t>
            </w:r>
          </w:p>
        </w:tc>
        <w:tc>
          <w:tcPr>
            <w:tcW w:type="dxa" w:w="212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5</w:t>
            </w:r>
          </w:p>
        </w:tc>
        <w:tc>
          <w:tcPr>
            <w:tcW w:type="dxa" w:w="197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rovnomerná</w:t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2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97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37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22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979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17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340"/>
          <w:cantSplit w:val="false"/>
        </w:trPr>
        <w:tc>
          <w:tcPr>
            <w:tcW w:type="dxa" w:w="2837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22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979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117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ind w:hanging="705" w:left="705" w:right="0"/>
        <w:jc w:val="both"/>
      </w:pPr>
      <w:r>
        <w:rPr>
          <w:rFonts w:ascii="Segoe UI Symbol" w:cs="Segoe UI Symbol" w:eastAsia="MS Gothic" w:hAnsi="Segoe UI Symbol"/>
          <w:b/>
          <w:sz w:val="32"/>
          <w:szCs w:val="24"/>
        </w:rPr>
        <w:t>☐</w:t>
      </w:r>
      <w:r>
        <w:rPr>
          <w:rFonts w:ascii="Times New Roman" w:cs="Times New Roman" w:eastAsia="MS Gothic" w:hAnsi="Times New Roman"/>
          <w:b/>
          <w:sz w:val="32"/>
          <w:szCs w:val="24"/>
        </w:rPr>
        <w:tab/>
      </w:r>
      <w:r>
        <w:rPr>
          <w:rFonts w:ascii="Times New Roman" w:cs="Times New Roman" w:eastAsia="MS Gothic" w:hAnsi="Times New Roman"/>
          <w:sz w:val="24"/>
          <w:szCs w:val="24"/>
        </w:rPr>
        <w:t xml:space="preserve">Odpisový plán účtovných odpisov </w:t>
      </w:r>
      <w:r>
        <w:rPr>
          <w:rFonts w:ascii="Times New Roman" w:cs="Times New Roman" w:eastAsia="MS Gothic" w:hAnsi="Times New Roman"/>
          <w:b/>
          <w:sz w:val="24"/>
          <w:szCs w:val="24"/>
        </w:rPr>
        <w:t>dlhodobého nehmotného majetku</w:t>
      </w:r>
      <w:r>
        <w:rPr>
          <w:rFonts w:ascii="Times New Roman" w:cs="Times New Roman" w:eastAsia="MS Gothic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ascii="Times New Roman" w:cs="Times New Roman" w:eastAsia="MS Gothic" w:hAnsi="Times New Roman"/>
          <w:b/>
          <w:sz w:val="24"/>
          <w:szCs w:val="24"/>
        </w:rPr>
        <w:t>.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Segoe UI Symbol" w:cs="Segoe UI Symbol" w:eastAsia="MS Gothic" w:hAnsi="Segoe UI Symbol"/>
          <w:b/>
          <w:sz w:val="32"/>
          <w:szCs w:val="24"/>
        </w:rPr>
        <w:t>☐</w:t>
        <w:pict>
          <v:line from="33.75pt,43.45pt" id="shape_0" style="position:absolute" to="454.4pt,44.1pt">
            <v:stroke color="black" dashstyle="shortdot" joinstyle="miter" weight="12600"/>
            <v:fill detectmouseclick="t"/>
          </v:line>
        </w:pict>
      </w:r>
      <w:r>
        <w:rPr>
          <w:rFonts w:ascii="Times New Roman" w:cs="Times New Roman" w:eastAsia="MS Gothic" w:hAnsi="Times New Roman"/>
          <w:b/>
          <w:sz w:val="32"/>
          <w:szCs w:val="24"/>
        </w:rPr>
        <w:tab/>
      </w:r>
      <w:r>
        <w:rPr>
          <w:rFonts w:ascii="Times New Roman" w:cs="Times New Roman" w:eastAsia="MS Gothic" w:hAnsi="Times New Roman"/>
          <w:sz w:val="24"/>
          <w:szCs w:val="24"/>
        </w:rPr>
        <w:t>Odpisový plán bol ovplyvnený týmito rozhodnutiami: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  <w:pict>
          <v:line from="33.75pt,17.8pt" id="shape_0" style="position:absolute" to="454.4pt,18.45pt">
            <v:stroke color="black" dashstyle="shortdot" joinstyle="miter" weight="12600"/>
            <v:fill detectmouseclick="t"/>
          </v:line>
        </w:pict>
      </w:r>
    </w:p>
    <w:p>
      <w:pPr>
        <w:pStyle w:val="style0"/>
        <w:spacing w:after="160" w:before="240" w:line="100" w:lineRule="atLeast"/>
        <w:contextualSpacing w:val="false"/>
        <w:jc w:val="both"/>
      </w:pPr>
      <w:r>
        <w:rPr>
          <w:rFonts w:ascii="Segoe UI Symbol" w:cs="Segoe UI Symbol" w:eastAsia="MS Gothic" w:hAnsi="Segoe UI Symbol"/>
          <w:b/>
          <w:sz w:val="32"/>
          <w:szCs w:val="24"/>
        </w:rPr>
        <w:t>☐</w:t>
      </w:r>
      <w:r>
        <w:rPr>
          <w:rFonts w:ascii="Times New Roman" w:cs="Times New Roman" w:eastAsia="MS Gothic" w:hAnsi="Times New Roman"/>
          <w:b/>
          <w:sz w:val="32"/>
          <w:szCs w:val="24"/>
        </w:rPr>
        <w:tab/>
      </w:r>
      <w:r>
        <w:rPr>
          <w:rFonts w:ascii="Times New Roman" w:cs="Times New Roman" w:eastAsia="MS Gothic" w:hAnsi="Times New Roman"/>
          <w:sz w:val="24"/>
          <w:szCs w:val="24"/>
        </w:rPr>
        <w:t xml:space="preserve">Odpisový plán účtovných odpisov </w:t>
      </w:r>
      <w:r>
        <w:rPr>
          <w:rFonts w:ascii="Times New Roman" w:cs="Times New Roman" w:eastAsia="MS Gothic" w:hAnsi="Times New Roman"/>
          <w:b/>
          <w:sz w:val="24"/>
          <w:szCs w:val="24"/>
        </w:rPr>
        <w:t>dlhodobého hmotného majetku</w:t>
      </w:r>
      <w:r>
        <w:rPr>
          <w:rFonts w:ascii="Times New Roman" w:cs="Times New Roman" w:eastAsia="MS Gothic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ascii="Times New Roman" w:cs="Times New Roman" w:eastAsia="MS Gothic" w:hAnsi="Times New Roman"/>
          <w:b/>
          <w:sz w:val="24"/>
          <w:szCs w:val="24"/>
        </w:rPr>
        <w:t>sa rovnajú</w:t>
      </w:r>
      <w:r>
        <w:rPr>
          <w:rFonts w:ascii="Times New Roman" w:cs="Times New Roman" w:eastAsia="MS Gothic" w:hAnsi="Times New Roman"/>
          <w:sz w:val="24"/>
          <w:szCs w:val="24"/>
        </w:rPr>
        <w:t>.</w:t>
      </w:r>
    </w:p>
    <w:p>
      <w:pPr>
        <w:pStyle w:val="style0"/>
        <w:spacing w:after="0" w:before="0" w:line="100" w:lineRule="atLeast"/>
        <w:contextualSpacing w:val="false"/>
        <w:jc w:val="both"/>
      </w:pPr>
      <w:r>
        <w:rPr>
          <w:rFonts w:ascii="Segoe UI Symbol" w:cs="Segoe UI Symbol" w:eastAsia="MS Gothic" w:hAnsi="Segoe UI Symbol"/>
          <w:b/>
          <w:sz w:val="32"/>
          <w:szCs w:val="24"/>
        </w:rPr>
        <w:t>☐</w:t>
      </w:r>
      <w:r>
        <w:rPr>
          <w:rFonts w:ascii="Times New Roman" w:cs="Times New Roman" w:eastAsia="MS Gothic" w:hAnsi="Times New Roman"/>
          <w:b/>
          <w:sz w:val="32"/>
          <w:szCs w:val="24"/>
        </w:rPr>
        <w:tab/>
      </w:r>
      <w:r>
        <w:rPr>
          <w:rFonts w:ascii="Times New Roman" w:cs="Times New Roman" w:eastAsia="MS Gothic" w:hAnsi="Times New Roman"/>
          <w:sz w:val="24"/>
          <w:szCs w:val="24"/>
        </w:rPr>
        <w:t xml:space="preserve">Odpisový plán účtovných odpisov </w:t>
      </w:r>
      <w:r>
        <w:rPr>
          <w:rFonts w:ascii="Times New Roman" w:cs="Times New Roman" w:eastAsia="MS Gothic" w:hAnsi="Times New Roman"/>
          <w:b/>
          <w:sz w:val="24"/>
          <w:szCs w:val="24"/>
        </w:rPr>
        <w:t>dlhodobého hmotného majetku</w:t>
      </w:r>
      <w:r>
        <w:rPr>
          <w:rFonts w:ascii="Times New Roman" w:cs="Times New Roman" w:eastAsia="MS Gothic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ascii="Times New Roman" w:cs="Times New Roman" w:eastAsia="MS Gothic" w:hAnsi="Times New Roman"/>
          <w:b/>
          <w:sz w:val="24"/>
          <w:szCs w:val="24"/>
        </w:rPr>
        <w:t>sa rovnajú</w:t>
      </w:r>
      <w:r>
        <w:rPr>
          <w:rFonts w:ascii="Times New Roman" w:cs="Times New Roman" w:eastAsia="MS Gothic" w:hAnsi="Times New Roman"/>
          <w:sz w:val="24"/>
          <w:szCs w:val="24"/>
        </w:rPr>
        <w:t>.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4. </w:t>
        <w:tab/>
        <w:t xml:space="preserve">Zmeny účtovných zásad a účtovných metód: </w:t>
      </w:r>
      <w:r>
        <w:rPr>
          <w:rFonts w:ascii="Times New Roman" w:cs="Times New Roman" w:hAnsi="Times New Roman"/>
          <w:b/>
          <w:sz w:val="24"/>
          <w:szCs w:val="24"/>
        </w:rPr>
        <w:t>ÚJ neúčtovala</w:t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jc w:val="left"/>
        <w:tblInd w:type="dxa" w:w="-230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3542"/>
        <w:gridCol w:w="2410"/>
        <w:gridCol w:w="3105"/>
      </w:tblGrid>
      <w:tr>
        <w:trPr>
          <w:cantSplit w:val="false"/>
        </w:trPr>
        <w:tc>
          <w:tcPr>
            <w:tcW w:type="dxa" w:w="3542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type="dxa" w:w="3105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cantSplit w:val="false"/>
        </w:trPr>
        <w:tc>
          <w:tcPr>
            <w:tcW w:type="dxa" w:w="3542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1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10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5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1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542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10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542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10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  <w:r>
        <w:rPr>
          <w:rFonts w:ascii="Times New Roman" w:cs="Times New Roman" w:hAnsi="Times New Roman"/>
          <w:b/>
          <w:sz w:val="24"/>
          <w:szCs w:val="24"/>
        </w:rPr>
        <w:t>ÚJ neúčtovala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3020"/>
        <w:gridCol w:w="3018"/>
        <w:gridCol w:w="3024"/>
      </w:tblGrid>
      <w:tr>
        <w:trPr>
          <w:cantSplit w:val="false"/>
        </w:trPr>
        <w:tc>
          <w:tcPr>
            <w:tcW w:type="dxa" w:w="30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type="dxa" w:w="3018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type="dxa" w:w="302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355"/>
          <w:cantSplit w:val="false"/>
        </w:trPr>
        <w:tc>
          <w:tcPr>
            <w:tcW w:type="dxa" w:w="302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275"/>
          <w:cantSplit w:val="false"/>
        </w:trPr>
        <w:tc>
          <w:tcPr>
            <w:tcW w:type="dxa" w:w="30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 xml:space="preserve">vykonaných v bežnom účtovnom období: </w:t>
      </w:r>
      <w:r>
        <w:rPr>
          <w:rFonts w:ascii="Times New Roman" w:cs="Times New Roman" w:hAnsi="Times New Roman"/>
          <w:b/>
          <w:sz w:val="24"/>
          <w:szCs w:val="24"/>
        </w:rPr>
        <w:t>ÚJ neúčtovala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3020"/>
        <w:gridCol w:w="3018"/>
        <w:gridCol w:w="3024"/>
      </w:tblGrid>
      <w:tr>
        <w:trPr>
          <w:cantSplit w:val="false"/>
        </w:trPr>
        <w:tc>
          <w:tcPr>
            <w:tcW w:type="dxa" w:w="302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type="dxa" w:w="3018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type="dxa" w:w="302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type="dxa" w:w="301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70"/>
          <w:cantSplit w:val="false"/>
        </w:trPr>
        <w:tc>
          <w:tcPr>
            <w:tcW w:type="dxa" w:w="302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type="dxa" w:w="301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after="0" w:before="0" w:line="100" w:lineRule="atLeast"/>
        <w:contextualSpacing w:val="false"/>
        <w:jc w:val="center"/>
      </w:pPr>
      <w:r>
        <w:rPr/>
      </w:r>
    </w:p>
    <w:p>
      <w:pPr>
        <w:pStyle w:val="style0"/>
        <w:spacing w:after="0" w:before="0" w:line="100" w:lineRule="atLeast"/>
        <w:contextualSpacing w:val="false"/>
        <w:jc w:val="center"/>
      </w:pPr>
      <w:r>
        <w:rPr>
          <w:rFonts w:ascii="Times New Roman" w:cs="Times New Roman" w:hAnsi="Times New Roman"/>
          <w:b/>
          <w:sz w:val="24"/>
          <w:szCs w:val="24"/>
        </w:rPr>
        <w:t>Čl. III</w:t>
      </w:r>
    </w:p>
    <w:p>
      <w:pPr>
        <w:pStyle w:val="style0"/>
        <w:spacing w:line="100" w:lineRule="atLeast"/>
        <w:jc w:val="center"/>
      </w:pPr>
      <w:r>
        <w:rPr>
          <w:rFonts w:ascii="Times New Roman" w:cs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>1.</w:t>
      </w:r>
      <w:r>
        <w:rPr>
          <w:rFonts w:ascii="Times New Roman" w:cs="Times New Roman" w:eastAsia="MS Gothic" w:hAnsi="Times New Roman"/>
          <w:b/>
          <w:sz w:val="32"/>
          <w:szCs w:val="24"/>
        </w:rPr>
        <w:t xml:space="preserve"> </w:t>
        <w:tab/>
      </w:r>
      <w:r>
        <w:rPr>
          <w:rFonts w:ascii="Times New Roman" w:cs="Times New Roman" w:eastAsia="MS Gothic" w:hAnsi="Times New Roman"/>
          <w:b/>
          <w:sz w:val="24"/>
          <w:szCs w:val="24"/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3670"/>
        <w:gridCol w:w="2969"/>
        <w:gridCol w:w="2403"/>
      </w:tblGrid>
      <w:tr>
        <w:trPr>
          <w:cantSplit w:val="false"/>
        </w:trPr>
        <w:tc>
          <w:tcPr>
            <w:tcW w:type="dxa" w:w="3670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type="dxa" w:w="2969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type="dxa" w:w="2403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</w:t>
            </w:r>
          </w:p>
        </w:tc>
      </w:tr>
      <w:tr>
        <w:trPr>
          <w:cantSplit w:val="false"/>
        </w:trPr>
        <w:tc>
          <w:tcPr>
            <w:tcW w:type="dxa" w:w="367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tovaru</w:t>
            </w:r>
          </w:p>
        </w:tc>
        <w:tc>
          <w:tcPr>
            <w:tcW w:type="dxa" w:w="2969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03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377175</w:t>
            </w:r>
          </w:p>
        </w:tc>
      </w:tr>
      <w:tr>
        <w:trPr>
          <w:cantSplit w:val="false"/>
        </w:trPr>
        <w:tc>
          <w:tcPr>
            <w:tcW w:type="dxa" w:w="367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Osobné náklady</w:t>
            </w:r>
          </w:p>
        </w:tc>
        <w:tc>
          <w:tcPr>
            <w:tcW w:type="dxa" w:w="29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32645</w:t>
            </w:r>
          </w:p>
        </w:tc>
      </w:tr>
      <w:tr>
        <w:trPr>
          <w:cantSplit w:val="false"/>
        </w:trPr>
        <w:tc>
          <w:tcPr>
            <w:tcW w:type="dxa" w:w="367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služby</w:t>
            </w:r>
          </w:p>
        </w:tc>
        <w:tc>
          <w:tcPr>
            <w:tcW w:type="dxa" w:w="29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10404</w:t>
            </w:r>
          </w:p>
        </w:tc>
      </w:tr>
      <w:tr>
        <w:trPr>
          <w:cantSplit w:val="false"/>
        </w:trPr>
        <w:tc>
          <w:tcPr>
            <w:tcW w:type="dxa" w:w="367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Spotrebný tovar</w:t>
            </w:r>
          </w:p>
        </w:tc>
        <w:tc>
          <w:tcPr>
            <w:tcW w:type="dxa" w:w="29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14462</w:t>
            </w:r>
          </w:p>
        </w:tc>
      </w:tr>
      <w:tr>
        <w:trPr>
          <w:cantSplit w:val="false"/>
        </w:trPr>
        <w:tc>
          <w:tcPr>
            <w:tcW w:type="dxa" w:w="367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96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0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67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969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403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>2.a)</w:t>
        <w:tab/>
        <w:t>Informácie o záväzkoch: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3385"/>
        <w:gridCol w:w="2834"/>
        <w:gridCol w:w="2824"/>
      </w:tblGrid>
      <w:tr>
        <w:trPr>
          <w:cantSplit w:val="false"/>
        </w:trPr>
        <w:tc>
          <w:tcPr>
            <w:tcW w:type="dxa" w:w="33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type="dxa" w:w="283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type="dxa" w:w="282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33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type="dxa" w:w="283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2529</w:t>
            </w:r>
          </w:p>
        </w:tc>
        <w:tc>
          <w:tcPr>
            <w:tcW w:type="dxa" w:w="2824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6544</w:t>
            </w:r>
          </w:p>
        </w:tc>
      </w:tr>
      <w:tr>
        <w:trPr>
          <w:cantSplit w:val="false"/>
        </w:trPr>
        <w:tc>
          <w:tcPr>
            <w:tcW w:type="dxa" w:w="338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type="dxa" w:w="283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82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38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type="dxa" w:w="283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2529</w:t>
            </w:r>
          </w:p>
        </w:tc>
        <w:tc>
          <w:tcPr>
            <w:tcW w:type="dxa" w:w="282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6544</w:t>
            </w:r>
          </w:p>
        </w:tc>
      </w:tr>
      <w:tr>
        <w:trPr>
          <w:cantSplit w:val="false"/>
        </w:trPr>
        <w:tc>
          <w:tcPr>
            <w:tcW w:type="dxa" w:w="3385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type="dxa" w:w="2834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173418</w:t>
            </w:r>
          </w:p>
        </w:tc>
        <w:tc>
          <w:tcPr>
            <w:tcW w:type="dxa" w:w="2824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180102</w:t>
            </w:r>
          </w:p>
        </w:tc>
      </w:tr>
      <w:tr>
        <w:trPr>
          <w:cantSplit w:val="false"/>
        </w:trPr>
        <w:tc>
          <w:tcPr>
            <w:tcW w:type="dxa" w:w="3385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type="dxa" w:w="283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173418</w:t>
            </w:r>
          </w:p>
        </w:tc>
        <w:tc>
          <w:tcPr>
            <w:tcW w:type="dxa" w:w="2824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  <w:t>180102</w:t>
            </w:r>
          </w:p>
        </w:tc>
      </w:tr>
      <w:tr>
        <w:trPr>
          <w:trHeight w:hRule="atLeast" w:val="527"/>
          <w:cantSplit w:val="false"/>
        </w:trPr>
        <w:tc>
          <w:tcPr>
            <w:tcW w:type="dxa" w:w="3385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type="dxa" w:w="283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824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>2.b)</w:t>
        <w:tab/>
        <w:t xml:space="preserve">Hodnota záväzkov zabezpečená záložným právom: </w:t>
      </w:r>
      <w:r>
        <w:rPr>
          <w:rFonts w:ascii="Times New Roman" w:cs="Times New Roman" w:eastAsia="MS Gothic" w:hAnsi="Times New Roman"/>
          <w:b/>
          <w:sz w:val="24"/>
          <w:szCs w:val="24"/>
        </w:rPr>
        <w:t>ÚJ neúčtovala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4" w:val="single"/>
          <w:right w:color="00000A" w:space="0" w:sz="4" w:val="single"/>
        </w:tblBorders>
      </w:tblPr>
      <w:tblGrid>
        <w:gridCol w:w="3014"/>
        <w:gridCol w:w="6029"/>
      </w:tblGrid>
      <w:tr>
        <w:trPr>
          <w:cantSplit w:val="false"/>
        </w:trPr>
        <w:tc>
          <w:tcPr>
            <w:tcW w:type="dxa" w:w="3014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type="dxa" w:w="6029"/>
            <w:gridSpan w:val="2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>
          <w:cantSplit w:val="false"/>
        </w:trPr>
        <w:tc>
          <w:tcPr>
            <w:tcW w:type="dxa" w:w="3014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301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type="dxa" w:w="301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Inou formou zabezpečenia</w:t>
            </w:r>
          </w:p>
        </w:tc>
      </w:tr>
      <w:tr>
        <w:trPr>
          <w:cantSplit w:val="false"/>
        </w:trPr>
        <w:tc>
          <w:tcPr>
            <w:tcW w:type="dxa" w:w="3014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5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14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4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236"/>
          <w:cantSplit w:val="false"/>
        </w:trPr>
        <w:tc>
          <w:tcPr>
            <w:tcW w:type="dxa" w:w="3014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4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15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after="360" w:before="0" w:line="100" w:lineRule="atLeast"/>
        <w:contextualSpacing w:val="false"/>
        <w:jc w:val="both"/>
      </w:pPr>
      <w:r>
        <w:rPr/>
      </w:r>
    </w:p>
    <w:p>
      <w:pPr>
        <w:pStyle w:val="style0"/>
      </w:pPr>
      <w:r>
        <w:rPr/>
      </w:r>
    </w:p>
    <w:p>
      <w:pPr>
        <w:pStyle w:val="style0"/>
        <w:pageBreakBefore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 xml:space="preserve">3. </w:t>
        <w:tab/>
        <w:t>Informácie o vlastných akciách: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4" w:val="single"/>
        </w:tblBorders>
      </w:tblPr>
      <w:tblGrid>
        <w:gridCol w:w="1808"/>
        <w:gridCol w:w="7233"/>
      </w:tblGrid>
      <w:tr>
        <w:trPr>
          <w:cantSplit w:val="false"/>
        </w:trPr>
        <w:tc>
          <w:tcPr>
            <w:tcW w:type="dxa" w:w="1808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type="dxa" w:w="7233"/>
            <w:gridSpan w:val="4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type="dxa" w:w="1809"/>
            <w:vMerge w:val="restart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Hodnota nadobudnutia</w:t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Hodnota za prevod</w:t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restart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restart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restart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8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809"/>
            <w:vMerge w:val="continue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 xml:space="preserve">4. </w:t>
        <w:tab/>
        <w:t xml:space="preserve">Informácie o orgánoch účtovnej jednotky: </w:t>
      </w:r>
      <w:r>
        <w:rPr>
          <w:rFonts w:ascii="Times New Roman" w:cs="Times New Roman" w:eastAsia="MS Gothic" w:hAnsi="Times New Roman"/>
          <w:b/>
          <w:sz w:val="24"/>
          <w:szCs w:val="24"/>
        </w:rPr>
        <w:t>ÚJ neúčtovala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12" w:val="single"/>
        </w:tblBorders>
      </w:tblPr>
      <w:tblGrid>
        <w:gridCol w:w="1310"/>
        <w:gridCol w:w="1310"/>
        <w:gridCol w:w="6551"/>
      </w:tblGrid>
      <w:tr>
        <w:trPr>
          <w:trHeight w:hRule="atLeast" w:val="828"/>
          <w:cantSplit w:val="false"/>
        </w:trPr>
        <w:tc>
          <w:tcPr>
            <w:tcW w:type="dxa" w:w="1310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type="dxa" w:w="13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type="dxa" w:w="6551"/>
            <w:gridSpan w:val="5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>
          <w:cantSplit w:val="false"/>
        </w:trPr>
        <w:tc>
          <w:tcPr>
            <w:tcW w:type="dxa" w:w="1310"/>
            <w:vMerge w:val="continue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type="dxa" w:w="131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0"/>
                <w:szCs w:val="24"/>
              </w:rPr>
              <w:t>iných</w:t>
            </w:r>
          </w:p>
        </w:tc>
      </w:tr>
      <w:tr>
        <w:trPr>
          <w:trHeight w:hRule="atLeast" w:val="705"/>
          <w:cantSplit w:val="false"/>
        </w:trPr>
        <w:tc>
          <w:tcPr>
            <w:tcW w:type="dxa" w:w="131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type="dxa" w:w="13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1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12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12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31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699"/>
          <w:cantSplit w:val="false"/>
        </w:trPr>
        <w:tc>
          <w:tcPr>
            <w:tcW w:type="dxa" w:w="131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694"/>
          <w:cantSplit w:val="false"/>
        </w:trPr>
        <w:tc>
          <w:tcPr>
            <w:tcW w:type="dxa" w:w="131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131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1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12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1310"/>
            <w:tcBorders>
              <w:top w:color="00000A" w:space="0" w:sz="4" w:val="single"/>
              <w:left w:color="00000A" w:space="0" w:sz="4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</w:t>
      </w:r>
      <w:r>
        <w:rPr>
          <w:rFonts w:ascii="Times New Roman" w:cs="Times New Roman" w:eastAsia="MS Gothic" w:hAnsi="Times New Roman"/>
          <w:b/>
          <w:sz w:val="24"/>
          <w:szCs w:val="24"/>
        </w:rPr>
        <w:t>ÚJ neúčtovala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12" w:val="single"/>
          <w:right w:color="00000A" w:space="0" w:sz="6" w:val="single"/>
        </w:tblBorders>
      </w:tblPr>
      <w:tblGrid>
        <w:gridCol w:w="3821"/>
        <w:gridCol w:w="2551"/>
        <w:gridCol w:w="2690"/>
      </w:tblGrid>
      <w:tr>
        <w:trPr>
          <w:cantSplit w:val="false"/>
        </w:trPr>
        <w:tc>
          <w:tcPr>
            <w:tcW w:type="dxa" w:w="3821"/>
            <w:tcBorders>
              <w:top w:color="00000A" w:space="0" w:sz="12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type="dxa" w:w="2551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type="dxa" w:w="2690"/>
            <w:tcBorders>
              <w:top w:color="00000A" w:space="0" w:sz="12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>
        <w:trPr>
          <w:cantSplit w:val="false"/>
        </w:trPr>
        <w:tc>
          <w:tcPr>
            <w:tcW w:type="dxa" w:w="3821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type="dxa" w:w="255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90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82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type="dxa" w:w="25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82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type="dxa" w:w="25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821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type="dxa" w:w="255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90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trHeight w:hRule="atLeast" w:val="70"/>
          <w:cantSplit w:val="false"/>
        </w:trPr>
        <w:tc>
          <w:tcPr>
            <w:tcW w:type="dxa" w:w="3821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Ostatné</w:t>
            </w:r>
          </w:p>
        </w:tc>
        <w:tc>
          <w:tcPr>
            <w:tcW w:type="dxa" w:w="255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2690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after="160" w:before="120" w:line="100" w:lineRule="atLeast"/>
        <w:contextualSpacing w:val="false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 xml:space="preserve">Opis významných finančných povinností: </w:t>
      </w:r>
      <w:bookmarkStart w:id="1" w:name="__DdeLink__977_675073218"/>
      <w:bookmarkEnd w:id="1"/>
      <w:r>
        <w:rPr>
          <w:rFonts w:ascii="Times New Roman" w:cs="Times New Roman" w:eastAsia="MS Gothic" w:hAnsi="Times New Roman"/>
          <w:b/>
          <w:sz w:val="24"/>
          <w:szCs w:val="24"/>
        </w:rPr>
        <w:t>ÚJ neúčtovala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 xml:space="preserve">5.b) </w:t>
        <w:tab/>
        <w:t xml:space="preserve">Informácie o významných podmienených záväzkoch </w:t>
      </w:r>
      <w:r>
        <w:rPr>
          <w:rFonts w:ascii="Times New Roman" w:cs="Times New Roman" w:eastAsia="MS Gothic" w:hAnsi="Times New Roman"/>
          <w:b/>
          <w:sz w:val="24"/>
          <w:szCs w:val="24"/>
        </w:rPr>
        <w:t>ÚJ neúčtovala</w:t>
      </w:r>
    </w:p>
    <w:tbl>
      <w:tblPr>
        <w:jc w:val="left"/>
        <w:tblInd w:type="dxa" w:w="-216"/>
        <w:tblBorders>
          <w:top w:color="00000A" w:space="0" w:sz="12" w:val="single"/>
          <w:left w:color="00000A" w:space="0" w:sz="12" w:val="single"/>
          <w:bottom w:color="00000A" w:space="0" w:sz="6" w:val="single"/>
          <w:right w:color="00000A" w:space="0" w:sz="6" w:val="single"/>
        </w:tblBorders>
      </w:tblPr>
      <w:tblGrid>
        <w:gridCol w:w="3020"/>
        <w:gridCol w:w="6042"/>
      </w:tblGrid>
      <w:tr>
        <w:trPr>
          <w:cantSplit w:val="false"/>
        </w:trPr>
        <w:tc>
          <w:tcPr>
            <w:tcW w:type="dxa" w:w="3020"/>
            <w:vMerge w:val="restart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type="dxa" w:w="6042"/>
            <w:gridSpan w:val="2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type="dxa" w:w="3020"/>
            <w:vMerge w:val="continue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/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0"/>
              <w:spacing w:after="0" w:before="0" w:line="100" w:lineRule="atLeast"/>
              <w:contextualSpacing w:val="false"/>
              <w:jc w:val="center"/>
            </w:pPr>
            <w:r>
              <w:rPr>
                <w:rFonts w:ascii="Times New Roman" w:cs="Times New Roman" w:eastAsia="MS Gothic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12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type="dxa" w:w="302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1"/>
            <w:tcBorders>
              <w:top w:color="00000A" w:space="0" w:sz="12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6" w:val="single"/>
              <w:left w:color="00000A" w:space="0" w:sz="12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Z ručenia</w:t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6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3020"/>
            <w:tcBorders>
              <w:top w:color="00000A" w:space="0" w:sz="6" w:val="single"/>
              <w:left w:color="00000A" w:space="0" w:sz="12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>
                <w:rFonts w:ascii="Times New Roman" w:cs="Times New Roman" w:eastAsia="MS Gothic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6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  <w:tc>
          <w:tcPr>
            <w:tcW w:type="dxa" w:w="3021"/>
            <w:tcBorders>
              <w:top w:color="00000A" w:space="0" w:sz="6" w:val="single"/>
              <w:left w:color="00000A" w:space="0" w:sz="6" w:val="single"/>
              <w:bottom w:color="00000A" w:space="0" w:sz="12" w:val="single"/>
              <w:right w:color="00000A" w:space="0" w:sz="12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0" w:before="0" w:line="100" w:lineRule="atLeast"/>
              <w:contextualSpacing w:val="false"/>
              <w:jc w:val="both"/>
            </w:pPr>
            <w:r>
              <w:rPr/>
            </w:r>
          </w:p>
        </w:tc>
      </w:tr>
    </w:tbl>
    <w:p>
      <w:pPr>
        <w:pStyle w:val="style0"/>
        <w:spacing w:after="0" w:before="120" w:line="100" w:lineRule="atLeast"/>
        <w:contextualSpacing w:val="false"/>
        <w:jc w:val="both"/>
      </w:pPr>
      <w:r>
        <w:rPr>
          <w:rFonts w:ascii="Times New Roman" w:cs="Times New Roman" w:eastAsia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ascii="Times New Roman" w:cs="Times New Roman" w:eastAsia="MS Gothic" w:hAnsi="Times New Roman"/>
          <w:b/>
          <w:bCs/>
          <w:color w:val="000000"/>
          <w:sz w:val="24"/>
          <w:szCs w:val="24"/>
          <w:lang w:eastAsia="sk-SK"/>
        </w:rPr>
        <w:t>ÚJ neúčtovala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>programov pre zamestnancov:</w:t>
      </w:r>
      <w:r>
        <w:rPr>
          <w:rFonts w:ascii="Times New Roman" w:cs="Times New Roman" w:eastAsia="MS Gothic" w:hAnsi="Times New Roman"/>
          <w:b/>
          <w:sz w:val="24"/>
          <w:szCs w:val="24"/>
        </w:rPr>
        <w:t>ÚJ neúčtovala</w:t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/>
      </w:r>
    </w:p>
    <w:p>
      <w:pPr>
        <w:pStyle w:val="style0"/>
        <w:spacing w:line="100" w:lineRule="atLeast"/>
        <w:jc w:val="both"/>
      </w:pPr>
      <w:r>
        <w:rPr>
          <w:rFonts w:ascii="Times New Roman" w:cs="Times New Roman" w:eastAsia="MS Gothic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tbl>
      <w:tblPr>
        <w:jc w:val="left"/>
        <w:tblInd w:type="dxa" w:w="-177"/>
        <w:tblBorders/>
      </w:tblPr>
      <w:tblGrid>
        <w:gridCol w:w="4452"/>
      </w:tblGrid>
      <w:tr>
        <w:trPr>
          <w:trHeight w:hRule="atLeast" w:val="273"/>
          <w:cantSplit w:val="false"/>
        </w:trPr>
        <w:tc>
          <w:tcPr>
            <w:tcW w:type="dxa" w:w="445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  <w:vAlign w:val="bottom"/>
          </w:tcPr>
          <w:p>
            <w:pPr>
              <w:pStyle w:val="style0"/>
              <w:spacing w:after="0" w:before="0" w:line="100" w:lineRule="atLeast"/>
              <w:contextualSpacing w:val="false"/>
            </w:pPr>
            <w:r>
              <w:rPr/>
            </w:r>
          </w:p>
        </w:tc>
      </w:tr>
    </w:tbl>
    <w:p>
      <w:pPr>
        <w:pStyle w:val="style0"/>
        <w:tabs>
          <w:tab w:leader="none" w:pos="3150" w:val="left"/>
        </w:tabs>
        <w:spacing w:after="160" w:before="0"/>
        <w:contextualSpacing w:val="false"/>
      </w:pPr>
      <w:r>
        <w:rPr/>
      </w:r>
    </w:p>
    <w:sectPr>
      <w:headerReference r:id="rId2" w:type="default"/>
      <w:type w:val="nextPage"/>
      <w:pgSz w:h="16838" w:w="11906"/>
      <w:pgMar w:bottom="1417" w:footer="0" w:gutter="0" w:header="708" w:left="1417" w:right="1417" w:top="1417"/>
      <w:pgNumType w:fmt="decimal"/>
      <w:formProt w:val="false"/>
      <w:textDirection w:val="lrTb"/>
      <w:docGrid w:charSpace="8192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7"/>
      <w:tabs>
        <w:tab w:leader="none" w:pos="4365" w:val="left"/>
        <w:tab w:leader="none" w:pos="4536" w:val="center"/>
        <w:tab w:leader="none" w:pos="4995" w:val="left"/>
        <w:tab w:leader="none" w:pos="9072" w:val="right"/>
      </w:tabs>
    </w:pPr>
    <w:r>
      <w:rPr>
        <w:rFonts w:ascii="Times New Roman" w:cs="Times New Roman" w:hAnsi="Times New Roman"/>
        <w:sz w:val="20"/>
        <w:szCs w:val="24"/>
      </w:rPr>
      <w:t xml:space="preserve">Poznámky Úč MÚJ 3 – 01             </w:t>
    </w:r>
    <w:r>
      <w:rPr>
        <w:rFonts w:ascii="Times New Roman" w:cs="Times New Roman" w:hAnsi="Times New Roman"/>
        <w:sz w:val="24"/>
        <w:szCs w:val="24"/>
      </w:rPr>
      <w:t xml:space="preserve">IČO </w:t>
    </w:r>
    <w:r>
      <w:rPr>
        <w:rFonts w:ascii="Times New Roman" w:cs="Times New Roman" w:hAnsi="Times New Roman"/>
        <w:sz w:val="24"/>
        <w:szCs w:val="24"/>
      </w:rPr>
      <w:t>46863371</w:t>
    </w:r>
  </w:p>
  <w:p>
    <w:pPr>
      <w:pStyle w:val="style30"/>
      <w:spacing w:after="0" w:before="40" w:line="100" w:lineRule="atLeast"/>
      <w:contextualSpacing w:val="false"/>
      <w:jc w:val="center"/>
    </w:pPr>
    <w:r>
      <w:rPr>
        <w:rFonts w:ascii="Times New Roman" w:cs="Times New Roman" w:hAnsi="Times New Roman"/>
        <w:sz w:val="20"/>
        <w:szCs w:val="20"/>
      </w:rPr>
      <w:t>1</w:t>
    </w:r>
  </w:p>
</w:hdr>
</file>

<file path=word/settings.xml><?xml version="1.0" encoding="utf-8"?>
<w:settings xmlns:w="http://schemas.openxmlformats.org/wordprocessingml/2006/main">
  <w:zoom w:percent="100"/>
</w:settings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/>
      <w:suppressAutoHyphens w:val="true"/>
      <w:spacing w:after="160" w:before="0" w:line="254" w:lineRule="auto"/>
      <w:contextualSpacing w:val="false"/>
    </w:pPr>
    <w:rPr>
      <w:rFonts w:ascii="Calibri" w:cs="Calibri" w:eastAsia="SimSun" w:hAnsi="Calibri"/>
      <w:color w:val="00000A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Text bubliny Char"/>
    <w:basedOn w:val="style15"/>
    <w:next w:val="style18"/>
    <w:rPr>
      <w:rFonts w:ascii="Segoe UI" w:cs="Segoe UI" w:hAnsi="Segoe UI"/>
      <w:sz w:val="18"/>
      <w:szCs w:val="18"/>
    </w:rPr>
  </w:style>
  <w:style w:styleId="style19" w:type="character">
    <w:name w:val="Placeholder Text"/>
    <w:basedOn w:val="style15"/>
    <w:next w:val="style19"/>
    <w:rPr>
      <w:color w:val="808080"/>
    </w:rPr>
  </w:style>
  <w:style w:styleId="style20" w:type="character">
    <w:name w:val="ListLabel 1"/>
    <w:next w:val="style20"/>
    <w:rPr>
      <w:rFonts w:cs="Calibri"/>
      <w:sz w:val="24"/>
    </w:rPr>
  </w:style>
  <w:style w:styleId="style21" w:type="paragraph">
    <w:name w:val="Nadpis"/>
    <w:basedOn w:val="style0"/>
    <w:next w:val="style22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22" w:type="paragraph">
    <w:name w:val="Telo textu"/>
    <w:basedOn w:val="style0"/>
    <w:next w:val="style22"/>
    <w:pPr>
      <w:spacing w:after="120" w:before="0"/>
      <w:contextualSpacing w:val="false"/>
    </w:pPr>
    <w:rPr/>
  </w:style>
  <w:style w:styleId="style23" w:type="paragraph">
    <w:name w:val="Zoznam"/>
    <w:basedOn w:val="style22"/>
    <w:next w:val="style23"/>
    <w:pPr/>
    <w:rPr>
      <w:rFonts w:cs="Mangal"/>
    </w:rPr>
  </w:style>
  <w:style w:styleId="style24" w:type="paragraph">
    <w:name w:val="Popis"/>
    <w:basedOn w:val="style0"/>
    <w:next w:val="style24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5" w:type="paragraph">
    <w:name w:val="Index"/>
    <w:basedOn w:val="style0"/>
    <w:next w:val="style25"/>
    <w:pPr>
      <w:suppressLineNumbers/>
    </w:pPr>
    <w:rPr>
      <w:rFonts w:cs="Mangal"/>
    </w:rPr>
  </w:style>
  <w:style w:styleId="style26" w:type="paragraph">
    <w:name w:val="List Paragraph"/>
    <w:basedOn w:val="style0"/>
    <w:next w:val="style26"/>
    <w:pPr>
      <w:spacing w:after="160" w:before="0"/>
      <w:ind w:hanging="0" w:left="720" w:right="0"/>
      <w:contextualSpacing/>
    </w:pPr>
    <w:rPr/>
  </w:style>
  <w:style w:styleId="style27" w:type="paragraph">
    <w:name w:val="Hlavička"/>
    <w:basedOn w:val="style0"/>
    <w:next w:val="style27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8" w:type="paragraph">
    <w:name w:val="Päta"/>
    <w:basedOn w:val="style0"/>
    <w:next w:val="style28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9" w:type="paragraph">
    <w:name w:val="Balloon Text"/>
    <w:basedOn w:val="style0"/>
    <w:next w:val="style29"/>
    <w:pPr>
      <w:spacing w:after="0" w:before="0" w:line="100" w:lineRule="atLeast"/>
      <w:contextualSpacing w:val="false"/>
    </w:pPr>
    <w:rPr>
      <w:rFonts w:ascii="Segoe UI" w:cs="Segoe UI" w:hAnsi="Segoe UI"/>
      <w:sz w:val="18"/>
      <w:szCs w:val="18"/>
    </w:rPr>
  </w:style>
  <w:style w:styleId="style30" w:type="paragraph">
    <w:name w:val="Obsah rámca"/>
    <w:basedOn w:val="style22"/>
    <w:next w:val="style30"/>
    <w:pPr/>
    <w:rPr/>
  </w:style>
  <w:style w:styleId="style31" w:type="paragraph">
    <w:name w:val="Obsah tabuľky"/>
    <w:basedOn w:val="style0"/>
    <w:next w:val="style31"/>
    <w:pPr>
      <w:suppressLineNumbers/>
    </w:pPr>
    <w:rPr/>
  </w:style>
  <w:style w:styleId="style32" w:type="paragraph">
    <w:name w:val="Nadpis tabuľky"/>
    <w:basedOn w:val="style31"/>
    <w:next w:val="style32"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2016-03-31T06:31:00.00Z</dcterms:created>
  <dc:creator>Martin T</dc:creator>
  <cp:lastModifiedBy>admin</cp:lastModifiedBy>
  <cp:lastPrinted>2016-01-13T16:38:00.00Z</cp:lastPrinted>
  <dcterms:modified xsi:type="dcterms:W3CDTF">2016-03-31T06:31:00.00Z</dcterms:modified>
  <cp:revision>2</cp:revision>
</cp:coreProperties>
</file>