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B5EB57" w14:textId="77777777" w:rsidR="00B97DF0" w:rsidRPr="00B014BC" w:rsidRDefault="00B97DF0" w:rsidP="00A65813">
      <w:pPr>
        <w:spacing w:after="0" w:line="240" w:lineRule="auto"/>
        <w:jc w:val="center"/>
        <w:rPr>
          <w:rFonts w:cstheme="minorHAnsi"/>
          <w:b/>
          <w:sz w:val="30"/>
          <w:szCs w:val="30"/>
        </w:rPr>
      </w:pPr>
      <w:r w:rsidRPr="00B014BC">
        <w:rPr>
          <w:rFonts w:cstheme="minorHAnsi"/>
          <w:b/>
          <w:sz w:val="30"/>
          <w:szCs w:val="30"/>
        </w:rPr>
        <w:t xml:space="preserve">KOMUNÁLNA poisťovňa, </w:t>
      </w:r>
      <w:proofErr w:type="spellStart"/>
      <w:r w:rsidRPr="00B014BC">
        <w:rPr>
          <w:rFonts w:cstheme="minorHAnsi"/>
          <w:b/>
          <w:sz w:val="30"/>
          <w:szCs w:val="30"/>
        </w:rPr>
        <w:t>a.s</w:t>
      </w:r>
      <w:proofErr w:type="spellEnd"/>
      <w:r w:rsidRPr="00B014BC">
        <w:rPr>
          <w:rFonts w:cstheme="minorHAnsi"/>
          <w:b/>
          <w:sz w:val="30"/>
          <w:szCs w:val="30"/>
        </w:rPr>
        <w:t xml:space="preserve">. </w:t>
      </w:r>
      <w:proofErr w:type="spellStart"/>
      <w:r w:rsidRPr="00B014BC">
        <w:rPr>
          <w:rFonts w:cstheme="minorHAnsi"/>
          <w:b/>
          <w:sz w:val="30"/>
          <w:szCs w:val="30"/>
        </w:rPr>
        <w:t>Vienna</w:t>
      </w:r>
      <w:proofErr w:type="spellEnd"/>
      <w:r w:rsidRPr="00B014BC">
        <w:rPr>
          <w:rFonts w:cstheme="minorHAnsi"/>
          <w:b/>
          <w:sz w:val="30"/>
          <w:szCs w:val="30"/>
        </w:rPr>
        <w:t xml:space="preserve"> </w:t>
      </w:r>
      <w:proofErr w:type="spellStart"/>
      <w:r w:rsidRPr="00B014BC">
        <w:rPr>
          <w:rFonts w:cstheme="minorHAnsi"/>
          <w:b/>
          <w:sz w:val="30"/>
          <w:szCs w:val="30"/>
        </w:rPr>
        <w:t>Insurance</w:t>
      </w:r>
      <w:proofErr w:type="spellEnd"/>
      <w:r w:rsidRPr="00B014BC">
        <w:rPr>
          <w:rFonts w:cstheme="minorHAnsi"/>
          <w:b/>
          <w:sz w:val="30"/>
          <w:szCs w:val="30"/>
        </w:rPr>
        <w:t xml:space="preserve"> Group</w:t>
      </w:r>
    </w:p>
    <w:p w14:paraId="79125433" w14:textId="77777777" w:rsidR="00E14AC9" w:rsidRPr="00B014BC" w:rsidRDefault="00E14AC9" w:rsidP="00A65813">
      <w:pPr>
        <w:spacing w:after="0" w:line="240" w:lineRule="auto"/>
        <w:jc w:val="center"/>
        <w:rPr>
          <w:rFonts w:cstheme="minorHAnsi"/>
          <w:b/>
          <w:sz w:val="30"/>
          <w:szCs w:val="30"/>
        </w:rPr>
      </w:pPr>
    </w:p>
    <w:p w14:paraId="4F35226F" w14:textId="77777777" w:rsidR="004205E2" w:rsidRPr="00B014BC" w:rsidRDefault="00E6419C" w:rsidP="00A65813">
      <w:pPr>
        <w:spacing w:after="0" w:line="240" w:lineRule="auto"/>
        <w:jc w:val="center"/>
        <w:rPr>
          <w:rFonts w:cstheme="minorHAnsi"/>
          <w:b/>
          <w:sz w:val="30"/>
          <w:szCs w:val="30"/>
        </w:rPr>
      </w:pPr>
      <w:r w:rsidRPr="00B014BC">
        <w:rPr>
          <w:rFonts w:cstheme="minorHAnsi"/>
          <w:b/>
          <w:sz w:val="30"/>
          <w:szCs w:val="30"/>
        </w:rPr>
        <w:t>Výročná správa za rok 2015</w:t>
      </w:r>
    </w:p>
    <w:p w14:paraId="4476EA8B" w14:textId="77777777" w:rsidR="00B97DF0" w:rsidRPr="00B014BC" w:rsidRDefault="00B97DF0" w:rsidP="00A65813">
      <w:pPr>
        <w:spacing w:after="0" w:line="240" w:lineRule="auto"/>
        <w:jc w:val="center"/>
        <w:rPr>
          <w:rFonts w:cstheme="minorHAnsi"/>
        </w:rPr>
      </w:pPr>
    </w:p>
    <w:p w14:paraId="2110B7C1" w14:textId="77777777" w:rsidR="00E14AC9" w:rsidRPr="00B014BC" w:rsidRDefault="00E14AC9" w:rsidP="00A65813">
      <w:pPr>
        <w:spacing w:after="0" w:line="240" w:lineRule="auto"/>
        <w:jc w:val="center"/>
        <w:rPr>
          <w:rFonts w:cstheme="minorHAnsi"/>
          <w:b/>
        </w:rPr>
      </w:pPr>
    </w:p>
    <w:p w14:paraId="1966381D" w14:textId="77777777" w:rsidR="00E14AC9" w:rsidRPr="00B014BC" w:rsidRDefault="00E14AC9" w:rsidP="00A65813">
      <w:pPr>
        <w:spacing w:after="0" w:line="240" w:lineRule="auto"/>
        <w:jc w:val="center"/>
        <w:rPr>
          <w:rFonts w:cstheme="minorHAnsi"/>
          <w:b/>
        </w:rPr>
      </w:pPr>
    </w:p>
    <w:p w14:paraId="01837194" w14:textId="77777777" w:rsidR="00B97DF0" w:rsidRPr="00B014BC" w:rsidRDefault="00B97DF0" w:rsidP="00A65813">
      <w:pPr>
        <w:spacing w:after="0" w:line="240" w:lineRule="auto"/>
        <w:rPr>
          <w:rFonts w:cstheme="minorHAnsi"/>
          <w:b/>
          <w:sz w:val="28"/>
          <w:szCs w:val="28"/>
        </w:rPr>
      </w:pPr>
      <w:r w:rsidRPr="00B014BC">
        <w:rPr>
          <w:rFonts w:cstheme="minorHAnsi"/>
          <w:b/>
          <w:sz w:val="28"/>
          <w:szCs w:val="28"/>
        </w:rPr>
        <w:t>OBSAH</w:t>
      </w:r>
    </w:p>
    <w:p w14:paraId="2AA8E15B" w14:textId="77777777" w:rsidR="00B97DF0" w:rsidRPr="00B014BC" w:rsidRDefault="00B97DF0" w:rsidP="004518BB">
      <w:pPr>
        <w:spacing w:after="0" w:line="240" w:lineRule="auto"/>
        <w:rPr>
          <w:rFonts w:cstheme="minorHAnsi"/>
        </w:rPr>
      </w:pPr>
    </w:p>
    <w:p w14:paraId="2BDA2871" w14:textId="77777777"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Príhovor predsedu dozornej rady</w:t>
      </w:r>
    </w:p>
    <w:p w14:paraId="6B4E47DC" w14:textId="77777777" w:rsidR="00B97DF0" w:rsidRPr="00B014BC" w:rsidRDefault="00B97DF0" w:rsidP="004518BB">
      <w:pPr>
        <w:pStyle w:val="ListParagraph"/>
        <w:spacing w:after="0" w:line="240" w:lineRule="auto"/>
        <w:rPr>
          <w:rFonts w:cstheme="minorHAnsi"/>
        </w:rPr>
      </w:pPr>
    </w:p>
    <w:p w14:paraId="3527AC16" w14:textId="7C64740C"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Úvod</w:t>
      </w:r>
      <w:r w:rsidR="00175BD5" w:rsidRPr="00B014BC">
        <w:rPr>
          <w:rFonts w:cstheme="minorHAnsi"/>
        </w:rPr>
        <w:t>né slovo</w:t>
      </w:r>
      <w:r w:rsidRPr="00B014BC">
        <w:rPr>
          <w:rFonts w:cstheme="minorHAnsi"/>
        </w:rPr>
        <w:t xml:space="preserve"> predsedu predstavenstva a generálneho riaditeľa</w:t>
      </w:r>
    </w:p>
    <w:p w14:paraId="4E018C1A" w14:textId="77777777" w:rsidR="00B97DF0" w:rsidRPr="00B014BC" w:rsidRDefault="00B97DF0" w:rsidP="004518BB">
      <w:pPr>
        <w:spacing w:after="0" w:line="240" w:lineRule="auto"/>
        <w:rPr>
          <w:rFonts w:cstheme="minorHAnsi"/>
        </w:rPr>
      </w:pPr>
    </w:p>
    <w:p w14:paraId="2C689F8F" w14:textId="77777777"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O spoločnosti</w:t>
      </w:r>
    </w:p>
    <w:p w14:paraId="44BDE9D2" w14:textId="77777777" w:rsidR="00B97DF0" w:rsidRPr="00B014BC" w:rsidRDefault="00B97DF0" w:rsidP="004518BB">
      <w:pPr>
        <w:spacing w:after="0" w:line="240" w:lineRule="auto"/>
        <w:ind w:left="720"/>
        <w:rPr>
          <w:rFonts w:cstheme="minorHAnsi"/>
        </w:rPr>
      </w:pPr>
      <w:r w:rsidRPr="00B014BC">
        <w:rPr>
          <w:rFonts w:cstheme="minorHAnsi"/>
        </w:rPr>
        <w:t>3.1 Organizačná štruktúra</w:t>
      </w:r>
    </w:p>
    <w:p w14:paraId="44BFF1F5" w14:textId="77777777" w:rsidR="00B97DF0" w:rsidRPr="00B014BC" w:rsidRDefault="00B97DF0" w:rsidP="004518BB">
      <w:pPr>
        <w:spacing w:after="0" w:line="240" w:lineRule="auto"/>
        <w:ind w:left="720"/>
        <w:rPr>
          <w:rFonts w:cstheme="minorHAnsi"/>
        </w:rPr>
      </w:pPr>
      <w:r w:rsidRPr="00B014BC">
        <w:rPr>
          <w:rFonts w:cstheme="minorHAnsi"/>
        </w:rPr>
        <w:t>3.2 Dozorná rada</w:t>
      </w:r>
    </w:p>
    <w:p w14:paraId="12B22796" w14:textId="77777777" w:rsidR="00B97DF0" w:rsidRPr="00B014BC" w:rsidRDefault="00B97DF0" w:rsidP="004518BB">
      <w:pPr>
        <w:spacing w:after="0" w:line="240" w:lineRule="auto"/>
        <w:ind w:left="720"/>
        <w:rPr>
          <w:rFonts w:cstheme="minorHAnsi"/>
        </w:rPr>
      </w:pPr>
      <w:r w:rsidRPr="00B014BC">
        <w:rPr>
          <w:rFonts w:cstheme="minorHAnsi"/>
        </w:rPr>
        <w:t>3.3 Predstavenstvo, životopisy členov</w:t>
      </w:r>
    </w:p>
    <w:p w14:paraId="7223379D" w14:textId="7C76F90D" w:rsidR="00432E66" w:rsidRPr="00B014BC" w:rsidRDefault="00432E66" w:rsidP="004518BB">
      <w:pPr>
        <w:spacing w:after="0" w:line="240" w:lineRule="auto"/>
        <w:ind w:left="720"/>
        <w:rPr>
          <w:rFonts w:cstheme="minorHAnsi"/>
        </w:rPr>
      </w:pPr>
      <w:r w:rsidRPr="00B014BC">
        <w:rPr>
          <w:rFonts w:cstheme="minorHAnsi"/>
        </w:rPr>
        <w:t>3.4 Manažment úsekov centrály</w:t>
      </w:r>
    </w:p>
    <w:p w14:paraId="57A56854" w14:textId="532F2D4F" w:rsidR="00B97DF0" w:rsidRPr="00B014BC" w:rsidRDefault="00432E66" w:rsidP="004518BB">
      <w:pPr>
        <w:spacing w:after="0" w:line="240" w:lineRule="auto"/>
        <w:ind w:left="720"/>
        <w:rPr>
          <w:rFonts w:cstheme="minorHAnsi"/>
        </w:rPr>
      </w:pPr>
      <w:r w:rsidRPr="00B014BC">
        <w:rPr>
          <w:rFonts w:cstheme="minorHAnsi"/>
        </w:rPr>
        <w:t>3.5</w:t>
      </w:r>
      <w:r w:rsidR="00B97DF0" w:rsidRPr="00B014BC">
        <w:rPr>
          <w:rFonts w:cstheme="minorHAnsi"/>
        </w:rPr>
        <w:t xml:space="preserve"> Obchodná štruktúra</w:t>
      </w:r>
    </w:p>
    <w:p w14:paraId="7FA03940" w14:textId="77777777" w:rsidR="00B97DF0" w:rsidRPr="00B014BC" w:rsidRDefault="00B97DF0" w:rsidP="004518BB">
      <w:pPr>
        <w:spacing w:after="0" w:line="240" w:lineRule="auto"/>
        <w:rPr>
          <w:rFonts w:cstheme="minorHAnsi"/>
        </w:rPr>
      </w:pPr>
    </w:p>
    <w:p w14:paraId="40C14B2E" w14:textId="77777777" w:rsidR="00B97DF0" w:rsidRPr="00B014BC" w:rsidRDefault="00B97DF0" w:rsidP="004518BB">
      <w:pPr>
        <w:pStyle w:val="ListParagraph"/>
        <w:numPr>
          <w:ilvl w:val="0"/>
          <w:numId w:val="1"/>
        </w:numPr>
        <w:spacing w:after="0" w:line="240" w:lineRule="auto"/>
        <w:rPr>
          <w:rFonts w:cstheme="minorHAnsi"/>
        </w:rPr>
      </w:pP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w:t>
      </w:r>
    </w:p>
    <w:p w14:paraId="526DF229" w14:textId="77777777" w:rsidR="00B97DF0" w:rsidRPr="00B014BC" w:rsidRDefault="00B97DF0" w:rsidP="004518BB">
      <w:pPr>
        <w:spacing w:after="0" w:line="240" w:lineRule="auto"/>
        <w:rPr>
          <w:rFonts w:cstheme="minorHAnsi"/>
        </w:rPr>
      </w:pPr>
    </w:p>
    <w:p w14:paraId="5EEFEF8D" w14:textId="63AB8CFB"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Správa predstavenstva o výsledkoch hospodárenia, podnikateľskej činnosti a o stave ma</w:t>
      </w:r>
      <w:r w:rsidR="00933DEE" w:rsidRPr="00B014BC">
        <w:rPr>
          <w:rFonts w:cstheme="minorHAnsi"/>
        </w:rPr>
        <w:t>jetku spoločnosti k 31. 12. 2015</w:t>
      </w:r>
    </w:p>
    <w:p w14:paraId="35C5DA33" w14:textId="77777777" w:rsidR="00B97DF0" w:rsidRPr="00B014BC" w:rsidRDefault="00B97DF0" w:rsidP="004518BB">
      <w:pPr>
        <w:spacing w:after="0" w:line="240" w:lineRule="auto"/>
        <w:ind w:left="708"/>
        <w:rPr>
          <w:rFonts w:cstheme="minorHAnsi"/>
        </w:rPr>
      </w:pPr>
      <w:r w:rsidRPr="00B014BC">
        <w:rPr>
          <w:rFonts w:cstheme="minorHAnsi"/>
        </w:rPr>
        <w:t>5.1 Ekonomické prostredie a poistný trh</w:t>
      </w:r>
    </w:p>
    <w:p w14:paraId="0250B88A" w14:textId="77777777" w:rsidR="00B97DF0" w:rsidRPr="00B014BC" w:rsidRDefault="00B97DF0" w:rsidP="004518BB">
      <w:pPr>
        <w:spacing w:after="0" w:line="240" w:lineRule="auto"/>
        <w:ind w:left="708"/>
        <w:rPr>
          <w:rFonts w:cstheme="minorHAnsi"/>
        </w:rPr>
      </w:pPr>
      <w:r w:rsidRPr="00B014BC">
        <w:rPr>
          <w:rFonts w:cstheme="minorHAnsi"/>
        </w:rPr>
        <w:t>5.2 Bilancia obchodného roka</w:t>
      </w:r>
    </w:p>
    <w:p w14:paraId="6DC429B9" w14:textId="77777777" w:rsidR="00B97DF0" w:rsidRPr="00B014BC" w:rsidRDefault="00B97DF0" w:rsidP="004518BB">
      <w:pPr>
        <w:spacing w:after="0" w:line="240" w:lineRule="auto"/>
        <w:ind w:left="708"/>
        <w:rPr>
          <w:rFonts w:cstheme="minorHAnsi"/>
        </w:rPr>
      </w:pPr>
      <w:r w:rsidRPr="00B014BC">
        <w:rPr>
          <w:rFonts w:cstheme="minorHAnsi"/>
        </w:rPr>
        <w:t>5.3 Životné poistenie</w:t>
      </w:r>
    </w:p>
    <w:p w14:paraId="198182C4" w14:textId="77777777" w:rsidR="00B97DF0" w:rsidRPr="00B014BC" w:rsidRDefault="00B97DF0" w:rsidP="004518BB">
      <w:pPr>
        <w:spacing w:after="0" w:line="240" w:lineRule="auto"/>
        <w:ind w:left="708"/>
        <w:rPr>
          <w:rFonts w:cstheme="minorHAnsi"/>
        </w:rPr>
      </w:pPr>
      <w:r w:rsidRPr="00B014BC">
        <w:rPr>
          <w:rFonts w:cstheme="minorHAnsi"/>
        </w:rPr>
        <w:t>5.4 Neživotné poistenie</w:t>
      </w:r>
    </w:p>
    <w:p w14:paraId="18825A9E" w14:textId="77777777" w:rsidR="00B97DF0" w:rsidRPr="00B014BC" w:rsidRDefault="00B97DF0" w:rsidP="004518BB">
      <w:pPr>
        <w:spacing w:after="0" w:line="240" w:lineRule="auto"/>
        <w:ind w:left="708"/>
        <w:rPr>
          <w:rFonts w:cstheme="minorHAnsi"/>
        </w:rPr>
      </w:pPr>
      <w:r w:rsidRPr="00B014BC">
        <w:rPr>
          <w:rFonts w:cstheme="minorHAnsi"/>
        </w:rPr>
        <w:t>5.5 Zaistenie</w:t>
      </w:r>
    </w:p>
    <w:p w14:paraId="5BDB28D4" w14:textId="77777777" w:rsidR="00B97DF0" w:rsidRPr="00B014BC" w:rsidRDefault="00B97DF0" w:rsidP="004518BB">
      <w:pPr>
        <w:spacing w:after="0" w:line="240" w:lineRule="auto"/>
        <w:ind w:left="708"/>
        <w:rPr>
          <w:rFonts w:cstheme="minorHAnsi"/>
        </w:rPr>
      </w:pPr>
      <w:r w:rsidRPr="00B014BC">
        <w:rPr>
          <w:rFonts w:cstheme="minorHAnsi"/>
        </w:rPr>
        <w:t>5.6 Ľudské zdroje</w:t>
      </w:r>
    </w:p>
    <w:p w14:paraId="01BA2729" w14:textId="77777777" w:rsidR="00B97DF0" w:rsidRPr="00B014BC" w:rsidRDefault="00B97DF0" w:rsidP="004518BB">
      <w:pPr>
        <w:spacing w:after="0" w:line="240" w:lineRule="auto"/>
        <w:ind w:left="708"/>
        <w:rPr>
          <w:rFonts w:cstheme="minorHAnsi"/>
        </w:rPr>
      </w:pPr>
      <w:r w:rsidRPr="00B014BC">
        <w:rPr>
          <w:rFonts w:cstheme="minorHAnsi"/>
        </w:rPr>
        <w:t>5.7 Marketingová komunikácia</w:t>
      </w:r>
    </w:p>
    <w:p w14:paraId="5D7CF0B6" w14:textId="77777777" w:rsidR="00B97DF0" w:rsidRPr="00B014BC" w:rsidRDefault="00B97DF0" w:rsidP="004518BB">
      <w:pPr>
        <w:spacing w:after="0" w:line="240" w:lineRule="auto"/>
        <w:ind w:left="708"/>
        <w:rPr>
          <w:rFonts w:cstheme="minorHAnsi"/>
        </w:rPr>
      </w:pPr>
      <w:r w:rsidRPr="00B014BC">
        <w:rPr>
          <w:rFonts w:cstheme="minorHAnsi"/>
        </w:rPr>
        <w:t>5.8 Informačné technológie</w:t>
      </w:r>
    </w:p>
    <w:p w14:paraId="1D2B6564" w14:textId="77777777" w:rsidR="00B97DF0" w:rsidRPr="00B014BC" w:rsidRDefault="00B97DF0" w:rsidP="004518BB">
      <w:pPr>
        <w:spacing w:after="0" w:line="240" w:lineRule="auto"/>
        <w:ind w:left="708"/>
        <w:rPr>
          <w:rFonts w:cstheme="minorHAnsi"/>
        </w:rPr>
      </w:pPr>
      <w:r w:rsidRPr="00B014BC">
        <w:rPr>
          <w:rFonts w:cstheme="minorHAnsi"/>
        </w:rPr>
        <w:t>5.9 Prevádzka poistenia</w:t>
      </w:r>
    </w:p>
    <w:p w14:paraId="24DD6DB2" w14:textId="77777777" w:rsidR="00C51961" w:rsidRPr="00B014BC" w:rsidRDefault="00B97DF0" w:rsidP="004518BB">
      <w:pPr>
        <w:spacing w:after="0" w:line="240" w:lineRule="auto"/>
        <w:ind w:left="708"/>
        <w:rPr>
          <w:rFonts w:cstheme="minorHAnsi"/>
        </w:rPr>
      </w:pPr>
      <w:r w:rsidRPr="00B014BC">
        <w:rPr>
          <w:rFonts w:cstheme="minorHAnsi"/>
        </w:rPr>
        <w:t xml:space="preserve">5.10 </w:t>
      </w:r>
      <w:r w:rsidR="00C51961" w:rsidRPr="00B014BC">
        <w:rPr>
          <w:rFonts w:cstheme="minorHAnsi"/>
        </w:rPr>
        <w:t>Kontrolná činnosť</w:t>
      </w:r>
    </w:p>
    <w:p w14:paraId="4EC4E15C" w14:textId="78CD45D6" w:rsidR="00432E66" w:rsidRPr="00B014BC" w:rsidRDefault="00C51961" w:rsidP="004518BB">
      <w:pPr>
        <w:spacing w:after="0" w:line="240" w:lineRule="auto"/>
        <w:ind w:left="708"/>
        <w:rPr>
          <w:rFonts w:cstheme="minorHAnsi"/>
        </w:rPr>
      </w:pPr>
      <w:r w:rsidRPr="00B014BC">
        <w:rPr>
          <w:rFonts w:cstheme="minorHAnsi"/>
        </w:rPr>
        <w:t xml:space="preserve">5.11 </w:t>
      </w:r>
      <w:proofErr w:type="spellStart"/>
      <w:r w:rsidR="00432E66" w:rsidRPr="00B014BC">
        <w:rPr>
          <w:rFonts w:cstheme="minorHAnsi"/>
        </w:rPr>
        <w:t>Riskmanažment</w:t>
      </w:r>
      <w:proofErr w:type="spellEnd"/>
      <w:r w:rsidR="00432E66" w:rsidRPr="00B014BC">
        <w:rPr>
          <w:rFonts w:cstheme="minorHAnsi"/>
        </w:rPr>
        <w:t xml:space="preserve"> a </w:t>
      </w:r>
      <w:proofErr w:type="spellStart"/>
      <w:r w:rsidR="00432E66" w:rsidRPr="00B014BC">
        <w:rPr>
          <w:rFonts w:cstheme="minorHAnsi"/>
        </w:rPr>
        <w:t>compliance</w:t>
      </w:r>
      <w:proofErr w:type="spellEnd"/>
      <w:r w:rsidR="00432E66" w:rsidRPr="00B014BC">
        <w:rPr>
          <w:rFonts w:cstheme="minorHAnsi"/>
        </w:rPr>
        <w:t xml:space="preserve"> </w:t>
      </w:r>
      <w:proofErr w:type="spellStart"/>
      <w:r w:rsidR="00432E66" w:rsidRPr="00B014BC">
        <w:rPr>
          <w:rFonts w:cstheme="minorHAnsi"/>
        </w:rPr>
        <w:t>officer</w:t>
      </w:r>
      <w:proofErr w:type="spellEnd"/>
    </w:p>
    <w:p w14:paraId="03045450" w14:textId="77777777" w:rsidR="00432E66" w:rsidRPr="00B014BC" w:rsidRDefault="00B87971" w:rsidP="004518BB">
      <w:pPr>
        <w:spacing w:after="0" w:line="240" w:lineRule="auto"/>
        <w:ind w:left="708"/>
        <w:rPr>
          <w:rFonts w:cstheme="minorHAnsi"/>
        </w:rPr>
      </w:pPr>
      <w:r w:rsidRPr="00B014BC">
        <w:rPr>
          <w:rFonts w:cstheme="minorHAnsi"/>
        </w:rPr>
        <w:t xml:space="preserve">5.12 </w:t>
      </w:r>
      <w:r w:rsidR="00432E66" w:rsidRPr="00B014BC">
        <w:rPr>
          <w:rFonts w:cstheme="minorHAnsi"/>
        </w:rPr>
        <w:t>Finančné umiestnenie</w:t>
      </w:r>
    </w:p>
    <w:p w14:paraId="2B30F280" w14:textId="77777777" w:rsidR="00B97DF0" w:rsidRPr="00B014BC" w:rsidRDefault="00C51961" w:rsidP="004518BB">
      <w:pPr>
        <w:spacing w:after="0" w:line="240" w:lineRule="auto"/>
        <w:ind w:firstLine="708"/>
        <w:rPr>
          <w:rFonts w:cstheme="minorHAnsi"/>
        </w:rPr>
      </w:pPr>
      <w:r w:rsidRPr="00B014BC">
        <w:rPr>
          <w:rFonts w:cstheme="minorHAnsi"/>
        </w:rPr>
        <w:t>5.1</w:t>
      </w:r>
      <w:r w:rsidR="00B87971" w:rsidRPr="00B014BC">
        <w:rPr>
          <w:rFonts w:cstheme="minorHAnsi"/>
        </w:rPr>
        <w:t>3</w:t>
      </w:r>
      <w:r w:rsidR="00B97DF0" w:rsidRPr="00B014BC">
        <w:rPr>
          <w:rFonts w:cstheme="minorHAnsi"/>
        </w:rPr>
        <w:t xml:space="preserve"> Návrh na rozdelenie zisku</w:t>
      </w:r>
    </w:p>
    <w:p w14:paraId="0FD3EC59" w14:textId="77777777" w:rsidR="00B97DF0" w:rsidRPr="00B014BC" w:rsidRDefault="00B97DF0" w:rsidP="004518BB">
      <w:pPr>
        <w:spacing w:after="0" w:line="240" w:lineRule="auto"/>
        <w:rPr>
          <w:rFonts w:cstheme="minorHAnsi"/>
        </w:rPr>
      </w:pPr>
    </w:p>
    <w:p w14:paraId="501ECF9F" w14:textId="77777777"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Správa dozornej rady</w:t>
      </w:r>
    </w:p>
    <w:p w14:paraId="490FF6EE" w14:textId="77777777" w:rsidR="00B97DF0" w:rsidRPr="00B014BC" w:rsidRDefault="00B97DF0" w:rsidP="004518BB">
      <w:pPr>
        <w:spacing w:after="0" w:line="240" w:lineRule="auto"/>
        <w:rPr>
          <w:rFonts w:cstheme="minorHAnsi"/>
        </w:rPr>
      </w:pPr>
    </w:p>
    <w:p w14:paraId="0480DF15" w14:textId="77777777"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Správa audítora</w:t>
      </w:r>
    </w:p>
    <w:p w14:paraId="5EFADB34" w14:textId="77777777" w:rsidR="00B97DF0" w:rsidRPr="00B014BC" w:rsidRDefault="00B97DF0" w:rsidP="004518BB">
      <w:pPr>
        <w:pStyle w:val="ListParagraph"/>
        <w:spacing w:after="0" w:line="240" w:lineRule="auto"/>
        <w:rPr>
          <w:rFonts w:cstheme="minorHAnsi"/>
        </w:rPr>
      </w:pPr>
    </w:p>
    <w:p w14:paraId="58B84B08" w14:textId="77777777"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Ročná účtovná závierka a komentár</w:t>
      </w:r>
    </w:p>
    <w:p w14:paraId="31235663" w14:textId="77777777" w:rsidR="00B97DF0" w:rsidRPr="00B014BC" w:rsidRDefault="00B97DF0" w:rsidP="004518BB">
      <w:pPr>
        <w:pStyle w:val="ListParagraph"/>
        <w:spacing w:after="0" w:line="240" w:lineRule="auto"/>
        <w:rPr>
          <w:rFonts w:cstheme="minorHAnsi"/>
        </w:rPr>
      </w:pPr>
    </w:p>
    <w:p w14:paraId="33B5DDB2" w14:textId="77777777" w:rsidR="00B97DF0" w:rsidRPr="00B014BC" w:rsidRDefault="00B97DF0" w:rsidP="004518BB">
      <w:pPr>
        <w:pStyle w:val="ListParagraph"/>
        <w:numPr>
          <w:ilvl w:val="0"/>
          <w:numId w:val="1"/>
        </w:numPr>
        <w:spacing w:after="0" w:line="240" w:lineRule="auto"/>
        <w:rPr>
          <w:rFonts w:cstheme="minorHAnsi"/>
        </w:rPr>
      </w:pPr>
      <w:r w:rsidRPr="00B014BC">
        <w:rPr>
          <w:rFonts w:cstheme="minorHAnsi"/>
        </w:rPr>
        <w:t>Adresár</w:t>
      </w:r>
    </w:p>
    <w:p w14:paraId="6306C550" w14:textId="77777777" w:rsidR="00B97DF0" w:rsidRPr="00B014BC" w:rsidRDefault="00B97DF0" w:rsidP="004518BB">
      <w:pPr>
        <w:spacing w:after="0" w:line="240" w:lineRule="auto"/>
        <w:ind w:left="708"/>
        <w:rPr>
          <w:rFonts w:cstheme="minorHAnsi"/>
        </w:rPr>
      </w:pPr>
    </w:p>
    <w:p w14:paraId="15CC6B20" w14:textId="77777777" w:rsidR="003E053E" w:rsidRPr="00B014BC" w:rsidRDefault="003E053E" w:rsidP="004518BB">
      <w:pPr>
        <w:spacing w:after="0" w:line="240" w:lineRule="auto"/>
        <w:ind w:left="708"/>
        <w:rPr>
          <w:rFonts w:cstheme="minorHAnsi"/>
        </w:rPr>
      </w:pPr>
    </w:p>
    <w:p w14:paraId="5E367507" w14:textId="77777777" w:rsidR="003E053E" w:rsidRPr="00B014BC" w:rsidRDefault="003E053E" w:rsidP="004518BB">
      <w:pPr>
        <w:spacing w:after="0" w:line="240" w:lineRule="auto"/>
        <w:ind w:left="708"/>
        <w:rPr>
          <w:rFonts w:cstheme="minorHAnsi"/>
        </w:rPr>
      </w:pPr>
    </w:p>
    <w:p w14:paraId="6A34758B" w14:textId="77777777" w:rsidR="003E053E" w:rsidRPr="00B014BC" w:rsidRDefault="003E053E" w:rsidP="004518BB">
      <w:pPr>
        <w:spacing w:after="0" w:line="240" w:lineRule="auto"/>
        <w:ind w:left="708"/>
        <w:rPr>
          <w:rFonts w:cstheme="minorHAnsi"/>
        </w:rPr>
      </w:pPr>
    </w:p>
    <w:p w14:paraId="798E33D4" w14:textId="77777777" w:rsidR="003E053E" w:rsidRPr="00B014BC" w:rsidRDefault="003E053E" w:rsidP="004518BB">
      <w:pPr>
        <w:spacing w:after="0" w:line="240" w:lineRule="auto"/>
        <w:ind w:left="708"/>
        <w:rPr>
          <w:rFonts w:cstheme="minorHAnsi"/>
        </w:rPr>
      </w:pPr>
    </w:p>
    <w:p w14:paraId="171506FD" w14:textId="77777777" w:rsidR="003E053E" w:rsidRPr="00B014BC" w:rsidRDefault="003E053E" w:rsidP="00A65813">
      <w:pPr>
        <w:spacing w:after="0" w:line="240" w:lineRule="auto"/>
        <w:rPr>
          <w:rFonts w:cstheme="minorHAnsi"/>
        </w:rPr>
      </w:pPr>
    </w:p>
    <w:p w14:paraId="1CB9E431" w14:textId="77777777" w:rsidR="003E053E" w:rsidRPr="00B014BC" w:rsidRDefault="003E053E" w:rsidP="004518BB">
      <w:pPr>
        <w:pStyle w:val="ListParagraph"/>
        <w:numPr>
          <w:ilvl w:val="0"/>
          <w:numId w:val="2"/>
        </w:numPr>
        <w:spacing w:after="0" w:line="240" w:lineRule="auto"/>
        <w:ind w:left="426"/>
        <w:rPr>
          <w:rFonts w:cstheme="minorHAnsi"/>
          <w:b/>
          <w:sz w:val="28"/>
          <w:szCs w:val="28"/>
        </w:rPr>
      </w:pPr>
      <w:r w:rsidRPr="00B014BC">
        <w:rPr>
          <w:rFonts w:cstheme="minorHAnsi"/>
          <w:b/>
          <w:sz w:val="28"/>
          <w:szCs w:val="28"/>
        </w:rPr>
        <w:lastRenderedPageBreak/>
        <w:t>Príhovor predsedu dozornej rady</w:t>
      </w:r>
    </w:p>
    <w:p w14:paraId="004C5161" w14:textId="77777777" w:rsidR="00AC6C9A" w:rsidRPr="00B014BC" w:rsidRDefault="00AC6C9A" w:rsidP="004518BB">
      <w:pPr>
        <w:spacing w:after="0" w:line="240" w:lineRule="auto"/>
        <w:ind w:left="66"/>
        <w:rPr>
          <w:rFonts w:ascii="Calibri" w:hAnsi="Calibri" w:cstheme="minorHAnsi"/>
          <w:b/>
        </w:rPr>
      </w:pPr>
    </w:p>
    <w:p w14:paraId="1FA90417" w14:textId="77777777" w:rsidR="00AC6C9A" w:rsidRPr="00B014BC" w:rsidRDefault="00AC6C9A" w:rsidP="004518BB">
      <w:pPr>
        <w:spacing w:after="0" w:line="240" w:lineRule="auto"/>
        <w:rPr>
          <w:rFonts w:ascii="Calibri" w:hAnsi="Calibri" w:cs="Times New Roman"/>
        </w:rPr>
      </w:pPr>
      <w:r w:rsidRPr="00B014BC">
        <w:rPr>
          <w:rFonts w:ascii="Calibri" w:hAnsi="Calibri" w:cs="Times New Roman"/>
        </w:rPr>
        <w:t>Vážení akcionári, obchodní partneri, klienti, kolegyne a kolegovia!</w:t>
      </w:r>
    </w:p>
    <w:p w14:paraId="320E982F" w14:textId="77777777" w:rsidR="00AC6C9A" w:rsidRPr="00B014BC" w:rsidRDefault="00AC6C9A" w:rsidP="004518BB">
      <w:pPr>
        <w:spacing w:after="0" w:line="240" w:lineRule="auto"/>
        <w:rPr>
          <w:rFonts w:ascii="Calibri" w:hAnsi="Calibri" w:cs="Times New Roman"/>
          <w:b/>
        </w:rPr>
      </w:pPr>
    </w:p>
    <w:p w14:paraId="74F114E5" w14:textId="26394BA8" w:rsidR="00AC6C9A" w:rsidRPr="00B014BC" w:rsidRDefault="00AC6C9A" w:rsidP="004518BB">
      <w:pPr>
        <w:spacing w:after="0" w:line="240" w:lineRule="auto"/>
        <w:rPr>
          <w:rFonts w:ascii="Calibri" w:hAnsi="Calibri" w:cs="Times New Roman"/>
        </w:rPr>
      </w:pPr>
      <w:r w:rsidRPr="00B014BC">
        <w:rPr>
          <w:rFonts w:ascii="Calibri" w:hAnsi="Calibri" w:cs="Times New Roman"/>
        </w:rPr>
        <w:t xml:space="preserve">Ako predseda Dozornej rady spoločnosti KOMUNÁLNA poisťovňa, </w:t>
      </w:r>
      <w:proofErr w:type="spellStart"/>
      <w:r w:rsidRPr="00B014BC">
        <w:rPr>
          <w:rFonts w:ascii="Calibri" w:hAnsi="Calibri" w:cs="Times New Roman"/>
        </w:rPr>
        <w:t>a.s</w:t>
      </w:r>
      <w:proofErr w:type="spellEnd"/>
      <w:r w:rsidRPr="00B014BC">
        <w:rPr>
          <w:rFonts w:ascii="Calibri" w:hAnsi="Calibri" w:cs="Times New Roman"/>
        </w:rPr>
        <w:t xml:space="preserve">. </w:t>
      </w:r>
      <w:proofErr w:type="spellStart"/>
      <w:r w:rsidRPr="00B014BC">
        <w:rPr>
          <w:rFonts w:ascii="Calibri" w:hAnsi="Calibri" w:cs="Times New Roman"/>
        </w:rPr>
        <w:t>Vienna</w:t>
      </w:r>
      <w:proofErr w:type="spellEnd"/>
      <w:r w:rsidRPr="00B014BC">
        <w:rPr>
          <w:rFonts w:ascii="Calibri" w:hAnsi="Calibri" w:cs="Times New Roman"/>
        </w:rPr>
        <w:t xml:space="preserve"> </w:t>
      </w:r>
      <w:proofErr w:type="spellStart"/>
      <w:r w:rsidRPr="00B014BC">
        <w:rPr>
          <w:rFonts w:ascii="Calibri" w:hAnsi="Calibri" w:cs="Times New Roman"/>
        </w:rPr>
        <w:t>Insurance</w:t>
      </w:r>
      <w:proofErr w:type="spellEnd"/>
      <w:r w:rsidRPr="00B014BC">
        <w:rPr>
          <w:rFonts w:ascii="Calibri" w:hAnsi="Calibri" w:cs="Times New Roman"/>
        </w:rPr>
        <w:t xml:space="preserve"> Group by som rád už v úvode </w:t>
      </w:r>
      <w:r w:rsidR="008C4396" w:rsidRPr="00B014BC">
        <w:rPr>
          <w:rFonts w:ascii="Calibri" w:hAnsi="Calibri" w:cs="Times New Roman"/>
        </w:rPr>
        <w:t xml:space="preserve">vyjadril </w:t>
      </w:r>
      <w:r w:rsidRPr="00B014BC">
        <w:rPr>
          <w:rFonts w:ascii="Calibri" w:hAnsi="Calibri" w:cs="Times New Roman"/>
        </w:rPr>
        <w:t xml:space="preserve">nadšenie </w:t>
      </w:r>
      <w:r w:rsidR="008C4396" w:rsidRPr="00B014BC">
        <w:rPr>
          <w:rFonts w:ascii="Calibri" w:hAnsi="Calibri" w:cs="Times New Roman"/>
        </w:rPr>
        <w:t xml:space="preserve">zo smerovania </w:t>
      </w:r>
      <w:r w:rsidRPr="00B014BC">
        <w:rPr>
          <w:rFonts w:ascii="Calibri" w:hAnsi="Calibri" w:cs="Times New Roman"/>
        </w:rPr>
        <w:t xml:space="preserve">poisťovne v priebehu roka 2015. Top manažment, vedenie spoločnosti, ale aj všetci obchodníci a zamestnanci urobili kus poriadnej práce, ktorá sa premietla do pozitívnych čísel v rámci nastavenej internej stratégie spoločnosti a pozitívny dojem zanechali aj na celom slovenskom poistnom trhu. </w:t>
      </w:r>
    </w:p>
    <w:p w14:paraId="5FBB7C84" w14:textId="2B99764F" w:rsidR="00AC6C9A" w:rsidRPr="00B014BC" w:rsidRDefault="00AC6C9A" w:rsidP="004518BB">
      <w:pPr>
        <w:spacing w:after="0" w:line="240" w:lineRule="auto"/>
        <w:rPr>
          <w:rFonts w:ascii="Calibri" w:hAnsi="Calibri" w:cs="Times New Roman"/>
          <w:bCs/>
        </w:rPr>
      </w:pPr>
      <w:r w:rsidRPr="00B014BC">
        <w:rPr>
          <w:rFonts w:ascii="Calibri" w:hAnsi="Calibri" w:cs="Times New Roman"/>
        </w:rPr>
        <w:t xml:space="preserve">Už začiatok roka 2015, do ktorého sme vstúpili ako tretí najväčší hráč na poistnom trhu, nasvedčoval tomu, že priaznivý vývoj rastu bude pokračovať. </w:t>
      </w:r>
      <w:r w:rsidRPr="00B014BC">
        <w:rPr>
          <w:rFonts w:ascii="Calibri" w:hAnsi="Calibri" w:cs="Times New Roman"/>
          <w:bCs/>
        </w:rPr>
        <w:t>Predbehli sme nášho dlhoročného rivala Generali, ktorého sme posunuli na štvrtú prieč</w:t>
      </w:r>
      <w:r w:rsidR="00175BD5" w:rsidRPr="00B014BC">
        <w:rPr>
          <w:rFonts w:ascii="Calibri" w:hAnsi="Calibri" w:cs="Times New Roman"/>
          <w:bCs/>
        </w:rPr>
        <w:t xml:space="preserve">ku a KOMUNÁLNA poisťovňa tak </w:t>
      </w:r>
      <w:r w:rsidRPr="00B014BC">
        <w:rPr>
          <w:rFonts w:ascii="Calibri" w:hAnsi="Calibri" w:cs="Times New Roman"/>
          <w:bCs/>
        </w:rPr>
        <w:t>obsadila tretiu pozíciu</w:t>
      </w:r>
      <w:r w:rsidRPr="00B014BC">
        <w:rPr>
          <w:rFonts w:ascii="Calibri" w:hAnsi="Calibri" w:cs="Times New Roman"/>
          <w:bCs/>
          <w:color w:val="2B2629"/>
        </w:rPr>
        <w:t xml:space="preserve">. </w:t>
      </w:r>
      <w:r w:rsidRPr="00B014BC">
        <w:rPr>
          <w:rFonts w:ascii="Calibri" w:hAnsi="Calibri" w:cs="Times New Roman"/>
          <w:bCs/>
        </w:rPr>
        <w:t xml:space="preserve">Je to obrovský úspech, ale určite nemôžem tvrdiť, že by to bolo nečakaným prekvapením. Celé roky sme si budovali značku spoľahlivého partnera, ktorý sa vzorne a v prípade poistnej udalosti hlavne expresne stará o svojich zákazníkov. Pravidelne inovujeme naše produkty, pričom </w:t>
      </w:r>
      <w:r w:rsidR="00175BD5" w:rsidRPr="00B014BC">
        <w:rPr>
          <w:rFonts w:ascii="Calibri" w:hAnsi="Calibri" w:cs="Times New Roman"/>
          <w:bCs/>
        </w:rPr>
        <w:t xml:space="preserve">sme na základe dopytu trhu obohatili naše </w:t>
      </w:r>
      <w:r w:rsidRPr="00B014BC">
        <w:rPr>
          <w:rFonts w:ascii="Calibri" w:hAnsi="Calibri" w:cs="Times New Roman"/>
          <w:bCs/>
        </w:rPr>
        <w:t>portfólio aj o</w:t>
      </w:r>
      <w:r w:rsidR="00175BD5" w:rsidRPr="00B014BC">
        <w:rPr>
          <w:rFonts w:ascii="Calibri" w:hAnsi="Calibri" w:cs="Times New Roman"/>
          <w:bCs/>
        </w:rPr>
        <w:t> </w:t>
      </w:r>
      <w:r w:rsidRPr="00B014BC">
        <w:rPr>
          <w:rFonts w:ascii="Calibri" w:hAnsi="Calibri" w:cs="Times New Roman"/>
          <w:bCs/>
        </w:rPr>
        <w:t>nové</w:t>
      </w:r>
      <w:r w:rsidR="00175BD5" w:rsidRPr="00B014BC">
        <w:rPr>
          <w:rFonts w:ascii="Calibri" w:hAnsi="Calibri" w:cs="Times New Roman"/>
          <w:bCs/>
        </w:rPr>
        <w:t xml:space="preserve"> produkty</w:t>
      </w:r>
      <w:r w:rsidRPr="00B014BC">
        <w:rPr>
          <w:rFonts w:ascii="Calibri" w:hAnsi="Calibri" w:cs="Times New Roman"/>
          <w:bCs/>
        </w:rPr>
        <w:t xml:space="preserve">, inšpirované podľa vzoru materskej spoločnosti </w:t>
      </w:r>
      <w:proofErr w:type="spellStart"/>
      <w:r w:rsidRPr="00B014BC">
        <w:rPr>
          <w:rFonts w:ascii="Calibri" w:hAnsi="Calibri" w:cs="Times New Roman"/>
          <w:bCs/>
        </w:rPr>
        <w:t>Vienna</w:t>
      </w:r>
      <w:proofErr w:type="spellEnd"/>
      <w:r w:rsidRPr="00B014BC">
        <w:rPr>
          <w:rFonts w:ascii="Calibri" w:hAnsi="Calibri" w:cs="Times New Roman"/>
          <w:bCs/>
        </w:rPr>
        <w:t xml:space="preserve"> </w:t>
      </w:r>
      <w:proofErr w:type="spellStart"/>
      <w:r w:rsidRPr="00B014BC">
        <w:rPr>
          <w:rFonts w:ascii="Calibri" w:hAnsi="Calibri" w:cs="Times New Roman"/>
          <w:bCs/>
        </w:rPr>
        <w:t>Insurance</w:t>
      </w:r>
      <w:proofErr w:type="spellEnd"/>
      <w:r w:rsidRPr="00B014BC">
        <w:rPr>
          <w:rFonts w:ascii="Calibri" w:hAnsi="Calibri" w:cs="Times New Roman"/>
          <w:bCs/>
        </w:rPr>
        <w:t xml:space="preserve"> Group, čím </w:t>
      </w:r>
      <w:r w:rsidR="00175BD5" w:rsidRPr="00B014BC">
        <w:rPr>
          <w:rFonts w:ascii="Calibri" w:hAnsi="Calibri" w:cs="Times New Roman"/>
          <w:bCs/>
        </w:rPr>
        <w:t>získali</w:t>
      </w:r>
      <w:r w:rsidRPr="00B014BC">
        <w:rPr>
          <w:rFonts w:ascii="Calibri" w:hAnsi="Calibri" w:cs="Times New Roman"/>
          <w:bCs/>
        </w:rPr>
        <w:t xml:space="preserve"> na exkluzivite. Uľahčili sme klientom nahlasovanie poistných udalostí prostredníctvom webovej stránky, výrazne </w:t>
      </w:r>
      <w:r w:rsidR="00175BD5" w:rsidRPr="00B014BC">
        <w:rPr>
          <w:rFonts w:ascii="Calibri" w:hAnsi="Calibri" w:cs="Times New Roman"/>
          <w:bCs/>
        </w:rPr>
        <w:t xml:space="preserve">sme </w:t>
      </w:r>
      <w:r w:rsidRPr="00B014BC">
        <w:rPr>
          <w:rFonts w:ascii="Calibri" w:hAnsi="Calibri" w:cs="Times New Roman"/>
          <w:bCs/>
        </w:rPr>
        <w:t xml:space="preserve">posilnili </w:t>
      </w:r>
      <w:proofErr w:type="spellStart"/>
      <w:r w:rsidRPr="00B014BC">
        <w:rPr>
          <w:rFonts w:ascii="Calibri" w:hAnsi="Calibri" w:cs="Times New Roman"/>
          <w:bCs/>
        </w:rPr>
        <w:t>call</w:t>
      </w:r>
      <w:proofErr w:type="spellEnd"/>
      <w:r w:rsidRPr="00B014BC">
        <w:rPr>
          <w:rFonts w:ascii="Calibri" w:hAnsi="Calibri" w:cs="Times New Roman"/>
          <w:bCs/>
        </w:rPr>
        <w:t xml:space="preserve"> centrum, a to všetko pre zvýšenie informovanosti a uľahčenie oznamovacej povinnosti klienta. Naďalej rozširujeme rady zamestnancov, aby </w:t>
      </w:r>
      <w:r w:rsidR="00175BD5" w:rsidRPr="00B014BC">
        <w:rPr>
          <w:rFonts w:ascii="Calibri" w:hAnsi="Calibri" w:cs="Times New Roman"/>
          <w:bCs/>
        </w:rPr>
        <w:t>sme klientom poskytli</w:t>
      </w:r>
      <w:r w:rsidRPr="00B014BC">
        <w:rPr>
          <w:rFonts w:ascii="Calibri" w:hAnsi="Calibri" w:cs="Times New Roman"/>
          <w:bCs/>
        </w:rPr>
        <w:t xml:space="preserve"> tie najkvalitnejšie služby. </w:t>
      </w:r>
    </w:p>
    <w:p w14:paraId="36A4C060" w14:textId="4320E6B0" w:rsidR="00AC6C9A" w:rsidRPr="00B014BC" w:rsidRDefault="00AC6C9A" w:rsidP="004518BB">
      <w:pPr>
        <w:spacing w:after="0" w:line="240" w:lineRule="auto"/>
        <w:rPr>
          <w:rFonts w:ascii="Calibri" w:hAnsi="Calibri" w:cs="Times New Roman"/>
        </w:rPr>
      </w:pPr>
      <w:r w:rsidRPr="00B014BC">
        <w:rPr>
          <w:rFonts w:ascii="Calibri" w:hAnsi="Calibri" w:cs="Times New Roman"/>
          <w:bCs/>
        </w:rPr>
        <w:t>Inovácie či navyšovan</w:t>
      </w:r>
      <w:r w:rsidR="00175BD5" w:rsidRPr="00B014BC">
        <w:rPr>
          <w:rFonts w:ascii="Calibri" w:hAnsi="Calibri" w:cs="Times New Roman"/>
          <w:bCs/>
        </w:rPr>
        <w:t>ie pracovnej sily by však neboli</w:t>
      </w:r>
      <w:r w:rsidRPr="00B014BC">
        <w:rPr>
          <w:rFonts w:ascii="Calibri" w:hAnsi="Calibri" w:cs="Times New Roman"/>
          <w:bCs/>
        </w:rPr>
        <w:t xml:space="preserve"> možné, </w:t>
      </w:r>
      <w:r w:rsidR="00175BD5" w:rsidRPr="00B014BC">
        <w:rPr>
          <w:rFonts w:ascii="Calibri" w:hAnsi="Calibri" w:cs="Times New Roman"/>
          <w:bCs/>
        </w:rPr>
        <w:t>ak by</w:t>
      </w:r>
      <w:r w:rsidRPr="00B014BC">
        <w:rPr>
          <w:rFonts w:ascii="Calibri" w:hAnsi="Calibri" w:cs="Times New Roman"/>
          <w:bCs/>
        </w:rPr>
        <w:t xml:space="preserve"> sme ako poisťovňa nerástli. Dôkazom je aj p</w:t>
      </w:r>
      <w:r w:rsidRPr="00B014BC">
        <w:rPr>
          <w:rFonts w:ascii="Calibri" w:hAnsi="Calibri" w:cs="Times New Roman"/>
        </w:rPr>
        <w:t xml:space="preserve">redpísané poistné za rok 2015, ktoré </w:t>
      </w:r>
      <w:r w:rsidR="00432E66" w:rsidRPr="00B014BC">
        <w:rPr>
          <w:rFonts w:ascii="Calibri" w:hAnsi="Calibri" w:cs="Times New Roman"/>
        </w:rPr>
        <w:t xml:space="preserve">sme </w:t>
      </w:r>
      <w:r w:rsidRPr="00B014BC">
        <w:rPr>
          <w:rFonts w:ascii="Calibri" w:hAnsi="Calibri" w:cs="Times New Roman"/>
        </w:rPr>
        <w:t xml:space="preserve">oproti predchádzajúcemu roku navýšili o takmer 2,5 %, čo je viac ako slušný výsledok. Pričom treba poznamenať, že rok 2015 nebol pre poistný trh práve najpriaznivejší. Predovšetkým začiatok roka bol skúškou pre mnohé poisťovne, kedy sa v dôsledku zavádzania smernice Solventnosť II museli podrobiť tzv. </w:t>
      </w:r>
      <w:proofErr w:type="spellStart"/>
      <w:r w:rsidRPr="00B014BC">
        <w:rPr>
          <w:rFonts w:ascii="Calibri" w:hAnsi="Calibri" w:cs="Times New Roman"/>
        </w:rPr>
        <w:t>stress</w:t>
      </w:r>
      <w:proofErr w:type="spellEnd"/>
      <w:r w:rsidRPr="00B014BC">
        <w:rPr>
          <w:rFonts w:ascii="Calibri" w:hAnsi="Calibri" w:cs="Times New Roman"/>
        </w:rPr>
        <w:t xml:space="preserve"> testom. Ukázalo sa, že hoci je slovenský trh v dobrej kondícii, od septembra na ňom pôsobí o jednu poisťovňu menej. V dôsledku uvalenia nútenej správy pre platobnú neschopnosť jednej zahraničnej poisťovne na domácom poistnom trhu skončila svoju činnosť aj jej dcérska spoločnosť na Slovensku. Možno to uviesť ako negatívny príklad pre klientov, ktorí preferujú iba nízke poistné bez poznania finančného zázemia poisťovne. </w:t>
      </w:r>
    </w:p>
    <w:p w14:paraId="6974F658" w14:textId="77777777" w:rsidR="00AC6C9A" w:rsidRPr="00B014BC" w:rsidRDefault="00AC6C9A" w:rsidP="004518BB">
      <w:pPr>
        <w:spacing w:after="0" w:line="240" w:lineRule="auto"/>
        <w:rPr>
          <w:rFonts w:ascii="Calibri" w:hAnsi="Calibri" w:cs="Times New Roman"/>
        </w:rPr>
      </w:pPr>
      <w:r w:rsidRPr="00B014BC">
        <w:rPr>
          <w:rFonts w:ascii="Calibri" w:hAnsi="Calibri" w:cs="Times New Roman"/>
        </w:rPr>
        <w:t xml:space="preserve">KOMUNÁLNA poisťovňa je však súčasťou silného a najmä stabilného medzinárodného koncernu </w:t>
      </w:r>
      <w:proofErr w:type="spellStart"/>
      <w:r w:rsidRPr="00B014BC">
        <w:rPr>
          <w:rFonts w:ascii="Calibri" w:hAnsi="Calibri" w:cs="Times New Roman"/>
        </w:rPr>
        <w:t>Vienna</w:t>
      </w:r>
      <w:proofErr w:type="spellEnd"/>
      <w:r w:rsidRPr="00B014BC">
        <w:rPr>
          <w:rFonts w:ascii="Calibri" w:hAnsi="Calibri" w:cs="Times New Roman"/>
        </w:rPr>
        <w:t xml:space="preserve"> </w:t>
      </w:r>
      <w:proofErr w:type="spellStart"/>
      <w:r w:rsidRPr="00B014BC">
        <w:rPr>
          <w:rFonts w:ascii="Calibri" w:hAnsi="Calibri" w:cs="Times New Roman"/>
        </w:rPr>
        <w:t>Insurance</w:t>
      </w:r>
      <w:proofErr w:type="spellEnd"/>
      <w:r w:rsidRPr="00B014BC">
        <w:rPr>
          <w:rFonts w:ascii="Calibri" w:hAnsi="Calibri" w:cs="Times New Roman"/>
        </w:rPr>
        <w:t xml:space="preserve"> Group, ktorý patrí medzi najväčšie nadnárodné poisťovacie spoločnosti v Európe, čo je silný argument pri predaji poistných produktov.</w:t>
      </w:r>
    </w:p>
    <w:p w14:paraId="471B7525" w14:textId="7F897D36" w:rsidR="00AC6C9A" w:rsidRPr="00B014BC" w:rsidRDefault="00AC6C9A" w:rsidP="004518BB">
      <w:pPr>
        <w:spacing w:after="0" w:line="240" w:lineRule="auto"/>
        <w:rPr>
          <w:rFonts w:ascii="Calibri" w:hAnsi="Calibri" w:cs="Times New Roman"/>
        </w:rPr>
      </w:pPr>
      <w:r w:rsidRPr="00B014BC">
        <w:rPr>
          <w:rFonts w:ascii="Calibri" w:hAnsi="Calibri" w:cs="Times New Roman"/>
        </w:rPr>
        <w:t>Ďalším dôležitým ukazovateľom spoľahlivej poisťovacej inštitúcie je i to, či v každej európskej krajine pôsobí likvidačná spoločnosť, ktorá sa postará o klienta v prípade nehody v zahraničí a s ktorou má daná poisťovňa uzavretú zmluvu. Aby</w:t>
      </w:r>
      <w:r w:rsidR="00175BD5" w:rsidRPr="00B014BC">
        <w:rPr>
          <w:rFonts w:ascii="Calibri" w:hAnsi="Calibri" w:cs="Times New Roman"/>
        </w:rPr>
        <w:t xml:space="preserve"> mal klient</w:t>
      </w:r>
      <w:r w:rsidRPr="00B014BC">
        <w:rPr>
          <w:rFonts w:ascii="Calibri" w:hAnsi="Calibri" w:cs="Times New Roman"/>
        </w:rPr>
        <w:t xml:space="preserve"> možnosť požiadať o pomoc vo svojom rodnom jazyku kdekoľvek sa práve nachádza. </w:t>
      </w:r>
    </w:p>
    <w:p w14:paraId="0369EADB" w14:textId="77777777" w:rsidR="00AC6C9A" w:rsidRPr="00B014BC" w:rsidRDefault="00AC6C9A" w:rsidP="004518BB">
      <w:pPr>
        <w:spacing w:after="0" w:line="240" w:lineRule="auto"/>
        <w:rPr>
          <w:rFonts w:ascii="Calibri" w:hAnsi="Calibri" w:cs="Times New Roman"/>
        </w:rPr>
      </w:pPr>
    </w:p>
    <w:p w14:paraId="116381F1" w14:textId="4DAD7670" w:rsidR="00AC6C9A" w:rsidRPr="00B014BC" w:rsidRDefault="00AC6C9A" w:rsidP="004518BB">
      <w:pPr>
        <w:spacing w:after="0" w:line="240" w:lineRule="auto"/>
        <w:rPr>
          <w:rFonts w:ascii="Calibri" w:hAnsi="Calibri" w:cs="Times New Roman"/>
        </w:rPr>
      </w:pPr>
      <w:r w:rsidRPr="00B014BC">
        <w:rPr>
          <w:rFonts w:ascii="Calibri" w:hAnsi="Calibri" w:cs="Times New Roman"/>
        </w:rPr>
        <w:t xml:space="preserve">Na záver by som rád dodal, že nič nepadá do zabudnutia rýchlejšie ako včerajší úspech. KOMUNÁLNEJ poisťovni preto želám, aby jej zamestnanci aj naďalej žili a pracovali s vedomím, že majú na čom stavať. Veľmi im želám, aby ich neopúšťala zdravá ambicióznosť, chuť po úspechoch a osobnom zdokonaľovaní. A aby si neprestali uvedomovať, že najväčším aktívom </w:t>
      </w:r>
      <w:r w:rsidR="00175BD5" w:rsidRPr="00B014BC">
        <w:rPr>
          <w:rFonts w:ascii="Calibri" w:hAnsi="Calibri" w:cs="Times New Roman"/>
        </w:rPr>
        <w:t xml:space="preserve">budú </w:t>
      </w:r>
      <w:r w:rsidRPr="00B014BC">
        <w:rPr>
          <w:rFonts w:ascii="Calibri" w:hAnsi="Calibri" w:cs="Times New Roman"/>
        </w:rPr>
        <w:t>pre nich aj naďalej verní klienti.</w:t>
      </w:r>
    </w:p>
    <w:p w14:paraId="317CBEBD" w14:textId="77777777" w:rsidR="00AC6C9A" w:rsidRPr="00B014BC" w:rsidRDefault="00AC6C9A" w:rsidP="004518BB">
      <w:pPr>
        <w:spacing w:after="0" w:line="240" w:lineRule="auto"/>
        <w:rPr>
          <w:rFonts w:ascii="Calibri" w:hAnsi="Calibri" w:cs="Times New Roman"/>
        </w:rPr>
      </w:pPr>
    </w:p>
    <w:p w14:paraId="3B8CB282" w14:textId="77777777" w:rsidR="00AC6C9A" w:rsidRPr="00B014BC" w:rsidRDefault="00AC6C9A" w:rsidP="004518BB">
      <w:pPr>
        <w:spacing w:after="0" w:line="240" w:lineRule="auto"/>
        <w:ind w:left="66"/>
        <w:rPr>
          <w:rFonts w:ascii="Calibri" w:hAnsi="Calibri" w:cstheme="minorHAnsi"/>
          <w:b/>
        </w:rPr>
      </w:pPr>
    </w:p>
    <w:p w14:paraId="51C53E6A" w14:textId="77777777" w:rsidR="000600A1" w:rsidRPr="00B014BC" w:rsidRDefault="000600A1" w:rsidP="004518BB">
      <w:pPr>
        <w:pStyle w:val="ListParagraph"/>
        <w:spacing w:after="0" w:line="240" w:lineRule="auto"/>
        <w:ind w:left="426"/>
        <w:rPr>
          <w:rFonts w:ascii="Calibri" w:hAnsi="Calibri" w:cstheme="minorHAnsi"/>
          <w:b/>
        </w:rPr>
      </w:pPr>
    </w:p>
    <w:p w14:paraId="0ADAA18D" w14:textId="77777777" w:rsidR="00AC6C9A" w:rsidRPr="00B014BC" w:rsidRDefault="00AC6C9A" w:rsidP="004518BB">
      <w:pPr>
        <w:pStyle w:val="ListParagraph"/>
        <w:spacing w:after="0" w:line="240" w:lineRule="auto"/>
        <w:ind w:left="426"/>
        <w:rPr>
          <w:rFonts w:ascii="Calibri" w:hAnsi="Calibri" w:cstheme="minorHAnsi"/>
          <w:b/>
        </w:rPr>
      </w:pPr>
    </w:p>
    <w:p w14:paraId="095DE0DB" w14:textId="77777777" w:rsidR="00AC6C9A" w:rsidRPr="00B014BC" w:rsidRDefault="00AC6C9A" w:rsidP="004518BB">
      <w:pPr>
        <w:pStyle w:val="ListParagraph"/>
        <w:spacing w:after="0" w:line="240" w:lineRule="auto"/>
        <w:ind w:left="426"/>
        <w:rPr>
          <w:rFonts w:ascii="Calibri" w:hAnsi="Calibri" w:cstheme="minorHAnsi"/>
          <w:b/>
        </w:rPr>
      </w:pPr>
    </w:p>
    <w:p w14:paraId="6AF5CEA5" w14:textId="77777777" w:rsidR="00FD409B" w:rsidRPr="00B014BC" w:rsidRDefault="00FD409B" w:rsidP="004518BB">
      <w:pPr>
        <w:pStyle w:val="ListParagraph"/>
        <w:spacing w:after="0" w:line="240" w:lineRule="auto"/>
        <w:ind w:left="426"/>
        <w:rPr>
          <w:rFonts w:ascii="Calibri" w:hAnsi="Calibri" w:cstheme="minorHAnsi"/>
          <w:b/>
        </w:rPr>
      </w:pPr>
    </w:p>
    <w:p w14:paraId="73058820" w14:textId="77777777" w:rsidR="00FD409B" w:rsidRPr="00B014BC" w:rsidRDefault="00FD409B" w:rsidP="004518BB">
      <w:pPr>
        <w:pStyle w:val="ListParagraph"/>
        <w:spacing w:after="0" w:line="240" w:lineRule="auto"/>
        <w:ind w:left="426"/>
        <w:rPr>
          <w:rFonts w:ascii="Calibri" w:hAnsi="Calibri" w:cstheme="minorHAnsi"/>
          <w:b/>
        </w:rPr>
      </w:pPr>
    </w:p>
    <w:p w14:paraId="36441AF4" w14:textId="77777777" w:rsidR="00FD409B" w:rsidRPr="00B014BC" w:rsidRDefault="00FD409B" w:rsidP="004518BB">
      <w:pPr>
        <w:pStyle w:val="ListParagraph"/>
        <w:spacing w:after="0" w:line="240" w:lineRule="auto"/>
        <w:ind w:left="426"/>
        <w:rPr>
          <w:rFonts w:ascii="Calibri" w:hAnsi="Calibri" w:cstheme="minorHAnsi"/>
          <w:b/>
        </w:rPr>
      </w:pPr>
    </w:p>
    <w:p w14:paraId="16F83FA7" w14:textId="58958D8E" w:rsidR="003E053E" w:rsidRPr="00B014BC" w:rsidRDefault="003E053E" w:rsidP="004518BB">
      <w:pPr>
        <w:pStyle w:val="ListParagraph"/>
        <w:numPr>
          <w:ilvl w:val="0"/>
          <w:numId w:val="2"/>
        </w:numPr>
        <w:spacing w:after="0" w:line="240" w:lineRule="auto"/>
        <w:ind w:left="426"/>
        <w:rPr>
          <w:rFonts w:cstheme="minorHAnsi"/>
          <w:b/>
          <w:sz w:val="28"/>
          <w:szCs w:val="28"/>
        </w:rPr>
      </w:pPr>
      <w:r w:rsidRPr="00B014BC">
        <w:rPr>
          <w:rFonts w:cstheme="minorHAnsi"/>
          <w:b/>
          <w:sz w:val="28"/>
          <w:szCs w:val="28"/>
        </w:rPr>
        <w:lastRenderedPageBreak/>
        <w:t>Úvod</w:t>
      </w:r>
      <w:r w:rsidR="00175BD5" w:rsidRPr="00B014BC">
        <w:rPr>
          <w:rFonts w:cstheme="minorHAnsi"/>
          <w:b/>
          <w:sz w:val="28"/>
          <w:szCs w:val="28"/>
        </w:rPr>
        <w:t>né slovo</w:t>
      </w:r>
      <w:r w:rsidRPr="00B014BC">
        <w:rPr>
          <w:rFonts w:cstheme="minorHAnsi"/>
          <w:b/>
          <w:sz w:val="28"/>
          <w:szCs w:val="28"/>
        </w:rPr>
        <w:t xml:space="preserve"> predsedu predstavenstva a generálneho riaditeľa</w:t>
      </w:r>
    </w:p>
    <w:p w14:paraId="4CAEA6A9" w14:textId="77777777" w:rsidR="00577E04" w:rsidRPr="00B014BC" w:rsidRDefault="00577E04" w:rsidP="004518BB">
      <w:pPr>
        <w:spacing w:after="0" w:line="240" w:lineRule="auto"/>
        <w:rPr>
          <w:rFonts w:cstheme="minorHAnsi"/>
          <w:b/>
        </w:rPr>
      </w:pPr>
    </w:p>
    <w:p w14:paraId="2D99A041" w14:textId="77777777" w:rsidR="00C24CFB" w:rsidRPr="00B014BC" w:rsidRDefault="00C24CFB" w:rsidP="004518BB">
      <w:pPr>
        <w:pStyle w:val="Heading5"/>
        <w:spacing w:before="0" w:line="240" w:lineRule="auto"/>
        <w:rPr>
          <w:rFonts w:ascii="Calibri" w:hAnsi="Calibri" w:cs="Times New Roman"/>
          <w:color w:val="auto"/>
        </w:rPr>
      </w:pPr>
      <w:r w:rsidRPr="00B014BC">
        <w:rPr>
          <w:rFonts w:ascii="Calibri" w:hAnsi="Calibri" w:cs="Times New Roman"/>
          <w:color w:val="auto"/>
        </w:rPr>
        <w:t>Vážení akcionári, vážení klienti, obchodní partneri, milé kolegyne a kolegovia!</w:t>
      </w:r>
    </w:p>
    <w:p w14:paraId="79A5B042" w14:textId="77777777" w:rsidR="00C24CFB" w:rsidRPr="00B014BC" w:rsidRDefault="00C24CFB" w:rsidP="004518BB">
      <w:pPr>
        <w:spacing w:after="0" w:line="240" w:lineRule="auto"/>
        <w:rPr>
          <w:rFonts w:ascii="Calibri" w:hAnsi="Calibri"/>
        </w:rPr>
      </w:pPr>
    </w:p>
    <w:p w14:paraId="6467BB3A" w14:textId="0474F983" w:rsidR="00C24CFB" w:rsidRPr="00B014BC" w:rsidRDefault="00C24CFB" w:rsidP="004518BB">
      <w:pPr>
        <w:pStyle w:val="NormalWeb"/>
        <w:spacing w:before="0" w:beforeAutospacing="0" w:after="0" w:afterAutospacing="0"/>
        <w:rPr>
          <w:rFonts w:ascii="Calibri" w:hAnsi="Calibri"/>
          <w:sz w:val="22"/>
          <w:szCs w:val="22"/>
        </w:rPr>
      </w:pPr>
      <w:r w:rsidRPr="00B014BC">
        <w:rPr>
          <w:rStyle w:val="Strong"/>
          <w:rFonts w:ascii="Calibri" w:hAnsi="Calibri"/>
          <w:b w:val="0"/>
          <w:sz w:val="22"/>
          <w:szCs w:val="22"/>
        </w:rPr>
        <w:t xml:space="preserve">Máme za sebou ďalší rok, ktorý </w:t>
      </w:r>
      <w:r w:rsidR="00175BD5" w:rsidRPr="00B014BC">
        <w:rPr>
          <w:rStyle w:val="Strong"/>
          <w:rFonts w:ascii="Calibri" w:hAnsi="Calibri"/>
          <w:b w:val="0"/>
          <w:sz w:val="22"/>
          <w:szCs w:val="22"/>
        </w:rPr>
        <w:t>pre oblasť poisťovníctva môžem hodnotiť</w:t>
      </w:r>
      <w:r w:rsidRPr="00B014BC">
        <w:rPr>
          <w:rStyle w:val="Strong"/>
          <w:rFonts w:ascii="Calibri" w:hAnsi="Calibri"/>
          <w:b w:val="0"/>
          <w:sz w:val="22"/>
          <w:szCs w:val="22"/>
        </w:rPr>
        <w:t xml:space="preserve"> ako priaznivý. Či už hovoríme o segmente neživotného alebo životného poistenia, definitívne sme preklenuli dopady krízového obdobia a trh viac-menej kopíroval krivku s rastúcou tendenciou. Kapitálové produkty mali z pohľadu dopytu ešte stále prevahu nad investičnými, čo pripisujeme predovšetkým stále pomerne atraktívne nastavenej technickej úrokovej miere. </w:t>
      </w:r>
      <w:proofErr w:type="spellStart"/>
      <w:r w:rsidRPr="00B014BC">
        <w:rPr>
          <w:rFonts w:ascii="Calibri" w:hAnsi="Calibri"/>
          <w:sz w:val="22"/>
          <w:szCs w:val="22"/>
        </w:rPr>
        <w:t>Autopoistenie</w:t>
      </w:r>
      <w:proofErr w:type="spellEnd"/>
      <w:r w:rsidRPr="00B014BC">
        <w:rPr>
          <w:rFonts w:ascii="Calibri" w:hAnsi="Calibri"/>
          <w:sz w:val="22"/>
          <w:szCs w:val="22"/>
        </w:rPr>
        <w:t xml:space="preserve"> sa cenovo výrazne nemenilo, predovšetkým v rámci PZP poisťovne opäť viac kreovali služby navyše ako siahali na cenu. Z hľadiska </w:t>
      </w:r>
      <w:proofErr w:type="spellStart"/>
      <w:r w:rsidRPr="00B014BC">
        <w:rPr>
          <w:rFonts w:ascii="Calibri" w:hAnsi="Calibri"/>
          <w:sz w:val="22"/>
          <w:szCs w:val="22"/>
        </w:rPr>
        <w:t>škodovosti</w:t>
      </w:r>
      <w:proofErr w:type="spellEnd"/>
      <w:r w:rsidRPr="00B014BC">
        <w:rPr>
          <w:rFonts w:ascii="Calibri" w:hAnsi="Calibri"/>
          <w:sz w:val="22"/>
          <w:szCs w:val="22"/>
        </w:rPr>
        <w:t xml:space="preserve"> sme sa museli v prvých mesiacoch vysporiadať s častejším snežením, ktoré spôsobilo zvýšenie počtu poistných udalostí hlásených hlavne na motorových vozidlách. Pre mesiace máj až júl bolo príznačné vyčíňanie prívalových dažďov a kru</w:t>
      </w:r>
      <w:r w:rsidR="007C40C1" w:rsidRPr="00B014BC">
        <w:rPr>
          <w:rFonts w:ascii="Calibri" w:hAnsi="Calibri"/>
          <w:sz w:val="22"/>
          <w:szCs w:val="22"/>
        </w:rPr>
        <w:t>pobitia</w:t>
      </w:r>
      <w:r w:rsidRPr="00B014BC">
        <w:rPr>
          <w:rFonts w:ascii="Calibri" w:hAnsi="Calibri"/>
          <w:sz w:val="22"/>
          <w:szCs w:val="22"/>
        </w:rPr>
        <w:t xml:space="preserve">, čo taktiež nepriaznivo zasiahlo majetok niektorých našich klientov. </w:t>
      </w:r>
    </w:p>
    <w:p w14:paraId="7A868598" w14:textId="2F43370F" w:rsidR="00C24CFB" w:rsidRPr="00B014BC" w:rsidRDefault="00C24CFB" w:rsidP="004518BB">
      <w:pPr>
        <w:pStyle w:val="NormalWeb"/>
        <w:spacing w:before="0" w:beforeAutospacing="0" w:after="0" w:afterAutospacing="0"/>
        <w:rPr>
          <w:rFonts w:ascii="Calibri" w:hAnsi="Calibri"/>
          <w:sz w:val="22"/>
          <w:szCs w:val="22"/>
        </w:rPr>
      </w:pPr>
      <w:r w:rsidRPr="00B014BC">
        <w:rPr>
          <w:rFonts w:ascii="Calibri" w:hAnsi="Calibri"/>
          <w:sz w:val="22"/>
          <w:szCs w:val="22"/>
        </w:rPr>
        <w:t xml:space="preserve">Výdatne nás zamestnávali aj prípravy na európsku smernicu </w:t>
      </w:r>
      <w:r w:rsidR="00FD6128" w:rsidRPr="00B014BC">
        <w:rPr>
          <w:rFonts w:ascii="Calibri" w:hAnsi="Calibri"/>
          <w:sz w:val="22"/>
          <w:szCs w:val="22"/>
        </w:rPr>
        <w:t>Solventnosť</w:t>
      </w:r>
      <w:r w:rsidRPr="00B014BC">
        <w:rPr>
          <w:rFonts w:ascii="Calibri" w:hAnsi="Calibri"/>
          <w:sz w:val="22"/>
          <w:szCs w:val="22"/>
        </w:rPr>
        <w:t xml:space="preserve"> II, ktoré kulminovali počas celého roka. </w:t>
      </w:r>
      <w:r w:rsidR="007C40C1" w:rsidRPr="00B014BC">
        <w:rPr>
          <w:rFonts w:ascii="Calibri" w:hAnsi="Calibri"/>
          <w:sz w:val="22"/>
          <w:szCs w:val="22"/>
        </w:rPr>
        <w:t>S</w:t>
      </w:r>
      <w:r w:rsidRPr="00B014BC">
        <w:rPr>
          <w:rFonts w:ascii="Calibri" w:hAnsi="Calibri"/>
          <w:sz w:val="22"/>
          <w:szCs w:val="22"/>
        </w:rPr>
        <w:t>účasť</w:t>
      </w:r>
      <w:r w:rsidR="007C40C1" w:rsidRPr="00B014BC">
        <w:rPr>
          <w:rFonts w:ascii="Calibri" w:hAnsi="Calibri"/>
          <w:sz w:val="22"/>
          <w:szCs w:val="22"/>
        </w:rPr>
        <w:t>ou</w:t>
      </w:r>
      <w:r w:rsidRPr="00B014BC">
        <w:rPr>
          <w:rFonts w:ascii="Calibri" w:hAnsi="Calibri"/>
          <w:sz w:val="22"/>
          <w:szCs w:val="22"/>
        </w:rPr>
        <w:t xml:space="preserve"> týchto príprav </w:t>
      </w:r>
      <w:r w:rsidR="007C40C1" w:rsidRPr="00B014BC">
        <w:rPr>
          <w:rFonts w:ascii="Calibri" w:hAnsi="Calibri"/>
          <w:sz w:val="22"/>
          <w:szCs w:val="22"/>
        </w:rPr>
        <w:t>boli</w:t>
      </w:r>
      <w:r w:rsidRPr="00B014BC">
        <w:rPr>
          <w:rFonts w:ascii="Calibri" w:hAnsi="Calibri"/>
          <w:sz w:val="22"/>
          <w:szCs w:val="22"/>
        </w:rPr>
        <w:t xml:space="preserve"> tzv. </w:t>
      </w:r>
      <w:proofErr w:type="spellStart"/>
      <w:r w:rsidR="007C40C1" w:rsidRPr="00B014BC">
        <w:rPr>
          <w:rFonts w:ascii="Calibri" w:hAnsi="Calibri"/>
          <w:sz w:val="22"/>
          <w:szCs w:val="22"/>
        </w:rPr>
        <w:t>stress</w:t>
      </w:r>
      <w:proofErr w:type="spellEnd"/>
      <w:r w:rsidR="007C40C1" w:rsidRPr="00B014BC">
        <w:rPr>
          <w:rFonts w:ascii="Calibri" w:hAnsi="Calibri"/>
          <w:sz w:val="22"/>
          <w:szCs w:val="22"/>
        </w:rPr>
        <w:t xml:space="preserve"> testy</w:t>
      </w:r>
      <w:r w:rsidRPr="00B014BC">
        <w:rPr>
          <w:rFonts w:ascii="Calibri" w:hAnsi="Calibri"/>
          <w:sz w:val="22"/>
          <w:szCs w:val="22"/>
        </w:rPr>
        <w:t>,</w:t>
      </w:r>
      <w:r w:rsidR="007C40C1" w:rsidRPr="00B014BC">
        <w:rPr>
          <w:rFonts w:ascii="Calibri" w:hAnsi="Calibri"/>
          <w:sz w:val="22"/>
          <w:szCs w:val="22"/>
        </w:rPr>
        <w:t xml:space="preserve"> ktorým sme sa v prvých mesiacoch podrobili a</w:t>
      </w:r>
      <w:r w:rsidRPr="00B014BC">
        <w:rPr>
          <w:rFonts w:ascii="Calibri" w:hAnsi="Calibri"/>
          <w:sz w:val="22"/>
          <w:szCs w:val="22"/>
        </w:rPr>
        <w:t xml:space="preserve"> ktoré potvrdili, že slovenský poistný trh sa nachádza v dobrej kondícii. </w:t>
      </w:r>
    </w:p>
    <w:p w14:paraId="15C01D25" w14:textId="6FD4809A" w:rsidR="00C24CFB" w:rsidRPr="00B014BC" w:rsidRDefault="007C40C1" w:rsidP="004518BB">
      <w:pPr>
        <w:spacing w:after="0" w:line="240" w:lineRule="auto"/>
        <w:rPr>
          <w:rFonts w:ascii="Calibri" w:hAnsi="Calibri" w:cs="Times New Roman"/>
        </w:rPr>
      </w:pPr>
      <w:r w:rsidRPr="00B014BC">
        <w:rPr>
          <w:rFonts w:ascii="Calibri" w:hAnsi="Calibri" w:cs="Times New Roman"/>
        </w:rPr>
        <w:t>Pokiaľ ide o KOMUNÁLNU poisťovňu</w:t>
      </w:r>
      <w:r w:rsidR="00C24CFB" w:rsidRPr="00B014BC">
        <w:rPr>
          <w:rFonts w:ascii="Calibri" w:hAnsi="Calibri" w:cs="Times New Roman"/>
        </w:rPr>
        <w:t>, podľa predbežných výsledkov nám stúpol trhový podiel a počet klientov narastá. V neživotnom poistení v rámci dosahovania výsledkov posilňujeme trhovú po</w:t>
      </w:r>
      <w:r w:rsidRPr="00B014BC">
        <w:rPr>
          <w:rFonts w:ascii="Calibri" w:hAnsi="Calibri" w:cs="Times New Roman"/>
        </w:rPr>
        <w:t>zíciu rovnako ako v uplynulých troch</w:t>
      </w:r>
      <w:r w:rsidR="00C24CFB" w:rsidRPr="00B014BC">
        <w:rPr>
          <w:rFonts w:ascii="Calibri" w:hAnsi="Calibri" w:cs="Times New Roman"/>
        </w:rPr>
        <w:t xml:space="preserve"> rokoch, pričom silným ťahúňom tohto segmentu </w:t>
      </w:r>
      <w:r w:rsidRPr="00B014BC">
        <w:rPr>
          <w:rFonts w:ascii="Calibri" w:hAnsi="Calibri" w:cs="Times New Roman"/>
        </w:rPr>
        <w:t xml:space="preserve">naďalej </w:t>
      </w:r>
      <w:r w:rsidR="00C24CFB" w:rsidRPr="00B014BC">
        <w:rPr>
          <w:rFonts w:ascii="Calibri" w:hAnsi="Calibri" w:cs="Times New Roman"/>
        </w:rPr>
        <w:t xml:space="preserve">ostáva </w:t>
      </w:r>
      <w:proofErr w:type="spellStart"/>
      <w:r w:rsidR="00C24CFB" w:rsidRPr="00B014BC">
        <w:rPr>
          <w:rFonts w:ascii="Calibri" w:hAnsi="Calibri" w:cs="Times New Roman"/>
        </w:rPr>
        <w:t>autopoistenie</w:t>
      </w:r>
      <w:proofErr w:type="spellEnd"/>
      <w:r w:rsidR="00C24CFB" w:rsidRPr="00B014BC">
        <w:rPr>
          <w:rFonts w:ascii="Calibri" w:hAnsi="Calibri" w:cs="Times New Roman"/>
        </w:rPr>
        <w:t xml:space="preserve">. Životné poistenie zotrváva v tesnom závese za neživotným segmentom, pričom </w:t>
      </w:r>
      <w:r w:rsidRPr="00B014BC">
        <w:rPr>
          <w:rFonts w:ascii="Calibri" w:hAnsi="Calibri" w:cs="Times New Roman"/>
        </w:rPr>
        <w:t xml:space="preserve">sa </w:t>
      </w:r>
      <w:r w:rsidR="00C24CFB" w:rsidRPr="00B014BC">
        <w:rPr>
          <w:rFonts w:ascii="Calibri" w:hAnsi="Calibri" w:cs="Times New Roman"/>
        </w:rPr>
        <w:t>v roku 2015 naplno prejavil trend, ktorý potvrdzuje, že Slováci začínajú byť prístupnejší aj riziku. Investičný charakter zmlúv postupne naberá na popularite a</w:t>
      </w:r>
      <w:r w:rsidRPr="00B014BC">
        <w:rPr>
          <w:rFonts w:ascii="Calibri" w:hAnsi="Calibri" w:cs="Times New Roman"/>
        </w:rPr>
        <w:t> v roku 2015</w:t>
      </w:r>
      <w:r w:rsidR="00C24CFB" w:rsidRPr="00B014BC">
        <w:rPr>
          <w:rFonts w:ascii="Calibri" w:hAnsi="Calibri" w:cs="Times New Roman"/>
        </w:rPr>
        <w:t xml:space="preserve"> ich počet rástol rýchlejšie ako pri kapitálových. </w:t>
      </w:r>
    </w:p>
    <w:p w14:paraId="062AD0EA" w14:textId="53A0CE11" w:rsidR="00C24CFB" w:rsidRPr="00B014BC" w:rsidRDefault="00C24CFB" w:rsidP="004518BB">
      <w:pPr>
        <w:spacing w:after="0" w:line="240" w:lineRule="auto"/>
        <w:rPr>
          <w:rFonts w:ascii="Calibri" w:hAnsi="Calibri" w:cs="Times New Roman"/>
        </w:rPr>
      </w:pPr>
      <w:r w:rsidRPr="00B014BC">
        <w:rPr>
          <w:rFonts w:ascii="Calibri" w:hAnsi="Calibri" w:cs="Times New Roman"/>
        </w:rPr>
        <w:t>A teraz sa môžeme pozrieť na niekoľko číselných vyjadrení. KOMUNÁLNA poisťovňa dosiahla v roku 2015 celkový zisk pred zdanením vo výške 9,</w:t>
      </w:r>
      <w:r w:rsidR="00A65813" w:rsidRPr="00B014BC">
        <w:rPr>
          <w:rFonts w:ascii="Calibri" w:hAnsi="Calibri" w:cs="Times New Roman"/>
        </w:rPr>
        <w:t>35</w:t>
      </w:r>
      <w:r w:rsidRPr="00B014BC">
        <w:rPr>
          <w:rFonts w:ascii="Calibri" w:hAnsi="Calibri" w:cs="Times New Roman"/>
        </w:rPr>
        <w:t xml:space="preserve"> mil. </w:t>
      </w:r>
      <w:r w:rsidR="005F7AF4" w:rsidRPr="00B014BC">
        <w:rPr>
          <w:rFonts w:ascii="Calibri" w:hAnsi="Calibri" w:cs="Times New Roman"/>
        </w:rPr>
        <w:t>eur</w:t>
      </w:r>
      <w:r w:rsidRPr="00B014BC">
        <w:rPr>
          <w:rFonts w:ascii="Calibri" w:hAnsi="Calibri" w:cs="Times New Roman"/>
        </w:rPr>
        <w:t xml:space="preserve">, čím sme </w:t>
      </w:r>
      <w:r w:rsidR="005F7AF4" w:rsidRPr="00B014BC">
        <w:rPr>
          <w:rFonts w:ascii="Calibri" w:hAnsi="Calibri" w:cs="Times New Roman"/>
        </w:rPr>
        <w:t xml:space="preserve">splnili </w:t>
      </w:r>
      <w:r w:rsidRPr="00B014BC">
        <w:rPr>
          <w:rFonts w:ascii="Calibri" w:hAnsi="Calibri" w:cs="Times New Roman"/>
        </w:rPr>
        <w:t xml:space="preserve">stanovený plán. V predpísanom poistnom sme si dokonca polepšili oproti našim predpokladaným prognózam a pokorili sme stanovenú hranicu o 1,1 mil. </w:t>
      </w:r>
      <w:r w:rsidR="005F7AF4" w:rsidRPr="00B014BC">
        <w:rPr>
          <w:rFonts w:ascii="Calibri" w:hAnsi="Calibri" w:cs="Times New Roman"/>
        </w:rPr>
        <w:t>eur</w:t>
      </w:r>
      <w:r w:rsidRPr="00B014BC">
        <w:rPr>
          <w:rFonts w:ascii="Calibri" w:hAnsi="Calibri" w:cs="Times New Roman"/>
        </w:rPr>
        <w:t xml:space="preserve"> na 181,1 mil. </w:t>
      </w:r>
      <w:r w:rsidR="005F7AF4" w:rsidRPr="00B014BC">
        <w:rPr>
          <w:rFonts w:ascii="Calibri" w:hAnsi="Calibri" w:cs="Times New Roman"/>
        </w:rPr>
        <w:t>eur</w:t>
      </w:r>
      <w:r w:rsidRPr="00B014BC">
        <w:rPr>
          <w:rFonts w:ascii="Calibri" w:hAnsi="Calibri" w:cs="Times New Roman"/>
        </w:rPr>
        <w:t>. Tomuto nárastu výrazne napomohli výsledky štvrtého kvartálu, kedy sa predpísané poistné vyvíjalo mimoriadne priaznivo. Sústredili sme sa aj na rozšírenie našej obchodnej služby, otvárali</w:t>
      </w:r>
      <w:r w:rsidR="005F7AF4" w:rsidRPr="00B014BC">
        <w:rPr>
          <w:rFonts w:ascii="Calibri" w:hAnsi="Calibri" w:cs="Times New Roman"/>
        </w:rPr>
        <w:t xml:space="preserve"> sme nové obchodné miesta, čo malo</w:t>
      </w:r>
      <w:r w:rsidRPr="00B014BC">
        <w:rPr>
          <w:rFonts w:ascii="Calibri" w:hAnsi="Calibri" w:cs="Times New Roman"/>
        </w:rPr>
        <w:t xml:space="preserve"> za následok aj zvýšenie počtu zamestnancov zo 413 v minulom roku na súčasný stav 443.  </w:t>
      </w:r>
    </w:p>
    <w:p w14:paraId="339D4486" w14:textId="787B0687" w:rsidR="00C24CFB" w:rsidRPr="00B014BC" w:rsidRDefault="00C24CFB" w:rsidP="004518BB">
      <w:pPr>
        <w:pStyle w:val="NormalWeb"/>
        <w:spacing w:before="0" w:beforeAutospacing="0" w:after="0" w:afterAutospacing="0"/>
        <w:rPr>
          <w:rFonts w:ascii="Calibri" w:hAnsi="Calibri"/>
          <w:sz w:val="22"/>
          <w:szCs w:val="22"/>
        </w:rPr>
      </w:pPr>
      <w:r w:rsidRPr="00B014BC">
        <w:rPr>
          <w:rFonts w:ascii="Calibri" w:hAnsi="Calibri"/>
          <w:sz w:val="22"/>
          <w:szCs w:val="22"/>
        </w:rPr>
        <w:t xml:space="preserve">Ukazovateľ </w:t>
      </w:r>
      <w:proofErr w:type="spellStart"/>
      <w:r w:rsidRPr="00B014BC">
        <w:rPr>
          <w:rFonts w:ascii="Calibri" w:hAnsi="Calibri"/>
          <w:sz w:val="22"/>
          <w:szCs w:val="22"/>
        </w:rPr>
        <w:t>combined</w:t>
      </w:r>
      <w:proofErr w:type="spellEnd"/>
      <w:r w:rsidRPr="00B014BC">
        <w:rPr>
          <w:rFonts w:ascii="Calibri" w:hAnsi="Calibri"/>
          <w:sz w:val="22"/>
          <w:szCs w:val="22"/>
        </w:rPr>
        <w:t xml:space="preserve"> </w:t>
      </w:r>
      <w:proofErr w:type="spellStart"/>
      <w:r w:rsidRPr="00B014BC">
        <w:rPr>
          <w:rFonts w:ascii="Calibri" w:hAnsi="Calibri"/>
          <w:sz w:val="22"/>
          <w:szCs w:val="22"/>
        </w:rPr>
        <w:t>ratio</w:t>
      </w:r>
      <w:proofErr w:type="spellEnd"/>
      <w:r w:rsidRPr="00B014BC">
        <w:rPr>
          <w:rFonts w:ascii="Calibri" w:hAnsi="Calibri"/>
          <w:sz w:val="22"/>
          <w:szCs w:val="22"/>
        </w:rPr>
        <w:t xml:space="preserve"> v neživotnom poistení sa podľa skupinovej metodiky aj v roku 2015 pohyboval v rozmedzí 92</w:t>
      </w:r>
      <w:r w:rsidR="00212810" w:rsidRPr="00B014BC">
        <w:rPr>
          <w:rFonts w:ascii="Calibri" w:hAnsi="Calibri"/>
          <w:sz w:val="22"/>
          <w:szCs w:val="22"/>
        </w:rPr>
        <w:t xml:space="preserve"> </w:t>
      </w:r>
      <w:r w:rsidRPr="00B014BC">
        <w:rPr>
          <w:rFonts w:ascii="Calibri" w:hAnsi="Calibri"/>
          <w:sz w:val="22"/>
          <w:szCs w:val="22"/>
        </w:rPr>
        <w:t>-</w:t>
      </w:r>
      <w:r w:rsidR="00212810" w:rsidRPr="00B014BC">
        <w:rPr>
          <w:rFonts w:ascii="Calibri" w:hAnsi="Calibri"/>
          <w:sz w:val="22"/>
          <w:szCs w:val="22"/>
        </w:rPr>
        <w:t xml:space="preserve"> </w:t>
      </w:r>
      <w:r w:rsidRPr="00B014BC">
        <w:rPr>
          <w:rFonts w:ascii="Calibri" w:hAnsi="Calibri"/>
          <w:sz w:val="22"/>
          <w:szCs w:val="22"/>
        </w:rPr>
        <w:t>93 %, čo je pod plánovanou úrovňou. </w:t>
      </w:r>
    </w:p>
    <w:p w14:paraId="335AA644" w14:textId="24A75C0B" w:rsidR="00C24CFB" w:rsidRPr="00B014BC" w:rsidRDefault="00C24CFB" w:rsidP="004518BB">
      <w:pPr>
        <w:pStyle w:val="NormalWeb"/>
        <w:spacing w:before="0" w:beforeAutospacing="0" w:after="0" w:afterAutospacing="0"/>
        <w:rPr>
          <w:rFonts w:ascii="Calibri" w:hAnsi="Calibri"/>
          <w:sz w:val="22"/>
          <w:szCs w:val="22"/>
        </w:rPr>
      </w:pPr>
      <w:r w:rsidRPr="00B014BC">
        <w:rPr>
          <w:rFonts w:ascii="Calibri" w:hAnsi="Calibri"/>
          <w:sz w:val="22"/>
          <w:szCs w:val="22"/>
        </w:rPr>
        <w:t>Naša stratégia investovania, ktorá sa svojim charakterom radí ku konzervatívnym, sa v roku 2015 nemenila a</w:t>
      </w:r>
      <w:r w:rsidR="0047621A" w:rsidRPr="00B014BC">
        <w:rPr>
          <w:rFonts w:ascii="Calibri" w:hAnsi="Calibri"/>
          <w:sz w:val="22"/>
          <w:szCs w:val="22"/>
        </w:rPr>
        <w:t xml:space="preserve"> jej výsledky znamenali </w:t>
      </w:r>
      <w:r w:rsidRPr="00B014BC">
        <w:rPr>
          <w:rFonts w:ascii="Calibri" w:hAnsi="Calibri"/>
          <w:sz w:val="22"/>
          <w:szCs w:val="22"/>
        </w:rPr>
        <w:t xml:space="preserve">prínos do </w:t>
      </w:r>
      <w:r w:rsidR="0047621A" w:rsidRPr="00B014BC">
        <w:rPr>
          <w:rFonts w:ascii="Calibri" w:hAnsi="Calibri"/>
          <w:sz w:val="22"/>
          <w:szCs w:val="22"/>
        </w:rPr>
        <w:t xml:space="preserve">celkových </w:t>
      </w:r>
      <w:r w:rsidRPr="00B014BC">
        <w:rPr>
          <w:rFonts w:ascii="Calibri" w:hAnsi="Calibri"/>
          <w:sz w:val="22"/>
          <w:szCs w:val="22"/>
        </w:rPr>
        <w:t xml:space="preserve">výsledkov spoločnosti, ktoré stanovený plán dokonca mierne prekročili.  </w:t>
      </w:r>
    </w:p>
    <w:p w14:paraId="37A95386" w14:textId="1EC5ACA6" w:rsidR="00C24CFB" w:rsidRPr="00B014BC" w:rsidRDefault="00C24CFB" w:rsidP="004518BB">
      <w:pPr>
        <w:spacing w:after="0" w:line="240" w:lineRule="auto"/>
        <w:rPr>
          <w:rFonts w:ascii="Calibri" w:hAnsi="Calibri" w:cs="Times New Roman"/>
        </w:rPr>
      </w:pPr>
      <w:r w:rsidRPr="00B014BC">
        <w:rPr>
          <w:rFonts w:ascii="Calibri" w:hAnsi="Calibri" w:cs="Times New Roman"/>
        </w:rPr>
        <w:t xml:space="preserve">Nastavené tempo hodnotím veľmi pozitívne a budem rád, ak </w:t>
      </w:r>
      <w:r w:rsidR="0047621A" w:rsidRPr="00B014BC">
        <w:rPr>
          <w:rFonts w:ascii="Calibri" w:hAnsi="Calibri" w:cs="Times New Roman"/>
        </w:rPr>
        <w:t xml:space="preserve">sa nám </w:t>
      </w:r>
      <w:r w:rsidRPr="00B014BC">
        <w:rPr>
          <w:rFonts w:ascii="Calibri" w:hAnsi="Calibri" w:cs="Times New Roman"/>
        </w:rPr>
        <w:t xml:space="preserve">aj v najbližšom období podarí udržať si ho. Aj vďaka tomu reagujeme na dopyt trhu pomerne promptne. Od júla v rámci povinného zmluvného poistenia už napríklad neprihliadame na vek poškodeného vozidla a počtu najazdených kilometrov a náhradné diely preplácame v plnej výške, teda bez započítania amortizácie. V poistení nehnuteľnosti sme sa zamerali na riešenie rôznych havarijných situácií, ktoré nastali v domácnostiach našich klientov bezprostredne po poistnej udalosti. Výsledkom toho sú asistenčné služby ako súčasť poistenia, kedy poisťovňa na základe žiadosti klienta vyšle odborného remeselníka priamo do jeho domu a ten zabezpečí opravu, upratovanie či núdzové ubytovanie. V životnom poistení sme sa viac zamerali na tvorbu investičných produktov a posilnili </w:t>
      </w:r>
      <w:r w:rsidR="00FD6128" w:rsidRPr="00B014BC">
        <w:rPr>
          <w:rFonts w:ascii="Calibri" w:hAnsi="Calibri" w:cs="Times New Roman"/>
        </w:rPr>
        <w:t xml:space="preserve">sme </w:t>
      </w:r>
      <w:r w:rsidRPr="00B014BC">
        <w:rPr>
          <w:rFonts w:ascii="Calibri" w:hAnsi="Calibri" w:cs="Times New Roman"/>
        </w:rPr>
        <w:t xml:space="preserve">aj rozsah voliteľných pripoistení v kapitálových poisteniach. Pozornosť sme upriamili aj na elektronizáciu procesov prevádzky poistenia, ktorej ubudla značná časť administratívy a v neposlednom rade sme rozšírili sieť spolupracujúcich autorizovaných aj neautorizovaných autoservisov, kde môžu naši klienti </w:t>
      </w:r>
      <w:r w:rsidR="0047621A" w:rsidRPr="00B014BC">
        <w:rPr>
          <w:rFonts w:ascii="Calibri" w:hAnsi="Calibri" w:cs="Times New Roman"/>
        </w:rPr>
        <w:t xml:space="preserve">za zvýhodnené platby </w:t>
      </w:r>
      <w:r w:rsidRPr="00B014BC">
        <w:rPr>
          <w:rFonts w:ascii="Calibri" w:hAnsi="Calibri" w:cs="Times New Roman"/>
        </w:rPr>
        <w:t xml:space="preserve">realizovať opravy svojich vozidiel. </w:t>
      </w:r>
    </w:p>
    <w:p w14:paraId="75F606D4" w14:textId="77777777" w:rsidR="00C24CFB" w:rsidRPr="00B014BC" w:rsidRDefault="00C24CFB" w:rsidP="004518BB">
      <w:pPr>
        <w:pStyle w:val="NormalWeb"/>
        <w:spacing w:before="0" w:beforeAutospacing="0" w:after="0" w:afterAutospacing="0"/>
        <w:rPr>
          <w:rFonts w:ascii="Calibri" w:hAnsi="Calibri"/>
          <w:sz w:val="22"/>
          <w:szCs w:val="22"/>
        </w:rPr>
      </w:pPr>
    </w:p>
    <w:p w14:paraId="5B4090E1" w14:textId="770F2349" w:rsidR="00C24CFB" w:rsidRPr="00B014BC" w:rsidRDefault="00C24CFB" w:rsidP="004518BB">
      <w:pPr>
        <w:pStyle w:val="NormalWeb"/>
        <w:spacing w:before="0" w:beforeAutospacing="0" w:after="0" w:afterAutospacing="0"/>
        <w:rPr>
          <w:rFonts w:ascii="Calibri" w:hAnsi="Calibri"/>
          <w:sz w:val="22"/>
          <w:szCs w:val="22"/>
        </w:rPr>
      </w:pPr>
      <w:r w:rsidRPr="00B014BC">
        <w:rPr>
          <w:rFonts w:ascii="Calibri" w:hAnsi="Calibri"/>
          <w:sz w:val="22"/>
          <w:szCs w:val="22"/>
        </w:rPr>
        <w:lastRenderedPageBreak/>
        <w:t>Tak, ako je pre nás samozrejmosťou zodpovedné podnikanie, tak je pre nás spoločenská zodpovednosť nepísaným pravidlom, ktoré by malo byť prítomné v stanovách každej väčšej spoločnosti.</w:t>
      </w:r>
      <w:r w:rsidR="00CC1664" w:rsidRPr="00B014BC">
        <w:rPr>
          <w:rFonts w:ascii="Calibri" w:hAnsi="Calibri"/>
          <w:sz w:val="22"/>
          <w:szCs w:val="22"/>
        </w:rPr>
        <w:t xml:space="preserve"> V roku 2015</w:t>
      </w:r>
      <w:r w:rsidRPr="00B014BC">
        <w:rPr>
          <w:rFonts w:ascii="Calibri" w:hAnsi="Calibri"/>
          <w:sz w:val="22"/>
          <w:szCs w:val="22"/>
        </w:rPr>
        <w:t xml:space="preserve"> sme podporili až 149 športových, spoločenských a kultúrnych podujatí v slovenských mestách a obciach. Pokračujeme tak v nastavenom trende rozvíjania vzťahov v rámci našej dlhodobej spolupráce so strategickým partnerom ZMOS. Pochváliť sa môžeme aj snahou o zlepšenie komunikácie ako aj metodického prístupu k deťom v regiónoch. Prostredníctvom Nadácie pre deti Slovenska finan</w:t>
      </w:r>
      <w:r w:rsidR="0047621A" w:rsidRPr="00B014BC">
        <w:rPr>
          <w:rFonts w:ascii="Calibri" w:hAnsi="Calibri"/>
          <w:sz w:val="22"/>
          <w:szCs w:val="22"/>
        </w:rPr>
        <w:t>čne podporujeme program Komunity priateľské</w:t>
      </w:r>
      <w:r w:rsidRPr="00B014BC">
        <w:rPr>
          <w:rFonts w:ascii="Calibri" w:hAnsi="Calibri"/>
          <w:sz w:val="22"/>
          <w:szCs w:val="22"/>
        </w:rPr>
        <w:t xml:space="preserve"> deťom</w:t>
      </w:r>
      <w:r w:rsidR="0047621A" w:rsidRPr="00B014BC">
        <w:rPr>
          <w:rFonts w:ascii="Calibri" w:hAnsi="Calibri"/>
          <w:sz w:val="22"/>
          <w:szCs w:val="22"/>
        </w:rPr>
        <w:t xml:space="preserve"> a mladým ľuďom</w:t>
      </w:r>
      <w:r w:rsidRPr="00B014BC">
        <w:rPr>
          <w:rFonts w:ascii="Calibri" w:hAnsi="Calibri"/>
          <w:sz w:val="22"/>
          <w:szCs w:val="22"/>
        </w:rPr>
        <w:t>, ktorý na základe systematickej práce s deťmi a mládežou hľadá a formuje súbor nástrojov na ide</w:t>
      </w:r>
      <w:r w:rsidR="0047621A" w:rsidRPr="00B014BC">
        <w:rPr>
          <w:rFonts w:ascii="Calibri" w:hAnsi="Calibri"/>
          <w:sz w:val="22"/>
          <w:szCs w:val="22"/>
        </w:rPr>
        <w:t xml:space="preserve">ntifikáciu a reagovanie na </w:t>
      </w:r>
      <w:proofErr w:type="spellStart"/>
      <w:r w:rsidR="0047621A" w:rsidRPr="00B014BC">
        <w:rPr>
          <w:rFonts w:ascii="Calibri" w:hAnsi="Calibri"/>
          <w:sz w:val="22"/>
          <w:szCs w:val="22"/>
        </w:rPr>
        <w:t>novo</w:t>
      </w:r>
      <w:r w:rsidRPr="00B014BC">
        <w:rPr>
          <w:rFonts w:ascii="Calibri" w:hAnsi="Calibri"/>
          <w:sz w:val="22"/>
          <w:szCs w:val="22"/>
        </w:rPr>
        <w:t>vynárajúce</w:t>
      </w:r>
      <w:proofErr w:type="spellEnd"/>
      <w:r w:rsidRPr="00B014BC">
        <w:rPr>
          <w:rFonts w:ascii="Calibri" w:hAnsi="Calibri"/>
          <w:sz w:val="22"/>
          <w:szCs w:val="22"/>
        </w:rPr>
        <w:t xml:space="preserve"> sa potreby detí. </w:t>
      </w:r>
    </w:p>
    <w:p w14:paraId="5702E745" w14:textId="2A53A8B0" w:rsidR="00C24CFB" w:rsidRPr="00B014BC" w:rsidRDefault="00C24CFB" w:rsidP="004518BB">
      <w:pPr>
        <w:spacing w:after="0" w:line="240" w:lineRule="auto"/>
        <w:rPr>
          <w:rFonts w:ascii="Calibri" w:hAnsi="Calibri" w:cs="Times New Roman"/>
        </w:rPr>
      </w:pPr>
      <w:r w:rsidRPr="00B014BC">
        <w:rPr>
          <w:rFonts w:ascii="Calibri" w:hAnsi="Calibri" w:cs="Times New Roman"/>
        </w:rPr>
        <w:t xml:space="preserve">Ani naši zamestnanci nie sú ľahostajní voči nepriazni osudu iných. Preto </w:t>
      </w:r>
      <w:r w:rsidR="0047621A" w:rsidRPr="00B014BC">
        <w:rPr>
          <w:rFonts w:ascii="Calibri" w:hAnsi="Calibri" w:cs="Times New Roman"/>
        </w:rPr>
        <w:t>každoročne</w:t>
      </w:r>
      <w:r w:rsidRPr="00B014BC">
        <w:rPr>
          <w:rFonts w:ascii="Calibri" w:hAnsi="Calibri" w:cs="Times New Roman"/>
        </w:rPr>
        <w:t xml:space="preserve"> na Mikuláša navštívia deti z detských domovov alebo seniorov v hospicoch a pripravia pre nich zábavný program a navyše ich obdarujú. </w:t>
      </w:r>
    </w:p>
    <w:p w14:paraId="256F329C" w14:textId="77777777" w:rsidR="00C24CFB" w:rsidRPr="00B014BC" w:rsidRDefault="00C24CFB" w:rsidP="004518BB">
      <w:pPr>
        <w:pStyle w:val="NormalWeb"/>
        <w:spacing w:before="0" w:beforeAutospacing="0" w:after="0" w:afterAutospacing="0"/>
        <w:rPr>
          <w:rFonts w:ascii="Calibri" w:hAnsi="Calibri"/>
          <w:sz w:val="22"/>
          <w:szCs w:val="22"/>
        </w:rPr>
      </w:pPr>
    </w:p>
    <w:p w14:paraId="35F55DC5" w14:textId="25621186" w:rsidR="00C24CFB" w:rsidRPr="00B014BC" w:rsidRDefault="00C24CFB" w:rsidP="004518BB">
      <w:pPr>
        <w:pStyle w:val="NormalWeb"/>
        <w:spacing w:before="0" w:beforeAutospacing="0" w:after="0" w:afterAutospacing="0"/>
        <w:rPr>
          <w:rFonts w:ascii="Calibri" w:hAnsi="Calibri"/>
          <w:sz w:val="22"/>
          <w:szCs w:val="22"/>
        </w:rPr>
      </w:pPr>
      <w:r w:rsidRPr="00B014BC">
        <w:rPr>
          <w:rFonts w:ascii="Calibri" w:hAnsi="Calibri"/>
          <w:sz w:val="22"/>
          <w:szCs w:val="22"/>
        </w:rPr>
        <w:t>Kto nezaháľa žne úspech. Výsledky našej poisťovne sú dôkazom, že sme schopní latku neustále posúvať vyššie a zároveň ju aj pokoriť. Budem rád, ak aj naďalej zotrváme</w:t>
      </w:r>
      <w:r w:rsidR="0047621A" w:rsidRPr="00B014BC">
        <w:rPr>
          <w:rFonts w:ascii="Calibri" w:hAnsi="Calibri"/>
          <w:sz w:val="22"/>
          <w:szCs w:val="22"/>
        </w:rPr>
        <w:t xml:space="preserve"> pri plnení stanovených cieľov - </w:t>
      </w:r>
      <w:r w:rsidRPr="00B014BC">
        <w:rPr>
          <w:rFonts w:ascii="Calibri" w:hAnsi="Calibri"/>
          <w:sz w:val="22"/>
          <w:szCs w:val="22"/>
        </w:rPr>
        <w:t xml:space="preserve">teda budeme pracovať na zvyšovaní </w:t>
      </w:r>
      <w:proofErr w:type="spellStart"/>
      <w:r w:rsidRPr="00B014BC">
        <w:rPr>
          <w:rFonts w:ascii="Calibri" w:hAnsi="Calibri"/>
          <w:sz w:val="22"/>
          <w:szCs w:val="22"/>
        </w:rPr>
        <w:t>proklientskej</w:t>
      </w:r>
      <w:proofErr w:type="spellEnd"/>
      <w:r w:rsidRPr="00B014BC">
        <w:rPr>
          <w:rFonts w:ascii="Calibri" w:hAnsi="Calibri"/>
          <w:sz w:val="22"/>
          <w:szCs w:val="22"/>
        </w:rPr>
        <w:t xml:space="preserve"> orientácie a bazírovať na oslovovaní nových klientov nielen z radov fyzických osôb, ale aj firiem či malých a stredných podnikateľov. Pevne verím, že sa nám bude dariť napĺňať podnikateľskú misiu, upevniť pozíciu ako aj rešpekt silnej a spoľahlivej inštitúcie na poistnom trhu.   </w:t>
      </w:r>
    </w:p>
    <w:p w14:paraId="211B12E7" w14:textId="448DE1D0" w:rsidR="00C24CFB" w:rsidRPr="00B014BC" w:rsidRDefault="00C24CFB" w:rsidP="004518BB">
      <w:pPr>
        <w:spacing w:after="0" w:line="240" w:lineRule="auto"/>
        <w:rPr>
          <w:rFonts w:ascii="Calibri" w:hAnsi="Calibri" w:cs="Times New Roman"/>
        </w:rPr>
      </w:pPr>
      <w:r w:rsidRPr="00B014BC">
        <w:rPr>
          <w:rFonts w:ascii="Calibri" w:hAnsi="Calibri" w:cs="Times New Roman"/>
        </w:rPr>
        <w:t xml:space="preserve">Dovoľte, aby som sa touto cestou poďakoval akcionárom za dôveru a podnetné konzultácie,  zamestnancom a spolupracovníkom za pochopenie a napĺňanie strategických cieľov našej spoločnosti, spolupracujúcim firmám a organizáciám za pomoc pri napĺňaní našej stratégie a poslania, aby sme </w:t>
      </w:r>
      <w:r w:rsidR="0047621A" w:rsidRPr="00B014BC">
        <w:rPr>
          <w:rFonts w:ascii="Calibri" w:hAnsi="Calibri" w:cs="Times New Roman"/>
        </w:rPr>
        <w:t xml:space="preserve">neustále </w:t>
      </w:r>
      <w:r w:rsidRPr="00B014BC">
        <w:rPr>
          <w:rFonts w:ascii="Calibri" w:hAnsi="Calibri" w:cs="Times New Roman"/>
        </w:rPr>
        <w:t>rastúcemu počtu klientov mohli ponúkať neustále lepšie produkty a služby.</w:t>
      </w:r>
    </w:p>
    <w:p w14:paraId="6E91A204" w14:textId="77777777" w:rsidR="00673B0A" w:rsidRPr="00B014BC" w:rsidRDefault="00673B0A" w:rsidP="004518BB">
      <w:pPr>
        <w:spacing w:after="0" w:line="240" w:lineRule="auto"/>
        <w:rPr>
          <w:rFonts w:ascii="Times New Roman" w:hAnsi="Times New Roman" w:cs="Times New Roman"/>
          <w:sz w:val="24"/>
        </w:rPr>
      </w:pPr>
    </w:p>
    <w:p w14:paraId="50DAA540" w14:textId="77777777" w:rsidR="00C24CFB" w:rsidRPr="00B014BC" w:rsidRDefault="00C24CFB" w:rsidP="004518BB">
      <w:pPr>
        <w:spacing w:after="0" w:line="240" w:lineRule="auto"/>
        <w:rPr>
          <w:rFonts w:cstheme="minorHAnsi"/>
        </w:rPr>
      </w:pPr>
    </w:p>
    <w:p w14:paraId="640160C6" w14:textId="77777777" w:rsidR="003E053E" w:rsidRPr="00B014BC" w:rsidRDefault="003E053E" w:rsidP="004518BB">
      <w:pPr>
        <w:pStyle w:val="ListParagraph"/>
        <w:numPr>
          <w:ilvl w:val="0"/>
          <w:numId w:val="2"/>
        </w:numPr>
        <w:spacing w:after="0" w:line="240" w:lineRule="auto"/>
        <w:ind w:left="426"/>
        <w:rPr>
          <w:rFonts w:cstheme="minorHAnsi"/>
          <w:b/>
          <w:sz w:val="28"/>
          <w:szCs w:val="28"/>
        </w:rPr>
      </w:pPr>
      <w:r w:rsidRPr="00B014BC">
        <w:rPr>
          <w:rFonts w:cstheme="minorHAnsi"/>
          <w:b/>
          <w:sz w:val="28"/>
          <w:szCs w:val="28"/>
        </w:rPr>
        <w:t>O spoločnosti</w:t>
      </w:r>
    </w:p>
    <w:p w14:paraId="23EA665F" w14:textId="77777777" w:rsidR="003E053E" w:rsidRPr="00B014BC" w:rsidRDefault="003E053E" w:rsidP="004518BB">
      <w:pPr>
        <w:spacing w:after="0" w:line="240" w:lineRule="auto"/>
        <w:rPr>
          <w:rFonts w:cstheme="minorHAnsi"/>
          <w:b/>
        </w:rPr>
      </w:pPr>
    </w:p>
    <w:p w14:paraId="72660733" w14:textId="77777777" w:rsidR="003E053E" w:rsidRPr="00B014BC" w:rsidRDefault="003E053E" w:rsidP="004518BB">
      <w:pPr>
        <w:spacing w:after="0" w:line="240" w:lineRule="auto"/>
        <w:rPr>
          <w:rFonts w:eastAsia="Times New Roman" w:cstheme="minorHAnsi"/>
          <w:bCs/>
        </w:rPr>
      </w:pPr>
      <w:r w:rsidRPr="00B014BC">
        <w:rPr>
          <w:rFonts w:eastAsia="Times New Roman" w:cstheme="minorHAnsi"/>
          <w:bCs/>
        </w:rPr>
        <w:t xml:space="preserve">KOMUNÁLNA poisťovňa, </w:t>
      </w:r>
      <w:proofErr w:type="spellStart"/>
      <w:r w:rsidRPr="00B014BC">
        <w:rPr>
          <w:rFonts w:eastAsia="Times New Roman" w:cstheme="minorHAnsi"/>
          <w:bCs/>
        </w:rPr>
        <w:t>a.s</w:t>
      </w:r>
      <w:proofErr w:type="spellEnd"/>
      <w:r w:rsidRPr="00B014BC">
        <w:rPr>
          <w:rFonts w:eastAsia="Times New Roman" w:cstheme="minorHAnsi"/>
          <w:bCs/>
        </w:rPr>
        <w:t xml:space="preserve">. </w:t>
      </w:r>
      <w:proofErr w:type="spellStart"/>
      <w:r w:rsidRPr="00B014BC">
        <w:rPr>
          <w:rFonts w:eastAsia="Times New Roman" w:cstheme="minorHAnsi"/>
          <w:bCs/>
        </w:rPr>
        <w:t>Vienna</w:t>
      </w:r>
      <w:proofErr w:type="spellEnd"/>
      <w:r w:rsidRPr="00B014BC">
        <w:rPr>
          <w:rFonts w:eastAsia="Times New Roman" w:cstheme="minorHAnsi"/>
          <w:bCs/>
        </w:rPr>
        <w:t xml:space="preserve"> </w:t>
      </w:r>
      <w:proofErr w:type="spellStart"/>
      <w:r w:rsidRPr="00B014BC">
        <w:rPr>
          <w:rFonts w:eastAsia="Times New Roman" w:cstheme="minorHAnsi"/>
          <w:bCs/>
        </w:rPr>
        <w:t>Insurance</w:t>
      </w:r>
      <w:proofErr w:type="spellEnd"/>
      <w:r w:rsidRPr="00B014BC">
        <w:rPr>
          <w:rFonts w:eastAsia="Times New Roman" w:cstheme="minorHAnsi"/>
          <w:bCs/>
        </w:rPr>
        <w:t xml:space="preserve"> Group je komerčnou poisťovňou s univerzálnou licenciou, </w:t>
      </w:r>
      <w:r w:rsidR="008706A8" w:rsidRPr="00B014BC">
        <w:rPr>
          <w:rFonts w:eastAsia="Times New Roman" w:cstheme="minorHAnsi"/>
          <w:bCs/>
        </w:rPr>
        <w:t>ktorá pôsobí</w:t>
      </w:r>
      <w:r w:rsidRPr="00B014BC">
        <w:rPr>
          <w:rFonts w:eastAsia="Times New Roman" w:cstheme="minorHAnsi"/>
          <w:bCs/>
        </w:rPr>
        <w:t xml:space="preserve"> na slovenskom poistnom trhu od roku 1994. Jej poslaním je poskytovať svojim klientom kvalitné poistné produkty a služby v oblastiach životného poistenia, poistenia motorových vozidiel a majetku občanov, zodpovednostného poistenia a tiež v oblasti poistenia priemyselných rizík. </w:t>
      </w:r>
    </w:p>
    <w:p w14:paraId="4F2F34AD" w14:textId="121CCA46" w:rsidR="003E053E" w:rsidRPr="00B014BC" w:rsidRDefault="003E053E" w:rsidP="004518BB">
      <w:pPr>
        <w:spacing w:after="0" w:line="240" w:lineRule="auto"/>
        <w:rPr>
          <w:rFonts w:eastAsia="Times New Roman" w:cstheme="minorHAnsi"/>
          <w:bCs/>
        </w:rPr>
      </w:pPr>
      <w:r w:rsidRPr="00B014BC">
        <w:rPr>
          <w:rFonts w:eastAsia="Times New Roman" w:cstheme="minorHAnsi"/>
          <w:bCs/>
        </w:rPr>
        <w:t xml:space="preserve">KOMUNÁLNA poisťovňa, </w:t>
      </w:r>
      <w:proofErr w:type="spellStart"/>
      <w:r w:rsidRPr="00B014BC">
        <w:rPr>
          <w:rFonts w:eastAsia="Times New Roman" w:cstheme="minorHAnsi"/>
          <w:bCs/>
        </w:rPr>
        <w:t>a.s</w:t>
      </w:r>
      <w:proofErr w:type="spellEnd"/>
      <w:r w:rsidRPr="00B014BC">
        <w:rPr>
          <w:rFonts w:eastAsia="Times New Roman" w:cstheme="minorHAnsi"/>
          <w:bCs/>
        </w:rPr>
        <w:t xml:space="preserve">. </w:t>
      </w:r>
      <w:proofErr w:type="spellStart"/>
      <w:r w:rsidRPr="00B014BC">
        <w:rPr>
          <w:rFonts w:eastAsia="Times New Roman" w:cstheme="minorHAnsi"/>
          <w:bCs/>
        </w:rPr>
        <w:t>Vienna</w:t>
      </w:r>
      <w:proofErr w:type="spellEnd"/>
      <w:r w:rsidRPr="00B014BC">
        <w:rPr>
          <w:rFonts w:eastAsia="Times New Roman" w:cstheme="minorHAnsi"/>
          <w:bCs/>
        </w:rPr>
        <w:t xml:space="preserve"> </w:t>
      </w:r>
      <w:proofErr w:type="spellStart"/>
      <w:r w:rsidRPr="00B014BC">
        <w:rPr>
          <w:rFonts w:eastAsia="Times New Roman" w:cstheme="minorHAnsi"/>
          <w:bCs/>
        </w:rPr>
        <w:t>Insurance</w:t>
      </w:r>
      <w:proofErr w:type="spellEnd"/>
      <w:r w:rsidRPr="00B014BC">
        <w:rPr>
          <w:rFonts w:eastAsia="Times New Roman" w:cstheme="minorHAnsi"/>
          <w:bCs/>
        </w:rPr>
        <w:t xml:space="preserve"> Group bola založená zakladateľskou listinou zo dňa 19. októbra 1993 a svoju činnosť oficiálne </w:t>
      </w:r>
      <w:r w:rsidR="008706A8" w:rsidRPr="00B014BC">
        <w:rPr>
          <w:rFonts w:eastAsia="Times New Roman" w:cstheme="minorHAnsi"/>
          <w:bCs/>
        </w:rPr>
        <w:t>začala</w:t>
      </w:r>
      <w:r w:rsidRPr="00B014BC">
        <w:rPr>
          <w:rFonts w:eastAsia="Times New Roman" w:cstheme="minorHAnsi"/>
          <w:bCs/>
        </w:rPr>
        <w:t xml:space="preserve"> 1. januára 1994. V</w:t>
      </w:r>
      <w:r w:rsidRPr="00B014BC">
        <w:rPr>
          <w:rFonts w:cstheme="minorHAnsi"/>
        </w:rPr>
        <w:t xml:space="preserve"> pomerne </w:t>
      </w:r>
      <w:r w:rsidR="008706A8" w:rsidRPr="00B014BC">
        <w:rPr>
          <w:rFonts w:cstheme="minorHAnsi"/>
        </w:rPr>
        <w:t>krátkom</w:t>
      </w:r>
      <w:r w:rsidRPr="00B014BC">
        <w:rPr>
          <w:rFonts w:cstheme="minorHAnsi"/>
        </w:rPr>
        <w:t xml:space="preserve"> čase si vybudovala silné putá na komunálnu klientelu, ktorá dodnes tvorí jeden zo základných </w:t>
      </w:r>
      <w:r w:rsidR="008706A8" w:rsidRPr="00B014BC">
        <w:rPr>
          <w:rFonts w:cstheme="minorHAnsi"/>
        </w:rPr>
        <w:t>pilierov</w:t>
      </w:r>
      <w:r w:rsidRPr="00B014BC">
        <w:rPr>
          <w:rFonts w:cstheme="minorHAnsi"/>
        </w:rPr>
        <w:t xml:space="preserve"> </w:t>
      </w:r>
      <w:r w:rsidR="0047621A" w:rsidRPr="00B014BC">
        <w:rPr>
          <w:rFonts w:cstheme="minorHAnsi"/>
        </w:rPr>
        <w:t xml:space="preserve">nášho </w:t>
      </w:r>
      <w:r w:rsidRPr="00B014BC">
        <w:rPr>
          <w:rFonts w:cstheme="minorHAnsi"/>
        </w:rPr>
        <w:t>podnikania.</w:t>
      </w:r>
    </w:p>
    <w:p w14:paraId="6104A225" w14:textId="77777777" w:rsidR="003E053E" w:rsidRPr="00B014BC" w:rsidRDefault="003E053E" w:rsidP="004518BB">
      <w:pPr>
        <w:spacing w:after="0" w:line="240" w:lineRule="auto"/>
        <w:rPr>
          <w:rFonts w:eastAsiaTheme="minorEastAsia" w:cstheme="minorHAnsi"/>
        </w:rPr>
      </w:pPr>
      <w:r w:rsidRPr="00B014BC">
        <w:rPr>
          <w:rFonts w:eastAsia="Times New Roman" w:cstheme="minorHAnsi"/>
          <w:bCs/>
        </w:rPr>
        <w:t xml:space="preserve">K výraznej zmene </w:t>
      </w:r>
      <w:r w:rsidR="008706A8" w:rsidRPr="00B014BC">
        <w:rPr>
          <w:rFonts w:eastAsia="Times New Roman" w:cstheme="minorHAnsi"/>
          <w:bCs/>
        </w:rPr>
        <w:t xml:space="preserve">došlo </w:t>
      </w:r>
      <w:r w:rsidRPr="00B014BC">
        <w:rPr>
          <w:rFonts w:eastAsia="Times New Roman" w:cstheme="minorHAnsi"/>
          <w:bCs/>
        </w:rPr>
        <w:t xml:space="preserve">v spoločnosti </w:t>
      </w:r>
      <w:r w:rsidR="008706A8" w:rsidRPr="00B014BC">
        <w:rPr>
          <w:rFonts w:eastAsia="Times New Roman" w:cstheme="minorHAnsi"/>
          <w:bCs/>
        </w:rPr>
        <w:t>po akvizícii v roku 2001, keď</w:t>
      </w:r>
      <w:r w:rsidRPr="00B014BC">
        <w:rPr>
          <w:rFonts w:eastAsia="Times New Roman" w:cstheme="minorHAnsi"/>
          <w:bCs/>
        </w:rPr>
        <w:t xml:space="preserve"> sa poisťovňa stala súčasťou silnej medzinárodnej finančnej a poisťovacej skupiny </w:t>
      </w:r>
      <w:proofErr w:type="spellStart"/>
      <w:r w:rsidRPr="00B014BC">
        <w:rPr>
          <w:rFonts w:eastAsia="Times New Roman" w:cstheme="minorHAnsi"/>
          <w:bCs/>
        </w:rPr>
        <w:t>Vienna</w:t>
      </w:r>
      <w:proofErr w:type="spellEnd"/>
      <w:r w:rsidRPr="00B014BC">
        <w:rPr>
          <w:rFonts w:eastAsia="Times New Roman" w:cstheme="minorHAnsi"/>
          <w:bCs/>
        </w:rPr>
        <w:t xml:space="preserve"> </w:t>
      </w:r>
      <w:proofErr w:type="spellStart"/>
      <w:r w:rsidRPr="00B014BC">
        <w:rPr>
          <w:rFonts w:eastAsia="Times New Roman" w:cstheme="minorHAnsi"/>
          <w:bCs/>
        </w:rPr>
        <w:t>Insurance</w:t>
      </w:r>
      <w:proofErr w:type="spellEnd"/>
      <w:r w:rsidRPr="00B014BC">
        <w:rPr>
          <w:rFonts w:eastAsia="Times New Roman" w:cstheme="minorHAnsi"/>
          <w:bCs/>
        </w:rPr>
        <w:t xml:space="preserve"> Group. K</w:t>
      </w:r>
      <w:r w:rsidRPr="00B014BC">
        <w:rPr>
          <w:rFonts w:cstheme="minorHAnsi"/>
        </w:rPr>
        <w:t xml:space="preserve">lienti tým získali istotu v podobe silného a stabilného akcionára, ktorým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bezpochyby je. Dokazuje to aj dlhodobo pozitívne hodnotenie agentúry Standard &amp;</w:t>
      </w:r>
      <w:proofErr w:type="spellStart"/>
      <w:r w:rsidRPr="00B014BC">
        <w:rPr>
          <w:rFonts w:cstheme="minorHAnsi"/>
        </w:rPr>
        <w:t>Poor´s</w:t>
      </w:r>
      <w:proofErr w:type="spellEnd"/>
      <w:r w:rsidRPr="00B014BC">
        <w:rPr>
          <w:rFonts w:cstheme="minorHAnsi"/>
        </w:rPr>
        <w:t>.</w:t>
      </w:r>
    </w:p>
    <w:p w14:paraId="09CD425B" w14:textId="77777777" w:rsidR="003E053E" w:rsidRPr="00B014BC" w:rsidRDefault="003E053E" w:rsidP="004518BB">
      <w:pPr>
        <w:spacing w:after="0" w:line="240" w:lineRule="auto"/>
        <w:rPr>
          <w:rFonts w:cstheme="minorHAnsi"/>
        </w:rPr>
      </w:pPr>
      <w:r w:rsidRPr="00B014BC">
        <w:rPr>
          <w:rFonts w:cstheme="minorHAnsi"/>
        </w:rPr>
        <w:t xml:space="preserve">Výhodou mnohopočetnej rodiny poisťovní holdingu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je zúročenie najlepších skúseností sesterských poisťovní v iných krajinách pre klientov na Slovensku. </w:t>
      </w:r>
      <w:r w:rsidRPr="00B014BC">
        <w:rPr>
          <w:rFonts w:eastAsia="Times New Roman" w:cstheme="minorHAnsi"/>
          <w:bCs/>
        </w:rPr>
        <w:t xml:space="preserve">KOMUNÁLNA poisťovňa dokáže čerpať zo skúseností a </w:t>
      </w:r>
      <w:r w:rsidRPr="00B014BC">
        <w:rPr>
          <w:rFonts w:cstheme="minorHAnsi"/>
        </w:rPr>
        <w:t>rokmi osvedčeného know-how  akcionára</w:t>
      </w:r>
      <w:r w:rsidR="008706A8" w:rsidRPr="00B014BC">
        <w:rPr>
          <w:rFonts w:eastAsia="Times New Roman" w:cstheme="minorHAnsi"/>
          <w:bCs/>
        </w:rPr>
        <w:t>,</w:t>
      </w:r>
      <w:r w:rsidRPr="00B014BC">
        <w:rPr>
          <w:rFonts w:cstheme="minorHAnsi"/>
        </w:rPr>
        <w:t xml:space="preserve"> najmä pri inovácii produktov a služieb tak, aby spĺňali európske štandardy a boli pre klientov čo najatraktívnejšie a najvýhodnejšie. Práve </w:t>
      </w:r>
      <w:r w:rsidRPr="00B014BC">
        <w:rPr>
          <w:rFonts w:eastAsia="Times New Roman" w:cstheme="minorHAnsi"/>
          <w:bCs/>
        </w:rPr>
        <w:t xml:space="preserve">preto sa nachádza na vysokých priečkach v povedomí slovenských spotrebiteľov pri kúpe poistenia. </w:t>
      </w:r>
    </w:p>
    <w:p w14:paraId="22775987" w14:textId="77777777" w:rsidR="003E053E" w:rsidRPr="00B014BC" w:rsidRDefault="003E053E" w:rsidP="004518BB">
      <w:pPr>
        <w:spacing w:after="0" w:line="240" w:lineRule="auto"/>
        <w:rPr>
          <w:rFonts w:cstheme="minorHAnsi"/>
        </w:rPr>
      </w:pPr>
      <w:r w:rsidRPr="00B014BC">
        <w:rPr>
          <w:rFonts w:cstheme="minorHAnsi"/>
        </w:rPr>
        <w:t>Ďalším dôležitým medzníkom bol pre poisťovňu rok 2009, ke</w:t>
      </w:r>
      <w:r w:rsidR="008706A8" w:rsidRPr="00B014BC">
        <w:rPr>
          <w:rFonts w:cstheme="minorHAnsi"/>
        </w:rPr>
        <w:t>ď</w:t>
      </w:r>
      <w:r w:rsidRPr="00B014BC">
        <w:rPr>
          <w:rFonts w:cstheme="minorHAnsi"/>
        </w:rPr>
        <w:t xml:space="preserve"> do svojho portfólia integrovala kmeň klientov poisťovne KONTINUITA.  </w:t>
      </w:r>
    </w:p>
    <w:p w14:paraId="57B259EC" w14:textId="183FD752" w:rsidR="003E053E" w:rsidRPr="00B014BC" w:rsidRDefault="003E053E" w:rsidP="004518BB">
      <w:pPr>
        <w:spacing w:after="0" w:line="240" w:lineRule="auto"/>
        <w:rPr>
          <w:rFonts w:eastAsia="Times New Roman" w:cstheme="minorHAnsi"/>
          <w:bCs/>
        </w:rPr>
      </w:pPr>
      <w:r w:rsidRPr="00B014BC">
        <w:rPr>
          <w:rFonts w:eastAsia="Times New Roman" w:cstheme="minorHAnsi"/>
          <w:bCs/>
        </w:rPr>
        <w:t xml:space="preserve">KOMUNÁLNA poisťovňa si postupne zlepšovala </w:t>
      </w:r>
      <w:r w:rsidR="008706A8" w:rsidRPr="00B014BC">
        <w:rPr>
          <w:rFonts w:eastAsia="Times New Roman" w:cstheme="minorHAnsi"/>
          <w:bCs/>
        </w:rPr>
        <w:t xml:space="preserve">a upevňovala </w:t>
      </w:r>
      <w:r w:rsidRPr="00B014BC">
        <w:rPr>
          <w:rFonts w:eastAsia="Times New Roman" w:cstheme="minorHAnsi"/>
          <w:bCs/>
        </w:rPr>
        <w:t xml:space="preserve">svoje postavenie na slovenskom poistnom trhu a postupne </w:t>
      </w:r>
      <w:r w:rsidR="008706A8" w:rsidRPr="00B014BC">
        <w:rPr>
          <w:rFonts w:eastAsia="Times New Roman" w:cstheme="minorHAnsi"/>
          <w:bCs/>
        </w:rPr>
        <w:t xml:space="preserve">sa </w:t>
      </w:r>
      <w:r w:rsidRPr="00B014BC">
        <w:rPr>
          <w:rFonts w:eastAsia="Times New Roman" w:cstheme="minorHAnsi"/>
          <w:bCs/>
        </w:rPr>
        <w:t xml:space="preserve">prepracovala medzi najväčšie poisťovacie spoločnosti na slovenskom </w:t>
      </w:r>
      <w:r w:rsidRPr="00B014BC">
        <w:rPr>
          <w:rFonts w:eastAsia="Times New Roman" w:cstheme="minorHAnsi"/>
          <w:bCs/>
        </w:rPr>
        <w:lastRenderedPageBreak/>
        <w:t>poistnom trhu. KOMUNÁLNEJ poisťovni dôveruje stále viac záujemcov o poistenie, o čom svedčí aj jej rastový podiel v roku 201</w:t>
      </w:r>
      <w:r w:rsidR="00933DEE" w:rsidRPr="00B014BC">
        <w:rPr>
          <w:rFonts w:eastAsia="Times New Roman" w:cstheme="minorHAnsi"/>
          <w:bCs/>
        </w:rPr>
        <w:t>5</w:t>
      </w:r>
      <w:r w:rsidRPr="00B014BC">
        <w:rPr>
          <w:rFonts w:eastAsia="Times New Roman" w:cstheme="minorHAnsi"/>
          <w:bCs/>
        </w:rPr>
        <w:t xml:space="preserve">. Rovnako ako v životnom, tak aj v neživotnom poistení zaznamenáva poisťovňa rastové tendencie, </w:t>
      </w:r>
      <w:r w:rsidR="00FA1989" w:rsidRPr="00B014BC">
        <w:rPr>
          <w:rFonts w:eastAsia="Times New Roman" w:cstheme="minorHAnsi"/>
          <w:bCs/>
        </w:rPr>
        <w:t>najmä</w:t>
      </w:r>
      <w:r w:rsidRPr="00B014BC">
        <w:rPr>
          <w:rFonts w:eastAsia="Times New Roman" w:cstheme="minorHAnsi"/>
          <w:bCs/>
        </w:rPr>
        <w:t xml:space="preserve"> v poistení motorových vozidiel, kde je</w:t>
      </w:r>
      <w:r w:rsidR="0047621A" w:rsidRPr="00B014BC">
        <w:rPr>
          <w:rFonts w:eastAsia="Times New Roman" w:cstheme="minorHAnsi"/>
          <w:bCs/>
        </w:rPr>
        <w:t>,</w:t>
      </w:r>
      <w:r w:rsidRPr="00B014BC">
        <w:rPr>
          <w:rFonts w:eastAsia="Times New Roman" w:cstheme="minorHAnsi"/>
          <w:bCs/>
        </w:rPr>
        <w:t xml:space="preserve"> so svojimi partnermi v skupine </w:t>
      </w:r>
      <w:proofErr w:type="spellStart"/>
      <w:r w:rsidRPr="00B014BC">
        <w:rPr>
          <w:rFonts w:eastAsia="Times New Roman" w:cstheme="minorHAnsi"/>
          <w:bCs/>
        </w:rPr>
        <w:t>Vienna</w:t>
      </w:r>
      <w:proofErr w:type="spellEnd"/>
      <w:r w:rsidRPr="00B014BC">
        <w:rPr>
          <w:rFonts w:eastAsia="Times New Roman" w:cstheme="minorHAnsi"/>
          <w:bCs/>
        </w:rPr>
        <w:t xml:space="preserve"> </w:t>
      </w:r>
      <w:proofErr w:type="spellStart"/>
      <w:r w:rsidRPr="00B014BC">
        <w:rPr>
          <w:rFonts w:eastAsia="Times New Roman" w:cstheme="minorHAnsi"/>
          <w:bCs/>
        </w:rPr>
        <w:t>Insurance</w:t>
      </w:r>
      <w:proofErr w:type="spellEnd"/>
      <w:r w:rsidRPr="00B014BC">
        <w:rPr>
          <w:rFonts w:eastAsia="Times New Roman" w:cstheme="minorHAnsi"/>
          <w:bCs/>
        </w:rPr>
        <w:t xml:space="preserve"> Group</w:t>
      </w:r>
      <w:r w:rsidR="0047621A" w:rsidRPr="00B014BC">
        <w:rPr>
          <w:rFonts w:eastAsia="Times New Roman" w:cstheme="minorHAnsi"/>
          <w:bCs/>
        </w:rPr>
        <w:t>,</w:t>
      </w:r>
      <w:r w:rsidRPr="00B014BC">
        <w:rPr>
          <w:rFonts w:eastAsia="Times New Roman" w:cstheme="minorHAnsi"/>
          <w:bCs/>
        </w:rPr>
        <w:t xml:space="preserve"> jednotkou na trhu.</w:t>
      </w:r>
    </w:p>
    <w:p w14:paraId="70309051" w14:textId="77777777" w:rsidR="003E053E" w:rsidRPr="00B014BC" w:rsidRDefault="003E053E" w:rsidP="004518BB">
      <w:pPr>
        <w:spacing w:after="0" w:line="240" w:lineRule="auto"/>
        <w:rPr>
          <w:rFonts w:eastAsia="Times New Roman" w:cstheme="minorHAnsi"/>
          <w:bCs/>
        </w:rPr>
      </w:pPr>
    </w:p>
    <w:p w14:paraId="121D6E9C" w14:textId="77777777" w:rsidR="003E053E" w:rsidRPr="00B014BC" w:rsidRDefault="003E053E" w:rsidP="004518BB">
      <w:pPr>
        <w:spacing w:after="0" w:line="240" w:lineRule="auto"/>
        <w:rPr>
          <w:rFonts w:eastAsia="Times New Roman" w:cstheme="minorHAnsi"/>
          <w:bCs/>
        </w:rPr>
      </w:pPr>
      <w:r w:rsidRPr="00B014BC">
        <w:rPr>
          <w:rFonts w:eastAsia="Times New Roman" w:cstheme="minorHAnsi"/>
          <w:bCs/>
        </w:rPr>
        <w:t xml:space="preserve">Všeobecné informácie o spoločnosti, poradenstvo pri výbere zo širokej ponuky poistenia osôb, majetku, vozidiel, podnikateľov a priemyslu a zabezpečenie kontaktu na obchodného zástupcu vám KOMUNÁLNA poisťovňa, </w:t>
      </w:r>
      <w:proofErr w:type="spellStart"/>
      <w:r w:rsidRPr="00B014BC">
        <w:rPr>
          <w:rFonts w:eastAsia="Times New Roman" w:cstheme="minorHAnsi"/>
          <w:bCs/>
        </w:rPr>
        <w:t>a.s</w:t>
      </w:r>
      <w:proofErr w:type="spellEnd"/>
      <w:r w:rsidRPr="00B014BC">
        <w:rPr>
          <w:rFonts w:eastAsia="Times New Roman" w:cstheme="minorHAnsi"/>
          <w:bCs/>
        </w:rPr>
        <w:t xml:space="preserve">. </w:t>
      </w:r>
      <w:proofErr w:type="spellStart"/>
      <w:r w:rsidRPr="00B014BC">
        <w:rPr>
          <w:rFonts w:eastAsia="Times New Roman" w:cstheme="minorHAnsi"/>
          <w:bCs/>
        </w:rPr>
        <w:t>Vienna</w:t>
      </w:r>
      <w:proofErr w:type="spellEnd"/>
      <w:r w:rsidRPr="00B014BC">
        <w:rPr>
          <w:rFonts w:eastAsia="Times New Roman" w:cstheme="minorHAnsi"/>
          <w:bCs/>
        </w:rPr>
        <w:t xml:space="preserve"> </w:t>
      </w:r>
      <w:proofErr w:type="spellStart"/>
      <w:r w:rsidRPr="00B014BC">
        <w:rPr>
          <w:rFonts w:eastAsia="Times New Roman" w:cstheme="minorHAnsi"/>
          <w:bCs/>
        </w:rPr>
        <w:t>Insurance</w:t>
      </w:r>
      <w:proofErr w:type="spellEnd"/>
      <w:r w:rsidRPr="00B014BC">
        <w:rPr>
          <w:rFonts w:eastAsia="Times New Roman" w:cstheme="minorHAnsi"/>
          <w:bCs/>
        </w:rPr>
        <w:t xml:space="preserve"> Group ponúka </w:t>
      </w:r>
      <w:r w:rsidR="00FA1989" w:rsidRPr="00B014BC">
        <w:rPr>
          <w:rFonts w:eastAsia="Times New Roman" w:cstheme="minorHAnsi"/>
          <w:bCs/>
        </w:rPr>
        <w:t>aj</w:t>
      </w:r>
      <w:r w:rsidRPr="00B014BC">
        <w:rPr>
          <w:rFonts w:eastAsia="Times New Roman" w:cstheme="minorHAnsi"/>
          <w:bCs/>
        </w:rPr>
        <w:t xml:space="preserve"> na elektronickej adrese info@kpas.sk, </w:t>
      </w:r>
      <w:proofErr w:type="spellStart"/>
      <w:r w:rsidRPr="00B014BC">
        <w:rPr>
          <w:rFonts w:eastAsia="Times New Roman" w:cstheme="minorHAnsi"/>
          <w:bCs/>
        </w:rPr>
        <w:t>infolinke</w:t>
      </w:r>
      <w:proofErr w:type="spellEnd"/>
      <w:r w:rsidRPr="00B014BC">
        <w:rPr>
          <w:rFonts w:eastAsia="Times New Roman" w:cstheme="minorHAnsi"/>
          <w:bCs/>
        </w:rPr>
        <w:t xml:space="preserve"> 0800 11 22 22 alebo na internetovej stránke </w:t>
      </w:r>
      <w:hyperlink r:id="rId8" w:history="1">
        <w:r w:rsidRPr="00B014BC">
          <w:rPr>
            <w:rStyle w:val="Hyperlink"/>
            <w:rFonts w:eastAsia="Times New Roman" w:cstheme="minorHAnsi"/>
            <w:bCs/>
          </w:rPr>
          <w:t>www.kpas.sk</w:t>
        </w:r>
      </w:hyperlink>
      <w:r w:rsidRPr="00B014BC">
        <w:rPr>
          <w:rFonts w:eastAsia="Times New Roman" w:cstheme="minorHAnsi"/>
          <w:bCs/>
        </w:rPr>
        <w:t xml:space="preserve">. </w:t>
      </w:r>
    </w:p>
    <w:p w14:paraId="0E2921D4" w14:textId="77777777" w:rsidR="003E053E" w:rsidRPr="00B014BC" w:rsidRDefault="003E053E" w:rsidP="004518BB">
      <w:pPr>
        <w:spacing w:after="0" w:line="240" w:lineRule="auto"/>
        <w:rPr>
          <w:rFonts w:eastAsia="Times New Roman" w:cstheme="minorHAnsi"/>
          <w:bCs/>
        </w:rPr>
      </w:pPr>
    </w:p>
    <w:p w14:paraId="5B037C9C" w14:textId="77777777" w:rsidR="003E053E" w:rsidRPr="00B014BC" w:rsidRDefault="003E053E" w:rsidP="004518BB">
      <w:pPr>
        <w:pStyle w:val="Header"/>
        <w:tabs>
          <w:tab w:val="clear" w:pos="4536"/>
          <w:tab w:val="clear" w:pos="9072"/>
        </w:tabs>
        <w:rPr>
          <w:rFonts w:asciiTheme="minorHAnsi" w:hAnsiTheme="minorHAnsi" w:cstheme="minorHAnsi"/>
          <w:b/>
          <w:sz w:val="22"/>
          <w:szCs w:val="22"/>
        </w:rPr>
      </w:pPr>
      <w:r w:rsidRPr="00B014BC">
        <w:rPr>
          <w:rFonts w:asciiTheme="minorHAnsi" w:hAnsiTheme="minorHAnsi" w:cstheme="minorHAnsi"/>
          <w:b/>
          <w:sz w:val="22"/>
          <w:szCs w:val="22"/>
        </w:rPr>
        <w:t>Údaje o spoločnosti</w:t>
      </w:r>
    </w:p>
    <w:p w14:paraId="2FD04829" w14:textId="77777777" w:rsidR="003E053E" w:rsidRPr="00B014BC" w:rsidRDefault="003E053E"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Obchodné meno:</w:t>
      </w:r>
      <w:r w:rsidRPr="00B014BC">
        <w:rPr>
          <w:rFonts w:asciiTheme="minorHAnsi" w:hAnsiTheme="minorHAnsi" w:cstheme="minorHAnsi"/>
          <w:sz w:val="22"/>
          <w:szCs w:val="22"/>
        </w:rPr>
        <w:tab/>
        <w:t xml:space="preserve">KOMUNÁLNA poisťovňa, </w:t>
      </w:r>
      <w:proofErr w:type="spellStart"/>
      <w:r w:rsidRPr="00B014BC">
        <w:rPr>
          <w:rFonts w:asciiTheme="minorHAnsi" w:hAnsiTheme="minorHAnsi" w:cstheme="minorHAnsi"/>
          <w:sz w:val="22"/>
          <w:szCs w:val="22"/>
        </w:rPr>
        <w:t>a.s</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Vienna</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Insurance</w:t>
      </w:r>
      <w:proofErr w:type="spellEnd"/>
      <w:r w:rsidRPr="00B014BC">
        <w:rPr>
          <w:rFonts w:asciiTheme="minorHAnsi" w:hAnsiTheme="minorHAnsi" w:cstheme="minorHAnsi"/>
          <w:sz w:val="22"/>
          <w:szCs w:val="22"/>
        </w:rPr>
        <w:t xml:space="preserve"> Group</w:t>
      </w:r>
    </w:p>
    <w:p w14:paraId="646D1E6A" w14:textId="77777777" w:rsidR="003E053E" w:rsidRPr="00B014BC" w:rsidRDefault="003E053E"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Sídlo:</w:t>
      </w:r>
      <w:r w:rsidRPr="00B014BC">
        <w:rPr>
          <w:rFonts w:asciiTheme="minorHAnsi" w:hAnsiTheme="minorHAnsi" w:cstheme="minorHAnsi"/>
          <w:sz w:val="22"/>
          <w:szCs w:val="22"/>
        </w:rPr>
        <w:tab/>
      </w:r>
      <w:r w:rsidRPr="00B014BC">
        <w:rPr>
          <w:rFonts w:asciiTheme="minorHAnsi" w:hAnsiTheme="minorHAnsi" w:cstheme="minorHAnsi"/>
          <w:sz w:val="22"/>
          <w:szCs w:val="22"/>
        </w:rPr>
        <w:tab/>
      </w:r>
      <w:r w:rsidRPr="00B014BC">
        <w:rPr>
          <w:rFonts w:asciiTheme="minorHAnsi" w:hAnsiTheme="minorHAnsi" w:cstheme="minorHAnsi"/>
          <w:sz w:val="22"/>
          <w:szCs w:val="22"/>
        </w:rPr>
        <w:tab/>
        <w:t>Štefánikova 17, 811 05 Bratislava</w:t>
      </w:r>
    </w:p>
    <w:p w14:paraId="4934BA53" w14:textId="77777777" w:rsidR="003E053E" w:rsidRPr="00B014BC" w:rsidRDefault="003E053E"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Zapísaná:</w:t>
      </w:r>
      <w:r w:rsidRPr="00B014BC">
        <w:rPr>
          <w:rFonts w:asciiTheme="minorHAnsi" w:hAnsiTheme="minorHAnsi" w:cstheme="minorHAnsi"/>
          <w:sz w:val="22"/>
          <w:szCs w:val="22"/>
        </w:rPr>
        <w:tab/>
      </w:r>
      <w:r w:rsidRPr="00B014BC">
        <w:rPr>
          <w:rFonts w:asciiTheme="minorHAnsi" w:hAnsiTheme="minorHAnsi" w:cstheme="minorHAnsi"/>
          <w:sz w:val="22"/>
          <w:szCs w:val="22"/>
        </w:rPr>
        <w:tab/>
        <w:t>Obchodný register Okresného súdu Bratislava I, oddiel: Sa, vložka č. 3345/B</w:t>
      </w:r>
    </w:p>
    <w:p w14:paraId="06DCD8A0" w14:textId="77777777" w:rsidR="002C5DAC" w:rsidRPr="00B014BC" w:rsidRDefault="002C5DAC"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 xml:space="preserve">Dátum zápisu do obchodného registra: </w:t>
      </w:r>
      <w:r w:rsidRPr="00B014BC">
        <w:rPr>
          <w:rFonts w:asciiTheme="minorHAnsi" w:hAnsiTheme="minorHAnsi" w:cstheme="minorHAnsi"/>
          <w:sz w:val="22"/>
          <w:szCs w:val="22"/>
        </w:rPr>
        <w:tab/>
        <w:t>1. 1. 1994</w:t>
      </w:r>
    </w:p>
    <w:p w14:paraId="616F16C3" w14:textId="77777777" w:rsidR="002C5DAC" w:rsidRPr="00B014BC" w:rsidRDefault="002C5DAC" w:rsidP="004518BB">
      <w:pPr>
        <w:tabs>
          <w:tab w:val="left" w:pos="0"/>
          <w:tab w:val="left" w:pos="709"/>
        </w:tabs>
        <w:suppressAutoHyphens/>
        <w:spacing w:after="0" w:line="240" w:lineRule="auto"/>
        <w:rPr>
          <w:rFonts w:cstheme="minorHAnsi"/>
        </w:rPr>
      </w:pPr>
      <w:r w:rsidRPr="00B014BC">
        <w:rPr>
          <w:rFonts w:cstheme="minorHAnsi"/>
        </w:rPr>
        <w:t>Zá</w:t>
      </w:r>
      <w:r w:rsidR="002B21DA" w:rsidRPr="00B014BC">
        <w:rPr>
          <w:rFonts w:cstheme="minorHAnsi"/>
        </w:rPr>
        <w:t>kladné imanie:</w:t>
      </w:r>
      <w:r w:rsidR="002B21DA" w:rsidRPr="00B014BC">
        <w:rPr>
          <w:rFonts w:cstheme="minorHAnsi"/>
        </w:rPr>
        <w:tab/>
      </w:r>
      <w:r w:rsidR="002B21DA" w:rsidRPr="00B014BC">
        <w:rPr>
          <w:rFonts w:cstheme="minorHAnsi"/>
        </w:rPr>
        <w:tab/>
      </w:r>
      <w:r w:rsidR="002B21DA" w:rsidRPr="00B014BC">
        <w:rPr>
          <w:rFonts w:cstheme="minorHAnsi"/>
        </w:rPr>
        <w:tab/>
        <w:t>13 944 000,00 EUR</w:t>
      </w:r>
    </w:p>
    <w:p w14:paraId="7DC93038" w14:textId="77777777" w:rsidR="002C5DAC" w:rsidRPr="00B014BC" w:rsidRDefault="002C5DAC" w:rsidP="004518BB">
      <w:pPr>
        <w:tabs>
          <w:tab w:val="left" w:pos="0"/>
          <w:tab w:val="left" w:pos="709"/>
        </w:tabs>
        <w:suppressAutoHyphens/>
        <w:spacing w:after="0" w:line="240" w:lineRule="auto"/>
        <w:rPr>
          <w:rFonts w:cstheme="minorHAnsi"/>
        </w:rPr>
      </w:pPr>
      <w:r w:rsidRPr="00B014BC">
        <w:rPr>
          <w:rFonts w:cstheme="minorHAnsi"/>
        </w:rPr>
        <w:t>Roz</w:t>
      </w:r>
      <w:r w:rsidR="002B21DA" w:rsidRPr="00B014BC">
        <w:rPr>
          <w:rFonts w:cstheme="minorHAnsi"/>
        </w:rPr>
        <w:t>sah splatenia:</w:t>
      </w:r>
      <w:r w:rsidR="002B21DA" w:rsidRPr="00B014BC">
        <w:rPr>
          <w:rFonts w:cstheme="minorHAnsi"/>
        </w:rPr>
        <w:tab/>
      </w:r>
      <w:r w:rsidR="002B21DA" w:rsidRPr="00B014BC">
        <w:rPr>
          <w:rFonts w:cstheme="minorHAnsi"/>
        </w:rPr>
        <w:tab/>
      </w:r>
      <w:r w:rsidR="002B21DA" w:rsidRPr="00B014BC">
        <w:rPr>
          <w:rFonts w:cstheme="minorHAnsi"/>
        </w:rPr>
        <w:tab/>
        <w:t>13 944 000,00 EUR</w:t>
      </w:r>
    </w:p>
    <w:p w14:paraId="2A4BDE70" w14:textId="77777777" w:rsidR="002C5DAC" w:rsidRPr="00B014BC" w:rsidRDefault="002C5DAC" w:rsidP="004518BB">
      <w:pPr>
        <w:tabs>
          <w:tab w:val="left" w:pos="0"/>
          <w:tab w:val="left" w:pos="709"/>
        </w:tabs>
        <w:suppressAutoHyphens/>
        <w:spacing w:after="0" w:line="240" w:lineRule="auto"/>
        <w:rPr>
          <w:rFonts w:cstheme="minorHAnsi"/>
        </w:rPr>
      </w:pPr>
      <w:r w:rsidRPr="00B014BC">
        <w:rPr>
          <w:rFonts w:cstheme="minorHAnsi"/>
        </w:rPr>
        <w:t>Počet akcií:</w:t>
      </w:r>
      <w:r w:rsidRPr="00B014BC">
        <w:rPr>
          <w:rFonts w:cstheme="minorHAnsi"/>
        </w:rPr>
        <w:tab/>
      </w:r>
      <w:r w:rsidRPr="00B014BC">
        <w:rPr>
          <w:rFonts w:cstheme="minorHAnsi"/>
        </w:rPr>
        <w:tab/>
      </w:r>
      <w:r w:rsidRPr="00B014BC">
        <w:rPr>
          <w:rFonts w:cstheme="minorHAnsi"/>
        </w:rPr>
        <w:tab/>
      </w:r>
      <w:r w:rsidRPr="00B014BC">
        <w:rPr>
          <w:rFonts w:cstheme="minorHAnsi"/>
        </w:rPr>
        <w:tab/>
        <w:t>4 200 kmeňové, zaknihované</w:t>
      </w:r>
    </w:p>
    <w:p w14:paraId="3BA13F89" w14:textId="77777777" w:rsidR="002C5DAC" w:rsidRPr="00B014BC" w:rsidRDefault="002C5DAC" w:rsidP="004518BB">
      <w:pPr>
        <w:tabs>
          <w:tab w:val="left" w:pos="0"/>
          <w:tab w:val="left" w:pos="709"/>
        </w:tabs>
        <w:suppressAutoHyphens/>
        <w:spacing w:after="0" w:line="240" w:lineRule="auto"/>
        <w:rPr>
          <w:rFonts w:cstheme="minorHAnsi"/>
        </w:rPr>
      </w:pPr>
      <w:r w:rsidRPr="00B014BC">
        <w:rPr>
          <w:rFonts w:cstheme="minorHAnsi"/>
        </w:rPr>
        <w:t>Menovitá hodnota jednej akcie:</w:t>
      </w:r>
      <w:r w:rsidR="002B21DA" w:rsidRPr="00B014BC">
        <w:rPr>
          <w:rFonts w:cstheme="minorHAnsi"/>
        </w:rPr>
        <w:tab/>
        <w:t>3 320,00 EUR</w:t>
      </w:r>
    </w:p>
    <w:p w14:paraId="340F443C" w14:textId="77777777" w:rsidR="002C5DAC" w:rsidRPr="00B014BC" w:rsidRDefault="002C5DAC" w:rsidP="004518BB">
      <w:pPr>
        <w:tabs>
          <w:tab w:val="left" w:pos="0"/>
          <w:tab w:val="left" w:pos="709"/>
        </w:tabs>
        <w:suppressAutoHyphens/>
        <w:spacing w:after="0" w:line="240" w:lineRule="auto"/>
        <w:rPr>
          <w:rFonts w:cstheme="minorHAnsi"/>
        </w:rPr>
      </w:pPr>
    </w:p>
    <w:p w14:paraId="48B986FD" w14:textId="77777777" w:rsidR="002C5DAC" w:rsidRPr="00B014BC" w:rsidRDefault="002C5DAC" w:rsidP="004518BB">
      <w:pPr>
        <w:tabs>
          <w:tab w:val="left" w:pos="0"/>
          <w:tab w:val="left" w:pos="709"/>
        </w:tabs>
        <w:suppressAutoHyphens/>
        <w:spacing w:after="0" w:line="240" w:lineRule="auto"/>
        <w:rPr>
          <w:rFonts w:cstheme="minorHAnsi"/>
          <w:b/>
        </w:rPr>
      </w:pPr>
      <w:r w:rsidRPr="00B014BC">
        <w:rPr>
          <w:rFonts w:cstheme="minorHAnsi"/>
          <w:b/>
        </w:rPr>
        <w:t>Akcionárska štruktúra</w:t>
      </w:r>
    </w:p>
    <w:p w14:paraId="107C85E8" w14:textId="77777777" w:rsidR="002C5DAC" w:rsidRPr="00B014BC" w:rsidRDefault="002C5DAC" w:rsidP="004518BB">
      <w:pPr>
        <w:tabs>
          <w:tab w:val="left" w:pos="0"/>
          <w:tab w:val="left" w:pos="709"/>
        </w:tabs>
        <w:suppressAutoHyphens/>
        <w:spacing w:after="0" w:line="240" w:lineRule="auto"/>
        <w:rPr>
          <w:rFonts w:cstheme="minorHAnsi"/>
        </w:rPr>
      </w:pPr>
      <w:r w:rsidRPr="00B014BC">
        <w:rPr>
          <w:rFonts w:cstheme="minorHAnsi"/>
        </w:rPr>
        <w:t xml:space="preserve">KOOPERATIVA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- 81,14 %, 3 408 akcií</w:t>
      </w:r>
    </w:p>
    <w:p w14:paraId="1429E1A3" w14:textId="77777777" w:rsidR="002C5DAC" w:rsidRPr="00B014BC" w:rsidRDefault="002C5DAC" w:rsidP="004518BB">
      <w:pPr>
        <w:tabs>
          <w:tab w:val="left" w:pos="0"/>
          <w:tab w:val="left" w:pos="709"/>
        </w:tabs>
        <w:suppressAutoHyphens/>
        <w:spacing w:after="0" w:line="240" w:lineRule="auto"/>
        <w:rPr>
          <w:rFonts w:cstheme="minorHAnsi"/>
        </w:rPr>
      </w:pP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AG Wiener </w:t>
      </w:r>
      <w:proofErr w:type="spellStart"/>
      <w:r w:rsidRPr="00B014BC">
        <w:rPr>
          <w:rFonts w:cstheme="minorHAnsi"/>
        </w:rPr>
        <w:t>Versicherung</w:t>
      </w:r>
      <w:proofErr w:type="spellEnd"/>
      <w:r w:rsidRPr="00B014BC">
        <w:rPr>
          <w:rFonts w:cstheme="minorHAnsi"/>
        </w:rPr>
        <w:t xml:space="preserve"> </w:t>
      </w:r>
      <w:proofErr w:type="spellStart"/>
      <w:r w:rsidRPr="00B014BC">
        <w:rPr>
          <w:rFonts w:cstheme="minorHAnsi"/>
        </w:rPr>
        <w:t>Gruppe</w:t>
      </w:r>
      <w:proofErr w:type="spellEnd"/>
      <w:r w:rsidRPr="00B014BC">
        <w:rPr>
          <w:rFonts w:cstheme="minorHAnsi"/>
        </w:rPr>
        <w:t xml:space="preserve"> - 18,86 %, 792 akcií</w:t>
      </w:r>
    </w:p>
    <w:p w14:paraId="25C1E137" w14:textId="77777777" w:rsidR="002C5DAC" w:rsidRPr="00B014BC" w:rsidRDefault="002C5DAC" w:rsidP="004518BB">
      <w:pPr>
        <w:tabs>
          <w:tab w:val="left" w:pos="0"/>
          <w:tab w:val="left" w:pos="709"/>
        </w:tabs>
        <w:suppressAutoHyphens/>
        <w:spacing w:after="0" w:line="240" w:lineRule="auto"/>
        <w:rPr>
          <w:rFonts w:cstheme="minorHAnsi"/>
        </w:rPr>
      </w:pPr>
      <w:r w:rsidRPr="00B014BC">
        <w:rPr>
          <w:rFonts w:cstheme="minorHAnsi"/>
        </w:rPr>
        <w:tab/>
      </w:r>
      <w:r w:rsidRPr="00B014BC">
        <w:rPr>
          <w:rFonts w:cstheme="minorHAnsi"/>
        </w:rPr>
        <w:tab/>
      </w:r>
      <w:r w:rsidRPr="00B014BC">
        <w:rPr>
          <w:rFonts w:cstheme="minorHAnsi"/>
        </w:rPr>
        <w:tab/>
      </w:r>
    </w:p>
    <w:p w14:paraId="19E9BAE6" w14:textId="77777777" w:rsidR="002C5DAC" w:rsidRPr="00B014BC" w:rsidRDefault="002C5DAC" w:rsidP="004518BB">
      <w:pPr>
        <w:pStyle w:val="Header"/>
        <w:tabs>
          <w:tab w:val="clear" w:pos="4536"/>
          <w:tab w:val="clear" w:pos="9072"/>
        </w:tabs>
        <w:rPr>
          <w:rFonts w:asciiTheme="minorHAnsi" w:hAnsiTheme="minorHAnsi" w:cstheme="minorHAnsi"/>
          <w:b/>
          <w:sz w:val="22"/>
          <w:szCs w:val="22"/>
        </w:rPr>
      </w:pPr>
      <w:r w:rsidRPr="00B014BC">
        <w:rPr>
          <w:rFonts w:asciiTheme="minorHAnsi" w:hAnsiTheme="minorHAnsi" w:cstheme="minorHAnsi"/>
          <w:b/>
          <w:sz w:val="22"/>
          <w:szCs w:val="22"/>
        </w:rPr>
        <w:t>Majetkové účasti</w:t>
      </w:r>
    </w:p>
    <w:p w14:paraId="36B3BAB5" w14:textId="5F800FDD" w:rsidR="002C5DAC" w:rsidRPr="00B014BC" w:rsidRDefault="002C5DAC"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Slovexperta</w:t>
      </w:r>
      <w:proofErr w:type="spellEnd"/>
      <w:r w:rsidRPr="00B014BC">
        <w:rPr>
          <w:rFonts w:asciiTheme="minorHAnsi" w:hAnsiTheme="minorHAnsi" w:cstheme="minorHAnsi"/>
          <w:sz w:val="22"/>
          <w:szCs w:val="22"/>
        </w:rPr>
        <w:t>, s.</w:t>
      </w:r>
      <w:r w:rsidR="00E2292D">
        <w:rPr>
          <w:rFonts w:asciiTheme="minorHAnsi" w:hAnsiTheme="minorHAnsi" w:cstheme="minorHAnsi"/>
          <w:sz w:val="22"/>
          <w:szCs w:val="22"/>
        </w:rPr>
        <w:t xml:space="preserve"> </w:t>
      </w:r>
      <w:r w:rsidRPr="00B014BC">
        <w:rPr>
          <w:rFonts w:asciiTheme="minorHAnsi" w:hAnsiTheme="minorHAnsi" w:cstheme="minorHAnsi"/>
          <w:sz w:val="22"/>
          <w:szCs w:val="22"/>
        </w:rPr>
        <w:t>r.</w:t>
      </w:r>
      <w:r w:rsidR="00E2292D">
        <w:rPr>
          <w:rFonts w:asciiTheme="minorHAnsi" w:hAnsiTheme="minorHAnsi" w:cstheme="minorHAnsi"/>
          <w:sz w:val="22"/>
          <w:szCs w:val="22"/>
        </w:rPr>
        <w:t xml:space="preserve"> </w:t>
      </w:r>
      <w:r w:rsidRPr="00B014BC">
        <w:rPr>
          <w:rFonts w:asciiTheme="minorHAnsi" w:hAnsiTheme="minorHAnsi" w:cstheme="minorHAnsi"/>
          <w:sz w:val="22"/>
          <w:szCs w:val="22"/>
        </w:rPr>
        <w:t>o. – 15 %</w:t>
      </w:r>
    </w:p>
    <w:p w14:paraId="280E9197" w14:textId="77777777" w:rsidR="000600A1" w:rsidRPr="00B014BC" w:rsidRDefault="000600A1" w:rsidP="004518BB">
      <w:pPr>
        <w:pStyle w:val="Header"/>
        <w:tabs>
          <w:tab w:val="clear" w:pos="4536"/>
          <w:tab w:val="clear" w:pos="9072"/>
        </w:tabs>
        <w:rPr>
          <w:rFonts w:asciiTheme="minorHAnsi" w:hAnsiTheme="minorHAnsi" w:cstheme="minorHAnsi"/>
          <w:b/>
          <w:sz w:val="22"/>
          <w:szCs w:val="22"/>
        </w:rPr>
      </w:pPr>
    </w:p>
    <w:p w14:paraId="51F40D8B" w14:textId="77777777" w:rsidR="003E053E" w:rsidRPr="00B014BC" w:rsidRDefault="002B21DA" w:rsidP="004518BB">
      <w:pPr>
        <w:pStyle w:val="Header"/>
        <w:tabs>
          <w:tab w:val="clear" w:pos="4536"/>
          <w:tab w:val="clear" w:pos="9072"/>
        </w:tabs>
        <w:rPr>
          <w:rFonts w:asciiTheme="minorHAnsi" w:hAnsiTheme="minorHAnsi" w:cstheme="minorHAnsi"/>
          <w:b/>
          <w:sz w:val="22"/>
          <w:szCs w:val="22"/>
        </w:rPr>
      </w:pPr>
      <w:r w:rsidRPr="00B014BC">
        <w:rPr>
          <w:rFonts w:asciiTheme="minorHAnsi" w:hAnsiTheme="minorHAnsi" w:cstheme="minorHAnsi"/>
          <w:b/>
          <w:sz w:val="22"/>
          <w:szCs w:val="22"/>
        </w:rPr>
        <w:t>Predmet podnikania</w:t>
      </w:r>
    </w:p>
    <w:p w14:paraId="1AB87679" w14:textId="77777777" w:rsidR="003E053E" w:rsidRPr="00B014BC" w:rsidRDefault="003E053E" w:rsidP="004518BB">
      <w:pPr>
        <w:tabs>
          <w:tab w:val="left" w:pos="0"/>
        </w:tabs>
        <w:suppressAutoHyphens/>
        <w:spacing w:after="0" w:line="240" w:lineRule="auto"/>
        <w:rPr>
          <w:rFonts w:cstheme="minorHAnsi"/>
        </w:rPr>
      </w:pPr>
      <w:r w:rsidRPr="00B014BC">
        <w:rPr>
          <w:rFonts w:cstheme="minorHAnsi"/>
        </w:rPr>
        <w:t>Predmetom podnikania spoločnosti je vykonávanie poisťovacej činnosti pre poistný druh životného poistenia a pre poistný druh neživotného poistenia podľa jednotlivých poistných odvetví, a to v rozsahu:</w:t>
      </w:r>
    </w:p>
    <w:p w14:paraId="31A5C5CB" w14:textId="77777777" w:rsidR="003E053E" w:rsidRPr="00B014BC" w:rsidRDefault="003E053E" w:rsidP="004518BB">
      <w:pPr>
        <w:tabs>
          <w:tab w:val="left" w:pos="0"/>
        </w:tabs>
        <w:suppressAutoHyphens/>
        <w:spacing w:after="0" w:line="240" w:lineRule="auto"/>
        <w:rPr>
          <w:rFonts w:cstheme="minorHAnsi"/>
        </w:rPr>
      </w:pPr>
    </w:p>
    <w:p w14:paraId="3FA1BB50" w14:textId="77777777" w:rsidR="003E053E" w:rsidRPr="00B014BC" w:rsidRDefault="003E053E" w:rsidP="004518BB">
      <w:pPr>
        <w:tabs>
          <w:tab w:val="left" w:pos="900"/>
        </w:tabs>
        <w:suppressAutoHyphens/>
        <w:spacing w:after="0" w:line="240" w:lineRule="auto"/>
        <w:rPr>
          <w:rFonts w:cstheme="minorHAnsi"/>
        </w:rPr>
      </w:pPr>
      <w:r w:rsidRPr="00B014BC">
        <w:rPr>
          <w:rFonts w:cstheme="minorHAnsi"/>
        </w:rPr>
        <w:t>Časť A - odvetvia životného poistenia</w:t>
      </w:r>
    </w:p>
    <w:p w14:paraId="3A9BB93D" w14:textId="77777777" w:rsidR="003E053E" w:rsidRPr="00B014BC" w:rsidRDefault="003E053E" w:rsidP="004518BB">
      <w:pPr>
        <w:tabs>
          <w:tab w:val="left" w:pos="0"/>
        </w:tabs>
        <w:suppressAutoHyphens/>
        <w:spacing w:after="0" w:line="240" w:lineRule="auto"/>
        <w:rPr>
          <w:rFonts w:cstheme="minorHAnsi"/>
        </w:rPr>
      </w:pPr>
    </w:p>
    <w:p w14:paraId="031E3673" w14:textId="77777777" w:rsidR="003E053E" w:rsidRPr="00B014BC" w:rsidRDefault="003E053E" w:rsidP="004518BB">
      <w:pPr>
        <w:numPr>
          <w:ilvl w:val="0"/>
          <w:numId w:val="3"/>
        </w:numPr>
        <w:tabs>
          <w:tab w:val="left" w:pos="0"/>
        </w:tabs>
        <w:suppressAutoHyphens/>
        <w:spacing w:after="0" w:line="240" w:lineRule="auto"/>
        <w:rPr>
          <w:rFonts w:cstheme="minorHAnsi"/>
        </w:rPr>
      </w:pPr>
      <w:r w:rsidRPr="00B014BC">
        <w:rPr>
          <w:rFonts w:cstheme="minorHAnsi"/>
        </w:rPr>
        <w:t>Poistenie pre prípad smrti, poistenie pre prípad dožitia alebo poistenie pre prípad smrti alebo dožitia.</w:t>
      </w:r>
    </w:p>
    <w:p w14:paraId="391B92B9" w14:textId="77777777" w:rsidR="003E053E" w:rsidRPr="00B014BC" w:rsidRDefault="003E053E" w:rsidP="004518BB">
      <w:pPr>
        <w:numPr>
          <w:ilvl w:val="0"/>
          <w:numId w:val="3"/>
        </w:numPr>
        <w:tabs>
          <w:tab w:val="left" w:pos="0"/>
        </w:tabs>
        <w:suppressAutoHyphens/>
        <w:spacing w:after="0" w:line="240" w:lineRule="auto"/>
        <w:rPr>
          <w:rFonts w:cstheme="minorHAnsi"/>
        </w:rPr>
      </w:pPr>
      <w:r w:rsidRPr="00B014BC">
        <w:rPr>
          <w:rFonts w:cstheme="minorHAnsi"/>
        </w:rPr>
        <w:t>Poistenie vena alebo prostriedkov na výživu detí.</w:t>
      </w:r>
    </w:p>
    <w:p w14:paraId="71D89ED8" w14:textId="77777777" w:rsidR="003E053E" w:rsidRPr="00B014BC" w:rsidRDefault="003E053E" w:rsidP="004518BB">
      <w:pPr>
        <w:numPr>
          <w:ilvl w:val="0"/>
          <w:numId w:val="3"/>
        </w:numPr>
        <w:tabs>
          <w:tab w:val="left" w:pos="0"/>
        </w:tabs>
        <w:suppressAutoHyphens/>
        <w:spacing w:after="0" w:line="240" w:lineRule="auto"/>
        <w:rPr>
          <w:rFonts w:cstheme="minorHAnsi"/>
        </w:rPr>
      </w:pPr>
      <w:r w:rsidRPr="00B014BC">
        <w:rPr>
          <w:rFonts w:cstheme="minorHAnsi"/>
        </w:rPr>
        <w:t>Poistenie spojené s kapitalizačnými zmluvami.</w:t>
      </w:r>
    </w:p>
    <w:p w14:paraId="1E52BAEF" w14:textId="77777777" w:rsidR="003E053E" w:rsidRPr="00B014BC" w:rsidRDefault="003E053E" w:rsidP="004518BB">
      <w:pPr>
        <w:numPr>
          <w:ilvl w:val="0"/>
          <w:numId w:val="3"/>
        </w:numPr>
        <w:tabs>
          <w:tab w:val="left" w:pos="0"/>
        </w:tabs>
        <w:suppressAutoHyphens/>
        <w:spacing w:after="0" w:line="240" w:lineRule="auto"/>
        <w:rPr>
          <w:rFonts w:cstheme="minorHAnsi"/>
        </w:rPr>
      </w:pPr>
      <w:r w:rsidRPr="00B014BC">
        <w:rPr>
          <w:rFonts w:cstheme="minorHAnsi"/>
        </w:rPr>
        <w:t>Poistenie podľa bodov 1 a 3 spojené s investičným fondom.</w:t>
      </w:r>
    </w:p>
    <w:p w14:paraId="66DA1D0B" w14:textId="77777777" w:rsidR="003E053E" w:rsidRPr="00B014BC" w:rsidRDefault="003E053E" w:rsidP="004518BB">
      <w:pPr>
        <w:numPr>
          <w:ilvl w:val="0"/>
          <w:numId w:val="3"/>
        </w:numPr>
        <w:tabs>
          <w:tab w:val="left" w:pos="0"/>
        </w:tabs>
        <w:suppressAutoHyphens/>
        <w:spacing w:after="0" w:line="240" w:lineRule="auto"/>
        <w:rPr>
          <w:rFonts w:cstheme="minorHAnsi"/>
        </w:rPr>
      </w:pPr>
      <w:r w:rsidRPr="00B014BC">
        <w:rPr>
          <w:rFonts w:cstheme="minorHAnsi"/>
        </w:rPr>
        <w:t>Dôchodkové poistenie.</w:t>
      </w:r>
    </w:p>
    <w:p w14:paraId="58990E01" w14:textId="77777777" w:rsidR="003E053E" w:rsidRPr="00B014BC" w:rsidRDefault="003E053E" w:rsidP="004518BB">
      <w:pPr>
        <w:numPr>
          <w:ilvl w:val="0"/>
          <w:numId w:val="3"/>
        </w:numPr>
        <w:tabs>
          <w:tab w:val="left" w:pos="0"/>
        </w:tabs>
        <w:suppressAutoHyphens/>
        <w:spacing w:after="0" w:line="240" w:lineRule="auto"/>
        <w:rPr>
          <w:rFonts w:cstheme="minorHAnsi"/>
        </w:rPr>
      </w:pPr>
      <w:r w:rsidRPr="00B014BC">
        <w:rPr>
          <w:rFonts w:cstheme="minorHAnsi"/>
        </w:rPr>
        <w:t>Poistenie pre prípad úrazu alebo choroby, ak je pripoistením niektorého poistného odvetvia uvedeného v bodoch 1 až 5.</w:t>
      </w:r>
    </w:p>
    <w:p w14:paraId="02BB227F" w14:textId="77777777" w:rsidR="003E053E" w:rsidRPr="00B014BC" w:rsidRDefault="003E053E" w:rsidP="004518BB">
      <w:pPr>
        <w:tabs>
          <w:tab w:val="left" w:pos="0"/>
        </w:tabs>
        <w:suppressAutoHyphens/>
        <w:spacing w:after="0" w:line="240" w:lineRule="auto"/>
        <w:rPr>
          <w:rFonts w:cstheme="minorHAnsi"/>
        </w:rPr>
      </w:pPr>
    </w:p>
    <w:p w14:paraId="6027055A" w14:textId="77777777" w:rsidR="003E053E" w:rsidRPr="00B014BC" w:rsidRDefault="003E053E" w:rsidP="004518BB">
      <w:pPr>
        <w:tabs>
          <w:tab w:val="left" w:pos="0"/>
        </w:tabs>
        <w:suppressAutoHyphens/>
        <w:spacing w:after="0" w:line="240" w:lineRule="auto"/>
        <w:rPr>
          <w:rFonts w:cstheme="minorHAnsi"/>
        </w:rPr>
      </w:pPr>
      <w:r w:rsidRPr="00B014BC">
        <w:rPr>
          <w:rFonts w:cstheme="minorHAnsi"/>
        </w:rPr>
        <w:t>Časť B – odvetvia neživotného poistenia</w:t>
      </w:r>
    </w:p>
    <w:p w14:paraId="540535C6" w14:textId="77777777" w:rsidR="003E053E" w:rsidRPr="00B014BC" w:rsidRDefault="003E053E" w:rsidP="004518BB">
      <w:pPr>
        <w:tabs>
          <w:tab w:val="left" w:pos="0"/>
        </w:tabs>
        <w:suppressAutoHyphens/>
        <w:spacing w:after="0" w:line="240" w:lineRule="auto"/>
        <w:rPr>
          <w:rFonts w:cstheme="minorHAnsi"/>
        </w:rPr>
      </w:pPr>
    </w:p>
    <w:p w14:paraId="66ECC2DF" w14:textId="77777777" w:rsidR="003E053E" w:rsidRPr="00B014BC" w:rsidRDefault="003E053E" w:rsidP="004518BB">
      <w:pPr>
        <w:numPr>
          <w:ilvl w:val="0"/>
          <w:numId w:val="4"/>
        </w:numPr>
        <w:tabs>
          <w:tab w:val="clear" w:pos="720"/>
          <w:tab w:val="left" w:pos="0"/>
          <w:tab w:val="num" w:pos="900"/>
        </w:tabs>
        <w:suppressAutoHyphens/>
        <w:spacing w:after="0" w:line="240" w:lineRule="auto"/>
        <w:rPr>
          <w:rFonts w:cstheme="minorHAnsi"/>
        </w:rPr>
      </w:pPr>
      <w:r w:rsidRPr="00B014BC">
        <w:rPr>
          <w:rFonts w:cstheme="minorHAnsi"/>
        </w:rPr>
        <w:t>Poistenie úrazu</w:t>
      </w:r>
    </w:p>
    <w:p w14:paraId="23FCCBF7"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s jednorazovým plnením,</w:t>
      </w:r>
    </w:p>
    <w:p w14:paraId="34298C3C"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s opakovaným plnením,</w:t>
      </w:r>
    </w:p>
    <w:p w14:paraId="38F5BAE8"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s kombinovaným plnením,</w:t>
      </w:r>
    </w:p>
    <w:p w14:paraId="46101958"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cestujúcich,</w:t>
      </w:r>
    </w:p>
    <w:p w14:paraId="72A90E3F"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individuálne zdravotné poistenie.</w:t>
      </w:r>
    </w:p>
    <w:p w14:paraId="5A947973" w14:textId="77777777" w:rsidR="003E053E" w:rsidRPr="00B014BC" w:rsidRDefault="003E053E" w:rsidP="004518BB">
      <w:pPr>
        <w:tabs>
          <w:tab w:val="left" w:pos="0"/>
        </w:tabs>
        <w:suppressAutoHyphens/>
        <w:spacing w:after="0" w:line="240" w:lineRule="auto"/>
        <w:rPr>
          <w:rFonts w:cstheme="minorHAnsi"/>
        </w:rPr>
      </w:pPr>
    </w:p>
    <w:p w14:paraId="0D0426A5" w14:textId="77777777" w:rsidR="003E053E" w:rsidRPr="00B014BC" w:rsidRDefault="003E053E" w:rsidP="004518BB">
      <w:pPr>
        <w:numPr>
          <w:ilvl w:val="0"/>
          <w:numId w:val="4"/>
        </w:numPr>
        <w:tabs>
          <w:tab w:val="clear" w:pos="720"/>
          <w:tab w:val="left" w:pos="0"/>
          <w:tab w:val="num" w:pos="900"/>
        </w:tabs>
        <w:suppressAutoHyphens/>
        <w:spacing w:after="0" w:line="240" w:lineRule="auto"/>
        <w:rPr>
          <w:rFonts w:cstheme="minorHAnsi"/>
        </w:rPr>
      </w:pPr>
      <w:r w:rsidRPr="00B014BC">
        <w:rPr>
          <w:rFonts w:cstheme="minorHAnsi"/>
        </w:rPr>
        <w:lastRenderedPageBreak/>
        <w:t>Poistenie choroby</w:t>
      </w:r>
    </w:p>
    <w:p w14:paraId="734B30B3"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s jednorazovým plnením,</w:t>
      </w:r>
    </w:p>
    <w:p w14:paraId="26983C0A"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s opakovaným plnením,</w:t>
      </w:r>
    </w:p>
    <w:p w14:paraId="39440C99"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s kombinovaným plnením,</w:t>
      </w:r>
    </w:p>
    <w:p w14:paraId="02A40F92"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zmluvné poistenie a pripoistenie,</w:t>
      </w:r>
    </w:p>
    <w:p w14:paraId="6AF5FA2D"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individuálne zdravotné poistenie.</w:t>
      </w:r>
    </w:p>
    <w:p w14:paraId="798B7BA5" w14:textId="77777777" w:rsidR="003E053E" w:rsidRPr="00B014BC" w:rsidRDefault="003E053E" w:rsidP="004518BB">
      <w:pPr>
        <w:tabs>
          <w:tab w:val="left" w:pos="0"/>
        </w:tabs>
        <w:suppressAutoHyphens/>
        <w:spacing w:after="0" w:line="240" w:lineRule="auto"/>
        <w:rPr>
          <w:rFonts w:cstheme="minorHAnsi"/>
        </w:rPr>
      </w:pPr>
    </w:p>
    <w:p w14:paraId="77135E0D" w14:textId="77777777" w:rsidR="003E053E" w:rsidRPr="00B014BC" w:rsidRDefault="003E053E" w:rsidP="004518BB">
      <w:pPr>
        <w:numPr>
          <w:ilvl w:val="0"/>
          <w:numId w:val="4"/>
        </w:numPr>
        <w:tabs>
          <w:tab w:val="clear" w:pos="720"/>
          <w:tab w:val="left" w:pos="0"/>
          <w:tab w:val="num" w:pos="900"/>
        </w:tabs>
        <w:suppressAutoHyphens/>
        <w:spacing w:after="0" w:line="240" w:lineRule="auto"/>
        <w:ind w:left="900" w:hanging="540"/>
        <w:rPr>
          <w:rFonts w:cstheme="minorHAnsi"/>
        </w:rPr>
      </w:pPr>
      <w:r w:rsidRPr="00B014BC">
        <w:rPr>
          <w:rFonts w:cstheme="minorHAnsi"/>
        </w:rPr>
        <w:t>Poistenie škôd na pozemných dopravných prostriedkoch iných než koľajových</w:t>
      </w:r>
    </w:p>
    <w:p w14:paraId="3D0C1554"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motorových,</w:t>
      </w:r>
    </w:p>
    <w:p w14:paraId="139B140E" w14:textId="77777777" w:rsidR="003E053E" w:rsidRPr="00B014BC" w:rsidRDefault="003E053E" w:rsidP="004518BB">
      <w:pPr>
        <w:numPr>
          <w:ilvl w:val="1"/>
          <w:numId w:val="4"/>
        </w:numPr>
        <w:tabs>
          <w:tab w:val="left" w:pos="0"/>
        </w:tabs>
        <w:suppressAutoHyphens/>
        <w:spacing w:after="0" w:line="240" w:lineRule="auto"/>
        <w:rPr>
          <w:rFonts w:cstheme="minorHAnsi"/>
        </w:rPr>
      </w:pPr>
      <w:r w:rsidRPr="00B014BC">
        <w:rPr>
          <w:rFonts w:cstheme="minorHAnsi"/>
        </w:rPr>
        <w:t>nemotorových</w:t>
      </w:r>
    </w:p>
    <w:p w14:paraId="3F5D1D13" w14:textId="77777777" w:rsidR="003E053E" w:rsidRPr="00B014BC" w:rsidRDefault="003E053E" w:rsidP="004518BB">
      <w:pPr>
        <w:tabs>
          <w:tab w:val="left" w:pos="0"/>
        </w:tabs>
        <w:suppressAutoHyphens/>
        <w:spacing w:after="0" w:line="240" w:lineRule="auto"/>
        <w:ind w:left="1080"/>
        <w:rPr>
          <w:rFonts w:cstheme="minorHAnsi"/>
        </w:rPr>
      </w:pPr>
    </w:p>
    <w:p w14:paraId="72314062" w14:textId="77777777" w:rsidR="003E053E" w:rsidRPr="00B014BC" w:rsidRDefault="003E053E" w:rsidP="004518BB">
      <w:pPr>
        <w:numPr>
          <w:ilvl w:val="0"/>
          <w:numId w:val="3"/>
        </w:numPr>
        <w:tabs>
          <w:tab w:val="clear" w:pos="720"/>
          <w:tab w:val="left" w:pos="0"/>
          <w:tab w:val="num" w:pos="900"/>
        </w:tabs>
        <w:suppressAutoHyphens/>
        <w:spacing w:after="0" w:line="240" w:lineRule="auto"/>
        <w:ind w:left="900" w:hanging="540"/>
        <w:rPr>
          <w:rFonts w:cstheme="minorHAnsi"/>
        </w:rPr>
      </w:pPr>
      <w:r w:rsidRPr="00B014BC">
        <w:rPr>
          <w:rFonts w:cstheme="minorHAnsi"/>
        </w:rPr>
        <w:t>Poistenie dopravy tovaru počas prepravy vrátane batožín a iného majetku bez ohľadu na použitý dopravný prostriedok.</w:t>
      </w:r>
    </w:p>
    <w:p w14:paraId="667FF1AD" w14:textId="77777777" w:rsidR="003E053E" w:rsidRPr="00B014BC" w:rsidRDefault="003E053E" w:rsidP="004518BB">
      <w:pPr>
        <w:tabs>
          <w:tab w:val="left" w:pos="0"/>
        </w:tabs>
        <w:suppressAutoHyphens/>
        <w:spacing w:after="0" w:line="240" w:lineRule="auto"/>
        <w:ind w:left="360"/>
        <w:rPr>
          <w:rFonts w:cstheme="minorHAnsi"/>
        </w:rPr>
      </w:pPr>
    </w:p>
    <w:p w14:paraId="55676046" w14:textId="77777777" w:rsidR="003E053E" w:rsidRPr="00B014BC" w:rsidRDefault="003E053E" w:rsidP="004518BB">
      <w:pPr>
        <w:tabs>
          <w:tab w:val="left" w:pos="0"/>
        </w:tabs>
        <w:suppressAutoHyphens/>
        <w:spacing w:after="0" w:line="240" w:lineRule="auto"/>
        <w:ind w:left="900" w:hanging="540"/>
        <w:rPr>
          <w:rFonts w:cstheme="minorHAnsi"/>
        </w:rPr>
      </w:pPr>
      <w:r w:rsidRPr="00B014BC">
        <w:rPr>
          <w:rFonts w:cstheme="minorHAnsi"/>
        </w:rPr>
        <w:t xml:space="preserve">8. </w:t>
      </w:r>
      <w:r w:rsidRPr="00B014BC">
        <w:rPr>
          <w:rFonts w:cstheme="minorHAnsi"/>
        </w:rPr>
        <w:tab/>
        <w:t>Poistenie škôd na inom majetku, ako je uvedené v bodoch 3 až 7, spôsobených</w:t>
      </w:r>
    </w:p>
    <w:p w14:paraId="79E542E1" w14:textId="77777777" w:rsidR="003E053E" w:rsidRPr="00B014BC" w:rsidRDefault="003E053E" w:rsidP="004518BB">
      <w:pPr>
        <w:tabs>
          <w:tab w:val="left" w:pos="0"/>
        </w:tabs>
        <w:suppressAutoHyphens/>
        <w:spacing w:after="0" w:line="240" w:lineRule="auto"/>
        <w:ind w:left="1080" w:hanging="720"/>
        <w:rPr>
          <w:rFonts w:cstheme="minorHAnsi"/>
        </w:rPr>
      </w:pPr>
      <w:r w:rsidRPr="00B014BC">
        <w:rPr>
          <w:rFonts w:cstheme="minorHAnsi"/>
        </w:rPr>
        <w:tab/>
        <w:t>a) požiarom,</w:t>
      </w:r>
    </w:p>
    <w:p w14:paraId="6B43AFB1" w14:textId="77777777" w:rsidR="003E053E" w:rsidRPr="00B014BC" w:rsidRDefault="003E053E" w:rsidP="004518BB">
      <w:pPr>
        <w:tabs>
          <w:tab w:val="left" w:pos="0"/>
        </w:tabs>
        <w:suppressAutoHyphens/>
        <w:spacing w:after="0" w:line="240" w:lineRule="auto"/>
        <w:ind w:left="1080" w:hanging="720"/>
        <w:rPr>
          <w:rFonts w:cstheme="minorHAnsi"/>
        </w:rPr>
      </w:pPr>
      <w:r w:rsidRPr="00B014BC">
        <w:rPr>
          <w:rFonts w:cstheme="minorHAnsi"/>
        </w:rPr>
        <w:tab/>
        <w:t>b) výbuchom,</w:t>
      </w:r>
    </w:p>
    <w:p w14:paraId="1EB8002E" w14:textId="77777777" w:rsidR="003E053E" w:rsidRPr="00B014BC" w:rsidRDefault="003E053E" w:rsidP="004518BB">
      <w:pPr>
        <w:tabs>
          <w:tab w:val="left" w:pos="0"/>
        </w:tabs>
        <w:suppressAutoHyphens/>
        <w:spacing w:after="0" w:line="240" w:lineRule="auto"/>
        <w:ind w:left="1080" w:hanging="720"/>
        <w:rPr>
          <w:rFonts w:cstheme="minorHAnsi"/>
        </w:rPr>
      </w:pPr>
      <w:r w:rsidRPr="00B014BC">
        <w:rPr>
          <w:rFonts w:cstheme="minorHAnsi"/>
        </w:rPr>
        <w:tab/>
        <w:t>c) víchricou,</w:t>
      </w:r>
    </w:p>
    <w:p w14:paraId="13EBA753" w14:textId="77777777" w:rsidR="003E053E" w:rsidRPr="00B014BC" w:rsidRDefault="003E053E" w:rsidP="004518BB">
      <w:pPr>
        <w:tabs>
          <w:tab w:val="left" w:pos="0"/>
        </w:tabs>
        <w:suppressAutoHyphens/>
        <w:spacing w:after="0" w:line="240" w:lineRule="auto"/>
        <w:ind w:left="1080" w:hanging="720"/>
        <w:rPr>
          <w:rFonts w:cstheme="minorHAnsi"/>
        </w:rPr>
      </w:pPr>
      <w:r w:rsidRPr="00B014BC">
        <w:rPr>
          <w:rFonts w:cstheme="minorHAnsi"/>
        </w:rPr>
        <w:tab/>
        <w:t>d) prírodnými živlami inými ako víchrica,</w:t>
      </w:r>
    </w:p>
    <w:p w14:paraId="527EE0FC" w14:textId="77777777" w:rsidR="003E053E" w:rsidRPr="00B014BC" w:rsidRDefault="003E053E" w:rsidP="004518BB">
      <w:pPr>
        <w:tabs>
          <w:tab w:val="left" w:pos="0"/>
        </w:tabs>
        <w:suppressAutoHyphens/>
        <w:spacing w:after="0" w:line="240" w:lineRule="auto"/>
        <w:ind w:left="1080" w:hanging="720"/>
        <w:rPr>
          <w:rFonts w:cstheme="minorHAnsi"/>
        </w:rPr>
      </w:pPr>
      <w:r w:rsidRPr="00B014BC">
        <w:rPr>
          <w:rFonts w:cstheme="minorHAnsi"/>
        </w:rPr>
        <w:tab/>
        <w:t>e) jadrovou energiou,</w:t>
      </w:r>
    </w:p>
    <w:p w14:paraId="688A0879" w14:textId="77777777" w:rsidR="003E053E" w:rsidRPr="00B014BC" w:rsidRDefault="003E053E" w:rsidP="004518BB">
      <w:pPr>
        <w:tabs>
          <w:tab w:val="left" w:pos="0"/>
        </w:tabs>
        <w:suppressAutoHyphens/>
        <w:spacing w:after="0" w:line="240" w:lineRule="auto"/>
        <w:ind w:left="1080" w:hanging="720"/>
        <w:rPr>
          <w:rFonts w:cstheme="minorHAnsi"/>
        </w:rPr>
      </w:pPr>
      <w:r w:rsidRPr="00B014BC">
        <w:rPr>
          <w:rFonts w:cstheme="minorHAnsi"/>
        </w:rPr>
        <w:tab/>
        <w:t>f) zosuvom alebo zosadením pôdy.</w:t>
      </w:r>
    </w:p>
    <w:p w14:paraId="1273FD80" w14:textId="77777777" w:rsidR="003E053E" w:rsidRPr="00B014BC" w:rsidRDefault="003E053E" w:rsidP="004518BB">
      <w:pPr>
        <w:tabs>
          <w:tab w:val="left" w:pos="0"/>
        </w:tabs>
        <w:suppressAutoHyphens/>
        <w:spacing w:after="0" w:line="240" w:lineRule="auto"/>
        <w:ind w:left="1080" w:hanging="720"/>
        <w:rPr>
          <w:rFonts w:cstheme="minorHAnsi"/>
        </w:rPr>
      </w:pPr>
    </w:p>
    <w:p w14:paraId="06D0CE6D" w14:textId="77777777" w:rsidR="003E053E" w:rsidRPr="00B014BC" w:rsidRDefault="003E053E" w:rsidP="004518BB">
      <w:pPr>
        <w:numPr>
          <w:ilvl w:val="0"/>
          <w:numId w:val="5"/>
        </w:numPr>
        <w:tabs>
          <w:tab w:val="clear" w:pos="720"/>
          <w:tab w:val="left" w:pos="0"/>
          <w:tab w:val="num" w:pos="900"/>
        </w:tabs>
        <w:suppressAutoHyphens/>
        <w:spacing w:after="0" w:line="240" w:lineRule="auto"/>
        <w:ind w:left="900" w:hanging="540"/>
        <w:rPr>
          <w:rFonts w:cstheme="minorHAnsi"/>
        </w:rPr>
      </w:pPr>
      <w:r w:rsidRPr="00B014BC">
        <w:rPr>
          <w:rFonts w:cstheme="minorHAnsi"/>
        </w:rPr>
        <w:t>Poistenie iných škôd na inom majetku, ako je uvedené v bode 3 až 7, vzniknutých krupobitím alebo mrazom, alebo inými príčinami (napr. krádežou), ak nie sú tieto príčiny zahrnuté v bode 8.</w:t>
      </w:r>
    </w:p>
    <w:p w14:paraId="138BE48C" w14:textId="77777777" w:rsidR="003E053E" w:rsidRPr="00B014BC" w:rsidRDefault="003E053E" w:rsidP="004518BB">
      <w:pPr>
        <w:tabs>
          <w:tab w:val="left" w:pos="0"/>
        </w:tabs>
        <w:suppressAutoHyphens/>
        <w:spacing w:after="0" w:line="240" w:lineRule="auto"/>
        <w:ind w:left="360"/>
        <w:rPr>
          <w:rFonts w:cstheme="minorHAnsi"/>
        </w:rPr>
      </w:pPr>
    </w:p>
    <w:p w14:paraId="78CB8421" w14:textId="77777777" w:rsidR="003E053E" w:rsidRPr="00B014BC" w:rsidRDefault="003E053E" w:rsidP="004518BB">
      <w:pPr>
        <w:numPr>
          <w:ilvl w:val="0"/>
          <w:numId w:val="5"/>
        </w:numPr>
        <w:tabs>
          <w:tab w:val="clear" w:pos="720"/>
          <w:tab w:val="left" w:pos="0"/>
          <w:tab w:val="num" w:pos="900"/>
        </w:tabs>
        <w:suppressAutoHyphens/>
        <w:spacing w:after="0" w:line="240" w:lineRule="auto"/>
        <w:rPr>
          <w:rFonts w:cstheme="minorHAnsi"/>
        </w:rPr>
      </w:pPr>
      <w:r w:rsidRPr="00B014BC">
        <w:rPr>
          <w:rFonts w:cstheme="minorHAnsi"/>
        </w:rPr>
        <w:t xml:space="preserve">Poistenie zodpovednosti </w:t>
      </w:r>
    </w:p>
    <w:p w14:paraId="3298EBD0" w14:textId="77777777" w:rsidR="003E053E" w:rsidRPr="00B014BC" w:rsidRDefault="003E053E" w:rsidP="004518BB">
      <w:pPr>
        <w:numPr>
          <w:ilvl w:val="1"/>
          <w:numId w:val="5"/>
        </w:numPr>
        <w:tabs>
          <w:tab w:val="left" w:pos="0"/>
        </w:tabs>
        <w:suppressAutoHyphens/>
        <w:spacing w:after="0" w:line="240" w:lineRule="auto"/>
        <w:rPr>
          <w:rFonts w:cstheme="minorHAnsi"/>
        </w:rPr>
      </w:pPr>
      <w:r w:rsidRPr="00B014BC">
        <w:rPr>
          <w:rFonts w:cstheme="minorHAnsi"/>
        </w:rPr>
        <w:t>za škodu spôsobenú prevádzkou motorového vozidla,</w:t>
      </w:r>
    </w:p>
    <w:p w14:paraId="2F9B4DED" w14:textId="77777777" w:rsidR="003E053E" w:rsidRPr="00B014BC" w:rsidRDefault="003E053E" w:rsidP="004518BB">
      <w:pPr>
        <w:numPr>
          <w:ilvl w:val="1"/>
          <w:numId w:val="5"/>
        </w:numPr>
        <w:tabs>
          <w:tab w:val="left" w:pos="0"/>
        </w:tabs>
        <w:suppressAutoHyphens/>
        <w:spacing w:after="0" w:line="240" w:lineRule="auto"/>
        <w:rPr>
          <w:rFonts w:cstheme="minorHAnsi"/>
        </w:rPr>
      </w:pPr>
      <w:r w:rsidRPr="00B014BC">
        <w:rPr>
          <w:rFonts w:cstheme="minorHAnsi"/>
        </w:rPr>
        <w:t>dopravcu.</w:t>
      </w:r>
    </w:p>
    <w:p w14:paraId="74093BE2" w14:textId="77777777" w:rsidR="003E053E" w:rsidRPr="00B014BC" w:rsidRDefault="003E053E" w:rsidP="004518BB">
      <w:pPr>
        <w:tabs>
          <w:tab w:val="left" w:pos="0"/>
        </w:tabs>
        <w:suppressAutoHyphens/>
        <w:spacing w:after="0" w:line="240" w:lineRule="auto"/>
        <w:rPr>
          <w:rFonts w:cstheme="minorHAnsi"/>
        </w:rPr>
      </w:pPr>
    </w:p>
    <w:p w14:paraId="214B558C" w14:textId="77777777" w:rsidR="003E053E" w:rsidRPr="00B014BC" w:rsidRDefault="003E053E" w:rsidP="004518BB">
      <w:pPr>
        <w:tabs>
          <w:tab w:val="left" w:pos="720"/>
        </w:tabs>
        <w:suppressAutoHyphens/>
        <w:spacing w:after="0" w:line="240" w:lineRule="auto"/>
        <w:ind w:left="900" w:hanging="540"/>
        <w:rPr>
          <w:rFonts w:cstheme="minorHAnsi"/>
        </w:rPr>
      </w:pPr>
      <w:r w:rsidRPr="00B014BC">
        <w:rPr>
          <w:rFonts w:cstheme="minorHAnsi"/>
        </w:rPr>
        <w:t xml:space="preserve">13. </w:t>
      </w:r>
      <w:r w:rsidRPr="00B014BC">
        <w:rPr>
          <w:rFonts w:cstheme="minorHAnsi"/>
        </w:rPr>
        <w:tab/>
        <w:t>Všeobecné poistenie zodpovednosti za škodu iné, ako je uvedené v bodoch 10 až 12.</w:t>
      </w:r>
    </w:p>
    <w:p w14:paraId="621DACDB" w14:textId="77777777" w:rsidR="003E053E" w:rsidRPr="00B014BC" w:rsidRDefault="003E053E" w:rsidP="004518BB">
      <w:pPr>
        <w:tabs>
          <w:tab w:val="left" w:pos="0"/>
        </w:tabs>
        <w:suppressAutoHyphens/>
        <w:spacing w:after="0" w:line="240" w:lineRule="auto"/>
        <w:rPr>
          <w:rFonts w:cstheme="minorHAnsi"/>
        </w:rPr>
      </w:pPr>
    </w:p>
    <w:p w14:paraId="277D34F6" w14:textId="77777777" w:rsidR="003E053E" w:rsidRPr="00B014BC" w:rsidRDefault="003E053E" w:rsidP="004518BB">
      <w:pPr>
        <w:tabs>
          <w:tab w:val="left" w:pos="900"/>
        </w:tabs>
        <w:suppressAutoHyphens/>
        <w:spacing w:after="0" w:line="240" w:lineRule="auto"/>
        <w:ind w:left="900" w:hanging="540"/>
        <w:rPr>
          <w:rFonts w:cstheme="minorHAnsi"/>
        </w:rPr>
      </w:pPr>
      <w:r w:rsidRPr="00B014BC">
        <w:rPr>
          <w:rFonts w:cstheme="minorHAnsi"/>
        </w:rPr>
        <w:t xml:space="preserve">14. </w:t>
      </w:r>
      <w:r w:rsidRPr="00B014BC">
        <w:rPr>
          <w:rFonts w:cstheme="minorHAnsi"/>
        </w:rPr>
        <w:tab/>
        <w:t>Poistenie úveru</w:t>
      </w:r>
    </w:p>
    <w:p w14:paraId="09658E52"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a) všeobecná platobná neschopnosť,</w:t>
      </w:r>
    </w:p>
    <w:p w14:paraId="1811A82C"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b) exportný úver,</w:t>
      </w:r>
    </w:p>
    <w:p w14:paraId="786D654A"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c) splátkový úver,</w:t>
      </w:r>
    </w:p>
    <w:p w14:paraId="17D3C8C3"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d) hypotekárny úver,</w:t>
      </w:r>
    </w:p>
    <w:p w14:paraId="32C9A480"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e) poľnohospodársky úver.</w:t>
      </w:r>
    </w:p>
    <w:p w14:paraId="7CB89D29" w14:textId="77777777" w:rsidR="003E053E" w:rsidRPr="00B014BC" w:rsidRDefault="003E053E" w:rsidP="004518BB">
      <w:pPr>
        <w:tabs>
          <w:tab w:val="left" w:pos="1080"/>
        </w:tabs>
        <w:suppressAutoHyphens/>
        <w:spacing w:after="0" w:line="240" w:lineRule="auto"/>
        <w:ind w:left="1080" w:hanging="720"/>
        <w:rPr>
          <w:rFonts w:cstheme="minorHAnsi"/>
        </w:rPr>
      </w:pPr>
    </w:p>
    <w:p w14:paraId="517225DB" w14:textId="77777777" w:rsidR="003E053E" w:rsidRPr="00B014BC" w:rsidRDefault="003E053E" w:rsidP="004518BB">
      <w:pPr>
        <w:tabs>
          <w:tab w:val="left" w:pos="900"/>
        </w:tabs>
        <w:suppressAutoHyphens/>
        <w:spacing w:after="0" w:line="240" w:lineRule="auto"/>
        <w:ind w:left="900" w:hanging="540"/>
        <w:rPr>
          <w:rFonts w:cstheme="minorHAnsi"/>
        </w:rPr>
      </w:pPr>
      <w:r w:rsidRPr="00B014BC">
        <w:rPr>
          <w:rFonts w:cstheme="minorHAnsi"/>
        </w:rPr>
        <w:t xml:space="preserve">15. </w:t>
      </w:r>
      <w:r w:rsidRPr="00B014BC">
        <w:rPr>
          <w:rFonts w:cstheme="minorHAnsi"/>
        </w:rPr>
        <w:tab/>
        <w:t>Poistenie kaucie</w:t>
      </w:r>
    </w:p>
    <w:p w14:paraId="2323150F"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a) priame záruky,</w:t>
      </w:r>
    </w:p>
    <w:p w14:paraId="13EB9367"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b) nepriame záruky.</w:t>
      </w:r>
    </w:p>
    <w:p w14:paraId="4F829DAD" w14:textId="77777777" w:rsidR="003E053E" w:rsidRPr="00B014BC" w:rsidRDefault="003E053E" w:rsidP="004518BB">
      <w:pPr>
        <w:tabs>
          <w:tab w:val="left" w:pos="1080"/>
        </w:tabs>
        <w:suppressAutoHyphens/>
        <w:spacing w:after="0" w:line="240" w:lineRule="auto"/>
        <w:ind w:left="1080" w:hanging="720"/>
        <w:rPr>
          <w:rFonts w:cstheme="minorHAnsi"/>
        </w:rPr>
      </w:pPr>
    </w:p>
    <w:p w14:paraId="60E7C5B8" w14:textId="77777777" w:rsidR="003E053E" w:rsidRPr="00B014BC" w:rsidRDefault="003E053E" w:rsidP="004518BB">
      <w:pPr>
        <w:tabs>
          <w:tab w:val="left" w:pos="900"/>
        </w:tabs>
        <w:suppressAutoHyphens/>
        <w:spacing w:after="0" w:line="240" w:lineRule="auto"/>
        <w:ind w:left="900" w:hanging="540"/>
        <w:rPr>
          <w:rFonts w:cstheme="minorHAnsi"/>
        </w:rPr>
      </w:pPr>
      <w:r w:rsidRPr="00B014BC">
        <w:rPr>
          <w:rFonts w:cstheme="minorHAnsi"/>
        </w:rPr>
        <w:t xml:space="preserve">16. </w:t>
      </w:r>
      <w:r w:rsidRPr="00B014BC">
        <w:rPr>
          <w:rFonts w:cstheme="minorHAnsi"/>
        </w:rPr>
        <w:tab/>
        <w:t>Poistenie rôznych finančných strát vyplývajúcich</w:t>
      </w:r>
    </w:p>
    <w:p w14:paraId="369915D0"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a) z výkonu povolania,</w:t>
      </w:r>
    </w:p>
    <w:p w14:paraId="29E68A9B"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b) z nedostatočného príjmu,</w:t>
      </w:r>
    </w:p>
    <w:p w14:paraId="0C601F13"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c) zo zlých poveternostných podmienok,</w:t>
      </w:r>
    </w:p>
    <w:p w14:paraId="5E94C94F"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d) zo straty zisku,</w:t>
      </w:r>
    </w:p>
    <w:p w14:paraId="0CFBB864"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e) z trvalých všeobecných nákladov,</w:t>
      </w:r>
    </w:p>
    <w:p w14:paraId="2FDD7BE4"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f) z neočakávaných obchodných výdavkov,</w:t>
      </w:r>
    </w:p>
    <w:p w14:paraId="5EE6B012"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g) zo straty trhovej hodnoty,</w:t>
      </w:r>
    </w:p>
    <w:p w14:paraId="52FD7F00"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h) zo straty pravidelného zdroja príjmov,</w:t>
      </w:r>
    </w:p>
    <w:p w14:paraId="61FE0262"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lastRenderedPageBreak/>
        <w:tab/>
        <w:t>i) z inej nepriamej obchodnej finančnej straty,</w:t>
      </w:r>
    </w:p>
    <w:p w14:paraId="68AE4C34"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t>j) z ostatných finančných strát.</w:t>
      </w:r>
    </w:p>
    <w:p w14:paraId="01AE6898" w14:textId="77777777" w:rsidR="003E053E" w:rsidRPr="00B014BC" w:rsidRDefault="003E053E" w:rsidP="004518BB">
      <w:pPr>
        <w:tabs>
          <w:tab w:val="left" w:pos="1080"/>
        </w:tabs>
        <w:suppressAutoHyphens/>
        <w:spacing w:after="0" w:line="240" w:lineRule="auto"/>
        <w:ind w:left="1080" w:hanging="720"/>
        <w:rPr>
          <w:rFonts w:cstheme="minorHAnsi"/>
        </w:rPr>
      </w:pPr>
      <w:r w:rsidRPr="00B014BC">
        <w:rPr>
          <w:rFonts w:cstheme="minorHAnsi"/>
        </w:rPr>
        <w:tab/>
      </w:r>
    </w:p>
    <w:p w14:paraId="1AEF52CF" w14:textId="77777777" w:rsidR="003E053E" w:rsidRPr="00B014BC" w:rsidRDefault="003E053E" w:rsidP="004518BB">
      <w:pPr>
        <w:tabs>
          <w:tab w:val="left" w:pos="900"/>
        </w:tabs>
        <w:suppressAutoHyphens/>
        <w:spacing w:after="0" w:line="240" w:lineRule="auto"/>
        <w:ind w:left="900" w:hanging="540"/>
        <w:rPr>
          <w:rFonts w:cstheme="minorHAnsi"/>
        </w:rPr>
      </w:pPr>
      <w:r w:rsidRPr="00B014BC">
        <w:rPr>
          <w:rFonts w:cstheme="minorHAnsi"/>
        </w:rPr>
        <w:t>18. Poistenie pomoci osobám v núdzi počas cestovania alebo pobytu mimo miesta svojho trvalého pobytu.</w:t>
      </w:r>
    </w:p>
    <w:p w14:paraId="6A487C88" w14:textId="77777777" w:rsidR="003E053E" w:rsidRPr="00B014BC" w:rsidRDefault="003E053E" w:rsidP="004518BB">
      <w:pPr>
        <w:tabs>
          <w:tab w:val="left" w:pos="0"/>
        </w:tabs>
        <w:suppressAutoHyphens/>
        <w:spacing w:after="0" w:line="240" w:lineRule="auto"/>
        <w:ind w:firstLine="360"/>
        <w:rPr>
          <w:rFonts w:cstheme="minorHAnsi"/>
        </w:rPr>
      </w:pPr>
    </w:p>
    <w:p w14:paraId="79DE5A20" w14:textId="77777777" w:rsidR="003E053E" w:rsidRPr="00B014BC" w:rsidRDefault="002C5DAC" w:rsidP="004518BB">
      <w:pPr>
        <w:tabs>
          <w:tab w:val="left" w:pos="720"/>
        </w:tabs>
        <w:suppressAutoHyphens/>
        <w:spacing w:after="0" w:line="240" w:lineRule="auto"/>
        <w:ind w:left="720" w:hanging="720"/>
        <w:rPr>
          <w:rFonts w:cstheme="minorHAnsi"/>
          <w:u w:val="single"/>
        </w:rPr>
      </w:pPr>
      <w:r w:rsidRPr="00B014BC">
        <w:rPr>
          <w:rFonts w:cstheme="minorHAnsi"/>
          <w:u w:val="single"/>
        </w:rPr>
        <w:t>2. v</w:t>
      </w:r>
      <w:r w:rsidR="003E053E" w:rsidRPr="00B014BC">
        <w:rPr>
          <w:rFonts w:cstheme="minorHAnsi"/>
          <w:u w:val="single"/>
        </w:rPr>
        <w:t>ykonávanie činnosti samostatného finančného agenta v sektore:</w:t>
      </w:r>
    </w:p>
    <w:p w14:paraId="62346CF7" w14:textId="77777777" w:rsidR="003E053E" w:rsidRPr="00B014BC" w:rsidRDefault="003E053E" w:rsidP="004518BB">
      <w:pPr>
        <w:tabs>
          <w:tab w:val="left" w:pos="720"/>
        </w:tabs>
        <w:suppressAutoHyphens/>
        <w:spacing w:after="0" w:line="240" w:lineRule="auto"/>
        <w:ind w:left="720" w:hanging="720"/>
        <w:rPr>
          <w:rFonts w:cstheme="minorHAnsi"/>
        </w:rPr>
      </w:pPr>
      <w:r w:rsidRPr="00B014BC">
        <w:rPr>
          <w:rFonts w:cstheme="minorHAnsi"/>
        </w:rPr>
        <w:tab/>
        <w:t>1. prijímania vkladov,</w:t>
      </w:r>
    </w:p>
    <w:p w14:paraId="10453CF0" w14:textId="77777777" w:rsidR="003E053E" w:rsidRPr="00B014BC" w:rsidRDefault="003E053E" w:rsidP="004518BB">
      <w:pPr>
        <w:tabs>
          <w:tab w:val="left" w:pos="720"/>
        </w:tabs>
        <w:suppressAutoHyphens/>
        <w:spacing w:after="0" w:line="240" w:lineRule="auto"/>
        <w:ind w:left="720" w:hanging="720"/>
        <w:rPr>
          <w:rFonts w:cstheme="minorHAnsi"/>
        </w:rPr>
      </w:pPr>
      <w:r w:rsidRPr="00B014BC">
        <w:rPr>
          <w:rFonts w:cstheme="minorHAnsi"/>
        </w:rPr>
        <w:tab/>
        <w:t>2. poskytovania úverov a spotrebiteľských úverov</w:t>
      </w:r>
      <w:r w:rsidR="000D1FA5" w:rsidRPr="00B014BC">
        <w:rPr>
          <w:rFonts w:cstheme="minorHAnsi"/>
        </w:rPr>
        <w:t>.</w:t>
      </w:r>
    </w:p>
    <w:p w14:paraId="4B3F8AAB" w14:textId="77777777" w:rsidR="003E053E" w:rsidRPr="00B014BC" w:rsidRDefault="003E053E" w:rsidP="004518BB">
      <w:pPr>
        <w:tabs>
          <w:tab w:val="left" w:pos="720"/>
        </w:tabs>
        <w:suppressAutoHyphens/>
        <w:spacing w:after="0" w:line="240" w:lineRule="auto"/>
        <w:ind w:left="720" w:hanging="720"/>
        <w:rPr>
          <w:rFonts w:cstheme="minorHAnsi"/>
        </w:rPr>
      </w:pPr>
    </w:p>
    <w:p w14:paraId="5FB7A6E6" w14:textId="77777777" w:rsidR="003E053E" w:rsidRPr="00B014BC" w:rsidRDefault="002C5DAC" w:rsidP="004518BB">
      <w:pPr>
        <w:tabs>
          <w:tab w:val="left" w:pos="567"/>
        </w:tabs>
        <w:spacing w:after="0" w:line="240" w:lineRule="auto"/>
        <w:rPr>
          <w:rFonts w:cstheme="minorHAnsi"/>
          <w:u w:val="single"/>
        </w:rPr>
      </w:pPr>
      <w:r w:rsidRPr="00B014BC">
        <w:rPr>
          <w:rFonts w:cstheme="minorHAnsi"/>
          <w:u w:val="single"/>
        </w:rPr>
        <w:t>3. v</w:t>
      </w:r>
      <w:r w:rsidR="003E053E" w:rsidRPr="00B014BC">
        <w:rPr>
          <w:rFonts w:cstheme="minorHAnsi"/>
          <w:u w:val="single"/>
        </w:rPr>
        <w:t xml:space="preserve">ykonávanie zaisťovacej činnosti pre poistné odvetvie neživotného poistenia. </w:t>
      </w:r>
    </w:p>
    <w:p w14:paraId="19D50310" w14:textId="77777777" w:rsidR="00952353" w:rsidRPr="00B014BC" w:rsidRDefault="00952353" w:rsidP="004518BB">
      <w:pPr>
        <w:pStyle w:val="Header"/>
        <w:tabs>
          <w:tab w:val="clear" w:pos="4536"/>
          <w:tab w:val="clear" w:pos="9072"/>
        </w:tabs>
        <w:rPr>
          <w:rFonts w:asciiTheme="minorHAnsi" w:hAnsiTheme="minorHAnsi" w:cstheme="minorHAnsi"/>
          <w:color w:val="1F497D"/>
          <w:sz w:val="22"/>
          <w:szCs w:val="22"/>
        </w:rPr>
      </w:pPr>
    </w:p>
    <w:p w14:paraId="1BE33503"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3.1 Organizačná štruktúra</w:t>
      </w:r>
      <w:r w:rsidR="002C5DAC" w:rsidRPr="00B014BC">
        <w:rPr>
          <w:rFonts w:cstheme="minorHAnsi"/>
          <w:b/>
          <w:sz w:val="24"/>
          <w:szCs w:val="24"/>
        </w:rPr>
        <w:t xml:space="preserve"> </w:t>
      </w:r>
    </w:p>
    <w:p w14:paraId="6DCAC8B2" w14:textId="77777777" w:rsidR="00FD409B" w:rsidRPr="00B014BC" w:rsidRDefault="00FD409B" w:rsidP="004518BB">
      <w:pPr>
        <w:spacing w:after="0" w:line="240" w:lineRule="auto"/>
        <w:rPr>
          <w:rFonts w:cstheme="minorHAnsi"/>
          <w:b/>
          <w:sz w:val="24"/>
          <w:szCs w:val="24"/>
        </w:rPr>
      </w:pPr>
    </w:p>
    <w:p w14:paraId="12662817"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3.2 Dozorná rada</w:t>
      </w:r>
    </w:p>
    <w:p w14:paraId="741CB9D1" w14:textId="77777777" w:rsidR="002C5DAC" w:rsidRPr="00B014BC" w:rsidRDefault="002C5DAC" w:rsidP="004518BB">
      <w:pPr>
        <w:spacing w:after="0" w:line="240" w:lineRule="auto"/>
        <w:rPr>
          <w:rFonts w:cstheme="minorHAnsi"/>
          <w:b/>
        </w:rPr>
      </w:pPr>
    </w:p>
    <w:p w14:paraId="739C78C4" w14:textId="33D56738" w:rsidR="002C5DAC" w:rsidRPr="00B014BC" w:rsidRDefault="002C5DAC"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 xml:space="preserve">Ing. Juraj </w:t>
      </w:r>
      <w:proofErr w:type="spellStart"/>
      <w:r w:rsidRPr="00B014BC">
        <w:rPr>
          <w:rFonts w:asciiTheme="minorHAnsi" w:hAnsiTheme="minorHAnsi" w:cstheme="minorHAnsi"/>
          <w:sz w:val="22"/>
          <w:szCs w:val="22"/>
        </w:rPr>
        <w:t>Lelkes</w:t>
      </w:r>
      <w:proofErr w:type="spellEnd"/>
      <w:r w:rsidRPr="00B014BC">
        <w:rPr>
          <w:rFonts w:asciiTheme="minorHAnsi" w:hAnsiTheme="minorHAnsi" w:cstheme="minorHAnsi"/>
          <w:sz w:val="22"/>
          <w:szCs w:val="22"/>
        </w:rPr>
        <w:t xml:space="preserve"> – predseda </w:t>
      </w:r>
    </w:p>
    <w:p w14:paraId="54D1E8F1" w14:textId="3210FC51" w:rsidR="002C5DAC" w:rsidRPr="00B014BC" w:rsidRDefault="000D1FA5"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Mag</w:t>
      </w:r>
      <w:proofErr w:type="spellEnd"/>
      <w:r w:rsidRPr="00B014BC">
        <w:rPr>
          <w:rFonts w:asciiTheme="minorHAnsi" w:hAnsiTheme="minorHAnsi" w:cstheme="minorHAnsi"/>
          <w:sz w:val="22"/>
          <w:szCs w:val="22"/>
        </w:rPr>
        <w:t xml:space="preserve">. Regina </w:t>
      </w:r>
      <w:proofErr w:type="spellStart"/>
      <w:r w:rsidRPr="00B014BC">
        <w:rPr>
          <w:rFonts w:asciiTheme="minorHAnsi" w:hAnsiTheme="minorHAnsi" w:cstheme="minorHAnsi"/>
          <w:sz w:val="22"/>
          <w:szCs w:val="22"/>
        </w:rPr>
        <w:t>Ovesny</w:t>
      </w:r>
      <w:proofErr w:type="spellEnd"/>
      <w:r w:rsidRPr="00B014BC">
        <w:rPr>
          <w:rFonts w:asciiTheme="minorHAnsi" w:hAnsiTheme="minorHAnsi" w:cstheme="minorHAnsi"/>
          <w:sz w:val="22"/>
          <w:szCs w:val="22"/>
        </w:rPr>
        <w:t>-Straka</w:t>
      </w:r>
      <w:r w:rsidR="002C5DAC" w:rsidRPr="00B014BC">
        <w:rPr>
          <w:rFonts w:asciiTheme="minorHAnsi" w:hAnsiTheme="minorHAnsi" w:cstheme="minorHAnsi"/>
          <w:sz w:val="22"/>
          <w:szCs w:val="22"/>
        </w:rPr>
        <w:t xml:space="preserve"> – podpredseda </w:t>
      </w:r>
      <w:r w:rsidR="000617D3" w:rsidRPr="00B014BC">
        <w:rPr>
          <w:rFonts w:asciiTheme="minorHAnsi" w:hAnsiTheme="minorHAnsi" w:cstheme="minorHAnsi"/>
          <w:sz w:val="22"/>
          <w:szCs w:val="22"/>
        </w:rPr>
        <w:t>do 31. 12. 2015</w:t>
      </w:r>
    </w:p>
    <w:p w14:paraId="6634657F" w14:textId="77777777" w:rsidR="000617D3" w:rsidRPr="00B014BC" w:rsidRDefault="000617D3"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Mag</w:t>
      </w:r>
      <w:proofErr w:type="spellEnd"/>
      <w:r w:rsidRPr="00B014BC">
        <w:rPr>
          <w:rFonts w:asciiTheme="minorHAnsi" w:hAnsiTheme="minorHAnsi" w:cstheme="minorHAnsi"/>
          <w:sz w:val="22"/>
          <w:szCs w:val="22"/>
        </w:rPr>
        <w:t xml:space="preserve">. Christian </w:t>
      </w:r>
      <w:proofErr w:type="spellStart"/>
      <w:r w:rsidRPr="00B014BC">
        <w:rPr>
          <w:rFonts w:asciiTheme="minorHAnsi" w:hAnsiTheme="minorHAnsi" w:cstheme="minorHAnsi"/>
          <w:sz w:val="22"/>
          <w:szCs w:val="22"/>
        </w:rPr>
        <w:t>Brandstetter</w:t>
      </w:r>
      <w:proofErr w:type="spellEnd"/>
      <w:r w:rsidRPr="00B014BC">
        <w:rPr>
          <w:rFonts w:asciiTheme="minorHAnsi" w:hAnsiTheme="minorHAnsi" w:cstheme="minorHAnsi"/>
          <w:sz w:val="22"/>
          <w:szCs w:val="22"/>
        </w:rPr>
        <w:t xml:space="preserve"> – člen</w:t>
      </w:r>
    </w:p>
    <w:p w14:paraId="26E2B8AF" w14:textId="77777777" w:rsidR="000617D3" w:rsidRPr="00B014BC" w:rsidRDefault="000617D3"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 xml:space="preserve">Kurt </w:t>
      </w:r>
      <w:proofErr w:type="spellStart"/>
      <w:r w:rsidRPr="00B014BC">
        <w:rPr>
          <w:rFonts w:asciiTheme="minorHAnsi" w:hAnsiTheme="minorHAnsi" w:cstheme="minorHAnsi"/>
          <w:sz w:val="22"/>
          <w:szCs w:val="22"/>
        </w:rPr>
        <w:t>Ebner</w:t>
      </w:r>
      <w:proofErr w:type="spellEnd"/>
      <w:r w:rsidRPr="00B014BC">
        <w:rPr>
          <w:rFonts w:asciiTheme="minorHAnsi" w:hAnsiTheme="minorHAnsi" w:cstheme="minorHAnsi"/>
          <w:sz w:val="22"/>
          <w:szCs w:val="22"/>
        </w:rPr>
        <w:t xml:space="preserve"> – člen </w:t>
      </w:r>
    </w:p>
    <w:p w14:paraId="5D110385" w14:textId="77777777" w:rsidR="000617D3" w:rsidRPr="00B014BC" w:rsidRDefault="000617D3"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Dkfm</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Karl</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Fink</w:t>
      </w:r>
      <w:proofErr w:type="spellEnd"/>
      <w:r w:rsidRPr="00B014BC">
        <w:rPr>
          <w:rFonts w:asciiTheme="minorHAnsi" w:hAnsiTheme="minorHAnsi" w:cstheme="minorHAnsi"/>
          <w:sz w:val="22"/>
          <w:szCs w:val="22"/>
        </w:rPr>
        <w:t xml:space="preserve"> – člen </w:t>
      </w:r>
    </w:p>
    <w:p w14:paraId="13E25B91" w14:textId="77777777" w:rsidR="002C5DAC" w:rsidRPr="00B014BC" w:rsidRDefault="002C5DAC"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Mag</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Erwin</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Hammerbacher</w:t>
      </w:r>
      <w:proofErr w:type="spellEnd"/>
      <w:r w:rsidRPr="00B014BC">
        <w:rPr>
          <w:rFonts w:asciiTheme="minorHAnsi" w:hAnsiTheme="minorHAnsi" w:cstheme="minorHAnsi"/>
          <w:sz w:val="22"/>
          <w:szCs w:val="22"/>
        </w:rPr>
        <w:t xml:space="preserve"> – člen</w:t>
      </w:r>
    </w:p>
    <w:p w14:paraId="6DDF805F" w14:textId="77777777" w:rsidR="002C5DAC" w:rsidRPr="00B014BC" w:rsidRDefault="002C5DAC"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Mag</w:t>
      </w:r>
      <w:proofErr w:type="spellEnd"/>
      <w:r w:rsidRPr="00B014BC">
        <w:rPr>
          <w:rFonts w:asciiTheme="minorHAnsi" w:hAnsiTheme="minorHAnsi" w:cstheme="minorHAnsi"/>
          <w:sz w:val="22"/>
          <w:szCs w:val="22"/>
        </w:rPr>
        <w:t xml:space="preserve">. Peter </w:t>
      </w:r>
      <w:proofErr w:type="spellStart"/>
      <w:r w:rsidRPr="00B014BC">
        <w:rPr>
          <w:rFonts w:asciiTheme="minorHAnsi" w:hAnsiTheme="minorHAnsi" w:cstheme="minorHAnsi"/>
          <w:sz w:val="22"/>
          <w:szCs w:val="22"/>
        </w:rPr>
        <w:t>Hӧfinger</w:t>
      </w:r>
      <w:proofErr w:type="spellEnd"/>
      <w:r w:rsidRPr="00B014BC">
        <w:rPr>
          <w:rFonts w:asciiTheme="minorHAnsi" w:hAnsiTheme="minorHAnsi" w:cstheme="minorHAnsi"/>
          <w:sz w:val="22"/>
          <w:szCs w:val="22"/>
        </w:rPr>
        <w:t xml:space="preserve"> – člen</w:t>
      </w:r>
    </w:p>
    <w:p w14:paraId="2ACEC34C" w14:textId="77777777" w:rsidR="006638F8" w:rsidRPr="00B014BC" w:rsidRDefault="006638F8"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 xml:space="preserve">Ing. Milan Muška – člen </w:t>
      </w:r>
    </w:p>
    <w:p w14:paraId="0DF3E590" w14:textId="77777777" w:rsidR="000617D3" w:rsidRPr="00B014BC" w:rsidRDefault="000617D3"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 xml:space="preserve">Ing. Jana </w:t>
      </w:r>
      <w:proofErr w:type="spellStart"/>
      <w:r w:rsidRPr="00B014BC">
        <w:rPr>
          <w:rFonts w:asciiTheme="minorHAnsi" w:hAnsiTheme="minorHAnsi" w:cstheme="minorHAnsi"/>
          <w:sz w:val="22"/>
          <w:szCs w:val="22"/>
        </w:rPr>
        <w:t>Bibová</w:t>
      </w:r>
      <w:proofErr w:type="spellEnd"/>
      <w:r w:rsidRPr="00B014BC">
        <w:rPr>
          <w:rFonts w:asciiTheme="minorHAnsi" w:hAnsiTheme="minorHAnsi" w:cstheme="minorHAnsi"/>
          <w:sz w:val="22"/>
          <w:szCs w:val="22"/>
        </w:rPr>
        <w:t xml:space="preserve"> – člen </w:t>
      </w:r>
    </w:p>
    <w:p w14:paraId="5927034A" w14:textId="77777777" w:rsidR="002C5DAC" w:rsidRPr="00B014BC" w:rsidRDefault="002C5DAC" w:rsidP="004518BB">
      <w:pPr>
        <w:pStyle w:val="Header"/>
        <w:tabs>
          <w:tab w:val="clear" w:pos="4536"/>
          <w:tab w:val="clear" w:pos="9072"/>
        </w:tabs>
        <w:rPr>
          <w:rFonts w:asciiTheme="minorHAnsi" w:hAnsiTheme="minorHAnsi" w:cstheme="minorHAnsi"/>
          <w:sz w:val="22"/>
          <w:szCs w:val="22"/>
        </w:rPr>
      </w:pPr>
      <w:proofErr w:type="spellStart"/>
      <w:r w:rsidRPr="00B014BC">
        <w:rPr>
          <w:rFonts w:asciiTheme="minorHAnsi" w:hAnsiTheme="minorHAnsi" w:cstheme="minorHAnsi"/>
          <w:sz w:val="22"/>
          <w:szCs w:val="22"/>
        </w:rPr>
        <w:t>Tanasis</w:t>
      </w:r>
      <w:proofErr w:type="spellEnd"/>
      <w:r w:rsidRPr="00B014BC">
        <w:rPr>
          <w:rFonts w:asciiTheme="minorHAnsi" w:hAnsiTheme="minorHAnsi" w:cstheme="minorHAnsi"/>
          <w:sz w:val="22"/>
          <w:szCs w:val="22"/>
        </w:rPr>
        <w:t xml:space="preserve"> </w:t>
      </w:r>
      <w:proofErr w:type="spellStart"/>
      <w:r w:rsidRPr="00B014BC">
        <w:rPr>
          <w:rFonts w:asciiTheme="minorHAnsi" w:hAnsiTheme="minorHAnsi" w:cstheme="minorHAnsi"/>
          <w:sz w:val="22"/>
          <w:szCs w:val="22"/>
        </w:rPr>
        <w:t>Charizopulos</w:t>
      </w:r>
      <w:proofErr w:type="spellEnd"/>
      <w:r w:rsidRPr="00B014BC">
        <w:rPr>
          <w:rFonts w:asciiTheme="minorHAnsi" w:hAnsiTheme="minorHAnsi" w:cstheme="minorHAnsi"/>
          <w:sz w:val="22"/>
          <w:szCs w:val="22"/>
        </w:rPr>
        <w:t xml:space="preserve"> – člen</w:t>
      </w:r>
    </w:p>
    <w:p w14:paraId="0B6CC935" w14:textId="77777777" w:rsidR="002C5DAC" w:rsidRPr="00B014BC" w:rsidRDefault="002C5DAC" w:rsidP="004518BB">
      <w:pPr>
        <w:pStyle w:val="Header"/>
        <w:tabs>
          <w:tab w:val="clear" w:pos="4536"/>
          <w:tab w:val="clear" w:pos="9072"/>
        </w:tabs>
        <w:rPr>
          <w:rFonts w:asciiTheme="minorHAnsi" w:hAnsiTheme="minorHAnsi" w:cstheme="minorHAnsi"/>
          <w:sz w:val="22"/>
          <w:szCs w:val="22"/>
        </w:rPr>
      </w:pPr>
      <w:r w:rsidRPr="00B014BC">
        <w:rPr>
          <w:rFonts w:asciiTheme="minorHAnsi" w:hAnsiTheme="minorHAnsi" w:cstheme="minorHAnsi"/>
          <w:sz w:val="22"/>
          <w:szCs w:val="22"/>
        </w:rPr>
        <w:t xml:space="preserve">Ing. Roman Remeň – člen </w:t>
      </w:r>
    </w:p>
    <w:p w14:paraId="17824E80" w14:textId="77777777" w:rsidR="00FD409B" w:rsidRPr="00B014BC" w:rsidRDefault="00FD409B" w:rsidP="004518BB">
      <w:pPr>
        <w:spacing w:after="0" w:line="240" w:lineRule="auto"/>
        <w:rPr>
          <w:rFonts w:cstheme="minorHAnsi"/>
          <w:b/>
        </w:rPr>
      </w:pPr>
    </w:p>
    <w:p w14:paraId="44759E16"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3.3 Predstavenstvo, životopisy členov</w:t>
      </w:r>
    </w:p>
    <w:p w14:paraId="6F3E7DE4" w14:textId="77777777" w:rsidR="00BA7EB5" w:rsidRPr="00B014BC" w:rsidRDefault="00BA7EB5" w:rsidP="004518BB">
      <w:pPr>
        <w:spacing w:after="0" w:line="240" w:lineRule="auto"/>
        <w:rPr>
          <w:rFonts w:cstheme="minorHAnsi"/>
          <w:b/>
        </w:rPr>
      </w:pPr>
    </w:p>
    <w:p w14:paraId="4B70941B" w14:textId="77777777" w:rsidR="00BA7EB5" w:rsidRPr="00B014BC" w:rsidRDefault="00BA7EB5" w:rsidP="004518BB">
      <w:pPr>
        <w:spacing w:after="0" w:line="240" w:lineRule="auto"/>
        <w:rPr>
          <w:rFonts w:eastAsia="Times New Roman" w:cstheme="minorHAnsi"/>
          <w:b/>
        </w:rPr>
      </w:pPr>
      <w:r w:rsidRPr="00B014BC">
        <w:rPr>
          <w:rFonts w:eastAsia="Times New Roman" w:cstheme="minorHAnsi"/>
          <w:b/>
        </w:rPr>
        <w:t xml:space="preserve">Ing. Vladimír </w:t>
      </w:r>
      <w:proofErr w:type="spellStart"/>
      <w:r w:rsidRPr="00B014BC">
        <w:rPr>
          <w:rFonts w:eastAsia="Times New Roman" w:cstheme="minorHAnsi"/>
          <w:b/>
        </w:rPr>
        <w:t>Bakeš</w:t>
      </w:r>
      <w:proofErr w:type="spellEnd"/>
      <w:r w:rsidRPr="00B014BC">
        <w:rPr>
          <w:rFonts w:eastAsia="Times New Roman" w:cstheme="minorHAnsi"/>
          <w:b/>
        </w:rPr>
        <w:t xml:space="preserve"> </w:t>
      </w:r>
    </w:p>
    <w:p w14:paraId="38EEA873" w14:textId="77777777" w:rsidR="00BA7EB5" w:rsidRPr="00B014BC" w:rsidRDefault="00BA7EB5" w:rsidP="004518BB">
      <w:pPr>
        <w:spacing w:after="0" w:line="240" w:lineRule="auto"/>
        <w:rPr>
          <w:rFonts w:eastAsia="Times New Roman" w:cstheme="minorHAnsi"/>
          <w:b/>
        </w:rPr>
      </w:pPr>
      <w:r w:rsidRPr="00B014BC">
        <w:rPr>
          <w:rFonts w:eastAsia="Times New Roman" w:cstheme="minorHAnsi"/>
          <w:b/>
        </w:rPr>
        <w:t>predseda predstavenstva a generálny riaditeľ</w:t>
      </w:r>
    </w:p>
    <w:p w14:paraId="36C1190C" w14:textId="77777777" w:rsidR="00BA7EB5" w:rsidRPr="00B014BC" w:rsidRDefault="00BA7EB5" w:rsidP="004518BB">
      <w:pPr>
        <w:spacing w:after="0" w:line="240" w:lineRule="auto"/>
        <w:rPr>
          <w:rFonts w:eastAsia="Times New Roman" w:cstheme="minorHAnsi"/>
        </w:rPr>
      </w:pPr>
      <w:r w:rsidRPr="00B014BC">
        <w:rPr>
          <w:rFonts w:eastAsia="Times New Roman" w:cstheme="minorHAnsi"/>
        </w:rPr>
        <w:t>1967, absolvent Slovenskej vysokej školy technickej, Bratislava</w:t>
      </w:r>
    </w:p>
    <w:p w14:paraId="28EAAFF6" w14:textId="53C11A76" w:rsidR="00BA7EB5" w:rsidRPr="00B014BC" w:rsidRDefault="00BA7EB5" w:rsidP="004518BB">
      <w:pPr>
        <w:spacing w:after="0" w:line="240" w:lineRule="auto"/>
        <w:rPr>
          <w:rFonts w:eastAsia="Times New Roman" w:cstheme="minorHAnsi"/>
        </w:rPr>
      </w:pPr>
      <w:r w:rsidRPr="00B014BC">
        <w:rPr>
          <w:rFonts w:eastAsia="Times New Roman" w:cstheme="minorHAnsi"/>
        </w:rPr>
        <w:t>V poisťovníctve pracuje 1</w:t>
      </w:r>
      <w:r w:rsidR="00B47CC8" w:rsidRPr="00B014BC">
        <w:rPr>
          <w:rFonts w:eastAsia="Times New Roman" w:cstheme="minorHAnsi"/>
        </w:rPr>
        <w:t>6</w:t>
      </w:r>
      <w:r w:rsidRPr="00B014BC">
        <w:rPr>
          <w:rFonts w:eastAsia="Times New Roman" w:cstheme="minorHAnsi"/>
        </w:rPr>
        <w:t xml:space="preserve"> rokov.</w:t>
      </w:r>
    </w:p>
    <w:p w14:paraId="4E6D3899" w14:textId="77777777" w:rsidR="00BA7EB5" w:rsidRPr="00B014BC" w:rsidRDefault="00BA7EB5" w:rsidP="004518BB">
      <w:pPr>
        <w:spacing w:after="0" w:line="240" w:lineRule="auto"/>
        <w:rPr>
          <w:rFonts w:eastAsia="Times New Roman" w:cstheme="minorHAnsi"/>
        </w:rPr>
      </w:pPr>
    </w:p>
    <w:p w14:paraId="4F212351" w14:textId="77777777" w:rsidR="00BA7EB5" w:rsidRPr="00B014BC" w:rsidRDefault="00BA7EB5" w:rsidP="004518BB">
      <w:pPr>
        <w:spacing w:after="0" w:line="240" w:lineRule="auto"/>
        <w:rPr>
          <w:rFonts w:eastAsia="Times New Roman" w:cstheme="minorHAnsi"/>
        </w:rPr>
      </w:pPr>
      <w:r w:rsidRPr="00B014BC">
        <w:rPr>
          <w:rFonts w:eastAsia="Times New Roman" w:cstheme="minorHAnsi"/>
        </w:rPr>
        <w:t>Odborná prax:</w:t>
      </w:r>
    </w:p>
    <w:p w14:paraId="6D304C65" w14:textId="1F5FBF8B" w:rsidR="00B47CC8" w:rsidRPr="00B014BC" w:rsidRDefault="00B47CC8" w:rsidP="004518BB">
      <w:pPr>
        <w:numPr>
          <w:ilvl w:val="0"/>
          <w:numId w:val="6"/>
        </w:numPr>
        <w:spacing w:after="0" w:line="240" w:lineRule="auto"/>
        <w:rPr>
          <w:rFonts w:eastAsia="Times New Roman" w:cstheme="minorHAnsi"/>
        </w:rPr>
      </w:pPr>
      <w:r w:rsidRPr="00B014BC">
        <w:rPr>
          <w:rFonts w:eastAsia="Times New Roman" w:cstheme="minorHAnsi"/>
        </w:rPr>
        <w:t xml:space="preserve">KOOPERATIVA poisťovňa, </w:t>
      </w:r>
      <w:proofErr w:type="spellStart"/>
      <w:r w:rsidRPr="00B014BC">
        <w:rPr>
          <w:rFonts w:eastAsia="Times New Roman" w:cstheme="minorHAnsi"/>
        </w:rPr>
        <w:t>a.s</w:t>
      </w:r>
      <w:proofErr w:type="spellEnd"/>
      <w:r w:rsidRPr="00B014BC">
        <w:rPr>
          <w:rFonts w:eastAsia="Times New Roman" w:cstheme="minorHAnsi"/>
        </w:rPr>
        <w:t xml:space="preserve">. </w:t>
      </w:r>
      <w:proofErr w:type="spellStart"/>
      <w:r w:rsidRPr="00B014BC">
        <w:rPr>
          <w:rFonts w:eastAsia="Times New Roman" w:cstheme="minorHAnsi"/>
        </w:rPr>
        <w:t>Vienna</w:t>
      </w:r>
      <w:proofErr w:type="spellEnd"/>
      <w:r w:rsidRPr="00B014BC">
        <w:rPr>
          <w:rFonts w:eastAsia="Times New Roman" w:cstheme="minorHAnsi"/>
        </w:rPr>
        <w:t xml:space="preserve"> </w:t>
      </w:r>
      <w:proofErr w:type="spellStart"/>
      <w:r w:rsidRPr="00B014BC">
        <w:rPr>
          <w:rFonts w:eastAsia="Times New Roman" w:cstheme="minorHAnsi"/>
        </w:rPr>
        <w:t>Insurance</w:t>
      </w:r>
      <w:proofErr w:type="spellEnd"/>
      <w:r w:rsidRPr="00B014BC">
        <w:rPr>
          <w:rFonts w:eastAsia="Times New Roman" w:cstheme="minorHAnsi"/>
        </w:rPr>
        <w:t xml:space="preserve"> Group</w:t>
      </w:r>
    </w:p>
    <w:p w14:paraId="322101D3" w14:textId="163A7D66" w:rsidR="00B47CC8" w:rsidRPr="00B014BC" w:rsidRDefault="00B47CC8" w:rsidP="004518BB">
      <w:pPr>
        <w:pStyle w:val="ListParagraph"/>
        <w:numPr>
          <w:ilvl w:val="0"/>
          <w:numId w:val="8"/>
        </w:numPr>
        <w:spacing w:after="0" w:line="240" w:lineRule="auto"/>
        <w:rPr>
          <w:rFonts w:cstheme="minorHAnsi"/>
        </w:rPr>
      </w:pPr>
      <w:r w:rsidRPr="00B014BC">
        <w:rPr>
          <w:rFonts w:cstheme="minorHAnsi"/>
        </w:rPr>
        <w:t>predseda predstavenstva a generálny riaditeľ od 1. 1. 2016</w:t>
      </w:r>
    </w:p>
    <w:p w14:paraId="4554BD2E"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 xml:space="preserve">KOMUNÁLNA poisťovňa, </w:t>
      </w:r>
      <w:proofErr w:type="spellStart"/>
      <w:r w:rsidRPr="00B014BC">
        <w:rPr>
          <w:rFonts w:eastAsia="Times New Roman" w:cstheme="minorHAnsi"/>
        </w:rPr>
        <w:t>a.s</w:t>
      </w:r>
      <w:proofErr w:type="spellEnd"/>
      <w:r w:rsidRPr="00B014BC">
        <w:rPr>
          <w:rFonts w:eastAsia="Times New Roman" w:cstheme="minorHAnsi"/>
        </w:rPr>
        <w:t xml:space="preserve">. </w:t>
      </w:r>
      <w:proofErr w:type="spellStart"/>
      <w:r w:rsidRPr="00B014BC">
        <w:rPr>
          <w:rFonts w:eastAsia="Times New Roman" w:cstheme="minorHAnsi"/>
        </w:rPr>
        <w:t>Vienna</w:t>
      </w:r>
      <w:proofErr w:type="spellEnd"/>
      <w:r w:rsidRPr="00B014BC">
        <w:rPr>
          <w:rFonts w:eastAsia="Times New Roman" w:cstheme="minorHAnsi"/>
        </w:rPr>
        <w:t xml:space="preserve"> </w:t>
      </w:r>
      <w:proofErr w:type="spellStart"/>
      <w:r w:rsidRPr="00B014BC">
        <w:rPr>
          <w:rFonts w:eastAsia="Times New Roman" w:cstheme="minorHAnsi"/>
        </w:rPr>
        <w:t>Insurance</w:t>
      </w:r>
      <w:proofErr w:type="spellEnd"/>
      <w:r w:rsidRPr="00B014BC">
        <w:rPr>
          <w:rFonts w:eastAsia="Times New Roman" w:cstheme="minorHAnsi"/>
        </w:rPr>
        <w:t xml:space="preserve"> Group</w:t>
      </w:r>
    </w:p>
    <w:p w14:paraId="5EEA76FC" w14:textId="77777777" w:rsidR="00BA7EB5" w:rsidRPr="00B014BC" w:rsidRDefault="00BA7EB5" w:rsidP="004518BB">
      <w:pPr>
        <w:pStyle w:val="ListParagraph"/>
        <w:numPr>
          <w:ilvl w:val="0"/>
          <w:numId w:val="8"/>
        </w:numPr>
        <w:spacing w:after="0" w:line="240" w:lineRule="auto"/>
        <w:rPr>
          <w:rFonts w:cstheme="minorHAnsi"/>
        </w:rPr>
      </w:pPr>
      <w:r w:rsidRPr="00B014BC">
        <w:rPr>
          <w:rFonts w:cstheme="minorHAnsi"/>
        </w:rPr>
        <w:t>predseda predstavenstva a generálny riaditeľ od 1. 10. 2009</w:t>
      </w:r>
    </w:p>
    <w:p w14:paraId="63E38340" w14:textId="77777777" w:rsidR="00BA7EB5" w:rsidRPr="00B014BC" w:rsidRDefault="00BA7EB5" w:rsidP="004518BB">
      <w:pPr>
        <w:pStyle w:val="ListParagraph"/>
        <w:numPr>
          <w:ilvl w:val="0"/>
          <w:numId w:val="8"/>
        </w:numPr>
        <w:spacing w:after="0" w:line="240" w:lineRule="auto"/>
        <w:rPr>
          <w:rFonts w:cstheme="minorHAnsi"/>
        </w:rPr>
      </w:pPr>
      <w:r w:rsidRPr="00B014BC">
        <w:rPr>
          <w:rFonts w:cstheme="minorHAnsi"/>
        </w:rPr>
        <w:t>člen predstavenstva od februára 2008</w:t>
      </w:r>
    </w:p>
    <w:p w14:paraId="2A2F290F"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 xml:space="preserve">KOOPERATIVA poisťovňa, </w:t>
      </w:r>
      <w:proofErr w:type="spellStart"/>
      <w:r w:rsidRPr="00B014BC">
        <w:rPr>
          <w:rFonts w:eastAsia="Times New Roman" w:cstheme="minorHAnsi"/>
        </w:rPr>
        <w:t>a.s</w:t>
      </w:r>
      <w:proofErr w:type="spellEnd"/>
      <w:r w:rsidRPr="00B014BC">
        <w:rPr>
          <w:rFonts w:eastAsia="Times New Roman" w:cstheme="minorHAnsi"/>
        </w:rPr>
        <w:t xml:space="preserve">. </w:t>
      </w:r>
      <w:proofErr w:type="spellStart"/>
      <w:r w:rsidRPr="00B014BC">
        <w:rPr>
          <w:rFonts w:eastAsia="Times New Roman" w:cstheme="minorHAnsi"/>
        </w:rPr>
        <w:t>Vienna</w:t>
      </w:r>
      <w:proofErr w:type="spellEnd"/>
      <w:r w:rsidRPr="00B014BC">
        <w:rPr>
          <w:rFonts w:eastAsia="Times New Roman" w:cstheme="minorHAnsi"/>
        </w:rPr>
        <w:t xml:space="preserve"> </w:t>
      </w:r>
      <w:proofErr w:type="spellStart"/>
      <w:r w:rsidRPr="00B014BC">
        <w:rPr>
          <w:rFonts w:eastAsia="Times New Roman" w:cstheme="minorHAnsi"/>
        </w:rPr>
        <w:t>Insurance</w:t>
      </w:r>
      <w:proofErr w:type="spellEnd"/>
      <w:r w:rsidRPr="00B014BC">
        <w:rPr>
          <w:rFonts w:eastAsia="Times New Roman" w:cstheme="minorHAnsi"/>
        </w:rPr>
        <w:t xml:space="preserve"> Group (2000 – 2009)</w:t>
      </w:r>
    </w:p>
    <w:p w14:paraId="6E46F31F" w14:textId="77777777" w:rsidR="00BA7EB5" w:rsidRPr="00B014BC" w:rsidRDefault="00BA7EB5" w:rsidP="004518BB">
      <w:pPr>
        <w:pStyle w:val="ListParagraph"/>
        <w:numPr>
          <w:ilvl w:val="0"/>
          <w:numId w:val="9"/>
        </w:numPr>
        <w:spacing w:after="0" w:line="240" w:lineRule="auto"/>
        <w:rPr>
          <w:rFonts w:cstheme="minorHAnsi"/>
        </w:rPr>
      </w:pPr>
      <w:r w:rsidRPr="00B014BC">
        <w:rPr>
          <w:rFonts w:cstheme="minorHAnsi"/>
        </w:rPr>
        <w:t>2004 – 2009</w:t>
      </w:r>
      <w:r w:rsidRPr="00B014BC">
        <w:rPr>
          <w:rFonts w:cstheme="minorHAnsi"/>
        </w:rPr>
        <w:tab/>
      </w:r>
      <w:r w:rsidRPr="00B014BC">
        <w:rPr>
          <w:rFonts w:cstheme="minorHAnsi"/>
        </w:rPr>
        <w:tab/>
        <w:t xml:space="preserve">          </w:t>
      </w:r>
    </w:p>
    <w:p w14:paraId="32E9E1D3" w14:textId="77777777" w:rsidR="00BA7EB5" w:rsidRPr="00B014BC" w:rsidRDefault="00BA7EB5" w:rsidP="004518BB">
      <w:pPr>
        <w:spacing w:after="0" w:line="240" w:lineRule="auto"/>
        <w:ind w:left="720" w:firstLine="696"/>
        <w:rPr>
          <w:rFonts w:eastAsia="Times New Roman" w:cstheme="minorHAnsi"/>
        </w:rPr>
      </w:pPr>
      <w:r w:rsidRPr="00B014BC">
        <w:rPr>
          <w:rFonts w:eastAsia="Times New Roman" w:cstheme="minorHAnsi"/>
        </w:rPr>
        <w:t>člen predstavenstva a riaditeľ</w:t>
      </w:r>
    </w:p>
    <w:p w14:paraId="51893557" w14:textId="77777777" w:rsidR="00BA7EB5" w:rsidRPr="00B014BC" w:rsidRDefault="00BA7EB5" w:rsidP="004518BB">
      <w:pPr>
        <w:pStyle w:val="ListParagraph"/>
        <w:numPr>
          <w:ilvl w:val="0"/>
          <w:numId w:val="9"/>
        </w:numPr>
        <w:spacing w:after="0" w:line="240" w:lineRule="auto"/>
        <w:rPr>
          <w:rFonts w:cstheme="minorHAnsi"/>
        </w:rPr>
      </w:pPr>
      <w:r w:rsidRPr="00B014BC">
        <w:rPr>
          <w:rFonts w:cstheme="minorHAnsi"/>
        </w:rPr>
        <w:t>2000 – 2004</w:t>
      </w:r>
      <w:r w:rsidRPr="00B014BC">
        <w:rPr>
          <w:rFonts w:cstheme="minorHAnsi"/>
        </w:rPr>
        <w:tab/>
      </w:r>
    </w:p>
    <w:p w14:paraId="17D034B5" w14:textId="77777777" w:rsidR="00BA7EB5" w:rsidRPr="00B014BC" w:rsidRDefault="00BA7EB5" w:rsidP="004518BB">
      <w:pPr>
        <w:pStyle w:val="ListParagraph"/>
        <w:spacing w:after="0" w:line="240" w:lineRule="auto"/>
        <w:ind w:left="1440"/>
        <w:rPr>
          <w:rFonts w:cstheme="minorHAnsi"/>
        </w:rPr>
      </w:pPr>
      <w:r w:rsidRPr="00B014BC">
        <w:rPr>
          <w:rFonts w:cstheme="minorHAnsi"/>
        </w:rPr>
        <w:t>viaceré riadiace pozície v oblasti obchodu</w:t>
      </w:r>
    </w:p>
    <w:p w14:paraId="2982BF06"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do roku 2000</w:t>
      </w:r>
    </w:p>
    <w:p w14:paraId="17E716A9" w14:textId="77777777" w:rsidR="00BA7EB5" w:rsidRPr="00B014BC" w:rsidRDefault="00BA7EB5" w:rsidP="004518BB">
      <w:pPr>
        <w:spacing w:after="0" w:line="240" w:lineRule="auto"/>
        <w:ind w:left="720"/>
        <w:rPr>
          <w:rFonts w:eastAsia="Times New Roman" w:cstheme="minorHAnsi"/>
        </w:rPr>
      </w:pPr>
      <w:r w:rsidRPr="00B014BC">
        <w:rPr>
          <w:rFonts w:eastAsia="Times New Roman" w:cstheme="minorHAnsi"/>
        </w:rPr>
        <w:t>vedúce pozície v rôznych oblastiach podnikateľskej činnosti</w:t>
      </w:r>
    </w:p>
    <w:p w14:paraId="34296789" w14:textId="77777777" w:rsidR="00FD409B" w:rsidRPr="00B014BC" w:rsidRDefault="00FD409B" w:rsidP="004518BB">
      <w:pPr>
        <w:spacing w:after="0" w:line="240" w:lineRule="auto"/>
        <w:rPr>
          <w:rFonts w:eastAsia="Times New Roman" w:cstheme="minorHAnsi"/>
        </w:rPr>
      </w:pPr>
    </w:p>
    <w:p w14:paraId="65827CD7" w14:textId="77777777" w:rsidR="00BA7EB5" w:rsidRPr="00B014BC" w:rsidRDefault="00BA7EB5" w:rsidP="004518BB">
      <w:pPr>
        <w:spacing w:after="0" w:line="240" w:lineRule="auto"/>
        <w:rPr>
          <w:rFonts w:eastAsia="Times New Roman" w:cstheme="minorHAnsi"/>
        </w:rPr>
      </w:pPr>
      <w:r w:rsidRPr="00B014BC">
        <w:rPr>
          <w:rFonts w:eastAsia="Times New Roman" w:cstheme="minorHAnsi"/>
        </w:rPr>
        <w:t>Zastúpenia v orgánoch iných spoločností:</w:t>
      </w:r>
    </w:p>
    <w:p w14:paraId="59FC213D" w14:textId="33DDB5CA" w:rsidR="00BA7EB5" w:rsidRPr="00B014BC" w:rsidRDefault="00BA7EB5" w:rsidP="004518BB">
      <w:pPr>
        <w:numPr>
          <w:ilvl w:val="0"/>
          <w:numId w:val="6"/>
        </w:numPr>
        <w:spacing w:after="0" w:line="240" w:lineRule="auto"/>
        <w:rPr>
          <w:rFonts w:eastAsia="Times New Roman" w:cstheme="minorHAnsi"/>
        </w:rPr>
      </w:pPr>
      <w:proofErr w:type="spellStart"/>
      <w:r w:rsidRPr="00B014BC">
        <w:rPr>
          <w:rFonts w:eastAsia="Times New Roman" w:cstheme="minorHAnsi"/>
        </w:rPr>
        <w:t>Slovexperta</w:t>
      </w:r>
      <w:proofErr w:type="spellEnd"/>
      <w:r w:rsidRPr="00B014BC">
        <w:rPr>
          <w:rFonts w:eastAsia="Times New Roman" w:cstheme="minorHAnsi"/>
        </w:rPr>
        <w:t xml:space="preserve">, </w:t>
      </w:r>
      <w:proofErr w:type="spellStart"/>
      <w:r w:rsidRPr="00B014BC">
        <w:rPr>
          <w:rFonts w:eastAsia="Times New Roman" w:cstheme="minorHAnsi"/>
        </w:rPr>
        <w:t>s.r.o</w:t>
      </w:r>
      <w:proofErr w:type="spellEnd"/>
      <w:r w:rsidRPr="00B014BC">
        <w:rPr>
          <w:rFonts w:eastAsia="Times New Roman" w:cstheme="minorHAnsi"/>
        </w:rPr>
        <w:t xml:space="preserve">. </w:t>
      </w:r>
      <w:r w:rsidR="0047621A" w:rsidRPr="00B014BC">
        <w:rPr>
          <w:rFonts w:eastAsia="Times New Roman" w:cstheme="minorHAnsi"/>
        </w:rPr>
        <w:t xml:space="preserve">– </w:t>
      </w:r>
      <w:r w:rsidRPr="00B014BC">
        <w:rPr>
          <w:rFonts w:eastAsia="Times New Roman" w:cstheme="minorHAnsi"/>
        </w:rPr>
        <w:t>člen dozornej rady</w:t>
      </w:r>
    </w:p>
    <w:p w14:paraId="389418E5"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lastRenderedPageBreak/>
        <w:t>Slovenská asociácia poisťovní – člen prezídia</w:t>
      </w:r>
    </w:p>
    <w:p w14:paraId="248BED13"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Slovenská kancelária poisťovateľov – člen správnej rady</w:t>
      </w:r>
    </w:p>
    <w:p w14:paraId="2712AA40" w14:textId="77777777" w:rsidR="00F905A7" w:rsidRPr="00B014BC" w:rsidRDefault="00BA7EB5" w:rsidP="004518BB">
      <w:pPr>
        <w:numPr>
          <w:ilvl w:val="0"/>
          <w:numId w:val="6"/>
        </w:numPr>
        <w:spacing w:after="0" w:line="240" w:lineRule="auto"/>
        <w:rPr>
          <w:rFonts w:eastAsia="Times New Roman" w:cstheme="minorHAnsi"/>
        </w:rPr>
      </w:pPr>
      <w:r w:rsidRPr="00B014BC">
        <w:rPr>
          <w:rFonts w:cstheme="minorHAnsi"/>
        </w:rPr>
        <w:t>BRK SOPK – člen predstavenstva</w:t>
      </w:r>
    </w:p>
    <w:p w14:paraId="121A2382" w14:textId="77777777" w:rsidR="00952353" w:rsidRPr="00B014BC" w:rsidRDefault="00952353" w:rsidP="004518BB">
      <w:pPr>
        <w:spacing w:after="0" w:line="240" w:lineRule="auto"/>
        <w:rPr>
          <w:rFonts w:cstheme="minorHAnsi"/>
        </w:rPr>
      </w:pPr>
    </w:p>
    <w:p w14:paraId="0FD0E5EE" w14:textId="77777777" w:rsidR="00F905A7" w:rsidRPr="00B014BC" w:rsidRDefault="00F905A7" w:rsidP="004518BB">
      <w:pPr>
        <w:spacing w:after="0" w:line="240" w:lineRule="auto"/>
        <w:rPr>
          <w:rFonts w:cstheme="minorHAnsi"/>
        </w:rPr>
      </w:pPr>
      <w:r w:rsidRPr="00B014BC">
        <w:rPr>
          <w:rFonts w:cstheme="minorHAnsi"/>
        </w:rPr>
        <w:t>Oblasti zodpovednosti:</w:t>
      </w:r>
    </w:p>
    <w:p w14:paraId="5C119BAC" w14:textId="77777777" w:rsidR="00F905A7" w:rsidRPr="00B014BC" w:rsidRDefault="00F905A7" w:rsidP="004518BB">
      <w:pPr>
        <w:pStyle w:val="ListParagraph"/>
        <w:numPr>
          <w:ilvl w:val="0"/>
          <w:numId w:val="29"/>
        </w:numPr>
        <w:tabs>
          <w:tab w:val="left" w:pos="284"/>
        </w:tabs>
        <w:spacing w:after="0" w:line="240" w:lineRule="auto"/>
        <w:rPr>
          <w:rFonts w:cstheme="minorHAnsi"/>
        </w:rPr>
      </w:pPr>
      <w:r w:rsidRPr="00B014BC">
        <w:rPr>
          <w:rFonts w:cstheme="minorHAnsi"/>
        </w:rPr>
        <w:t>Vedenie spoločnosti</w:t>
      </w:r>
    </w:p>
    <w:p w14:paraId="2A8E08E0" w14:textId="77777777" w:rsidR="00F905A7" w:rsidRPr="00B014BC" w:rsidRDefault="00F905A7" w:rsidP="004518BB">
      <w:pPr>
        <w:pStyle w:val="BodyText"/>
        <w:numPr>
          <w:ilvl w:val="0"/>
          <w:numId w:val="29"/>
        </w:numPr>
        <w:tabs>
          <w:tab w:val="left" w:pos="284"/>
        </w:tabs>
        <w:jc w:val="left"/>
        <w:rPr>
          <w:rFonts w:asciiTheme="minorHAnsi" w:hAnsiTheme="minorHAnsi" w:cstheme="minorHAnsi"/>
          <w:b w:val="0"/>
          <w:sz w:val="22"/>
          <w:szCs w:val="22"/>
        </w:rPr>
      </w:pPr>
      <w:r w:rsidRPr="00B014BC">
        <w:rPr>
          <w:rFonts w:asciiTheme="minorHAnsi" w:hAnsiTheme="minorHAnsi" w:cstheme="minorHAnsi"/>
          <w:b w:val="0"/>
          <w:sz w:val="22"/>
          <w:szCs w:val="22"/>
        </w:rPr>
        <w:t>Zastupovanie voči dozorným orgánom</w:t>
      </w:r>
    </w:p>
    <w:p w14:paraId="25F748BA" w14:textId="77777777" w:rsidR="00F905A7" w:rsidRPr="00B014BC" w:rsidRDefault="00F905A7" w:rsidP="004518BB">
      <w:pPr>
        <w:pStyle w:val="ListParagraph"/>
        <w:numPr>
          <w:ilvl w:val="0"/>
          <w:numId w:val="29"/>
        </w:numPr>
        <w:tabs>
          <w:tab w:val="left" w:pos="284"/>
        </w:tabs>
        <w:spacing w:after="0" w:line="240" w:lineRule="auto"/>
        <w:rPr>
          <w:rFonts w:cstheme="minorHAnsi"/>
        </w:rPr>
      </w:pPr>
      <w:r w:rsidRPr="00B014BC">
        <w:rPr>
          <w:rFonts w:cstheme="minorHAnsi"/>
        </w:rPr>
        <w:t>Poisťovacie a odborové zväzy</w:t>
      </w:r>
    </w:p>
    <w:p w14:paraId="1AADC8C3" w14:textId="77777777" w:rsidR="00F905A7" w:rsidRPr="00B014BC" w:rsidRDefault="00F905A7" w:rsidP="004518BB">
      <w:pPr>
        <w:pStyle w:val="ListParagraph"/>
        <w:numPr>
          <w:ilvl w:val="0"/>
          <w:numId w:val="29"/>
        </w:numPr>
        <w:tabs>
          <w:tab w:val="left" w:pos="284"/>
        </w:tabs>
        <w:spacing w:after="0" w:line="240" w:lineRule="auto"/>
        <w:rPr>
          <w:rFonts w:cstheme="minorHAnsi"/>
        </w:rPr>
      </w:pPr>
      <w:r w:rsidRPr="00B014BC">
        <w:rPr>
          <w:rFonts w:cstheme="minorHAnsi"/>
        </w:rPr>
        <w:t>Obchod a obchodná politika</w:t>
      </w:r>
    </w:p>
    <w:p w14:paraId="17FB955E" w14:textId="77777777" w:rsidR="00F905A7" w:rsidRPr="00B014BC" w:rsidRDefault="00F905A7" w:rsidP="004518BB">
      <w:pPr>
        <w:pStyle w:val="ListParagraph"/>
        <w:numPr>
          <w:ilvl w:val="0"/>
          <w:numId w:val="29"/>
        </w:numPr>
        <w:tabs>
          <w:tab w:val="left" w:pos="284"/>
          <w:tab w:val="left" w:pos="1560"/>
          <w:tab w:val="left" w:pos="3119"/>
          <w:tab w:val="left" w:pos="6521"/>
        </w:tabs>
        <w:spacing w:after="0" w:line="240" w:lineRule="auto"/>
        <w:rPr>
          <w:rFonts w:cstheme="minorHAnsi"/>
        </w:rPr>
      </w:pPr>
      <w:r w:rsidRPr="00B014BC">
        <w:rPr>
          <w:rFonts w:cstheme="minorHAnsi"/>
        </w:rPr>
        <w:t>Riadenie vlastných a externých odbytových sietí</w:t>
      </w:r>
      <w:r w:rsidRPr="00B014BC">
        <w:rPr>
          <w:rFonts w:cstheme="minorHAnsi"/>
        </w:rPr>
        <w:tab/>
      </w:r>
    </w:p>
    <w:p w14:paraId="299DF74A" w14:textId="77777777" w:rsidR="00F905A7" w:rsidRPr="00B014BC" w:rsidRDefault="00F905A7" w:rsidP="004518BB">
      <w:pPr>
        <w:pStyle w:val="ListParagraph"/>
        <w:numPr>
          <w:ilvl w:val="0"/>
          <w:numId w:val="29"/>
        </w:numPr>
        <w:tabs>
          <w:tab w:val="left" w:pos="284"/>
        </w:tabs>
        <w:spacing w:after="0" w:line="240" w:lineRule="auto"/>
        <w:rPr>
          <w:rFonts w:cstheme="minorHAnsi"/>
        </w:rPr>
      </w:pPr>
      <w:r w:rsidRPr="00B014BC">
        <w:rPr>
          <w:rFonts w:cstheme="minorHAnsi"/>
        </w:rPr>
        <w:t xml:space="preserve">Spolupráca s médiami </w:t>
      </w:r>
    </w:p>
    <w:p w14:paraId="2C2497F1" w14:textId="77777777" w:rsidR="00F905A7" w:rsidRPr="00B014BC" w:rsidRDefault="00F905A7" w:rsidP="004518BB">
      <w:pPr>
        <w:pStyle w:val="ListParagraph"/>
        <w:numPr>
          <w:ilvl w:val="0"/>
          <w:numId w:val="29"/>
        </w:numPr>
        <w:tabs>
          <w:tab w:val="num" w:pos="284"/>
          <w:tab w:val="left" w:pos="993"/>
          <w:tab w:val="left" w:pos="6521"/>
        </w:tabs>
        <w:spacing w:after="0" w:line="240" w:lineRule="auto"/>
        <w:rPr>
          <w:rFonts w:cstheme="minorHAnsi"/>
        </w:rPr>
      </w:pPr>
      <w:r w:rsidRPr="00B014BC">
        <w:rPr>
          <w:rFonts w:cstheme="minorHAnsi"/>
        </w:rPr>
        <w:t>Marketing / reklama</w:t>
      </w:r>
    </w:p>
    <w:p w14:paraId="12E5CC06" w14:textId="77777777" w:rsidR="00F905A7" w:rsidRPr="00B014BC" w:rsidRDefault="00F905A7" w:rsidP="004518BB">
      <w:pPr>
        <w:pStyle w:val="ListParagraph"/>
        <w:numPr>
          <w:ilvl w:val="0"/>
          <w:numId w:val="29"/>
        </w:numPr>
        <w:tabs>
          <w:tab w:val="num" w:pos="284"/>
          <w:tab w:val="left" w:pos="993"/>
          <w:tab w:val="left" w:pos="6521"/>
        </w:tabs>
        <w:spacing w:after="0" w:line="240" w:lineRule="auto"/>
        <w:rPr>
          <w:rFonts w:cstheme="minorHAnsi"/>
        </w:rPr>
      </w:pPr>
      <w:r w:rsidRPr="00B014BC">
        <w:rPr>
          <w:rFonts w:cstheme="minorHAnsi"/>
        </w:rPr>
        <w:t>Spolupráca s bankami</w:t>
      </w:r>
    </w:p>
    <w:p w14:paraId="14D0C2FF" w14:textId="77777777" w:rsidR="00F905A7" w:rsidRPr="00B014BC" w:rsidRDefault="00F905A7" w:rsidP="004518BB">
      <w:pPr>
        <w:pStyle w:val="ListParagraph"/>
        <w:numPr>
          <w:ilvl w:val="0"/>
          <w:numId w:val="29"/>
        </w:numPr>
        <w:tabs>
          <w:tab w:val="num" w:pos="284"/>
          <w:tab w:val="left" w:pos="6521"/>
        </w:tabs>
        <w:spacing w:after="0" w:line="240" w:lineRule="auto"/>
        <w:rPr>
          <w:rFonts w:cstheme="minorHAnsi"/>
        </w:rPr>
      </w:pPr>
      <w:r w:rsidRPr="00B014BC">
        <w:rPr>
          <w:rFonts w:cstheme="minorHAnsi"/>
        </w:rPr>
        <w:t>Personalistika / Personálne plánovanie</w:t>
      </w:r>
    </w:p>
    <w:p w14:paraId="411DD652" w14:textId="424299BA" w:rsidR="00B87971" w:rsidRPr="00B014BC" w:rsidRDefault="00F905A7" w:rsidP="00A97E1B">
      <w:pPr>
        <w:pStyle w:val="ListParagraph"/>
        <w:numPr>
          <w:ilvl w:val="0"/>
          <w:numId w:val="29"/>
        </w:numPr>
        <w:tabs>
          <w:tab w:val="left" w:pos="284"/>
          <w:tab w:val="left" w:pos="1560"/>
          <w:tab w:val="left" w:pos="3119"/>
          <w:tab w:val="left" w:pos="6521"/>
        </w:tabs>
        <w:spacing w:after="0" w:line="240" w:lineRule="auto"/>
        <w:rPr>
          <w:rFonts w:cstheme="minorHAnsi"/>
        </w:rPr>
      </w:pPr>
      <w:proofErr w:type="spellStart"/>
      <w:r w:rsidRPr="00B014BC">
        <w:rPr>
          <w:rFonts w:cstheme="minorHAnsi"/>
        </w:rPr>
        <w:t>Controlling</w:t>
      </w:r>
      <w:proofErr w:type="spellEnd"/>
    </w:p>
    <w:p w14:paraId="5D661AC3" w14:textId="6D5F622D" w:rsidR="00770EA5" w:rsidRPr="00B014BC" w:rsidRDefault="00770EA5" w:rsidP="00770EA5">
      <w:pPr>
        <w:pStyle w:val="ListParagraph"/>
        <w:numPr>
          <w:ilvl w:val="0"/>
          <w:numId w:val="29"/>
        </w:numPr>
        <w:tabs>
          <w:tab w:val="left" w:pos="360"/>
        </w:tabs>
        <w:spacing w:after="0" w:line="240" w:lineRule="auto"/>
        <w:rPr>
          <w:rFonts w:cstheme="minorHAnsi"/>
        </w:rPr>
      </w:pPr>
      <w:r w:rsidRPr="00B014BC">
        <w:rPr>
          <w:rFonts w:cstheme="minorHAnsi"/>
        </w:rPr>
        <w:t xml:space="preserve">Právna oblasť/manažment sťažností </w:t>
      </w:r>
      <w:r w:rsidRPr="00B014BC">
        <w:rPr>
          <w:rFonts w:ascii="Calibri" w:eastAsiaTheme="majorEastAsia" w:hAnsi="Calibri" w:cstheme="minorHAnsi"/>
          <w:bCs/>
          <w:iCs/>
        </w:rPr>
        <w:t>(od 1. 5. 2015)</w:t>
      </w:r>
    </w:p>
    <w:p w14:paraId="101053A8" w14:textId="77777777" w:rsidR="00770EA5" w:rsidRPr="00B014BC" w:rsidRDefault="00770EA5" w:rsidP="00770EA5">
      <w:pPr>
        <w:pStyle w:val="ListParagraph"/>
        <w:tabs>
          <w:tab w:val="left" w:pos="284"/>
          <w:tab w:val="left" w:pos="1560"/>
          <w:tab w:val="left" w:pos="3119"/>
          <w:tab w:val="left" w:pos="6521"/>
        </w:tabs>
        <w:spacing w:after="0" w:line="240" w:lineRule="auto"/>
        <w:rPr>
          <w:rFonts w:cstheme="minorHAnsi"/>
        </w:rPr>
      </w:pPr>
    </w:p>
    <w:p w14:paraId="30B3CBFA" w14:textId="77777777" w:rsidR="00BA7EB5" w:rsidRPr="00B014BC" w:rsidRDefault="00BA7EB5" w:rsidP="004518BB">
      <w:pPr>
        <w:spacing w:after="0" w:line="240" w:lineRule="auto"/>
        <w:rPr>
          <w:rFonts w:eastAsia="Times New Roman" w:cstheme="minorHAnsi"/>
          <w:b/>
        </w:rPr>
      </w:pPr>
      <w:proofErr w:type="spellStart"/>
      <w:r w:rsidRPr="00B014BC">
        <w:rPr>
          <w:rFonts w:eastAsia="Times New Roman" w:cstheme="minorHAnsi"/>
          <w:b/>
        </w:rPr>
        <w:t>Mag</w:t>
      </w:r>
      <w:proofErr w:type="spellEnd"/>
      <w:r w:rsidRPr="00B014BC">
        <w:rPr>
          <w:rFonts w:eastAsia="Times New Roman" w:cstheme="minorHAnsi"/>
          <w:b/>
        </w:rPr>
        <w:t xml:space="preserve">. </w:t>
      </w:r>
      <w:proofErr w:type="spellStart"/>
      <w:r w:rsidRPr="00B014BC">
        <w:rPr>
          <w:rFonts w:eastAsia="Times New Roman" w:cstheme="minorHAnsi"/>
          <w:b/>
        </w:rPr>
        <w:t>iur</w:t>
      </w:r>
      <w:proofErr w:type="spellEnd"/>
      <w:r w:rsidRPr="00B014BC">
        <w:rPr>
          <w:rFonts w:eastAsia="Times New Roman" w:cstheme="minorHAnsi"/>
          <w:b/>
        </w:rPr>
        <w:t xml:space="preserve">. </w:t>
      </w:r>
      <w:proofErr w:type="spellStart"/>
      <w:r w:rsidRPr="00B014BC">
        <w:rPr>
          <w:rFonts w:eastAsia="Times New Roman" w:cstheme="minorHAnsi"/>
          <w:b/>
        </w:rPr>
        <w:t>Patrick</w:t>
      </w:r>
      <w:proofErr w:type="spellEnd"/>
      <w:r w:rsidRPr="00B014BC">
        <w:rPr>
          <w:rFonts w:eastAsia="Times New Roman" w:cstheme="minorHAnsi"/>
          <w:b/>
        </w:rPr>
        <w:t xml:space="preserve"> </w:t>
      </w:r>
      <w:proofErr w:type="spellStart"/>
      <w:r w:rsidRPr="00B014BC">
        <w:rPr>
          <w:rFonts w:eastAsia="Times New Roman" w:cstheme="minorHAnsi"/>
          <w:b/>
        </w:rPr>
        <w:t>Skyba</w:t>
      </w:r>
      <w:proofErr w:type="spellEnd"/>
      <w:r w:rsidRPr="00B014BC">
        <w:rPr>
          <w:rFonts w:eastAsia="Times New Roman" w:cstheme="minorHAnsi"/>
          <w:b/>
        </w:rPr>
        <w:t xml:space="preserve"> </w:t>
      </w:r>
    </w:p>
    <w:p w14:paraId="7CA4F488" w14:textId="77777777" w:rsidR="00BA7EB5" w:rsidRPr="00B014BC" w:rsidRDefault="00BA7EB5" w:rsidP="004518BB">
      <w:pPr>
        <w:spacing w:after="0" w:line="240" w:lineRule="auto"/>
        <w:rPr>
          <w:rFonts w:eastAsia="Times New Roman" w:cstheme="minorHAnsi"/>
          <w:b/>
        </w:rPr>
      </w:pPr>
      <w:r w:rsidRPr="00B014BC">
        <w:rPr>
          <w:rFonts w:eastAsia="Times New Roman" w:cstheme="minorHAnsi"/>
          <w:b/>
        </w:rPr>
        <w:t xml:space="preserve">člen predstavenstva a námestník generálneho riaditeľa </w:t>
      </w:r>
    </w:p>
    <w:p w14:paraId="5F4606E1" w14:textId="6A19BE88" w:rsidR="00BA7EB5" w:rsidRPr="00B014BC" w:rsidRDefault="00BA7EB5" w:rsidP="004518BB">
      <w:pPr>
        <w:spacing w:after="0" w:line="240" w:lineRule="auto"/>
        <w:rPr>
          <w:rFonts w:eastAsia="Times New Roman" w:cstheme="minorHAnsi"/>
        </w:rPr>
      </w:pPr>
      <w:r w:rsidRPr="00B014BC">
        <w:rPr>
          <w:rFonts w:eastAsia="Times New Roman" w:cstheme="minorHAnsi"/>
        </w:rPr>
        <w:t>197</w:t>
      </w:r>
      <w:r w:rsidR="0047621A" w:rsidRPr="00B014BC">
        <w:rPr>
          <w:rFonts w:eastAsia="Times New Roman" w:cstheme="minorHAnsi"/>
        </w:rPr>
        <w:t>4, absolvent Právnickej fakulty Viedenskej univerzity</w:t>
      </w:r>
    </w:p>
    <w:p w14:paraId="1C82E126" w14:textId="786CFC93" w:rsidR="00BA7EB5" w:rsidRPr="00B014BC" w:rsidRDefault="00BA7EB5" w:rsidP="004518BB">
      <w:pPr>
        <w:spacing w:after="0" w:line="240" w:lineRule="auto"/>
        <w:rPr>
          <w:rFonts w:eastAsia="Times New Roman" w:cstheme="minorHAnsi"/>
        </w:rPr>
      </w:pPr>
      <w:r w:rsidRPr="00B014BC">
        <w:rPr>
          <w:rFonts w:eastAsia="Times New Roman" w:cstheme="minorHAnsi"/>
        </w:rPr>
        <w:t xml:space="preserve">V poisťovníctve pracuje </w:t>
      </w:r>
      <w:r w:rsidR="0053451C" w:rsidRPr="00B014BC">
        <w:rPr>
          <w:rFonts w:eastAsia="Times New Roman" w:cstheme="minorHAnsi"/>
        </w:rPr>
        <w:t>15</w:t>
      </w:r>
      <w:r w:rsidRPr="00B014BC">
        <w:rPr>
          <w:rFonts w:eastAsia="Times New Roman" w:cstheme="minorHAnsi"/>
        </w:rPr>
        <w:t xml:space="preserve"> rokov.</w:t>
      </w:r>
    </w:p>
    <w:p w14:paraId="6404287F" w14:textId="77777777" w:rsidR="00BA7EB5" w:rsidRPr="00B014BC" w:rsidRDefault="00BA7EB5" w:rsidP="004518BB">
      <w:pPr>
        <w:spacing w:after="0" w:line="240" w:lineRule="auto"/>
        <w:rPr>
          <w:rFonts w:eastAsia="Times New Roman" w:cstheme="minorHAnsi"/>
        </w:rPr>
      </w:pPr>
    </w:p>
    <w:p w14:paraId="0E928B19" w14:textId="77777777" w:rsidR="00BA7EB5" w:rsidRPr="00B014BC" w:rsidRDefault="00BA7EB5" w:rsidP="004518BB">
      <w:pPr>
        <w:spacing w:after="0" w:line="240" w:lineRule="auto"/>
        <w:rPr>
          <w:rFonts w:eastAsia="Times New Roman" w:cstheme="minorHAnsi"/>
        </w:rPr>
      </w:pPr>
      <w:r w:rsidRPr="00B014BC">
        <w:rPr>
          <w:rFonts w:eastAsia="Times New Roman" w:cstheme="minorHAnsi"/>
        </w:rPr>
        <w:t>Odborná prax:</w:t>
      </w:r>
    </w:p>
    <w:p w14:paraId="26EEF455"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 xml:space="preserve">KOMUNÁLNA poisťovňa, a. s. </w:t>
      </w:r>
      <w:proofErr w:type="spellStart"/>
      <w:r w:rsidRPr="00B014BC">
        <w:rPr>
          <w:rFonts w:eastAsia="Times New Roman" w:cstheme="minorHAnsi"/>
        </w:rPr>
        <w:t>Vienna</w:t>
      </w:r>
      <w:proofErr w:type="spellEnd"/>
      <w:r w:rsidRPr="00B014BC">
        <w:rPr>
          <w:rFonts w:eastAsia="Times New Roman" w:cstheme="minorHAnsi"/>
        </w:rPr>
        <w:t xml:space="preserve"> </w:t>
      </w:r>
      <w:proofErr w:type="spellStart"/>
      <w:r w:rsidRPr="00B014BC">
        <w:rPr>
          <w:rFonts w:eastAsia="Times New Roman" w:cstheme="minorHAnsi"/>
        </w:rPr>
        <w:t>Insurance</w:t>
      </w:r>
      <w:proofErr w:type="spellEnd"/>
      <w:r w:rsidRPr="00B014BC">
        <w:rPr>
          <w:rFonts w:eastAsia="Times New Roman" w:cstheme="minorHAnsi"/>
        </w:rPr>
        <w:t xml:space="preserve"> Group</w:t>
      </w:r>
    </w:p>
    <w:p w14:paraId="382027D6" w14:textId="77777777" w:rsidR="00BA7EB5" w:rsidRPr="00B014BC" w:rsidRDefault="00BA7EB5" w:rsidP="004518BB">
      <w:pPr>
        <w:spacing w:after="0" w:line="240" w:lineRule="auto"/>
        <w:ind w:left="2832" w:hanging="2124"/>
        <w:rPr>
          <w:rFonts w:eastAsia="Times New Roman" w:cstheme="minorHAnsi"/>
        </w:rPr>
      </w:pPr>
      <w:r w:rsidRPr="00B014BC">
        <w:rPr>
          <w:rFonts w:eastAsia="Times New Roman" w:cstheme="minorHAnsi"/>
        </w:rPr>
        <w:t xml:space="preserve">člen predstavenstva od 1. 7. 2007 </w:t>
      </w:r>
    </w:p>
    <w:p w14:paraId="44A5171B"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 xml:space="preserve">KOOPERATIVA poisťovňa, </w:t>
      </w:r>
      <w:proofErr w:type="spellStart"/>
      <w:r w:rsidRPr="00B014BC">
        <w:rPr>
          <w:rFonts w:eastAsia="Times New Roman" w:cstheme="minorHAnsi"/>
        </w:rPr>
        <w:t>a.s</w:t>
      </w:r>
      <w:proofErr w:type="spellEnd"/>
      <w:r w:rsidRPr="00B014BC">
        <w:rPr>
          <w:rFonts w:eastAsia="Times New Roman" w:cstheme="minorHAnsi"/>
        </w:rPr>
        <w:t xml:space="preserve">. </w:t>
      </w:r>
      <w:proofErr w:type="spellStart"/>
      <w:r w:rsidRPr="00B014BC">
        <w:rPr>
          <w:rFonts w:eastAsia="Times New Roman" w:cstheme="minorHAnsi"/>
        </w:rPr>
        <w:t>Vienna</w:t>
      </w:r>
      <w:proofErr w:type="spellEnd"/>
      <w:r w:rsidRPr="00B014BC">
        <w:rPr>
          <w:rFonts w:eastAsia="Times New Roman" w:cstheme="minorHAnsi"/>
        </w:rPr>
        <w:t xml:space="preserve"> </w:t>
      </w:r>
      <w:proofErr w:type="spellStart"/>
      <w:r w:rsidRPr="00B014BC">
        <w:rPr>
          <w:rFonts w:eastAsia="Times New Roman" w:cstheme="minorHAnsi"/>
        </w:rPr>
        <w:t>Insurance</w:t>
      </w:r>
      <w:proofErr w:type="spellEnd"/>
      <w:r w:rsidRPr="00B014BC">
        <w:rPr>
          <w:rFonts w:eastAsia="Times New Roman" w:cstheme="minorHAnsi"/>
        </w:rPr>
        <w:t xml:space="preserve"> Group (2008 – 2009)</w:t>
      </w:r>
    </w:p>
    <w:p w14:paraId="0C7442E6" w14:textId="77777777" w:rsidR="00BA7EB5" w:rsidRPr="00B014BC" w:rsidRDefault="00BA7EB5" w:rsidP="004518BB">
      <w:pPr>
        <w:spacing w:after="0" w:line="240" w:lineRule="auto"/>
        <w:ind w:left="720"/>
        <w:rPr>
          <w:rFonts w:eastAsia="Times New Roman" w:cstheme="minorHAnsi"/>
        </w:rPr>
      </w:pPr>
      <w:r w:rsidRPr="00B014BC">
        <w:rPr>
          <w:rFonts w:eastAsia="Times New Roman" w:cstheme="minorHAnsi"/>
        </w:rPr>
        <w:t>člen rozšíreného vedenia</w:t>
      </w:r>
    </w:p>
    <w:p w14:paraId="63372E18"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 xml:space="preserve">Wiener </w:t>
      </w:r>
      <w:proofErr w:type="spellStart"/>
      <w:r w:rsidRPr="00B014BC">
        <w:rPr>
          <w:rFonts w:eastAsia="Times New Roman" w:cstheme="minorHAnsi"/>
        </w:rPr>
        <w:t>Städtische</w:t>
      </w:r>
      <w:proofErr w:type="spellEnd"/>
      <w:r w:rsidRPr="00B014BC">
        <w:rPr>
          <w:rFonts w:eastAsia="Times New Roman" w:cstheme="minorHAnsi"/>
        </w:rPr>
        <w:t xml:space="preserve"> </w:t>
      </w:r>
      <w:proofErr w:type="spellStart"/>
      <w:r w:rsidRPr="00B014BC">
        <w:rPr>
          <w:rFonts w:eastAsia="Times New Roman" w:cstheme="minorHAnsi"/>
        </w:rPr>
        <w:t>Osiguranje</w:t>
      </w:r>
      <w:proofErr w:type="spellEnd"/>
      <w:r w:rsidRPr="00B014BC">
        <w:rPr>
          <w:rFonts w:eastAsia="Times New Roman" w:cstheme="minorHAnsi"/>
        </w:rPr>
        <w:t>, Srbsko (2002 – 2007)</w:t>
      </w:r>
    </w:p>
    <w:p w14:paraId="56F045EE" w14:textId="77777777" w:rsidR="00BA7EB5" w:rsidRPr="00B014BC" w:rsidRDefault="00BA7EB5" w:rsidP="004518BB">
      <w:pPr>
        <w:spacing w:after="0" w:line="240" w:lineRule="auto"/>
        <w:ind w:left="720"/>
        <w:rPr>
          <w:rFonts w:eastAsia="Times New Roman" w:cstheme="minorHAnsi"/>
        </w:rPr>
      </w:pPr>
      <w:r w:rsidRPr="00B014BC">
        <w:rPr>
          <w:rFonts w:eastAsia="Times New Roman" w:cstheme="minorHAnsi"/>
        </w:rPr>
        <w:t>predseda predstavenstva</w:t>
      </w:r>
    </w:p>
    <w:p w14:paraId="5AB794ED" w14:textId="77777777" w:rsidR="00BA7EB5" w:rsidRPr="00B014BC" w:rsidRDefault="00BA7EB5" w:rsidP="004518BB">
      <w:pPr>
        <w:numPr>
          <w:ilvl w:val="0"/>
          <w:numId w:val="6"/>
        </w:numPr>
        <w:spacing w:after="0" w:line="240" w:lineRule="auto"/>
        <w:rPr>
          <w:rFonts w:eastAsia="Times New Roman" w:cstheme="minorHAnsi"/>
        </w:rPr>
      </w:pPr>
      <w:r w:rsidRPr="00B014BC">
        <w:rPr>
          <w:rFonts w:eastAsia="Times New Roman" w:cstheme="minorHAnsi"/>
        </w:rPr>
        <w:t xml:space="preserve">Wiener </w:t>
      </w:r>
      <w:proofErr w:type="spellStart"/>
      <w:r w:rsidRPr="00B014BC">
        <w:rPr>
          <w:rFonts w:eastAsia="Times New Roman" w:cstheme="minorHAnsi"/>
        </w:rPr>
        <w:t>Städtische</w:t>
      </w:r>
      <w:proofErr w:type="spellEnd"/>
      <w:r w:rsidRPr="00B014BC">
        <w:rPr>
          <w:rFonts w:eastAsia="Times New Roman" w:cstheme="minorHAnsi"/>
        </w:rPr>
        <w:t xml:space="preserve"> </w:t>
      </w:r>
      <w:proofErr w:type="spellStart"/>
      <w:r w:rsidRPr="00B014BC">
        <w:rPr>
          <w:rFonts w:eastAsia="Times New Roman" w:cstheme="minorHAnsi"/>
        </w:rPr>
        <w:t>Versicherung</w:t>
      </w:r>
      <w:proofErr w:type="spellEnd"/>
      <w:r w:rsidRPr="00B014BC">
        <w:rPr>
          <w:rFonts w:eastAsia="Times New Roman" w:cstheme="minorHAnsi"/>
        </w:rPr>
        <w:t xml:space="preserve"> AG </w:t>
      </w:r>
      <w:proofErr w:type="spellStart"/>
      <w:r w:rsidRPr="00B014BC">
        <w:rPr>
          <w:rFonts w:eastAsia="Times New Roman" w:cstheme="minorHAnsi"/>
        </w:rPr>
        <w:t>Vienna</w:t>
      </w:r>
      <w:proofErr w:type="spellEnd"/>
      <w:r w:rsidRPr="00B014BC">
        <w:rPr>
          <w:rFonts w:eastAsia="Times New Roman" w:cstheme="minorHAnsi"/>
        </w:rPr>
        <w:t xml:space="preserve"> </w:t>
      </w:r>
      <w:proofErr w:type="spellStart"/>
      <w:r w:rsidRPr="00B014BC">
        <w:rPr>
          <w:rFonts w:eastAsia="Times New Roman" w:cstheme="minorHAnsi"/>
        </w:rPr>
        <w:t>Insurance</w:t>
      </w:r>
      <w:proofErr w:type="spellEnd"/>
      <w:r w:rsidRPr="00B014BC">
        <w:rPr>
          <w:rFonts w:eastAsia="Times New Roman" w:cstheme="minorHAnsi"/>
        </w:rPr>
        <w:t xml:space="preserve"> Group (2000 – 2002)</w:t>
      </w:r>
    </w:p>
    <w:p w14:paraId="4FD91D4A" w14:textId="77777777" w:rsidR="00BA7EB5" w:rsidRPr="00B014BC" w:rsidRDefault="00BA7EB5" w:rsidP="004518BB">
      <w:pPr>
        <w:spacing w:after="0" w:line="240" w:lineRule="auto"/>
        <w:ind w:left="720"/>
        <w:rPr>
          <w:rFonts w:eastAsia="Times New Roman" w:cstheme="minorHAnsi"/>
        </w:rPr>
      </w:pPr>
      <w:r w:rsidRPr="00B014BC">
        <w:rPr>
          <w:rFonts w:eastAsia="Times New Roman" w:cstheme="minorHAnsi"/>
        </w:rPr>
        <w:t>Country Manager pre Chorvátsko a juhovýchodnú Európu</w:t>
      </w:r>
    </w:p>
    <w:p w14:paraId="57458DE0" w14:textId="5A99812F" w:rsidR="00BA7EB5" w:rsidRPr="00B014BC" w:rsidRDefault="0053451C" w:rsidP="004518BB">
      <w:pPr>
        <w:tabs>
          <w:tab w:val="left" w:pos="2107"/>
        </w:tabs>
        <w:spacing w:after="0" w:line="240" w:lineRule="auto"/>
        <w:rPr>
          <w:rFonts w:eastAsia="Times New Roman" w:cstheme="minorHAnsi"/>
        </w:rPr>
      </w:pPr>
      <w:r w:rsidRPr="00B014BC">
        <w:rPr>
          <w:rFonts w:eastAsia="Times New Roman" w:cstheme="minorHAnsi"/>
        </w:rPr>
        <w:tab/>
      </w:r>
    </w:p>
    <w:p w14:paraId="2260BD18" w14:textId="77777777" w:rsidR="00D35D76" w:rsidRPr="00B014BC" w:rsidRDefault="00D35D76" w:rsidP="004518BB">
      <w:pPr>
        <w:spacing w:after="0" w:line="240" w:lineRule="auto"/>
      </w:pPr>
      <w:r w:rsidRPr="00B014BC">
        <w:t>Oblasti zodpovednosti:</w:t>
      </w:r>
    </w:p>
    <w:p w14:paraId="7442F8B7" w14:textId="77777777" w:rsidR="00D35D76" w:rsidRPr="00B014BC" w:rsidRDefault="00D35D76" w:rsidP="004518BB">
      <w:pPr>
        <w:pStyle w:val="ListParagraph"/>
        <w:numPr>
          <w:ilvl w:val="0"/>
          <w:numId w:val="6"/>
        </w:numPr>
        <w:spacing w:after="0" w:line="240" w:lineRule="auto"/>
      </w:pPr>
      <w:r w:rsidRPr="00B014BC">
        <w:t>Likvidácia poistných udalostí</w:t>
      </w:r>
      <w:r w:rsidR="00F905A7" w:rsidRPr="00B014BC">
        <w:t xml:space="preserve"> v neživotnom poistení</w:t>
      </w:r>
    </w:p>
    <w:p w14:paraId="484C6AC2" w14:textId="77777777" w:rsidR="00D35D76" w:rsidRPr="00B014BC" w:rsidRDefault="00D35D76" w:rsidP="004518BB">
      <w:pPr>
        <w:pStyle w:val="ListParagraph"/>
        <w:numPr>
          <w:ilvl w:val="0"/>
          <w:numId w:val="6"/>
        </w:numPr>
        <w:spacing w:after="0" w:line="240" w:lineRule="auto"/>
      </w:pPr>
      <w:proofErr w:type="spellStart"/>
      <w:r w:rsidRPr="00B014BC">
        <w:t>Investment</w:t>
      </w:r>
      <w:proofErr w:type="spellEnd"/>
    </w:p>
    <w:p w14:paraId="36A86C12" w14:textId="77777777" w:rsidR="00D35D76" w:rsidRPr="00B014BC" w:rsidRDefault="00F905A7" w:rsidP="004518BB">
      <w:pPr>
        <w:pStyle w:val="ListParagraph"/>
        <w:numPr>
          <w:ilvl w:val="0"/>
          <w:numId w:val="6"/>
        </w:numPr>
        <w:spacing w:after="0" w:line="240" w:lineRule="auto"/>
      </w:pPr>
      <w:r w:rsidRPr="00B014BC">
        <w:t>Finančný a ekonomický odbor</w:t>
      </w:r>
    </w:p>
    <w:p w14:paraId="7646AEF9" w14:textId="77777777" w:rsidR="00D35D76" w:rsidRPr="00B014BC" w:rsidRDefault="00D35D76" w:rsidP="004518BB">
      <w:pPr>
        <w:pStyle w:val="ListParagraph"/>
        <w:numPr>
          <w:ilvl w:val="0"/>
          <w:numId w:val="6"/>
        </w:numPr>
        <w:spacing w:after="0" w:line="240" w:lineRule="auto"/>
      </w:pPr>
      <w:r w:rsidRPr="00B014BC">
        <w:t>Prevádzka poistenia</w:t>
      </w:r>
    </w:p>
    <w:p w14:paraId="10B38EC1" w14:textId="77777777" w:rsidR="00D35D76" w:rsidRPr="00B014BC" w:rsidRDefault="00F905A7" w:rsidP="004518BB">
      <w:pPr>
        <w:pStyle w:val="ListParagraph"/>
        <w:numPr>
          <w:ilvl w:val="0"/>
          <w:numId w:val="6"/>
        </w:numPr>
        <w:spacing w:after="0" w:line="240" w:lineRule="auto"/>
      </w:pPr>
      <w:r w:rsidRPr="00B014BC">
        <w:t>Informačné technológie</w:t>
      </w:r>
    </w:p>
    <w:p w14:paraId="5378452C" w14:textId="77777777" w:rsidR="00D35D76" w:rsidRPr="00B014BC" w:rsidRDefault="00D35D76" w:rsidP="004518BB">
      <w:pPr>
        <w:pStyle w:val="ListParagraph"/>
        <w:numPr>
          <w:ilvl w:val="0"/>
          <w:numId w:val="6"/>
        </w:numPr>
        <w:spacing w:after="0" w:line="240" w:lineRule="auto"/>
      </w:pPr>
      <w:r w:rsidRPr="00B014BC">
        <w:t>Interný servis</w:t>
      </w:r>
    </w:p>
    <w:p w14:paraId="480298A1" w14:textId="77777777" w:rsidR="00F905A7" w:rsidRPr="00B014BC" w:rsidRDefault="00F905A7" w:rsidP="004518BB">
      <w:pPr>
        <w:pStyle w:val="BodyText"/>
        <w:tabs>
          <w:tab w:val="left" w:pos="6521"/>
        </w:tabs>
        <w:ind w:left="720"/>
        <w:jc w:val="left"/>
      </w:pPr>
    </w:p>
    <w:p w14:paraId="116673A8" w14:textId="77777777" w:rsidR="0053451C" w:rsidRPr="00B014BC" w:rsidRDefault="0053451C" w:rsidP="004518BB">
      <w:pPr>
        <w:spacing w:after="0" w:line="240" w:lineRule="auto"/>
        <w:rPr>
          <w:rFonts w:eastAsiaTheme="majorEastAsia" w:cstheme="minorHAnsi"/>
          <w:b/>
          <w:bCs/>
          <w:iCs/>
        </w:rPr>
      </w:pPr>
      <w:r w:rsidRPr="00B014BC">
        <w:rPr>
          <w:rFonts w:eastAsiaTheme="majorEastAsia" w:cstheme="minorHAnsi"/>
          <w:b/>
          <w:bCs/>
          <w:iCs/>
        </w:rPr>
        <w:t xml:space="preserve">Dipl. Ing. </w:t>
      </w:r>
      <w:proofErr w:type="spellStart"/>
      <w:r w:rsidRPr="00B014BC">
        <w:rPr>
          <w:rFonts w:eastAsiaTheme="majorEastAsia" w:cstheme="minorHAnsi"/>
          <w:b/>
          <w:bCs/>
          <w:iCs/>
        </w:rPr>
        <w:t>Doris</w:t>
      </w:r>
      <w:proofErr w:type="spellEnd"/>
      <w:r w:rsidRPr="00B014BC">
        <w:rPr>
          <w:rFonts w:eastAsiaTheme="majorEastAsia" w:cstheme="minorHAnsi"/>
          <w:b/>
          <w:bCs/>
          <w:iCs/>
        </w:rPr>
        <w:t xml:space="preserve"> </w:t>
      </w:r>
      <w:proofErr w:type="spellStart"/>
      <w:r w:rsidRPr="00B014BC">
        <w:rPr>
          <w:rFonts w:eastAsiaTheme="majorEastAsia" w:cstheme="minorHAnsi"/>
          <w:b/>
          <w:bCs/>
          <w:iCs/>
        </w:rPr>
        <w:t>Wendler</w:t>
      </w:r>
      <w:proofErr w:type="spellEnd"/>
    </w:p>
    <w:p w14:paraId="226FB8E4" w14:textId="77777777" w:rsidR="0053451C" w:rsidRPr="00B014BC" w:rsidRDefault="0053451C" w:rsidP="004518BB">
      <w:pPr>
        <w:spacing w:after="0" w:line="240" w:lineRule="auto"/>
        <w:rPr>
          <w:rFonts w:eastAsiaTheme="majorEastAsia" w:cstheme="minorHAnsi"/>
          <w:b/>
          <w:bCs/>
          <w:iCs/>
        </w:rPr>
      </w:pPr>
      <w:r w:rsidRPr="00B014BC">
        <w:rPr>
          <w:rFonts w:eastAsiaTheme="majorEastAsia" w:cstheme="minorHAnsi"/>
          <w:b/>
          <w:bCs/>
          <w:iCs/>
        </w:rPr>
        <w:t xml:space="preserve">členka predstavenstva </w:t>
      </w:r>
    </w:p>
    <w:p w14:paraId="3314D9E5" w14:textId="77777777" w:rsidR="0053451C" w:rsidRPr="00B014BC" w:rsidRDefault="0053451C" w:rsidP="004518BB">
      <w:pPr>
        <w:spacing w:after="0" w:line="240" w:lineRule="auto"/>
        <w:rPr>
          <w:rFonts w:eastAsiaTheme="majorEastAsia" w:cstheme="minorHAnsi"/>
          <w:bCs/>
          <w:iCs/>
        </w:rPr>
      </w:pPr>
      <w:r w:rsidRPr="00B014BC">
        <w:rPr>
          <w:rFonts w:eastAsiaTheme="majorEastAsia" w:cstheme="minorHAnsi"/>
          <w:bCs/>
          <w:iCs/>
        </w:rPr>
        <w:t>1971, absolventka Technickej univerzity vo Viedni – technická matematika</w:t>
      </w:r>
    </w:p>
    <w:p w14:paraId="41F80294" w14:textId="77777777" w:rsidR="0053451C" w:rsidRPr="00B014BC" w:rsidRDefault="0053451C" w:rsidP="004518BB">
      <w:pPr>
        <w:spacing w:after="0" w:line="240" w:lineRule="auto"/>
        <w:rPr>
          <w:rFonts w:eastAsiaTheme="majorEastAsia" w:cstheme="minorHAnsi"/>
          <w:bCs/>
          <w:iCs/>
        </w:rPr>
      </w:pPr>
      <w:r w:rsidRPr="00B014BC">
        <w:rPr>
          <w:rFonts w:eastAsiaTheme="majorEastAsia" w:cstheme="minorHAnsi"/>
          <w:bCs/>
          <w:iCs/>
        </w:rPr>
        <w:t>V poisťovníctve pracuje viac ako 20 rokov.</w:t>
      </w:r>
    </w:p>
    <w:p w14:paraId="6287C02E" w14:textId="77777777" w:rsidR="0053451C" w:rsidRPr="00B014BC" w:rsidRDefault="0053451C" w:rsidP="004518BB">
      <w:pPr>
        <w:spacing w:after="0" w:line="240" w:lineRule="auto"/>
        <w:rPr>
          <w:rFonts w:eastAsiaTheme="majorEastAsia" w:cstheme="minorHAnsi"/>
          <w:bCs/>
          <w:iCs/>
        </w:rPr>
      </w:pPr>
    </w:p>
    <w:p w14:paraId="0CE48B71" w14:textId="77777777" w:rsidR="0053451C" w:rsidRPr="00B014BC" w:rsidRDefault="0053451C" w:rsidP="004518BB">
      <w:pPr>
        <w:spacing w:after="0" w:line="240" w:lineRule="auto"/>
        <w:rPr>
          <w:rFonts w:eastAsiaTheme="majorEastAsia" w:cstheme="minorHAnsi"/>
          <w:bCs/>
          <w:iCs/>
        </w:rPr>
      </w:pPr>
      <w:r w:rsidRPr="00B014BC">
        <w:rPr>
          <w:rFonts w:eastAsiaTheme="majorEastAsia" w:cstheme="minorHAnsi"/>
          <w:bCs/>
          <w:iCs/>
        </w:rPr>
        <w:t>Odborná prax:</w:t>
      </w:r>
    </w:p>
    <w:p w14:paraId="36C622A7" w14:textId="77777777" w:rsidR="0053451C" w:rsidRPr="00B014BC" w:rsidRDefault="0053451C" w:rsidP="004518BB">
      <w:pPr>
        <w:pStyle w:val="ListParagraph"/>
        <w:numPr>
          <w:ilvl w:val="0"/>
          <w:numId w:val="10"/>
        </w:numPr>
        <w:spacing w:after="0" w:line="240" w:lineRule="auto"/>
        <w:rPr>
          <w:rFonts w:eastAsiaTheme="majorEastAsia" w:cstheme="minorHAnsi"/>
          <w:bCs/>
          <w:iCs/>
        </w:rPr>
      </w:pPr>
      <w:r w:rsidRPr="00B014BC">
        <w:rPr>
          <w:rFonts w:eastAsiaTheme="majorEastAsia" w:cstheme="minorHAnsi"/>
          <w:bCs/>
          <w:iCs/>
        </w:rPr>
        <w:t xml:space="preserve">KOMUNÁLNA poisťovňa, </w:t>
      </w:r>
      <w:proofErr w:type="spellStart"/>
      <w:r w:rsidRPr="00B014BC">
        <w:rPr>
          <w:rFonts w:eastAsiaTheme="majorEastAsia" w:cstheme="minorHAnsi"/>
          <w:bCs/>
          <w:iCs/>
        </w:rPr>
        <w:t>a.s</w:t>
      </w:r>
      <w:proofErr w:type="spellEnd"/>
      <w:r w:rsidRPr="00B014BC">
        <w:rPr>
          <w:rFonts w:eastAsiaTheme="majorEastAsia" w:cstheme="minorHAnsi"/>
          <w:bCs/>
          <w:iCs/>
        </w:rPr>
        <w:t xml:space="preserve">. </w:t>
      </w:r>
      <w:proofErr w:type="spellStart"/>
      <w:r w:rsidRPr="00B014BC">
        <w:rPr>
          <w:rFonts w:eastAsiaTheme="majorEastAsia" w:cstheme="minorHAnsi"/>
          <w:bCs/>
          <w:iCs/>
        </w:rPr>
        <w:t>Vienna</w:t>
      </w:r>
      <w:proofErr w:type="spellEnd"/>
      <w:r w:rsidRPr="00B014BC">
        <w:rPr>
          <w:rFonts w:eastAsiaTheme="majorEastAsia" w:cstheme="minorHAnsi"/>
          <w:bCs/>
          <w:iCs/>
        </w:rPr>
        <w:t xml:space="preserve"> </w:t>
      </w:r>
      <w:proofErr w:type="spellStart"/>
      <w:r w:rsidRPr="00B014BC">
        <w:rPr>
          <w:rFonts w:eastAsiaTheme="majorEastAsia" w:cstheme="minorHAnsi"/>
          <w:bCs/>
          <w:iCs/>
        </w:rPr>
        <w:t>Insurance</w:t>
      </w:r>
      <w:proofErr w:type="spellEnd"/>
      <w:r w:rsidRPr="00B014BC">
        <w:rPr>
          <w:rFonts w:eastAsiaTheme="majorEastAsia" w:cstheme="minorHAnsi"/>
          <w:bCs/>
          <w:iCs/>
        </w:rPr>
        <w:t xml:space="preserve"> Group</w:t>
      </w:r>
    </w:p>
    <w:p w14:paraId="6A2C27C6" w14:textId="77777777" w:rsidR="0053451C" w:rsidRPr="00B014BC" w:rsidRDefault="0053451C" w:rsidP="004518BB">
      <w:pPr>
        <w:pStyle w:val="ListParagraph"/>
        <w:spacing w:after="0" w:line="240" w:lineRule="auto"/>
        <w:rPr>
          <w:rFonts w:eastAsiaTheme="majorEastAsia" w:cstheme="minorHAnsi"/>
          <w:bCs/>
          <w:iCs/>
        </w:rPr>
      </w:pPr>
      <w:r w:rsidRPr="00B014BC">
        <w:rPr>
          <w:rFonts w:eastAsiaTheme="majorEastAsia" w:cstheme="minorHAnsi"/>
          <w:bCs/>
          <w:iCs/>
        </w:rPr>
        <w:t>členka predstavenstva od 1. 10. 2013</w:t>
      </w:r>
    </w:p>
    <w:p w14:paraId="3AFEBF3B" w14:textId="77777777" w:rsidR="0053451C" w:rsidRPr="00B014BC" w:rsidRDefault="0053451C" w:rsidP="004518BB">
      <w:pPr>
        <w:pStyle w:val="ListParagraph"/>
        <w:spacing w:after="0" w:line="240" w:lineRule="auto"/>
        <w:rPr>
          <w:rFonts w:eastAsiaTheme="majorEastAsia" w:cstheme="minorHAnsi"/>
          <w:bCs/>
          <w:iCs/>
        </w:rPr>
      </w:pPr>
      <w:r w:rsidRPr="00B014BC">
        <w:rPr>
          <w:rFonts w:eastAsiaTheme="majorEastAsia" w:cstheme="minorHAnsi"/>
          <w:bCs/>
          <w:iCs/>
        </w:rPr>
        <w:t>členka rozšíreného vedenia od 1. 4. 2013</w:t>
      </w:r>
    </w:p>
    <w:p w14:paraId="59FB0E47" w14:textId="77777777" w:rsidR="0053451C" w:rsidRPr="00B014BC" w:rsidRDefault="0053451C" w:rsidP="004518BB">
      <w:pPr>
        <w:pStyle w:val="ListParagraph"/>
        <w:numPr>
          <w:ilvl w:val="0"/>
          <w:numId w:val="10"/>
        </w:numPr>
        <w:spacing w:after="0" w:line="240" w:lineRule="auto"/>
        <w:rPr>
          <w:rFonts w:eastAsiaTheme="majorEastAsia" w:cstheme="minorHAnsi"/>
          <w:bCs/>
          <w:iCs/>
        </w:rPr>
      </w:pPr>
      <w:r w:rsidRPr="00B014BC">
        <w:rPr>
          <w:rFonts w:eastAsiaTheme="majorEastAsia" w:cstheme="minorHAnsi"/>
          <w:bCs/>
          <w:iCs/>
        </w:rPr>
        <w:t xml:space="preserve">Wiener </w:t>
      </w:r>
      <w:proofErr w:type="spellStart"/>
      <w:r w:rsidRPr="00B014BC">
        <w:rPr>
          <w:rFonts w:eastAsiaTheme="majorEastAsia" w:cstheme="minorHAnsi"/>
          <w:bCs/>
          <w:iCs/>
        </w:rPr>
        <w:t>Städtische</w:t>
      </w:r>
      <w:proofErr w:type="spellEnd"/>
      <w:r w:rsidRPr="00B014BC">
        <w:rPr>
          <w:rFonts w:eastAsiaTheme="majorEastAsia" w:cstheme="minorHAnsi"/>
          <w:bCs/>
          <w:iCs/>
        </w:rPr>
        <w:t xml:space="preserve"> </w:t>
      </w:r>
      <w:proofErr w:type="spellStart"/>
      <w:r w:rsidRPr="00B014BC">
        <w:rPr>
          <w:rFonts w:eastAsiaTheme="majorEastAsia" w:cstheme="minorHAnsi"/>
          <w:bCs/>
          <w:iCs/>
        </w:rPr>
        <w:t>Versicherung</w:t>
      </w:r>
      <w:proofErr w:type="spellEnd"/>
      <w:r w:rsidRPr="00B014BC">
        <w:rPr>
          <w:rFonts w:eastAsiaTheme="majorEastAsia" w:cstheme="minorHAnsi"/>
          <w:bCs/>
          <w:iCs/>
        </w:rPr>
        <w:t xml:space="preserve"> AG </w:t>
      </w:r>
      <w:proofErr w:type="spellStart"/>
      <w:r w:rsidRPr="00B014BC">
        <w:rPr>
          <w:rFonts w:eastAsiaTheme="majorEastAsia" w:cstheme="minorHAnsi"/>
          <w:bCs/>
          <w:iCs/>
        </w:rPr>
        <w:t>Vienna</w:t>
      </w:r>
      <w:proofErr w:type="spellEnd"/>
      <w:r w:rsidRPr="00B014BC">
        <w:rPr>
          <w:rFonts w:eastAsiaTheme="majorEastAsia" w:cstheme="minorHAnsi"/>
          <w:bCs/>
          <w:iCs/>
        </w:rPr>
        <w:t xml:space="preserve"> </w:t>
      </w:r>
      <w:proofErr w:type="spellStart"/>
      <w:r w:rsidRPr="00B014BC">
        <w:rPr>
          <w:rFonts w:eastAsiaTheme="majorEastAsia" w:cstheme="minorHAnsi"/>
          <w:bCs/>
          <w:iCs/>
        </w:rPr>
        <w:t>Insurance</w:t>
      </w:r>
      <w:proofErr w:type="spellEnd"/>
      <w:r w:rsidRPr="00B014BC">
        <w:rPr>
          <w:rFonts w:eastAsiaTheme="majorEastAsia" w:cstheme="minorHAnsi"/>
          <w:bCs/>
          <w:iCs/>
        </w:rPr>
        <w:t xml:space="preserve"> Group (1994 – 31. 3. 2013)</w:t>
      </w:r>
    </w:p>
    <w:p w14:paraId="0F5F9D73" w14:textId="77777777" w:rsidR="0053451C" w:rsidRPr="00B014BC" w:rsidRDefault="0053451C" w:rsidP="004518BB">
      <w:pPr>
        <w:pStyle w:val="ListParagraph"/>
        <w:spacing w:after="0" w:line="240" w:lineRule="auto"/>
        <w:ind w:left="0"/>
        <w:rPr>
          <w:rFonts w:eastAsiaTheme="majorEastAsia" w:cstheme="minorHAnsi"/>
          <w:bCs/>
          <w:iCs/>
        </w:rPr>
      </w:pPr>
    </w:p>
    <w:p w14:paraId="3375C4D1" w14:textId="77777777" w:rsidR="00FD409B" w:rsidRPr="00B014BC" w:rsidRDefault="00FD409B" w:rsidP="004518BB">
      <w:pPr>
        <w:pStyle w:val="ListParagraph"/>
        <w:spacing w:after="0" w:line="240" w:lineRule="auto"/>
        <w:ind w:left="0"/>
        <w:rPr>
          <w:rFonts w:eastAsiaTheme="majorEastAsia" w:cstheme="minorHAnsi"/>
          <w:bCs/>
          <w:iCs/>
        </w:rPr>
      </w:pPr>
    </w:p>
    <w:p w14:paraId="62280E94" w14:textId="77777777" w:rsidR="0053451C" w:rsidRPr="00B014BC" w:rsidRDefault="0053451C" w:rsidP="004518BB">
      <w:pPr>
        <w:spacing w:after="0" w:line="240" w:lineRule="auto"/>
        <w:rPr>
          <w:rFonts w:eastAsia="Times New Roman" w:cstheme="minorHAnsi"/>
        </w:rPr>
      </w:pPr>
      <w:r w:rsidRPr="00B014BC">
        <w:rPr>
          <w:rFonts w:eastAsia="Times New Roman" w:cstheme="minorHAnsi"/>
        </w:rPr>
        <w:t>Zastúpenia v orgánoch iných spoločností:</w:t>
      </w:r>
    </w:p>
    <w:p w14:paraId="35C440BF" w14:textId="7C23BD78" w:rsidR="0053451C" w:rsidRPr="00B014BC" w:rsidRDefault="0053451C" w:rsidP="004518BB">
      <w:pPr>
        <w:pStyle w:val="ListParagraph"/>
        <w:numPr>
          <w:ilvl w:val="0"/>
          <w:numId w:val="7"/>
        </w:numPr>
        <w:spacing w:after="0" w:line="240" w:lineRule="auto"/>
        <w:rPr>
          <w:rFonts w:cstheme="minorHAnsi"/>
          <w:lang w:eastAsia="sk-SK"/>
        </w:rPr>
      </w:pPr>
      <w:r w:rsidRPr="00B014BC">
        <w:rPr>
          <w:rFonts w:cstheme="minorHAnsi"/>
          <w:lang w:eastAsia="sk-SK"/>
        </w:rPr>
        <w:t xml:space="preserve">Poisťovňa Slovenskej sporiteľne, </w:t>
      </w:r>
      <w:proofErr w:type="spellStart"/>
      <w:r w:rsidRPr="00B014BC">
        <w:rPr>
          <w:rFonts w:cstheme="minorHAnsi"/>
          <w:lang w:eastAsia="sk-SK"/>
        </w:rPr>
        <w:t>a.s</w:t>
      </w:r>
      <w:proofErr w:type="spellEnd"/>
      <w:r w:rsidRPr="00B014BC">
        <w:rPr>
          <w:rFonts w:cstheme="minorHAnsi"/>
          <w:lang w:eastAsia="sk-SK"/>
        </w:rPr>
        <w:t xml:space="preserve">. </w:t>
      </w:r>
      <w:proofErr w:type="spellStart"/>
      <w:r w:rsidRPr="00B014BC">
        <w:rPr>
          <w:rFonts w:cstheme="minorHAnsi"/>
          <w:lang w:eastAsia="sk-SK"/>
        </w:rPr>
        <w:t>Vienna</w:t>
      </w:r>
      <w:proofErr w:type="spellEnd"/>
      <w:r w:rsidRPr="00B014BC">
        <w:rPr>
          <w:rFonts w:cstheme="minorHAnsi"/>
          <w:lang w:eastAsia="sk-SK"/>
        </w:rPr>
        <w:t xml:space="preserve"> </w:t>
      </w:r>
      <w:proofErr w:type="spellStart"/>
      <w:r w:rsidRPr="00B014BC">
        <w:rPr>
          <w:rFonts w:cstheme="minorHAnsi"/>
          <w:lang w:eastAsia="sk-SK"/>
        </w:rPr>
        <w:t>Insurance</w:t>
      </w:r>
      <w:proofErr w:type="spellEnd"/>
      <w:r w:rsidRPr="00B014BC">
        <w:rPr>
          <w:rFonts w:cstheme="minorHAnsi"/>
          <w:lang w:eastAsia="sk-SK"/>
        </w:rPr>
        <w:t xml:space="preserve"> Group </w:t>
      </w:r>
      <w:r w:rsidR="0047621A" w:rsidRPr="00B014BC">
        <w:rPr>
          <w:rFonts w:eastAsia="Times New Roman" w:cstheme="minorHAnsi"/>
        </w:rPr>
        <w:t xml:space="preserve">– </w:t>
      </w:r>
      <w:r w:rsidRPr="00B014BC">
        <w:rPr>
          <w:rFonts w:cstheme="minorHAnsi"/>
          <w:lang w:eastAsia="sk-SK"/>
        </w:rPr>
        <w:t xml:space="preserve">členka dozornej rady </w:t>
      </w:r>
    </w:p>
    <w:p w14:paraId="44F4B854" w14:textId="77777777" w:rsidR="0053451C" w:rsidRPr="00B014BC" w:rsidRDefault="0053451C" w:rsidP="004518BB">
      <w:pPr>
        <w:pStyle w:val="ListParagraph"/>
        <w:spacing w:after="0" w:line="240" w:lineRule="auto"/>
        <w:ind w:left="0"/>
        <w:rPr>
          <w:rFonts w:eastAsiaTheme="majorEastAsia" w:cstheme="minorHAnsi"/>
          <w:bCs/>
          <w:iCs/>
        </w:rPr>
      </w:pPr>
    </w:p>
    <w:p w14:paraId="7B50394A" w14:textId="77777777" w:rsidR="0053451C" w:rsidRPr="00B014BC" w:rsidRDefault="0053451C" w:rsidP="004518BB">
      <w:pPr>
        <w:pStyle w:val="ListParagraph"/>
        <w:spacing w:after="0" w:line="240" w:lineRule="auto"/>
        <w:ind w:left="0"/>
        <w:rPr>
          <w:rFonts w:eastAsiaTheme="majorEastAsia" w:cstheme="minorHAnsi"/>
          <w:bCs/>
          <w:iCs/>
        </w:rPr>
      </w:pPr>
      <w:r w:rsidRPr="00B014BC">
        <w:rPr>
          <w:rFonts w:eastAsiaTheme="majorEastAsia" w:cstheme="minorHAnsi"/>
          <w:bCs/>
          <w:iCs/>
        </w:rPr>
        <w:t>Oblasti zodpovednosti:</w:t>
      </w:r>
    </w:p>
    <w:p w14:paraId="4FB2D6B9" w14:textId="77777777" w:rsidR="0053451C" w:rsidRPr="00B014BC" w:rsidRDefault="0053451C" w:rsidP="004518BB">
      <w:pPr>
        <w:pStyle w:val="ListParagraph"/>
        <w:numPr>
          <w:ilvl w:val="0"/>
          <w:numId w:val="7"/>
        </w:numPr>
        <w:spacing w:after="0" w:line="240" w:lineRule="auto"/>
        <w:rPr>
          <w:rFonts w:eastAsiaTheme="majorEastAsia" w:cstheme="minorHAnsi"/>
          <w:bCs/>
          <w:iCs/>
        </w:rPr>
      </w:pPr>
      <w:r w:rsidRPr="00B014BC">
        <w:rPr>
          <w:rFonts w:eastAsiaTheme="majorEastAsia" w:cstheme="minorHAnsi"/>
          <w:bCs/>
          <w:iCs/>
        </w:rPr>
        <w:t xml:space="preserve">Neživotné poistenie – </w:t>
      </w:r>
      <w:proofErr w:type="spellStart"/>
      <w:r w:rsidRPr="00B014BC">
        <w:rPr>
          <w:rFonts w:eastAsiaTheme="majorEastAsia" w:cstheme="minorHAnsi"/>
          <w:bCs/>
          <w:iCs/>
        </w:rPr>
        <w:t>underwriting</w:t>
      </w:r>
      <w:proofErr w:type="spellEnd"/>
      <w:r w:rsidRPr="00B014BC">
        <w:rPr>
          <w:rFonts w:eastAsiaTheme="majorEastAsia" w:cstheme="minorHAnsi"/>
          <w:bCs/>
          <w:iCs/>
        </w:rPr>
        <w:t xml:space="preserve"> a vývoj produktov</w:t>
      </w:r>
    </w:p>
    <w:p w14:paraId="1AE46761" w14:textId="77777777" w:rsidR="0053451C" w:rsidRPr="00B014BC" w:rsidRDefault="0053451C" w:rsidP="004518BB">
      <w:pPr>
        <w:pStyle w:val="ListParagraph"/>
        <w:numPr>
          <w:ilvl w:val="0"/>
          <w:numId w:val="7"/>
        </w:numPr>
        <w:spacing w:after="0" w:line="240" w:lineRule="auto"/>
        <w:rPr>
          <w:rFonts w:eastAsiaTheme="majorEastAsia" w:cstheme="minorHAnsi"/>
          <w:bCs/>
          <w:iCs/>
        </w:rPr>
      </w:pPr>
      <w:r w:rsidRPr="00B014BC">
        <w:rPr>
          <w:rFonts w:eastAsiaTheme="majorEastAsia" w:cstheme="minorHAnsi"/>
          <w:bCs/>
          <w:iCs/>
        </w:rPr>
        <w:t>Zaistenie</w:t>
      </w:r>
    </w:p>
    <w:p w14:paraId="475EA47E" w14:textId="77777777" w:rsidR="0053451C" w:rsidRPr="00B014BC" w:rsidRDefault="0053451C" w:rsidP="004518BB">
      <w:pPr>
        <w:pStyle w:val="ListParagraph"/>
        <w:numPr>
          <w:ilvl w:val="0"/>
          <w:numId w:val="7"/>
        </w:numPr>
        <w:spacing w:after="0" w:line="240" w:lineRule="auto"/>
        <w:rPr>
          <w:rFonts w:ascii="Calibri" w:eastAsiaTheme="majorEastAsia" w:hAnsi="Calibri" w:cstheme="minorHAnsi"/>
          <w:bCs/>
          <w:iCs/>
        </w:rPr>
      </w:pPr>
      <w:proofErr w:type="spellStart"/>
      <w:r w:rsidRPr="00B014BC">
        <w:rPr>
          <w:rFonts w:eastAsiaTheme="majorEastAsia" w:cstheme="minorHAnsi"/>
          <w:bCs/>
          <w:iCs/>
        </w:rPr>
        <w:t>Aktuariát</w:t>
      </w:r>
      <w:proofErr w:type="spellEnd"/>
      <w:r w:rsidRPr="00B014BC">
        <w:rPr>
          <w:rFonts w:eastAsiaTheme="majorEastAsia" w:cstheme="minorHAnsi"/>
          <w:bCs/>
          <w:iCs/>
        </w:rPr>
        <w:t xml:space="preserve"> – </w:t>
      </w:r>
      <w:r w:rsidRPr="00B014BC">
        <w:rPr>
          <w:rFonts w:ascii="Calibri" w:eastAsiaTheme="majorEastAsia" w:hAnsi="Calibri" w:cstheme="minorHAnsi"/>
          <w:bCs/>
          <w:iCs/>
        </w:rPr>
        <w:t>neživotné a životné poistenie</w:t>
      </w:r>
    </w:p>
    <w:p w14:paraId="25842A3F" w14:textId="6CD6B163" w:rsidR="0053451C" w:rsidRPr="00B014BC" w:rsidRDefault="00770EA5" w:rsidP="00770EA5">
      <w:pPr>
        <w:pStyle w:val="BodyText"/>
        <w:numPr>
          <w:ilvl w:val="0"/>
          <w:numId w:val="7"/>
        </w:numPr>
        <w:tabs>
          <w:tab w:val="left" w:pos="284"/>
          <w:tab w:val="left" w:pos="2694"/>
          <w:tab w:val="left" w:pos="6521"/>
        </w:tabs>
        <w:jc w:val="left"/>
        <w:rPr>
          <w:rFonts w:ascii="Calibri" w:hAnsi="Calibri" w:cstheme="minorHAnsi"/>
          <w:b w:val="0"/>
          <w:sz w:val="22"/>
          <w:szCs w:val="22"/>
        </w:rPr>
      </w:pPr>
      <w:r w:rsidRPr="00B014BC">
        <w:rPr>
          <w:rFonts w:ascii="Calibri" w:hAnsi="Calibri" w:cstheme="minorHAnsi"/>
          <w:b w:val="0"/>
          <w:sz w:val="22"/>
          <w:szCs w:val="22"/>
        </w:rPr>
        <w:t>Životné poistenie</w:t>
      </w:r>
      <w:r w:rsidR="0047621A" w:rsidRPr="00B014BC">
        <w:rPr>
          <w:rFonts w:ascii="Calibri" w:hAnsi="Calibri" w:cstheme="minorHAnsi"/>
          <w:b w:val="0"/>
          <w:sz w:val="22"/>
          <w:szCs w:val="22"/>
        </w:rPr>
        <w:t xml:space="preserve"> </w:t>
      </w:r>
      <w:r w:rsidRPr="00B014BC">
        <w:rPr>
          <w:rFonts w:ascii="Calibri" w:hAnsi="Calibri" w:cstheme="minorHAnsi"/>
          <w:b w:val="0"/>
          <w:sz w:val="22"/>
          <w:szCs w:val="22"/>
        </w:rPr>
        <w:t>/</w:t>
      </w:r>
      <w:r w:rsidR="0047621A" w:rsidRPr="00B014BC">
        <w:rPr>
          <w:rFonts w:ascii="Calibri" w:hAnsi="Calibri" w:cstheme="minorHAnsi"/>
          <w:b w:val="0"/>
          <w:sz w:val="22"/>
          <w:szCs w:val="22"/>
        </w:rPr>
        <w:t xml:space="preserve"> </w:t>
      </w:r>
      <w:r w:rsidRPr="00B014BC">
        <w:rPr>
          <w:rFonts w:ascii="Calibri" w:hAnsi="Calibri" w:cstheme="minorHAnsi"/>
          <w:b w:val="0"/>
          <w:sz w:val="22"/>
          <w:szCs w:val="22"/>
        </w:rPr>
        <w:t xml:space="preserve">Likvidácia poistných udalostí v životnom poistení </w:t>
      </w:r>
      <w:r w:rsidR="0053451C" w:rsidRPr="00B014BC">
        <w:rPr>
          <w:rFonts w:ascii="Calibri" w:eastAsiaTheme="majorEastAsia" w:hAnsi="Calibri" w:cstheme="minorHAnsi"/>
          <w:b w:val="0"/>
          <w:iCs/>
          <w:sz w:val="22"/>
          <w:szCs w:val="22"/>
        </w:rPr>
        <w:t>(od 1. 5. 2015)</w:t>
      </w:r>
    </w:p>
    <w:p w14:paraId="48CD10F6" w14:textId="6F746202" w:rsidR="00770EA5" w:rsidRPr="00B014BC" w:rsidRDefault="00770EA5" w:rsidP="00770EA5">
      <w:pPr>
        <w:pStyle w:val="BodyText"/>
        <w:numPr>
          <w:ilvl w:val="0"/>
          <w:numId w:val="7"/>
        </w:numPr>
        <w:tabs>
          <w:tab w:val="left" w:pos="284"/>
          <w:tab w:val="left" w:pos="2694"/>
          <w:tab w:val="left" w:pos="6521"/>
        </w:tabs>
        <w:jc w:val="left"/>
        <w:rPr>
          <w:rFonts w:ascii="Calibri" w:hAnsi="Calibri" w:cstheme="minorHAnsi"/>
          <w:b w:val="0"/>
          <w:sz w:val="22"/>
          <w:szCs w:val="22"/>
        </w:rPr>
      </w:pPr>
      <w:r w:rsidRPr="00B014BC">
        <w:rPr>
          <w:rFonts w:ascii="Calibri" w:hAnsi="Calibri" w:cstheme="minorHAnsi"/>
          <w:b w:val="0"/>
          <w:sz w:val="22"/>
          <w:szCs w:val="22"/>
        </w:rPr>
        <w:t xml:space="preserve">Zdravotné, úrazové a dôchodkové poistenie </w:t>
      </w:r>
      <w:r w:rsidRPr="00B014BC">
        <w:rPr>
          <w:rFonts w:ascii="Calibri" w:eastAsiaTheme="majorEastAsia" w:hAnsi="Calibri" w:cstheme="minorHAnsi"/>
          <w:b w:val="0"/>
          <w:iCs/>
          <w:sz w:val="22"/>
          <w:szCs w:val="22"/>
        </w:rPr>
        <w:t>(od 1. 5. 2015)</w:t>
      </w:r>
    </w:p>
    <w:p w14:paraId="710CC174" w14:textId="77777777" w:rsidR="0053451C" w:rsidRPr="00B014BC" w:rsidRDefault="0053451C" w:rsidP="004518BB">
      <w:pPr>
        <w:pStyle w:val="BodyText"/>
        <w:tabs>
          <w:tab w:val="left" w:pos="6521"/>
        </w:tabs>
        <w:ind w:left="720"/>
        <w:jc w:val="left"/>
      </w:pPr>
    </w:p>
    <w:p w14:paraId="26A624B1" w14:textId="77777777" w:rsidR="00BA7EB5" w:rsidRPr="00B014BC" w:rsidRDefault="00BA7EB5" w:rsidP="004518BB">
      <w:pPr>
        <w:spacing w:after="0" w:line="240" w:lineRule="auto"/>
        <w:rPr>
          <w:rFonts w:eastAsia="Times New Roman" w:cstheme="minorHAnsi"/>
          <w:b/>
        </w:rPr>
      </w:pPr>
      <w:r w:rsidRPr="00B014BC">
        <w:rPr>
          <w:rFonts w:eastAsia="Times New Roman" w:cstheme="minorHAnsi"/>
          <w:b/>
        </w:rPr>
        <w:t xml:space="preserve">JUDr. Zuzana </w:t>
      </w:r>
      <w:proofErr w:type="spellStart"/>
      <w:r w:rsidRPr="00B014BC">
        <w:rPr>
          <w:rFonts w:eastAsia="Times New Roman" w:cstheme="minorHAnsi"/>
          <w:b/>
        </w:rPr>
        <w:t>Brožek</w:t>
      </w:r>
      <w:proofErr w:type="spellEnd"/>
      <w:r w:rsidRPr="00B014BC">
        <w:rPr>
          <w:rFonts w:eastAsia="Times New Roman" w:cstheme="minorHAnsi"/>
          <w:b/>
        </w:rPr>
        <w:t xml:space="preserve"> </w:t>
      </w:r>
      <w:proofErr w:type="spellStart"/>
      <w:r w:rsidRPr="00B014BC">
        <w:rPr>
          <w:rFonts w:eastAsia="Times New Roman" w:cstheme="minorHAnsi"/>
          <w:b/>
        </w:rPr>
        <w:t>Mihóková</w:t>
      </w:r>
      <w:proofErr w:type="spellEnd"/>
    </w:p>
    <w:p w14:paraId="4EDA69B9" w14:textId="77777777" w:rsidR="00BA7EB5" w:rsidRPr="00B014BC" w:rsidRDefault="00BA7EB5" w:rsidP="004518BB">
      <w:pPr>
        <w:spacing w:after="0" w:line="240" w:lineRule="auto"/>
        <w:rPr>
          <w:rFonts w:eastAsia="Times New Roman" w:cstheme="minorHAnsi"/>
          <w:b/>
        </w:rPr>
      </w:pPr>
      <w:r w:rsidRPr="00B014BC">
        <w:rPr>
          <w:rFonts w:eastAsia="Times New Roman" w:cstheme="minorHAnsi"/>
          <w:b/>
        </w:rPr>
        <w:t xml:space="preserve">členka predstavenstva </w:t>
      </w:r>
    </w:p>
    <w:p w14:paraId="2C16CCBA" w14:textId="415F3D70" w:rsidR="00BA7EB5" w:rsidRPr="00B014BC" w:rsidRDefault="00BA7EB5" w:rsidP="004518BB">
      <w:pPr>
        <w:spacing w:after="0" w:line="240" w:lineRule="auto"/>
        <w:rPr>
          <w:rFonts w:eastAsia="Times New Roman" w:cstheme="minorHAnsi"/>
        </w:rPr>
      </w:pPr>
      <w:r w:rsidRPr="00B014BC">
        <w:rPr>
          <w:rFonts w:eastAsia="Times New Roman" w:cstheme="minorHAnsi"/>
        </w:rPr>
        <w:t>1973, absolventka Právnickej</w:t>
      </w:r>
      <w:r w:rsidR="0047621A" w:rsidRPr="00B014BC">
        <w:rPr>
          <w:rFonts w:eastAsia="Times New Roman" w:cstheme="minorHAnsi"/>
        </w:rPr>
        <w:t xml:space="preserve"> fakulty</w:t>
      </w:r>
      <w:r w:rsidRPr="00B014BC">
        <w:rPr>
          <w:rFonts w:eastAsia="Times New Roman" w:cstheme="minorHAnsi"/>
        </w:rPr>
        <w:t xml:space="preserve"> Univerzity Komenského v Bratislave</w:t>
      </w:r>
    </w:p>
    <w:p w14:paraId="01B8D257" w14:textId="77777777" w:rsidR="00BA7EB5" w:rsidRPr="00B014BC" w:rsidRDefault="00BA7EB5" w:rsidP="004518BB">
      <w:pPr>
        <w:spacing w:after="0" w:line="240" w:lineRule="auto"/>
        <w:rPr>
          <w:rFonts w:eastAsiaTheme="majorEastAsia" w:cstheme="minorHAnsi"/>
          <w:bCs/>
          <w:iCs/>
        </w:rPr>
      </w:pPr>
      <w:r w:rsidRPr="00B014BC">
        <w:rPr>
          <w:rFonts w:eastAsiaTheme="majorEastAsia" w:cstheme="minorHAnsi"/>
          <w:bCs/>
          <w:iCs/>
        </w:rPr>
        <w:t>V poisťovníctve pracuje 7 rokov</w:t>
      </w:r>
      <w:r w:rsidR="00D124AC" w:rsidRPr="00B014BC">
        <w:rPr>
          <w:rFonts w:eastAsiaTheme="majorEastAsia" w:cstheme="minorHAnsi"/>
          <w:bCs/>
          <w:iCs/>
        </w:rPr>
        <w:t>.</w:t>
      </w:r>
    </w:p>
    <w:p w14:paraId="2A6A141F" w14:textId="77777777" w:rsidR="00BA7EB5" w:rsidRPr="00B014BC" w:rsidRDefault="00BA7EB5" w:rsidP="004518BB">
      <w:pPr>
        <w:spacing w:after="0" w:line="240" w:lineRule="auto"/>
        <w:rPr>
          <w:rFonts w:eastAsiaTheme="majorEastAsia" w:cstheme="minorHAnsi"/>
          <w:bCs/>
          <w:iCs/>
        </w:rPr>
      </w:pPr>
    </w:p>
    <w:p w14:paraId="4292ABCD" w14:textId="77777777" w:rsidR="00BA7EB5" w:rsidRPr="00B014BC" w:rsidRDefault="00BA7EB5" w:rsidP="004518BB">
      <w:pPr>
        <w:spacing w:after="0" w:line="240" w:lineRule="auto"/>
        <w:rPr>
          <w:rFonts w:eastAsiaTheme="majorEastAsia" w:cstheme="minorHAnsi"/>
          <w:bCs/>
          <w:iCs/>
        </w:rPr>
      </w:pPr>
      <w:r w:rsidRPr="00B014BC">
        <w:rPr>
          <w:rFonts w:eastAsiaTheme="majorEastAsia" w:cstheme="minorHAnsi"/>
          <w:bCs/>
          <w:iCs/>
        </w:rPr>
        <w:t>Odborná prax:</w:t>
      </w:r>
    </w:p>
    <w:p w14:paraId="0FD5AD58" w14:textId="77777777" w:rsidR="00085D2B" w:rsidRPr="00B014BC" w:rsidRDefault="00BA7EB5" w:rsidP="004518BB">
      <w:pPr>
        <w:pStyle w:val="ListParagraph"/>
        <w:numPr>
          <w:ilvl w:val="0"/>
          <w:numId w:val="12"/>
        </w:numPr>
        <w:spacing w:after="0" w:line="240" w:lineRule="auto"/>
        <w:rPr>
          <w:rFonts w:eastAsiaTheme="majorEastAsia" w:cstheme="minorHAnsi"/>
          <w:bCs/>
          <w:iCs/>
        </w:rPr>
      </w:pPr>
      <w:r w:rsidRPr="00B014BC">
        <w:rPr>
          <w:rFonts w:eastAsiaTheme="majorEastAsia" w:cstheme="minorHAnsi"/>
          <w:bCs/>
          <w:iCs/>
        </w:rPr>
        <w:t>KOMUNÁLNA poisťovňa</w:t>
      </w:r>
      <w:r w:rsidR="00085D2B" w:rsidRPr="00B014BC">
        <w:rPr>
          <w:rFonts w:eastAsiaTheme="majorEastAsia" w:cstheme="minorHAnsi"/>
          <w:bCs/>
          <w:iCs/>
        </w:rPr>
        <w:t xml:space="preserve">, </w:t>
      </w:r>
      <w:proofErr w:type="spellStart"/>
      <w:r w:rsidR="00085D2B" w:rsidRPr="00B014BC">
        <w:rPr>
          <w:rFonts w:eastAsiaTheme="majorEastAsia" w:cstheme="minorHAnsi"/>
          <w:bCs/>
          <w:iCs/>
        </w:rPr>
        <w:t>a.s</w:t>
      </w:r>
      <w:proofErr w:type="spellEnd"/>
      <w:r w:rsidR="00085D2B" w:rsidRPr="00B014BC">
        <w:rPr>
          <w:rFonts w:eastAsiaTheme="majorEastAsia" w:cstheme="minorHAnsi"/>
          <w:bCs/>
          <w:iCs/>
        </w:rPr>
        <w:t xml:space="preserve">.  </w:t>
      </w:r>
      <w:proofErr w:type="spellStart"/>
      <w:r w:rsidR="00085D2B" w:rsidRPr="00B014BC">
        <w:rPr>
          <w:rFonts w:eastAsiaTheme="majorEastAsia" w:cstheme="minorHAnsi"/>
          <w:bCs/>
          <w:iCs/>
        </w:rPr>
        <w:t>Vienna</w:t>
      </w:r>
      <w:proofErr w:type="spellEnd"/>
      <w:r w:rsidR="00085D2B" w:rsidRPr="00B014BC">
        <w:rPr>
          <w:rFonts w:eastAsiaTheme="majorEastAsia" w:cstheme="minorHAnsi"/>
          <w:bCs/>
          <w:iCs/>
        </w:rPr>
        <w:t xml:space="preserve"> </w:t>
      </w:r>
      <w:proofErr w:type="spellStart"/>
      <w:r w:rsidR="00085D2B" w:rsidRPr="00B014BC">
        <w:rPr>
          <w:rFonts w:eastAsiaTheme="majorEastAsia" w:cstheme="minorHAnsi"/>
          <w:bCs/>
          <w:iCs/>
        </w:rPr>
        <w:t>Insurance</w:t>
      </w:r>
      <w:proofErr w:type="spellEnd"/>
      <w:r w:rsidR="00085D2B" w:rsidRPr="00B014BC">
        <w:rPr>
          <w:rFonts w:eastAsiaTheme="majorEastAsia" w:cstheme="minorHAnsi"/>
          <w:bCs/>
          <w:iCs/>
        </w:rPr>
        <w:t xml:space="preserve"> Group</w:t>
      </w:r>
    </w:p>
    <w:p w14:paraId="1367C297" w14:textId="341248BC" w:rsidR="00BA7EB5" w:rsidRPr="00B014BC" w:rsidRDefault="00BA7EB5" w:rsidP="004518BB">
      <w:pPr>
        <w:pStyle w:val="ListParagraph"/>
        <w:spacing w:after="0" w:line="240" w:lineRule="auto"/>
        <w:rPr>
          <w:rFonts w:eastAsiaTheme="majorEastAsia" w:cstheme="minorHAnsi"/>
          <w:bCs/>
          <w:iCs/>
        </w:rPr>
      </w:pPr>
      <w:r w:rsidRPr="00B014BC">
        <w:rPr>
          <w:rFonts w:eastAsiaTheme="majorEastAsia" w:cstheme="minorHAnsi"/>
          <w:bCs/>
          <w:iCs/>
        </w:rPr>
        <w:t>členka predstavenstva</w:t>
      </w:r>
      <w:r w:rsidR="00085D2B" w:rsidRPr="00B014BC">
        <w:rPr>
          <w:rFonts w:eastAsiaTheme="majorEastAsia" w:cstheme="minorHAnsi"/>
          <w:bCs/>
          <w:iCs/>
        </w:rPr>
        <w:t xml:space="preserve"> </w:t>
      </w:r>
      <w:r w:rsidR="00015A12" w:rsidRPr="00B014BC">
        <w:rPr>
          <w:rFonts w:eastAsiaTheme="majorEastAsia" w:cstheme="minorHAnsi"/>
          <w:bCs/>
          <w:iCs/>
        </w:rPr>
        <w:t>od 1. 1. 2013</w:t>
      </w:r>
      <w:r w:rsidR="003E1675" w:rsidRPr="00B014BC">
        <w:rPr>
          <w:rFonts w:eastAsiaTheme="majorEastAsia" w:cstheme="minorHAnsi"/>
          <w:bCs/>
          <w:iCs/>
        </w:rPr>
        <w:t xml:space="preserve"> (od 1. 5. 2015 </w:t>
      </w:r>
      <w:r w:rsidR="0053451C" w:rsidRPr="00B014BC">
        <w:rPr>
          <w:rFonts w:eastAsiaTheme="majorEastAsia" w:cstheme="minorHAnsi"/>
          <w:bCs/>
          <w:iCs/>
        </w:rPr>
        <w:t>dočasne mimo výkonu funkcie</w:t>
      </w:r>
      <w:r w:rsidR="003E1675" w:rsidRPr="00B014BC">
        <w:rPr>
          <w:rFonts w:eastAsiaTheme="majorEastAsia" w:cstheme="minorHAnsi"/>
          <w:bCs/>
          <w:iCs/>
        </w:rPr>
        <w:t>)</w:t>
      </w:r>
    </w:p>
    <w:p w14:paraId="0EA0E87C" w14:textId="77777777" w:rsidR="00085D2B" w:rsidRPr="00B014BC" w:rsidRDefault="00BA7EB5" w:rsidP="004518BB">
      <w:pPr>
        <w:pStyle w:val="ListParagraph"/>
        <w:numPr>
          <w:ilvl w:val="0"/>
          <w:numId w:val="12"/>
        </w:numPr>
        <w:spacing w:after="0" w:line="240" w:lineRule="auto"/>
        <w:rPr>
          <w:rFonts w:eastAsiaTheme="majorEastAsia" w:cstheme="minorHAnsi"/>
          <w:bCs/>
          <w:iCs/>
        </w:rPr>
      </w:pPr>
      <w:r w:rsidRPr="00B014BC">
        <w:rPr>
          <w:rFonts w:eastAsiaTheme="majorEastAsia" w:cstheme="minorHAnsi"/>
          <w:bCs/>
          <w:iCs/>
        </w:rPr>
        <w:t>KOOPERATIVA poisťovňa,</w:t>
      </w:r>
      <w:r w:rsidR="00085D2B" w:rsidRPr="00B014BC">
        <w:rPr>
          <w:rFonts w:eastAsiaTheme="majorEastAsia" w:cstheme="minorHAnsi"/>
          <w:bCs/>
          <w:iCs/>
        </w:rPr>
        <w:t xml:space="preserve"> </w:t>
      </w:r>
      <w:proofErr w:type="spellStart"/>
      <w:r w:rsidR="00085D2B" w:rsidRPr="00B014BC">
        <w:rPr>
          <w:rFonts w:eastAsiaTheme="majorEastAsia" w:cstheme="minorHAnsi"/>
          <w:bCs/>
          <w:iCs/>
        </w:rPr>
        <w:t>a.s</w:t>
      </w:r>
      <w:proofErr w:type="spellEnd"/>
      <w:r w:rsidR="00085D2B" w:rsidRPr="00B014BC">
        <w:rPr>
          <w:rFonts w:eastAsiaTheme="majorEastAsia" w:cstheme="minorHAnsi"/>
          <w:bCs/>
          <w:iCs/>
        </w:rPr>
        <w:t xml:space="preserve">.  </w:t>
      </w:r>
      <w:proofErr w:type="spellStart"/>
      <w:r w:rsidR="00085D2B" w:rsidRPr="00B014BC">
        <w:rPr>
          <w:rFonts w:eastAsiaTheme="majorEastAsia" w:cstheme="minorHAnsi"/>
          <w:bCs/>
          <w:iCs/>
        </w:rPr>
        <w:t>Vienna</w:t>
      </w:r>
      <w:proofErr w:type="spellEnd"/>
      <w:r w:rsidR="00085D2B" w:rsidRPr="00B014BC">
        <w:rPr>
          <w:rFonts w:eastAsiaTheme="majorEastAsia" w:cstheme="minorHAnsi"/>
          <w:bCs/>
          <w:iCs/>
        </w:rPr>
        <w:t xml:space="preserve"> </w:t>
      </w:r>
      <w:proofErr w:type="spellStart"/>
      <w:r w:rsidR="00085D2B" w:rsidRPr="00B014BC">
        <w:rPr>
          <w:rFonts w:eastAsiaTheme="majorEastAsia" w:cstheme="minorHAnsi"/>
          <w:bCs/>
          <w:iCs/>
        </w:rPr>
        <w:t>Insurance</w:t>
      </w:r>
      <w:proofErr w:type="spellEnd"/>
      <w:r w:rsidR="00085D2B" w:rsidRPr="00B014BC">
        <w:rPr>
          <w:rFonts w:eastAsiaTheme="majorEastAsia" w:cstheme="minorHAnsi"/>
          <w:bCs/>
          <w:iCs/>
        </w:rPr>
        <w:t xml:space="preserve"> Group</w:t>
      </w:r>
    </w:p>
    <w:p w14:paraId="4E03976A" w14:textId="77777777" w:rsidR="00BA7EB5" w:rsidRPr="00B014BC" w:rsidRDefault="00BA7EB5" w:rsidP="004518BB">
      <w:pPr>
        <w:pStyle w:val="ListParagraph"/>
        <w:spacing w:after="0" w:line="240" w:lineRule="auto"/>
        <w:rPr>
          <w:rFonts w:eastAsiaTheme="majorEastAsia" w:cstheme="minorHAnsi"/>
          <w:bCs/>
          <w:iCs/>
        </w:rPr>
      </w:pPr>
      <w:r w:rsidRPr="00B014BC">
        <w:rPr>
          <w:rFonts w:eastAsiaTheme="majorEastAsia" w:cstheme="minorHAnsi"/>
          <w:bCs/>
          <w:iCs/>
        </w:rPr>
        <w:t>riaditeľka právneho úseku</w:t>
      </w:r>
      <w:r w:rsidR="00085D2B" w:rsidRPr="00B014BC">
        <w:rPr>
          <w:rFonts w:eastAsiaTheme="majorEastAsia" w:cstheme="minorHAnsi"/>
          <w:bCs/>
          <w:iCs/>
        </w:rPr>
        <w:t xml:space="preserve"> (</w:t>
      </w:r>
      <w:r w:rsidRPr="00B014BC">
        <w:rPr>
          <w:rFonts w:eastAsiaTheme="majorEastAsia" w:cstheme="minorHAnsi"/>
          <w:bCs/>
          <w:iCs/>
        </w:rPr>
        <w:t>2007 – 2013</w:t>
      </w:r>
      <w:r w:rsidR="00085D2B" w:rsidRPr="00B014BC">
        <w:rPr>
          <w:rFonts w:eastAsiaTheme="majorEastAsia" w:cstheme="minorHAnsi"/>
          <w:bCs/>
          <w:iCs/>
        </w:rPr>
        <w:t>)</w:t>
      </w:r>
    </w:p>
    <w:p w14:paraId="7AD4AA73" w14:textId="77777777" w:rsidR="00E14AC9" w:rsidRPr="00B014BC" w:rsidRDefault="00E14AC9" w:rsidP="004518BB">
      <w:pPr>
        <w:spacing w:after="0" w:line="240" w:lineRule="auto"/>
        <w:rPr>
          <w:rFonts w:eastAsiaTheme="majorEastAsia" w:cstheme="minorHAnsi"/>
          <w:b/>
          <w:bCs/>
          <w:iCs/>
        </w:rPr>
      </w:pPr>
    </w:p>
    <w:p w14:paraId="4B9C0207" w14:textId="77777777" w:rsidR="00F905A7" w:rsidRPr="00B014BC" w:rsidRDefault="00F905A7" w:rsidP="004518BB">
      <w:pPr>
        <w:spacing w:after="0" w:line="240" w:lineRule="auto"/>
        <w:rPr>
          <w:rFonts w:cstheme="minorHAnsi"/>
        </w:rPr>
      </w:pPr>
      <w:r w:rsidRPr="00B014BC">
        <w:rPr>
          <w:rFonts w:cstheme="minorHAnsi"/>
        </w:rPr>
        <w:t>Oblasti zodpovednosti:</w:t>
      </w:r>
    </w:p>
    <w:p w14:paraId="3B0690F3" w14:textId="7F5107C6" w:rsidR="00F905A7" w:rsidRPr="00B014BC" w:rsidRDefault="00F905A7" w:rsidP="004518BB">
      <w:pPr>
        <w:pStyle w:val="ListParagraph"/>
        <w:numPr>
          <w:ilvl w:val="0"/>
          <w:numId w:val="12"/>
        </w:numPr>
        <w:tabs>
          <w:tab w:val="left" w:pos="360"/>
        </w:tabs>
        <w:spacing w:after="0" w:line="240" w:lineRule="auto"/>
        <w:rPr>
          <w:rFonts w:cstheme="minorHAnsi"/>
        </w:rPr>
      </w:pPr>
      <w:r w:rsidRPr="00B014BC">
        <w:rPr>
          <w:rFonts w:cstheme="minorHAnsi"/>
        </w:rPr>
        <w:t>Právna oblasť</w:t>
      </w:r>
      <w:r w:rsidR="0047621A" w:rsidRPr="00B014BC">
        <w:rPr>
          <w:rFonts w:cstheme="minorHAnsi"/>
        </w:rPr>
        <w:t xml:space="preserve"> </w:t>
      </w:r>
      <w:r w:rsidRPr="00B014BC">
        <w:rPr>
          <w:rFonts w:cstheme="minorHAnsi"/>
        </w:rPr>
        <w:t>/</w:t>
      </w:r>
      <w:r w:rsidR="0047621A" w:rsidRPr="00B014BC">
        <w:rPr>
          <w:rFonts w:cstheme="minorHAnsi"/>
        </w:rPr>
        <w:t xml:space="preserve"> </w:t>
      </w:r>
      <w:r w:rsidRPr="00B014BC">
        <w:rPr>
          <w:rFonts w:cstheme="minorHAnsi"/>
        </w:rPr>
        <w:t>manažment sťažností</w:t>
      </w:r>
    </w:p>
    <w:p w14:paraId="68E59E57" w14:textId="529E912E" w:rsidR="00F905A7" w:rsidRPr="00B014BC" w:rsidRDefault="00F905A7" w:rsidP="00770EA5">
      <w:pPr>
        <w:pStyle w:val="BodyText"/>
        <w:numPr>
          <w:ilvl w:val="0"/>
          <w:numId w:val="12"/>
        </w:numPr>
        <w:tabs>
          <w:tab w:val="left" w:pos="284"/>
          <w:tab w:val="left" w:pos="2694"/>
          <w:tab w:val="left" w:pos="6521"/>
        </w:tabs>
        <w:jc w:val="left"/>
        <w:rPr>
          <w:rFonts w:asciiTheme="minorHAnsi" w:hAnsiTheme="minorHAnsi" w:cstheme="minorHAnsi"/>
          <w:b w:val="0"/>
          <w:sz w:val="22"/>
          <w:szCs w:val="22"/>
        </w:rPr>
      </w:pPr>
      <w:r w:rsidRPr="00B014BC">
        <w:rPr>
          <w:rFonts w:asciiTheme="minorHAnsi" w:hAnsiTheme="minorHAnsi" w:cstheme="minorHAnsi"/>
          <w:b w:val="0"/>
          <w:sz w:val="22"/>
          <w:szCs w:val="22"/>
        </w:rPr>
        <w:t>Životné poistenie</w:t>
      </w:r>
      <w:r w:rsidR="0047621A" w:rsidRPr="00B014BC">
        <w:rPr>
          <w:rFonts w:asciiTheme="minorHAnsi" w:hAnsiTheme="minorHAnsi" w:cstheme="minorHAnsi"/>
          <w:b w:val="0"/>
          <w:sz w:val="22"/>
          <w:szCs w:val="22"/>
        </w:rPr>
        <w:t xml:space="preserve"> </w:t>
      </w:r>
      <w:r w:rsidR="00770EA5" w:rsidRPr="00B014BC">
        <w:rPr>
          <w:rFonts w:asciiTheme="minorHAnsi" w:hAnsiTheme="minorHAnsi" w:cstheme="minorHAnsi"/>
          <w:b w:val="0"/>
          <w:sz w:val="22"/>
          <w:szCs w:val="22"/>
        </w:rPr>
        <w:t>/</w:t>
      </w:r>
      <w:r w:rsidR="0047621A" w:rsidRPr="00B014BC">
        <w:rPr>
          <w:rFonts w:asciiTheme="minorHAnsi" w:hAnsiTheme="minorHAnsi" w:cstheme="minorHAnsi"/>
          <w:b w:val="0"/>
          <w:sz w:val="22"/>
          <w:szCs w:val="22"/>
        </w:rPr>
        <w:t xml:space="preserve"> </w:t>
      </w:r>
      <w:r w:rsidRPr="00B014BC">
        <w:rPr>
          <w:rFonts w:asciiTheme="minorHAnsi" w:hAnsiTheme="minorHAnsi" w:cstheme="minorHAnsi"/>
          <w:b w:val="0"/>
          <w:sz w:val="22"/>
          <w:szCs w:val="22"/>
        </w:rPr>
        <w:t>Likvidácia poistných udalostí v životnom poistení</w:t>
      </w:r>
    </w:p>
    <w:p w14:paraId="02989102" w14:textId="3B998F31" w:rsidR="00F905A7" w:rsidRPr="00B014BC" w:rsidRDefault="00770EA5" w:rsidP="00770EA5">
      <w:pPr>
        <w:pStyle w:val="BodyText"/>
        <w:numPr>
          <w:ilvl w:val="0"/>
          <w:numId w:val="12"/>
        </w:numPr>
        <w:tabs>
          <w:tab w:val="left" w:pos="284"/>
          <w:tab w:val="left" w:pos="2694"/>
          <w:tab w:val="left" w:pos="6521"/>
        </w:tabs>
        <w:jc w:val="left"/>
        <w:rPr>
          <w:rFonts w:asciiTheme="minorHAnsi" w:hAnsiTheme="minorHAnsi" w:cstheme="minorHAnsi"/>
          <w:b w:val="0"/>
          <w:sz w:val="22"/>
          <w:szCs w:val="22"/>
        </w:rPr>
      </w:pPr>
      <w:r w:rsidRPr="00B014BC">
        <w:rPr>
          <w:rFonts w:asciiTheme="minorHAnsi" w:hAnsiTheme="minorHAnsi" w:cstheme="minorHAnsi"/>
          <w:b w:val="0"/>
          <w:sz w:val="22"/>
          <w:szCs w:val="22"/>
        </w:rPr>
        <w:t>Zdravotné, úrazové a d</w:t>
      </w:r>
      <w:r w:rsidR="00F905A7" w:rsidRPr="00B014BC">
        <w:rPr>
          <w:rFonts w:asciiTheme="minorHAnsi" w:hAnsiTheme="minorHAnsi" w:cstheme="minorHAnsi"/>
          <w:b w:val="0"/>
          <w:sz w:val="22"/>
          <w:szCs w:val="22"/>
        </w:rPr>
        <w:t>ôchodkové poistenie</w:t>
      </w:r>
    </w:p>
    <w:p w14:paraId="3704B4FD" w14:textId="77777777" w:rsidR="00933DEE" w:rsidRPr="00B014BC" w:rsidRDefault="00933DEE" w:rsidP="004518BB">
      <w:pPr>
        <w:pStyle w:val="BodyText"/>
        <w:tabs>
          <w:tab w:val="left" w:pos="284"/>
          <w:tab w:val="left" w:pos="6521"/>
        </w:tabs>
        <w:jc w:val="left"/>
        <w:rPr>
          <w:rFonts w:asciiTheme="minorHAnsi" w:hAnsiTheme="minorHAnsi" w:cstheme="minorHAnsi"/>
          <w:b w:val="0"/>
          <w:sz w:val="22"/>
          <w:szCs w:val="22"/>
        </w:rPr>
      </w:pPr>
    </w:p>
    <w:p w14:paraId="23C84C51" w14:textId="737F3C42" w:rsidR="00432E66" w:rsidRPr="00B014BC" w:rsidRDefault="00432E66" w:rsidP="004518BB">
      <w:pPr>
        <w:spacing w:after="0" w:line="240" w:lineRule="auto"/>
        <w:rPr>
          <w:rFonts w:cstheme="minorHAnsi"/>
          <w:b/>
          <w:sz w:val="24"/>
          <w:szCs w:val="24"/>
        </w:rPr>
      </w:pPr>
      <w:r w:rsidRPr="00B014BC">
        <w:rPr>
          <w:rFonts w:cstheme="minorHAnsi"/>
          <w:b/>
          <w:sz w:val="24"/>
          <w:szCs w:val="24"/>
        </w:rPr>
        <w:t>3.4 Manažment úsekov centrály</w:t>
      </w:r>
    </w:p>
    <w:p w14:paraId="73379474" w14:textId="77777777" w:rsidR="00432E66" w:rsidRPr="00B014BC" w:rsidRDefault="00432E66" w:rsidP="004518BB">
      <w:pPr>
        <w:spacing w:after="0" w:line="240" w:lineRule="auto"/>
        <w:rPr>
          <w:rFonts w:cstheme="minorHAnsi"/>
          <w:b/>
          <w:sz w:val="24"/>
          <w:szCs w:val="24"/>
        </w:rPr>
      </w:pPr>
    </w:p>
    <w:p w14:paraId="53B42769" w14:textId="5EE9AD50" w:rsidR="00432E66" w:rsidRPr="00B014BC" w:rsidRDefault="004518BB" w:rsidP="004518BB">
      <w:pPr>
        <w:spacing w:after="0" w:line="240" w:lineRule="auto"/>
        <w:rPr>
          <w:rFonts w:ascii="Calibri" w:hAnsi="Calibri" w:cs="Calibri"/>
        </w:rPr>
      </w:pPr>
      <w:proofErr w:type="spellStart"/>
      <w:r w:rsidRPr="00B014BC">
        <w:rPr>
          <w:rFonts w:cstheme="minorHAnsi"/>
        </w:rPr>
        <w:t>Aktuariát</w:t>
      </w:r>
      <w:proofErr w:type="spellEnd"/>
      <w:r w:rsidRPr="00B014BC">
        <w:rPr>
          <w:rFonts w:ascii="Calibri" w:hAnsi="Calibri" w:cs="Calibri"/>
        </w:rPr>
        <w:tab/>
      </w:r>
      <w:r w:rsidRPr="00B014BC">
        <w:rPr>
          <w:rFonts w:ascii="Calibri" w:hAnsi="Calibri" w:cs="Calibri"/>
        </w:rPr>
        <w:tab/>
      </w:r>
      <w:r w:rsidRPr="00B014BC">
        <w:rPr>
          <w:rFonts w:ascii="Calibri" w:hAnsi="Calibri" w:cs="Calibri"/>
        </w:rPr>
        <w:tab/>
      </w:r>
      <w:r w:rsidRPr="00B014BC">
        <w:rPr>
          <w:rFonts w:ascii="Calibri" w:hAnsi="Calibri" w:cs="Calibri"/>
        </w:rPr>
        <w:tab/>
      </w:r>
      <w:r w:rsidRPr="00B014BC">
        <w:rPr>
          <w:rFonts w:ascii="Calibri" w:hAnsi="Calibri" w:cs="Calibri"/>
        </w:rPr>
        <w:tab/>
        <w:t xml:space="preserve">Ing. Jozef </w:t>
      </w:r>
      <w:proofErr w:type="spellStart"/>
      <w:r w:rsidRPr="00B014BC">
        <w:rPr>
          <w:rFonts w:ascii="Calibri" w:hAnsi="Calibri" w:cs="Calibri"/>
        </w:rPr>
        <w:t>Dúcky</w:t>
      </w:r>
      <w:proofErr w:type="spellEnd"/>
      <w:r w:rsidRPr="00B014BC">
        <w:rPr>
          <w:rFonts w:ascii="Calibri" w:hAnsi="Calibri" w:cs="Calibri"/>
        </w:rPr>
        <w:t xml:space="preserve">, </w:t>
      </w:r>
      <w:r w:rsidR="00432E66" w:rsidRPr="00B014BC">
        <w:rPr>
          <w:rFonts w:ascii="Calibri" w:hAnsi="Calibri" w:cs="Calibri"/>
        </w:rPr>
        <w:t>o</w:t>
      </w:r>
      <w:r w:rsidRPr="00B014BC">
        <w:rPr>
          <w:rFonts w:ascii="Calibri" w:hAnsi="Calibri" w:cs="Calibri"/>
        </w:rPr>
        <w:t>d 1. 1</w:t>
      </w:r>
      <w:r w:rsidR="00432E66" w:rsidRPr="00B014BC">
        <w:rPr>
          <w:rFonts w:ascii="Calibri" w:hAnsi="Calibri" w:cs="Calibri"/>
        </w:rPr>
        <w:t>.</w:t>
      </w:r>
      <w:r w:rsidRPr="00B014BC">
        <w:rPr>
          <w:rFonts w:ascii="Calibri" w:hAnsi="Calibri" w:cs="Calibri"/>
        </w:rPr>
        <w:t xml:space="preserve"> 2016</w:t>
      </w:r>
    </w:p>
    <w:p w14:paraId="4158CCD3" w14:textId="77777777" w:rsidR="00432E66" w:rsidRPr="00B014BC" w:rsidRDefault="00432E66" w:rsidP="004518BB">
      <w:pPr>
        <w:spacing w:after="0" w:line="240" w:lineRule="auto"/>
        <w:rPr>
          <w:rFonts w:cstheme="minorHAnsi"/>
        </w:rPr>
      </w:pPr>
      <w:r w:rsidRPr="00B014BC">
        <w:rPr>
          <w:rFonts w:cstheme="minorHAnsi"/>
        </w:rPr>
        <w:t xml:space="preserve">Úsek </w:t>
      </w:r>
      <w:proofErr w:type="spellStart"/>
      <w:r w:rsidRPr="00B014BC">
        <w:rPr>
          <w:rFonts w:cstheme="minorHAnsi"/>
        </w:rPr>
        <w:t>controllingu</w:t>
      </w:r>
      <w:proofErr w:type="spellEnd"/>
      <w:r w:rsidRPr="00B014BC">
        <w:rPr>
          <w:rFonts w:cstheme="minorHAnsi"/>
        </w:rPr>
        <w:t xml:space="preserve"> </w:t>
      </w:r>
      <w:r w:rsidRPr="00B014BC">
        <w:rPr>
          <w:rFonts w:cstheme="minorHAnsi"/>
        </w:rPr>
        <w:tab/>
      </w:r>
      <w:r w:rsidRPr="00B014BC">
        <w:rPr>
          <w:rFonts w:cstheme="minorHAnsi"/>
        </w:rPr>
        <w:tab/>
      </w:r>
      <w:r w:rsidRPr="00B014BC">
        <w:rPr>
          <w:rFonts w:cstheme="minorHAnsi"/>
        </w:rPr>
        <w:tab/>
      </w:r>
      <w:r w:rsidRPr="00B014BC">
        <w:rPr>
          <w:rFonts w:cstheme="minorHAnsi"/>
        </w:rPr>
        <w:tab/>
        <w:t>Ing. Slávka Miklošová</w:t>
      </w:r>
      <w:r w:rsidRPr="00B014BC">
        <w:rPr>
          <w:rFonts w:cstheme="minorHAnsi"/>
        </w:rPr>
        <w:tab/>
      </w:r>
      <w:r w:rsidRPr="00B014BC">
        <w:rPr>
          <w:rFonts w:cstheme="minorHAnsi"/>
        </w:rPr>
        <w:tab/>
      </w:r>
    </w:p>
    <w:p w14:paraId="06B680CA" w14:textId="77777777" w:rsidR="00432E66" w:rsidRPr="00B014BC" w:rsidRDefault="00432E66" w:rsidP="004518BB">
      <w:pPr>
        <w:spacing w:after="0" w:line="240" w:lineRule="auto"/>
        <w:rPr>
          <w:rFonts w:cstheme="minorHAnsi"/>
        </w:rPr>
      </w:pPr>
      <w:r w:rsidRPr="00B014BC">
        <w:rPr>
          <w:rFonts w:cstheme="minorHAnsi"/>
        </w:rPr>
        <w:t xml:space="preserve">Úsek ekonomický </w:t>
      </w:r>
      <w:r w:rsidRPr="00B014BC">
        <w:rPr>
          <w:rFonts w:cstheme="minorHAnsi"/>
        </w:rPr>
        <w:tab/>
      </w:r>
      <w:r w:rsidRPr="00B014BC">
        <w:rPr>
          <w:rFonts w:cstheme="minorHAnsi"/>
        </w:rPr>
        <w:tab/>
      </w:r>
      <w:r w:rsidRPr="00B014BC">
        <w:rPr>
          <w:rFonts w:cstheme="minorHAnsi"/>
        </w:rPr>
        <w:tab/>
      </w:r>
      <w:r w:rsidRPr="00B014BC">
        <w:rPr>
          <w:rFonts w:cstheme="minorHAnsi"/>
        </w:rPr>
        <w:tab/>
        <w:t>Mgr. Michal Galbavý</w:t>
      </w:r>
    </w:p>
    <w:p w14:paraId="22777976" w14:textId="77777777" w:rsidR="00432E66" w:rsidRPr="00B014BC" w:rsidRDefault="00432E66" w:rsidP="004518BB">
      <w:pPr>
        <w:spacing w:after="0" w:line="240" w:lineRule="auto"/>
        <w:rPr>
          <w:rFonts w:ascii="Calibri" w:hAnsi="Calibri" w:cs="Calibri"/>
        </w:rPr>
      </w:pPr>
      <w:r w:rsidRPr="00B014BC">
        <w:rPr>
          <w:rFonts w:cstheme="minorHAnsi"/>
        </w:rPr>
        <w:t>Úsek informačných technológií</w:t>
      </w:r>
      <w:r w:rsidRPr="00B014BC">
        <w:rPr>
          <w:rFonts w:cstheme="minorHAnsi"/>
        </w:rPr>
        <w:tab/>
      </w:r>
      <w:r w:rsidRPr="00B014BC">
        <w:rPr>
          <w:rFonts w:cstheme="minorHAnsi"/>
        </w:rPr>
        <w:tab/>
      </w:r>
      <w:r w:rsidRPr="00B014BC">
        <w:rPr>
          <w:rFonts w:cstheme="minorHAnsi"/>
        </w:rPr>
        <w:tab/>
      </w:r>
      <w:r w:rsidRPr="00B014BC">
        <w:rPr>
          <w:rFonts w:ascii="Calibri" w:hAnsi="Calibri" w:cs="Calibri"/>
        </w:rPr>
        <w:t xml:space="preserve">Mgr. Martin </w:t>
      </w:r>
      <w:proofErr w:type="spellStart"/>
      <w:r w:rsidRPr="00B014BC">
        <w:rPr>
          <w:rFonts w:ascii="Calibri" w:hAnsi="Calibri" w:cs="Calibri"/>
        </w:rPr>
        <w:t>Mitro</w:t>
      </w:r>
      <w:proofErr w:type="spellEnd"/>
      <w:r w:rsidRPr="00B014BC">
        <w:rPr>
          <w:rFonts w:ascii="Calibri" w:hAnsi="Calibri" w:cs="Calibri"/>
        </w:rPr>
        <w:t xml:space="preserve">, </w:t>
      </w:r>
      <w:proofErr w:type="spellStart"/>
      <w:r w:rsidRPr="00B014BC">
        <w:rPr>
          <w:rFonts w:ascii="Calibri" w:hAnsi="Calibri" w:cs="Calibri"/>
        </w:rPr>
        <w:t>MSc</w:t>
      </w:r>
      <w:proofErr w:type="spellEnd"/>
      <w:r w:rsidRPr="00B014BC">
        <w:rPr>
          <w:rFonts w:ascii="Calibri" w:hAnsi="Calibri" w:cs="Calibri"/>
        </w:rPr>
        <w:t>., od 1. 4. 2015</w:t>
      </w:r>
    </w:p>
    <w:p w14:paraId="5C7B608F" w14:textId="77777777" w:rsidR="00432E66" w:rsidRPr="00B014BC" w:rsidRDefault="00432E66" w:rsidP="004518BB">
      <w:pPr>
        <w:spacing w:after="0" w:line="240" w:lineRule="auto"/>
        <w:ind w:left="3540" w:firstLine="708"/>
        <w:rPr>
          <w:rFonts w:cstheme="minorHAnsi"/>
        </w:rPr>
      </w:pPr>
      <w:r w:rsidRPr="00B014BC">
        <w:rPr>
          <w:rFonts w:cstheme="minorHAnsi"/>
        </w:rPr>
        <w:t>Ing. Pavel Koza</w:t>
      </w:r>
      <w:r w:rsidRPr="00B014BC">
        <w:rPr>
          <w:rFonts w:cstheme="minorHAnsi"/>
        </w:rPr>
        <w:tab/>
        <w:t>(poverený riadením), do 31. 3. 2015</w:t>
      </w:r>
    </w:p>
    <w:p w14:paraId="04342CBD" w14:textId="77777777" w:rsidR="00432E66" w:rsidRPr="00B014BC" w:rsidRDefault="00432E66" w:rsidP="004518BB">
      <w:pPr>
        <w:spacing w:after="0" w:line="240" w:lineRule="auto"/>
        <w:rPr>
          <w:rFonts w:cstheme="minorHAnsi"/>
        </w:rPr>
      </w:pPr>
      <w:r w:rsidRPr="00B014BC">
        <w:rPr>
          <w:rFonts w:cstheme="minorHAnsi"/>
        </w:rPr>
        <w:t xml:space="preserve">Úsek interného servisu </w:t>
      </w:r>
      <w:r w:rsidRPr="00B014BC">
        <w:rPr>
          <w:rFonts w:cstheme="minorHAnsi"/>
        </w:rPr>
        <w:tab/>
      </w:r>
      <w:r w:rsidRPr="00B014BC">
        <w:rPr>
          <w:rFonts w:cstheme="minorHAnsi"/>
        </w:rPr>
        <w:tab/>
      </w:r>
      <w:r w:rsidRPr="00B014BC">
        <w:rPr>
          <w:rFonts w:cstheme="minorHAnsi"/>
        </w:rPr>
        <w:tab/>
      </w:r>
      <w:r w:rsidRPr="00B014BC">
        <w:rPr>
          <w:rFonts w:cstheme="minorHAnsi"/>
        </w:rPr>
        <w:tab/>
        <w:t xml:space="preserve">Ing. Ľubomír </w:t>
      </w:r>
      <w:proofErr w:type="spellStart"/>
      <w:r w:rsidRPr="00B014BC">
        <w:rPr>
          <w:rFonts w:cstheme="minorHAnsi"/>
        </w:rPr>
        <w:t>Budzák</w:t>
      </w:r>
      <w:proofErr w:type="spellEnd"/>
      <w:r w:rsidRPr="00B014BC">
        <w:rPr>
          <w:rFonts w:cstheme="minorHAnsi"/>
        </w:rPr>
        <w:tab/>
      </w:r>
    </w:p>
    <w:p w14:paraId="60A4F984" w14:textId="77777777" w:rsidR="00432E66" w:rsidRPr="00B014BC" w:rsidRDefault="00432E66" w:rsidP="004518BB">
      <w:pPr>
        <w:spacing w:after="0" w:line="240" w:lineRule="auto"/>
        <w:rPr>
          <w:rFonts w:cstheme="minorHAnsi"/>
        </w:rPr>
      </w:pPr>
      <w:r w:rsidRPr="00B014BC">
        <w:rPr>
          <w:rFonts w:cstheme="minorHAnsi"/>
        </w:rPr>
        <w:t>Úsek komunikácie a </w:t>
      </w:r>
      <w:proofErr w:type="spellStart"/>
      <w:r w:rsidRPr="00B014BC">
        <w:rPr>
          <w:rFonts w:cstheme="minorHAnsi"/>
        </w:rPr>
        <w:t>bankopoisťovníctva</w:t>
      </w:r>
      <w:proofErr w:type="spellEnd"/>
      <w:r w:rsidRPr="00B014BC">
        <w:rPr>
          <w:rFonts w:cstheme="minorHAnsi"/>
        </w:rPr>
        <w:tab/>
        <w:t xml:space="preserve">Ing. Daniela </w:t>
      </w:r>
      <w:proofErr w:type="spellStart"/>
      <w:r w:rsidRPr="00B014BC">
        <w:rPr>
          <w:rFonts w:cstheme="minorHAnsi"/>
        </w:rPr>
        <w:t>Michaličová</w:t>
      </w:r>
      <w:proofErr w:type="spellEnd"/>
      <w:r w:rsidRPr="00B014BC">
        <w:rPr>
          <w:rFonts w:cstheme="minorHAnsi"/>
        </w:rPr>
        <w:t xml:space="preserve"> </w:t>
      </w:r>
    </w:p>
    <w:p w14:paraId="34053943" w14:textId="77777777" w:rsidR="00432E66" w:rsidRPr="00B014BC" w:rsidRDefault="00432E66" w:rsidP="004518BB">
      <w:pPr>
        <w:spacing w:after="0" w:line="240" w:lineRule="auto"/>
        <w:rPr>
          <w:rFonts w:cstheme="minorHAnsi"/>
        </w:rPr>
      </w:pPr>
      <w:r w:rsidRPr="00B014BC">
        <w:rPr>
          <w:rFonts w:cstheme="minorHAnsi"/>
        </w:rPr>
        <w:t xml:space="preserve">Úsek likvidácie poistných udalostí </w:t>
      </w:r>
      <w:r w:rsidRPr="00B014BC">
        <w:rPr>
          <w:rFonts w:cstheme="minorHAnsi"/>
        </w:rPr>
        <w:tab/>
      </w:r>
      <w:r w:rsidRPr="00B014BC">
        <w:rPr>
          <w:rFonts w:cstheme="minorHAnsi"/>
        </w:rPr>
        <w:tab/>
        <w:t xml:space="preserve">Mgr. Peter </w:t>
      </w:r>
      <w:proofErr w:type="spellStart"/>
      <w:r w:rsidRPr="00B014BC">
        <w:rPr>
          <w:rFonts w:cstheme="minorHAnsi"/>
        </w:rPr>
        <w:t>Ďurík</w:t>
      </w:r>
      <w:proofErr w:type="spellEnd"/>
      <w:r w:rsidRPr="00B014BC">
        <w:rPr>
          <w:rFonts w:cstheme="minorHAnsi"/>
        </w:rPr>
        <w:t xml:space="preserve"> / Ing. Helena </w:t>
      </w:r>
      <w:proofErr w:type="spellStart"/>
      <w:r w:rsidRPr="00B014BC">
        <w:rPr>
          <w:rFonts w:cstheme="minorHAnsi"/>
        </w:rPr>
        <w:t>Baričová</w:t>
      </w:r>
      <w:proofErr w:type="spellEnd"/>
    </w:p>
    <w:p w14:paraId="47727FEE" w14:textId="77777777" w:rsidR="00432E66" w:rsidRPr="00B014BC" w:rsidRDefault="00432E66" w:rsidP="004518BB">
      <w:pPr>
        <w:spacing w:after="0" w:line="240" w:lineRule="auto"/>
        <w:rPr>
          <w:rFonts w:cstheme="minorHAnsi"/>
        </w:rPr>
      </w:pPr>
      <w:r w:rsidRPr="00B014BC">
        <w:rPr>
          <w:rFonts w:cstheme="minorHAnsi"/>
        </w:rPr>
        <w:t xml:space="preserve">neživotného poistenia </w:t>
      </w:r>
      <w:r w:rsidRPr="00B014BC">
        <w:rPr>
          <w:rFonts w:cstheme="minorHAnsi"/>
        </w:rPr>
        <w:tab/>
      </w:r>
      <w:r w:rsidRPr="00B014BC">
        <w:rPr>
          <w:rFonts w:cstheme="minorHAnsi"/>
        </w:rPr>
        <w:tab/>
      </w:r>
      <w:r w:rsidRPr="00B014BC">
        <w:rPr>
          <w:rFonts w:cstheme="minorHAnsi"/>
        </w:rPr>
        <w:tab/>
      </w:r>
      <w:r w:rsidRPr="00B014BC">
        <w:rPr>
          <w:rFonts w:cstheme="minorHAnsi"/>
        </w:rPr>
        <w:tab/>
      </w:r>
      <w:r w:rsidRPr="00B014BC">
        <w:rPr>
          <w:rFonts w:cstheme="minorHAnsi"/>
        </w:rPr>
        <w:tab/>
      </w:r>
    </w:p>
    <w:p w14:paraId="0EA296F8" w14:textId="77777777" w:rsidR="00432E66" w:rsidRPr="00B014BC" w:rsidRDefault="00432E66" w:rsidP="004518BB">
      <w:pPr>
        <w:spacing w:after="0" w:line="240" w:lineRule="auto"/>
        <w:rPr>
          <w:rFonts w:cstheme="minorHAnsi"/>
        </w:rPr>
      </w:pPr>
      <w:r w:rsidRPr="00B014BC">
        <w:rPr>
          <w:rFonts w:cstheme="minorHAnsi"/>
        </w:rPr>
        <w:t xml:space="preserve">Úsek neživotného poistenia </w:t>
      </w:r>
      <w:r w:rsidRPr="00B014BC">
        <w:rPr>
          <w:rFonts w:cstheme="minorHAnsi"/>
        </w:rPr>
        <w:tab/>
      </w:r>
      <w:r w:rsidRPr="00B014BC">
        <w:rPr>
          <w:rFonts w:cstheme="minorHAnsi"/>
        </w:rPr>
        <w:tab/>
      </w:r>
      <w:r w:rsidRPr="00B014BC">
        <w:rPr>
          <w:rFonts w:cstheme="minorHAnsi"/>
        </w:rPr>
        <w:tab/>
        <w:t>Ing. Miroslav Škripec / Ing. Ján Pavlík</w:t>
      </w:r>
      <w:r w:rsidRPr="00B014BC">
        <w:rPr>
          <w:rFonts w:cstheme="minorHAnsi"/>
        </w:rPr>
        <w:tab/>
      </w:r>
    </w:p>
    <w:p w14:paraId="0E8662D7" w14:textId="77777777" w:rsidR="00432E66" w:rsidRPr="00B014BC" w:rsidRDefault="00432E66" w:rsidP="004518BB">
      <w:pPr>
        <w:spacing w:after="0" w:line="240" w:lineRule="auto"/>
        <w:rPr>
          <w:rFonts w:cstheme="minorHAnsi"/>
        </w:rPr>
      </w:pPr>
      <w:r w:rsidRPr="00B014BC">
        <w:rPr>
          <w:rFonts w:cstheme="minorHAnsi"/>
        </w:rPr>
        <w:t xml:space="preserve">Úsek obchodu </w:t>
      </w:r>
      <w:r w:rsidRPr="00B014BC">
        <w:rPr>
          <w:rFonts w:cstheme="minorHAnsi"/>
        </w:rPr>
        <w:tab/>
      </w:r>
      <w:r w:rsidRPr="00B014BC">
        <w:rPr>
          <w:rFonts w:cstheme="minorHAnsi"/>
        </w:rPr>
        <w:tab/>
      </w:r>
      <w:r w:rsidRPr="00B014BC">
        <w:rPr>
          <w:rFonts w:cstheme="minorHAnsi"/>
        </w:rPr>
        <w:tab/>
      </w:r>
      <w:r w:rsidRPr="00B014BC">
        <w:rPr>
          <w:rFonts w:cstheme="minorHAnsi"/>
        </w:rPr>
        <w:tab/>
      </w:r>
      <w:r w:rsidRPr="00B014BC">
        <w:rPr>
          <w:rFonts w:cstheme="minorHAnsi"/>
        </w:rPr>
        <w:tab/>
        <w:t xml:space="preserve">Radoslav </w:t>
      </w:r>
      <w:proofErr w:type="spellStart"/>
      <w:r w:rsidRPr="00B014BC">
        <w:rPr>
          <w:rFonts w:cstheme="minorHAnsi"/>
        </w:rPr>
        <w:t>Koprda</w:t>
      </w:r>
      <w:proofErr w:type="spellEnd"/>
      <w:r w:rsidRPr="00B014BC">
        <w:rPr>
          <w:rFonts w:cstheme="minorHAnsi"/>
        </w:rPr>
        <w:t xml:space="preserve"> / Ing. Miloslav </w:t>
      </w:r>
      <w:proofErr w:type="spellStart"/>
      <w:r w:rsidRPr="00B014BC">
        <w:rPr>
          <w:rFonts w:cstheme="minorHAnsi"/>
        </w:rPr>
        <w:t>Kulhan</w:t>
      </w:r>
      <w:proofErr w:type="spellEnd"/>
      <w:r w:rsidRPr="00B014BC">
        <w:rPr>
          <w:rFonts w:cstheme="minorHAnsi"/>
        </w:rPr>
        <w:tab/>
      </w:r>
    </w:p>
    <w:p w14:paraId="548A952A" w14:textId="77777777" w:rsidR="00432E66" w:rsidRPr="00B014BC" w:rsidRDefault="00432E66" w:rsidP="004518BB">
      <w:pPr>
        <w:spacing w:after="0" w:line="240" w:lineRule="auto"/>
        <w:rPr>
          <w:rFonts w:cstheme="minorHAnsi"/>
        </w:rPr>
      </w:pPr>
      <w:r w:rsidRPr="00B014BC">
        <w:rPr>
          <w:rFonts w:cstheme="minorHAnsi"/>
        </w:rPr>
        <w:t xml:space="preserve">Úsek poistenia osôb </w:t>
      </w:r>
      <w:r w:rsidRPr="00B014BC">
        <w:rPr>
          <w:rFonts w:cstheme="minorHAnsi"/>
        </w:rPr>
        <w:tab/>
      </w:r>
      <w:r w:rsidRPr="00B014BC">
        <w:rPr>
          <w:rFonts w:cstheme="minorHAnsi"/>
        </w:rPr>
        <w:tab/>
      </w:r>
      <w:r w:rsidRPr="00B014BC">
        <w:rPr>
          <w:rFonts w:cstheme="minorHAnsi"/>
        </w:rPr>
        <w:tab/>
      </w:r>
      <w:r w:rsidRPr="00B014BC">
        <w:rPr>
          <w:rFonts w:cstheme="minorHAnsi"/>
        </w:rPr>
        <w:tab/>
        <w:t>Mgr. Blanka Hatalová</w:t>
      </w:r>
      <w:r w:rsidRPr="00B014BC">
        <w:rPr>
          <w:rFonts w:cstheme="minorHAnsi"/>
        </w:rPr>
        <w:tab/>
      </w:r>
    </w:p>
    <w:p w14:paraId="63895BE6" w14:textId="77777777" w:rsidR="00432E66" w:rsidRPr="00B014BC" w:rsidRDefault="00432E66" w:rsidP="004518BB">
      <w:pPr>
        <w:spacing w:after="0" w:line="240" w:lineRule="auto"/>
        <w:rPr>
          <w:rFonts w:cstheme="minorHAnsi"/>
        </w:rPr>
      </w:pPr>
      <w:r w:rsidRPr="00B014BC">
        <w:rPr>
          <w:rFonts w:cstheme="minorHAnsi"/>
        </w:rPr>
        <w:t xml:space="preserve">Úsek právny </w:t>
      </w:r>
      <w:r w:rsidRPr="00B014BC">
        <w:rPr>
          <w:rFonts w:cstheme="minorHAnsi"/>
        </w:rPr>
        <w:tab/>
      </w:r>
      <w:r w:rsidRPr="00B014BC">
        <w:rPr>
          <w:rFonts w:cstheme="minorHAnsi"/>
        </w:rPr>
        <w:tab/>
      </w:r>
      <w:r w:rsidRPr="00B014BC">
        <w:rPr>
          <w:rFonts w:cstheme="minorHAnsi"/>
        </w:rPr>
        <w:tab/>
      </w:r>
      <w:r w:rsidRPr="00B014BC">
        <w:rPr>
          <w:rFonts w:cstheme="minorHAnsi"/>
        </w:rPr>
        <w:tab/>
      </w:r>
      <w:r w:rsidRPr="00B014BC">
        <w:rPr>
          <w:rFonts w:cstheme="minorHAnsi"/>
        </w:rPr>
        <w:tab/>
        <w:t>JUDr. Ľuboš Tóth</w:t>
      </w:r>
      <w:r w:rsidRPr="00B014BC">
        <w:rPr>
          <w:rFonts w:cstheme="minorHAnsi"/>
        </w:rPr>
        <w:tab/>
      </w:r>
    </w:p>
    <w:p w14:paraId="2797791F" w14:textId="77777777" w:rsidR="00432E66" w:rsidRPr="00B014BC" w:rsidRDefault="00432E66" w:rsidP="004518BB">
      <w:pPr>
        <w:spacing w:after="0" w:line="240" w:lineRule="auto"/>
        <w:rPr>
          <w:rFonts w:cstheme="minorHAnsi"/>
        </w:rPr>
      </w:pPr>
      <w:r w:rsidRPr="00B014BC">
        <w:rPr>
          <w:rFonts w:cstheme="minorHAnsi"/>
        </w:rPr>
        <w:t xml:space="preserve">Úsek prevádzky </w:t>
      </w:r>
      <w:r w:rsidRPr="00B014BC">
        <w:rPr>
          <w:rFonts w:cstheme="minorHAnsi"/>
        </w:rPr>
        <w:tab/>
      </w:r>
      <w:r w:rsidRPr="00B014BC">
        <w:rPr>
          <w:rFonts w:cstheme="minorHAnsi"/>
        </w:rPr>
        <w:tab/>
      </w:r>
      <w:r w:rsidRPr="00B014BC">
        <w:rPr>
          <w:rFonts w:cstheme="minorHAnsi"/>
        </w:rPr>
        <w:tab/>
      </w:r>
      <w:r w:rsidRPr="00B014BC">
        <w:rPr>
          <w:rFonts w:cstheme="minorHAnsi"/>
        </w:rPr>
        <w:tab/>
        <w:t xml:space="preserve">Mgr. Darina </w:t>
      </w:r>
      <w:proofErr w:type="spellStart"/>
      <w:r w:rsidRPr="00B014BC">
        <w:rPr>
          <w:rFonts w:cstheme="minorHAnsi"/>
        </w:rPr>
        <w:t>Bednáriková</w:t>
      </w:r>
      <w:proofErr w:type="spellEnd"/>
      <w:r w:rsidRPr="00B014BC">
        <w:rPr>
          <w:rFonts w:cstheme="minorHAnsi"/>
        </w:rPr>
        <w:t xml:space="preserve"> / Mgr. Jana Zacharová</w:t>
      </w:r>
    </w:p>
    <w:p w14:paraId="790E69AF" w14:textId="77777777" w:rsidR="00432E66" w:rsidRPr="00B014BC" w:rsidRDefault="00432E66" w:rsidP="004518BB">
      <w:pPr>
        <w:spacing w:after="0" w:line="240" w:lineRule="auto"/>
        <w:rPr>
          <w:rFonts w:cstheme="minorHAnsi"/>
        </w:rPr>
      </w:pPr>
      <w:r w:rsidRPr="00B014BC">
        <w:rPr>
          <w:rFonts w:cstheme="minorHAnsi"/>
        </w:rPr>
        <w:t xml:space="preserve">Úsek riadenia rozvoja ľudských zdrojov </w:t>
      </w:r>
      <w:r w:rsidRPr="00B014BC">
        <w:rPr>
          <w:rFonts w:cstheme="minorHAnsi"/>
        </w:rPr>
        <w:tab/>
      </w:r>
      <w:r w:rsidRPr="00B014BC">
        <w:rPr>
          <w:rFonts w:cstheme="minorHAnsi"/>
        </w:rPr>
        <w:tab/>
        <w:t xml:space="preserve">Hana </w:t>
      </w:r>
      <w:proofErr w:type="spellStart"/>
      <w:r w:rsidRPr="00B014BC">
        <w:rPr>
          <w:rFonts w:cstheme="minorHAnsi"/>
        </w:rPr>
        <w:t>Bábelová</w:t>
      </w:r>
      <w:proofErr w:type="spellEnd"/>
      <w:r w:rsidRPr="00B014BC">
        <w:rPr>
          <w:rFonts w:cstheme="minorHAnsi"/>
        </w:rPr>
        <w:t xml:space="preserve">, MA / Ing. Tatiana </w:t>
      </w:r>
      <w:proofErr w:type="spellStart"/>
      <w:r w:rsidRPr="00B014BC">
        <w:rPr>
          <w:rFonts w:cstheme="minorHAnsi"/>
        </w:rPr>
        <w:t>Šatarová</w:t>
      </w:r>
      <w:proofErr w:type="spellEnd"/>
    </w:p>
    <w:p w14:paraId="38F94D18" w14:textId="77777777" w:rsidR="00432E66" w:rsidRPr="00B014BC" w:rsidRDefault="00432E66" w:rsidP="004518BB">
      <w:pPr>
        <w:spacing w:after="0" w:line="240" w:lineRule="auto"/>
        <w:rPr>
          <w:rFonts w:cstheme="minorHAnsi"/>
        </w:rPr>
      </w:pPr>
      <w:r w:rsidRPr="00B014BC">
        <w:rPr>
          <w:rFonts w:cstheme="minorHAnsi"/>
        </w:rPr>
        <w:t xml:space="preserve">Úsek zaistenia </w:t>
      </w:r>
      <w:r w:rsidRPr="00B014BC">
        <w:rPr>
          <w:rFonts w:cstheme="minorHAnsi"/>
        </w:rPr>
        <w:tab/>
      </w:r>
      <w:r w:rsidRPr="00B014BC">
        <w:rPr>
          <w:rFonts w:cstheme="minorHAnsi"/>
        </w:rPr>
        <w:tab/>
      </w:r>
      <w:r w:rsidRPr="00B014BC">
        <w:rPr>
          <w:rFonts w:cstheme="minorHAnsi"/>
        </w:rPr>
        <w:tab/>
      </w:r>
      <w:r w:rsidRPr="00B014BC">
        <w:rPr>
          <w:rFonts w:cstheme="minorHAnsi"/>
        </w:rPr>
        <w:tab/>
      </w:r>
      <w:r w:rsidRPr="00B014BC">
        <w:rPr>
          <w:rFonts w:cstheme="minorHAnsi"/>
        </w:rPr>
        <w:tab/>
      </w:r>
      <w:r w:rsidRPr="00B014BC">
        <w:rPr>
          <w:rFonts w:ascii="Calibri" w:hAnsi="Calibri" w:cs="Calibri"/>
        </w:rPr>
        <w:t>Ing. Martin Pospíšil, MBA, od 1. 2. 2015</w:t>
      </w:r>
    </w:p>
    <w:p w14:paraId="4F0F688F" w14:textId="77777777" w:rsidR="00432E66" w:rsidRPr="00B014BC" w:rsidRDefault="00432E66" w:rsidP="004518BB">
      <w:pPr>
        <w:spacing w:after="0" w:line="240" w:lineRule="auto"/>
        <w:ind w:left="3540" w:firstLine="708"/>
        <w:rPr>
          <w:rFonts w:ascii="Calibri" w:hAnsi="Calibri" w:cstheme="minorHAnsi"/>
        </w:rPr>
      </w:pPr>
      <w:r w:rsidRPr="00B014BC">
        <w:rPr>
          <w:rFonts w:ascii="Calibri" w:hAnsi="Calibri" w:cstheme="minorHAnsi"/>
        </w:rPr>
        <w:t>Ing. Juraj Chochol, do 31. 1. 2015</w:t>
      </w:r>
      <w:r w:rsidRPr="00B014BC">
        <w:rPr>
          <w:rFonts w:ascii="Calibri" w:hAnsi="Calibri" w:cstheme="minorHAnsi"/>
        </w:rPr>
        <w:tab/>
      </w:r>
      <w:r w:rsidRPr="00B014BC">
        <w:rPr>
          <w:rFonts w:ascii="Calibri" w:hAnsi="Calibri" w:cstheme="minorHAnsi"/>
        </w:rPr>
        <w:tab/>
      </w:r>
    </w:p>
    <w:p w14:paraId="48FCC2C1" w14:textId="787000AE" w:rsidR="00432E66" w:rsidRPr="00B014BC" w:rsidRDefault="00432E66" w:rsidP="004518BB">
      <w:pPr>
        <w:pStyle w:val="BodyText"/>
        <w:tabs>
          <w:tab w:val="left" w:pos="284"/>
          <w:tab w:val="left" w:pos="6521"/>
        </w:tabs>
        <w:jc w:val="left"/>
        <w:rPr>
          <w:rFonts w:ascii="Calibri" w:hAnsi="Calibri" w:cstheme="minorHAnsi"/>
          <w:b w:val="0"/>
          <w:sz w:val="22"/>
          <w:szCs w:val="22"/>
        </w:rPr>
      </w:pPr>
      <w:r w:rsidRPr="00B014BC">
        <w:rPr>
          <w:rFonts w:ascii="Calibri" w:hAnsi="Calibri" w:cstheme="minorHAnsi"/>
          <w:b w:val="0"/>
          <w:sz w:val="22"/>
          <w:szCs w:val="22"/>
        </w:rPr>
        <w:t xml:space="preserve">Útvar vnútorného auditu                                         Ing. Milan </w:t>
      </w:r>
      <w:proofErr w:type="spellStart"/>
      <w:r w:rsidRPr="00B014BC">
        <w:rPr>
          <w:rFonts w:ascii="Calibri" w:hAnsi="Calibri" w:cstheme="minorHAnsi"/>
          <w:b w:val="0"/>
          <w:sz w:val="22"/>
          <w:szCs w:val="22"/>
        </w:rPr>
        <w:t>Tarčák</w:t>
      </w:r>
      <w:proofErr w:type="spellEnd"/>
    </w:p>
    <w:p w14:paraId="7BD71821" w14:textId="77777777" w:rsidR="00432E66" w:rsidRPr="00B014BC" w:rsidRDefault="00432E66" w:rsidP="004518BB">
      <w:pPr>
        <w:pStyle w:val="BodyText"/>
        <w:tabs>
          <w:tab w:val="left" w:pos="284"/>
          <w:tab w:val="left" w:pos="6521"/>
        </w:tabs>
        <w:jc w:val="left"/>
        <w:rPr>
          <w:rFonts w:ascii="Calibri" w:hAnsi="Calibri" w:cstheme="minorHAnsi"/>
          <w:b w:val="0"/>
          <w:sz w:val="22"/>
          <w:szCs w:val="22"/>
        </w:rPr>
      </w:pPr>
    </w:p>
    <w:p w14:paraId="1ED1CDFC" w14:textId="77777777" w:rsidR="00A65813" w:rsidRPr="00B014BC" w:rsidRDefault="00A65813" w:rsidP="004518BB">
      <w:pPr>
        <w:pStyle w:val="BodyText"/>
        <w:tabs>
          <w:tab w:val="left" w:pos="284"/>
          <w:tab w:val="left" w:pos="6521"/>
        </w:tabs>
        <w:jc w:val="left"/>
        <w:rPr>
          <w:rFonts w:ascii="Calibri" w:hAnsi="Calibri" w:cstheme="minorHAnsi"/>
          <w:b w:val="0"/>
          <w:sz w:val="22"/>
          <w:szCs w:val="22"/>
        </w:rPr>
      </w:pPr>
    </w:p>
    <w:p w14:paraId="71D80D18" w14:textId="77777777" w:rsidR="00A65813" w:rsidRPr="00B014BC" w:rsidRDefault="00A65813" w:rsidP="004518BB">
      <w:pPr>
        <w:pStyle w:val="BodyText"/>
        <w:tabs>
          <w:tab w:val="left" w:pos="284"/>
          <w:tab w:val="left" w:pos="6521"/>
        </w:tabs>
        <w:jc w:val="left"/>
        <w:rPr>
          <w:rFonts w:ascii="Calibri" w:hAnsi="Calibri" w:cstheme="minorHAnsi"/>
          <w:b w:val="0"/>
          <w:sz w:val="22"/>
          <w:szCs w:val="22"/>
        </w:rPr>
      </w:pPr>
    </w:p>
    <w:p w14:paraId="24DB7AAD" w14:textId="6D40DD18" w:rsidR="003E053E" w:rsidRPr="00B014BC" w:rsidRDefault="00432E66" w:rsidP="004518BB">
      <w:pPr>
        <w:spacing w:after="0" w:line="240" w:lineRule="auto"/>
        <w:rPr>
          <w:rFonts w:cstheme="minorHAnsi"/>
          <w:b/>
          <w:sz w:val="24"/>
          <w:szCs w:val="24"/>
        </w:rPr>
      </w:pPr>
      <w:r w:rsidRPr="00B014BC">
        <w:rPr>
          <w:rFonts w:cstheme="minorHAnsi"/>
          <w:b/>
          <w:sz w:val="24"/>
          <w:szCs w:val="24"/>
        </w:rPr>
        <w:lastRenderedPageBreak/>
        <w:t xml:space="preserve">3.5 </w:t>
      </w:r>
      <w:r w:rsidR="003E053E" w:rsidRPr="00B014BC">
        <w:rPr>
          <w:rFonts w:cstheme="minorHAnsi"/>
          <w:b/>
          <w:sz w:val="24"/>
          <w:szCs w:val="24"/>
        </w:rPr>
        <w:t>Obchodná štruktúra</w:t>
      </w:r>
    </w:p>
    <w:p w14:paraId="12FE0BF4" w14:textId="77777777" w:rsidR="003E053E" w:rsidRPr="00B014BC" w:rsidRDefault="003E053E" w:rsidP="004518BB">
      <w:pPr>
        <w:spacing w:after="0" w:line="240" w:lineRule="auto"/>
        <w:rPr>
          <w:rFonts w:cstheme="minorHAnsi"/>
        </w:rPr>
      </w:pPr>
    </w:p>
    <w:p w14:paraId="371D3F98" w14:textId="6D2D108F" w:rsidR="00D124AC" w:rsidRPr="00B014BC" w:rsidRDefault="0047621A" w:rsidP="004518BB">
      <w:pPr>
        <w:spacing w:after="0" w:line="240" w:lineRule="auto"/>
        <w:rPr>
          <w:rFonts w:eastAsia="Times New Roman" w:cstheme="minorHAnsi"/>
          <w:bCs/>
        </w:rPr>
      </w:pPr>
      <w:r w:rsidRPr="00B014BC">
        <w:rPr>
          <w:rFonts w:eastAsia="Times New Roman" w:cstheme="minorHAnsi"/>
          <w:bCs/>
        </w:rPr>
        <w:t>KOMUNÁLNA</w:t>
      </w:r>
      <w:r w:rsidR="00D124AC" w:rsidRPr="00B014BC">
        <w:rPr>
          <w:rFonts w:eastAsia="Times New Roman" w:cstheme="minorHAnsi"/>
          <w:bCs/>
        </w:rPr>
        <w:t xml:space="preserve"> poisťovňa má dvojstupňovú obchodnú organizačnú štruktúru. </w:t>
      </w:r>
    </w:p>
    <w:p w14:paraId="781D8DA5" w14:textId="77777777" w:rsidR="00D124AC" w:rsidRPr="00B014BC" w:rsidRDefault="00D124AC" w:rsidP="004518BB">
      <w:pPr>
        <w:spacing w:after="0" w:line="240" w:lineRule="auto"/>
        <w:rPr>
          <w:rFonts w:eastAsia="Times New Roman" w:cstheme="minorHAnsi"/>
          <w:bCs/>
        </w:rPr>
      </w:pPr>
      <w:r w:rsidRPr="00B014BC">
        <w:rPr>
          <w:rFonts w:eastAsia="Times New Roman" w:cstheme="minorHAnsi"/>
          <w:bCs/>
        </w:rPr>
        <w:t>Centrála so sídlom v Bratislave plní funkciu riadiaceho a koordinačného centra a zodpovedá za výsledky v celkovom celoslovenskom vyjadrení.</w:t>
      </w:r>
    </w:p>
    <w:p w14:paraId="20CFF492" w14:textId="2E533191" w:rsidR="00CA09BB" w:rsidRPr="00B014BC" w:rsidRDefault="00CA09BB" w:rsidP="004518BB">
      <w:pPr>
        <w:spacing w:after="0" w:line="240" w:lineRule="auto"/>
        <w:rPr>
          <w:rFonts w:eastAsia="Times New Roman" w:cstheme="minorHAnsi"/>
          <w:bCs/>
        </w:rPr>
      </w:pPr>
      <w:r w:rsidRPr="00B014BC">
        <w:rPr>
          <w:rFonts w:eastAsia="Times New Roman" w:cstheme="minorHAnsi"/>
          <w:bCs/>
        </w:rPr>
        <w:t xml:space="preserve">Poisťovňa podáva svoju pomocnú ruku na </w:t>
      </w:r>
      <w:r w:rsidR="004518BB" w:rsidRPr="00B014BC">
        <w:rPr>
          <w:rFonts w:eastAsia="Times New Roman" w:cstheme="minorHAnsi"/>
          <w:bCs/>
        </w:rPr>
        <w:t>76</w:t>
      </w:r>
      <w:r w:rsidRPr="00B014BC">
        <w:rPr>
          <w:rFonts w:eastAsia="Times New Roman" w:cstheme="minorHAnsi"/>
          <w:bCs/>
        </w:rPr>
        <w:t xml:space="preserve"> obchodných miestach </w:t>
      </w:r>
      <w:r w:rsidR="00FA1989" w:rsidRPr="00B014BC">
        <w:rPr>
          <w:rFonts w:eastAsia="Times New Roman" w:cstheme="minorHAnsi"/>
          <w:bCs/>
        </w:rPr>
        <w:t xml:space="preserve">vo </w:t>
      </w:r>
      <w:r w:rsidRPr="00B014BC">
        <w:rPr>
          <w:rFonts w:eastAsia="Times New Roman" w:cstheme="minorHAnsi"/>
          <w:bCs/>
        </w:rPr>
        <w:t>všetkých regióno</w:t>
      </w:r>
      <w:r w:rsidR="00FA1989" w:rsidRPr="00B014BC">
        <w:rPr>
          <w:rFonts w:eastAsia="Times New Roman" w:cstheme="minorHAnsi"/>
          <w:bCs/>
        </w:rPr>
        <w:t>ch</w:t>
      </w:r>
      <w:r w:rsidRPr="00B014BC">
        <w:rPr>
          <w:rFonts w:eastAsia="Times New Roman" w:cstheme="minorHAnsi"/>
          <w:bCs/>
        </w:rPr>
        <w:t xml:space="preserve"> Slovenska, v ktorých pracuje </w:t>
      </w:r>
      <w:r w:rsidR="00FA1989" w:rsidRPr="00B014BC">
        <w:rPr>
          <w:rFonts w:eastAsia="Times New Roman" w:cstheme="minorHAnsi"/>
          <w:bCs/>
        </w:rPr>
        <w:t>v</w:t>
      </w:r>
      <w:r w:rsidRPr="00B014BC">
        <w:rPr>
          <w:rFonts w:eastAsia="Times New Roman" w:cstheme="minorHAnsi"/>
          <w:bCs/>
        </w:rPr>
        <w:t xml:space="preserve"> zamestnaneck</w:t>
      </w:r>
      <w:r w:rsidR="00FA1989" w:rsidRPr="00B014BC">
        <w:rPr>
          <w:rFonts w:eastAsia="Times New Roman" w:cstheme="minorHAnsi"/>
          <w:bCs/>
        </w:rPr>
        <w:t>om</w:t>
      </w:r>
      <w:r w:rsidRPr="00B014BC">
        <w:rPr>
          <w:rFonts w:eastAsia="Times New Roman" w:cstheme="minorHAnsi"/>
          <w:bCs/>
        </w:rPr>
        <w:t xml:space="preserve"> pomer</w:t>
      </w:r>
      <w:r w:rsidR="00FA1989" w:rsidRPr="00B014BC">
        <w:rPr>
          <w:rFonts w:eastAsia="Times New Roman" w:cstheme="minorHAnsi"/>
          <w:bCs/>
        </w:rPr>
        <w:t>e</w:t>
      </w:r>
      <w:r w:rsidR="005C629C" w:rsidRPr="00B014BC">
        <w:rPr>
          <w:rFonts w:eastAsia="Times New Roman" w:cstheme="minorHAnsi"/>
          <w:bCs/>
        </w:rPr>
        <w:t xml:space="preserve"> viac ako 22</w:t>
      </w:r>
      <w:r w:rsidRPr="00B014BC">
        <w:rPr>
          <w:rFonts w:eastAsia="Times New Roman" w:cstheme="minorHAnsi"/>
          <w:bCs/>
        </w:rPr>
        <w:t xml:space="preserve">0 interných regionálnych obchodných zástupcov, ktorým </w:t>
      </w:r>
      <w:r w:rsidR="0047621A" w:rsidRPr="00B014BC">
        <w:rPr>
          <w:rFonts w:eastAsia="Times New Roman" w:cstheme="minorHAnsi"/>
          <w:bCs/>
        </w:rPr>
        <w:t xml:space="preserve">pri predaji </w:t>
      </w:r>
      <w:r w:rsidRPr="00B014BC">
        <w:rPr>
          <w:rFonts w:eastAsia="Times New Roman" w:cstheme="minorHAnsi"/>
          <w:bCs/>
        </w:rPr>
        <w:t xml:space="preserve">asistuje </w:t>
      </w:r>
      <w:r w:rsidR="005C629C" w:rsidRPr="00B014BC">
        <w:rPr>
          <w:rFonts w:eastAsia="Times New Roman" w:cstheme="minorHAnsi"/>
          <w:bCs/>
        </w:rPr>
        <w:t>70</w:t>
      </w:r>
      <w:r w:rsidRPr="00B014BC">
        <w:rPr>
          <w:rFonts w:eastAsia="Times New Roman" w:cstheme="minorHAnsi"/>
          <w:bCs/>
        </w:rPr>
        <w:t xml:space="preserve"> viazaných finančných agentov pod vedením dvoj- a viacčlenných manažérskych tímov a zároveň </w:t>
      </w:r>
      <w:r w:rsidR="00C27172" w:rsidRPr="00B014BC">
        <w:rPr>
          <w:rFonts w:eastAsia="Times New Roman" w:cstheme="minorHAnsi"/>
          <w:bCs/>
        </w:rPr>
        <w:t>cez</w:t>
      </w:r>
      <w:r w:rsidRPr="00B014BC">
        <w:rPr>
          <w:rFonts w:eastAsia="Times New Roman" w:cstheme="minorHAnsi"/>
          <w:bCs/>
        </w:rPr>
        <w:t xml:space="preserve"> 500 viazaných finančných agentov organizovaných v MLM štruktúre. I</w:t>
      </w:r>
      <w:r w:rsidR="005C629C" w:rsidRPr="00B014BC">
        <w:rPr>
          <w:rFonts w:eastAsia="Times New Roman" w:cstheme="minorHAnsi"/>
          <w:bCs/>
        </w:rPr>
        <w:t>nterná sieť dosiahla v roku 2015 úroveň poistného viac ako 33,1</w:t>
      </w:r>
      <w:r w:rsidRPr="00B014BC">
        <w:rPr>
          <w:rFonts w:eastAsia="Times New Roman" w:cstheme="minorHAnsi"/>
          <w:bCs/>
        </w:rPr>
        <w:t xml:space="preserve"> mil. </w:t>
      </w:r>
      <w:r w:rsidR="0047621A" w:rsidRPr="00B014BC">
        <w:rPr>
          <w:rFonts w:eastAsia="Times New Roman" w:cstheme="minorHAnsi"/>
          <w:bCs/>
        </w:rPr>
        <w:t>eur</w:t>
      </w:r>
      <w:r w:rsidRPr="00B014BC">
        <w:rPr>
          <w:rFonts w:eastAsia="Times New Roman" w:cstheme="minorHAnsi"/>
          <w:bCs/>
        </w:rPr>
        <w:t xml:space="preserve">. MLM distribučný kanál dosiahol úroveň predpísaného poistného vo všetkých segmentoch životného a neživotného poistenia na úrovni </w:t>
      </w:r>
      <w:r w:rsidR="005C629C" w:rsidRPr="00B014BC">
        <w:rPr>
          <w:rFonts w:eastAsia="Times New Roman" w:cstheme="minorHAnsi"/>
          <w:bCs/>
        </w:rPr>
        <w:t>83,3</w:t>
      </w:r>
      <w:r w:rsidR="003405E4" w:rsidRPr="00B014BC">
        <w:rPr>
          <w:rFonts w:eastAsia="Times New Roman" w:cstheme="minorHAnsi"/>
          <w:bCs/>
        </w:rPr>
        <w:t xml:space="preserve"> </w:t>
      </w:r>
      <w:r w:rsidR="005C629C" w:rsidRPr="00B014BC">
        <w:rPr>
          <w:rFonts w:eastAsia="Times New Roman" w:cstheme="minorHAnsi"/>
          <w:bCs/>
        </w:rPr>
        <w:t xml:space="preserve">mil. </w:t>
      </w:r>
      <w:r w:rsidR="003405E4" w:rsidRPr="00B014BC">
        <w:rPr>
          <w:rFonts w:eastAsia="Times New Roman" w:cstheme="minorHAnsi"/>
          <w:bCs/>
        </w:rPr>
        <w:t>eur</w:t>
      </w:r>
      <w:r w:rsidR="005C629C" w:rsidRPr="00B014BC">
        <w:rPr>
          <w:rFonts w:eastAsia="Times New Roman" w:cstheme="minorHAnsi"/>
          <w:bCs/>
        </w:rPr>
        <w:t>. Ani jednému z vlastných kanálov sa nepodarilo</w:t>
      </w:r>
      <w:r w:rsidR="003405E4" w:rsidRPr="00B014BC">
        <w:rPr>
          <w:rFonts w:eastAsia="Times New Roman" w:cstheme="minorHAnsi"/>
          <w:bCs/>
        </w:rPr>
        <w:t xml:space="preserve"> obhájiť výsledky minulého roka, </w:t>
      </w:r>
      <w:r w:rsidR="005C629C" w:rsidRPr="00B014BC">
        <w:rPr>
          <w:rFonts w:eastAsia="Times New Roman" w:cstheme="minorHAnsi"/>
          <w:bCs/>
        </w:rPr>
        <w:t>a to najmä v jednorazovo platených životných poistenia</w:t>
      </w:r>
      <w:r w:rsidR="003405E4" w:rsidRPr="00B014BC">
        <w:rPr>
          <w:rFonts w:eastAsia="Times New Roman" w:cstheme="minorHAnsi"/>
          <w:bCs/>
        </w:rPr>
        <w:t>ch</w:t>
      </w:r>
      <w:r w:rsidR="005C629C" w:rsidRPr="00B014BC">
        <w:rPr>
          <w:rFonts w:eastAsia="Times New Roman" w:cstheme="minorHAnsi"/>
          <w:bCs/>
        </w:rPr>
        <w:t>. V neživotných poisteniach zaznamenalo každé odvetvie zvýšené tržby.</w:t>
      </w:r>
    </w:p>
    <w:p w14:paraId="3C634E69" w14:textId="6E6C818F" w:rsidR="00174481" w:rsidRPr="00B014BC" w:rsidRDefault="00D124AC" w:rsidP="004518BB">
      <w:pPr>
        <w:spacing w:after="0" w:line="240" w:lineRule="auto"/>
        <w:rPr>
          <w:rFonts w:eastAsia="Times New Roman" w:cstheme="minorHAnsi"/>
          <w:bCs/>
        </w:rPr>
      </w:pPr>
      <w:r w:rsidRPr="00B014BC">
        <w:rPr>
          <w:rFonts w:eastAsia="Times New Roman" w:cstheme="minorHAnsi"/>
          <w:bCs/>
        </w:rPr>
        <w:t>Zároveň KOMUNÁLNA poisťovňa poskytuje kvalitné a adresné služby prostredníctvom rozvinutej externej siete sústredenej a koordinovanej prostredníctvom pobočky pre externé siete</w:t>
      </w:r>
      <w:r w:rsidR="00CA09BB" w:rsidRPr="00B014BC">
        <w:rPr>
          <w:rFonts w:eastAsia="Times New Roman" w:cstheme="minorHAnsi"/>
          <w:bCs/>
        </w:rPr>
        <w:t xml:space="preserve">. </w:t>
      </w:r>
      <w:r w:rsidRPr="00B014BC">
        <w:rPr>
          <w:rFonts w:eastAsia="Times New Roman" w:cstheme="minorHAnsi"/>
          <w:bCs/>
        </w:rPr>
        <w:t xml:space="preserve">Prostredníctvom externej siete dosiahla poisťovňa predpísané poistné na úrovni viac ako </w:t>
      </w:r>
      <w:r w:rsidR="005C629C" w:rsidRPr="00B014BC">
        <w:rPr>
          <w:rFonts w:eastAsia="Times New Roman" w:cstheme="minorHAnsi"/>
          <w:bCs/>
        </w:rPr>
        <w:t>60,8</w:t>
      </w:r>
      <w:r w:rsidRPr="00B014BC">
        <w:rPr>
          <w:rFonts w:eastAsia="Times New Roman" w:cstheme="minorHAnsi"/>
          <w:bCs/>
        </w:rPr>
        <w:t xml:space="preserve"> mil. </w:t>
      </w:r>
      <w:r w:rsidR="003405E4" w:rsidRPr="00B014BC">
        <w:rPr>
          <w:rFonts w:eastAsia="Times New Roman" w:cstheme="minorHAnsi"/>
          <w:bCs/>
        </w:rPr>
        <w:t>eur</w:t>
      </w:r>
      <w:r w:rsidRPr="00B014BC">
        <w:rPr>
          <w:rFonts w:eastAsia="Times New Roman" w:cstheme="minorHAnsi"/>
          <w:bCs/>
        </w:rPr>
        <w:t>, čo predstavuje medziročný nárast o</w:t>
      </w:r>
      <w:r w:rsidR="005C629C" w:rsidRPr="00B014BC">
        <w:rPr>
          <w:rFonts w:eastAsia="Times New Roman" w:cstheme="minorHAnsi"/>
          <w:bCs/>
        </w:rPr>
        <w:t> 9,46</w:t>
      </w:r>
      <w:r w:rsidRPr="00B014BC">
        <w:rPr>
          <w:rFonts w:eastAsia="Times New Roman" w:cstheme="minorHAnsi"/>
          <w:bCs/>
        </w:rPr>
        <w:t xml:space="preserve"> %. </w:t>
      </w:r>
      <w:r w:rsidR="00174481" w:rsidRPr="00B014BC">
        <w:rPr>
          <w:rFonts w:cstheme="minorHAnsi"/>
        </w:rPr>
        <w:tab/>
      </w:r>
      <w:r w:rsidR="00174481" w:rsidRPr="00B014BC">
        <w:rPr>
          <w:rFonts w:cstheme="minorHAnsi"/>
        </w:rPr>
        <w:tab/>
      </w:r>
      <w:r w:rsidR="00174481" w:rsidRPr="00B014BC">
        <w:rPr>
          <w:rFonts w:cstheme="minorHAnsi"/>
        </w:rPr>
        <w:tab/>
      </w:r>
    </w:p>
    <w:p w14:paraId="48C3EA43" w14:textId="77777777" w:rsidR="00B87971" w:rsidRPr="00B014BC" w:rsidRDefault="00B87971" w:rsidP="004518BB">
      <w:pPr>
        <w:spacing w:after="0" w:line="240" w:lineRule="auto"/>
        <w:rPr>
          <w:rFonts w:cstheme="minorHAnsi"/>
          <w:b/>
        </w:rPr>
      </w:pPr>
    </w:p>
    <w:p w14:paraId="31925E40" w14:textId="3647164F" w:rsidR="004A3835" w:rsidRPr="00B014BC" w:rsidRDefault="004A3835" w:rsidP="004518BB">
      <w:pPr>
        <w:spacing w:after="0" w:line="240" w:lineRule="auto"/>
        <w:rPr>
          <w:rFonts w:cstheme="minorHAnsi"/>
          <w:b/>
        </w:rPr>
      </w:pPr>
      <w:r w:rsidRPr="00B014BC">
        <w:rPr>
          <w:rFonts w:cstheme="minorHAnsi"/>
          <w:b/>
        </w:rPr>
        <w:t>Manažment obchod</w:t>
      </w:r>
      <w:r w:rsidR="000B7414" w:rsidRPr="00B014BC">
        <w:rPr>
          <w:rFonts w:cstheme="minorHAnsi"/>
          <w:b/>
        </w:rPr>
        <w:t>ných sietí</w:t>
      </w:r>
    </w:p>
    <w:p w14:paraId="573682DB" w14:textId="51D66D6A" w:rsidR="004A3835" w:rsidRPr="00B014BC" w:rsidRDefault="004A3835" w:rsidP="004518BB">
      <w:pPr>
        <w:spacing w:after="0" w:line="240" w:lineRule="auto"/>
        <w:rPr>
          <w:rFonts w:cstheme="minorHAnsi"/>
          <w:b/>
        </w:rPr>
      </w:pPr>
      <w:r w:rsidRPr="00B014BC">
        <w:rPr>
          <w:rFonts w:cstheme="minorHAnsi"/>
          <w:b/>
        </w:rPr>
        <w:tab/>
      </w:r>
      <w:r w:rsidRPr="00B014BC">
        <w:rPr>
          <w:rFonts w:cstheme="minorHAnsi"/>
          <w:b/>
        </w:rPr>
        <w:tab/>
      </w:r>
      <w:r w:rsidRPr="00B014BC">
        <w:rPr>
          <w:rFonts w:cstheme="minorHAnsi"/>
          <w:b/>
        </w:rPr>
        <w:tab/>
      </w:r>
      <w:r w:rsidRPr="00B014BC">
        <w:rPr>
          <w:rFonts w:cstheme="minorHAnsi"/>
          <w:u w:val="single"/>
        </w:rPr>
        <w:t>Interná sieť</w:t>
      </w:r>
      <w:r w:rsidRPr="00B014BC">
        <w:rPr>
          <w:rFonts w:cstheme="minorHAnsi"/>
          <w:b/>
        </w:rPr>
        <w:tab/>
      </w:r>
      <w:r w:rsidRPr="00B014BC">
        <w:rPr>
          <w:rFonts w:cstheme="minorHAnsi"/>
          <w:b/>
        </w:rPr>
        <w:tab/>
      </w:r>
      <w:r w:rsidRPr="00B014BC">
        <w:rPr>
          <w:rFonts w:cstheme="minorHAnsi"/>
          <w:b/>
        </w:rPr>
        <w:tab/>
      </w:r>
      <w:r w:rsidRPr="00B014BC">
        <w:rPr>
          <w:rFonts w:cstheme="minorHAnsi"/>
          <w:b/>
        </w:rPr>
        <w:tab/>
      </w:r>
      <w:r w:rsidRPr="00B014BC">
        <w:rPr>
          <w:rFonts w:cstheme="minorHAnsi"/>
          <w:u w:val="single"/>
        </w:rPr>
        <w:t>MLM sieť Kontinuita</w:t>
      </w:r>
    </w:p>
    <w:p w14:paraId="614701F2" w14:textId="09D1D49E" w:rsidR="004A3835" w:rsidRPr="00B014BC" w:rsidRDefault="004A3835" w:rsidP="004518BB">
      <w:pPr>
        <w:spacing w:after="0" w:line="240" w:lineRule="auto"/>
        <w:rPr>
          <w:rFonts w:cstheme="minorHAnsi"/>
        </w:rPr>
      </w:pPr>
      <w:r w:rsidRPr="00B014BC">
        <w:rPr>
          <w:rFonts w:cstheme="minorHAnsi"/>
        </w:rPr>
        <w:t xml:space="preserve">Bratislava </w:t>
      </w:r>
      <w:r w:rsidRPr="00B014BC">
        <w:rPr>
          <w:rFonts w:cstheme="minorHAnsi"/>
        </w:rPr>
        <w:tab/>
      </w:r>
      <w:r w:rsidRPr="00B014BC">
        <w:rPr>
          <w:rFonts w:cstheme="minorHAnsi"/>
        </w:rPr>
        <w:tab/>
        <w:t xml:space="preserve">Dušan </w:t>
      </w:r>
      <w:proofErr w:type="spellStart"/>
      <w:r w:rsidRPr="00B014BC">
        <w:rPr>
          <w:rFonts w:cstheme="minorHAnsi"/>
        </w:rPr>
        <w:t>Idešic</w:t>
      </w:r>
      <w:proofErr w:type="spellEnd"/>
      <w:r w:rsidRPr="00B014BC">
        <w:rPr>
          <w:rFonts w:cstheme="minorHAnsi"/>
        </w:rPr>
        <w:t xml:space="preserve"> </w:t>
      </w:r>
      <w:r w:rsidR="008D659B" w:rsidRPr="00B014BC">
        <w:rPr>
          <w:rFonts w:cstheme="minorHAnsi"/>
        </w:rPr>
        <w:tab/>
      </w:r>
      <w:r w:rsidR="008D659B" w:rsidRPr="00B014BC">
        <w:rPr>
          <w:rFonts w:cstheme="minorHAnsi"/>
        </w:rPr>
        <w:tab/>
      </w:r>
      <w:r w:rsidR="008D659B" w:rsidRPr="00B014BC">
        <w:rPr>
          <w:rFonts w:cstheme="minorHAnsi"/>
        </w:rPr>
        <w:tab/>
      </w:r>
      <w:r w:rsidR="008D659B" w:rsidRPr="00B014BC">
        <w:rPr>
          <w:rFonts w:cstheme="minorHAnsi"/>
        </w:rPr>
        <w:tab/>
      </w:r>
      <w:r w:rsidRPr="00B014BC">
        <w:rPr>
          <w:rFonts w:cstheme="minorHAnsi"/>
        </w:rPr>
        <w:t xml:space="preserve">Henrieta </w:t>
      </w:r>
      <w:proofErr w:type="spellStart"/>
      <w:r w:rsidRPr="00B014BC">
        <w:rPr>
          <w:rFonts w:cstheme="minorHAnsi"/>
        </w:rPr>
        <w:t>Selková</w:t>
      </w:r>
      <w:proofErr w:type="spellEnd"/>
    </w:p>
    <w:p w14:paraId="7C227A73" w14:textId="65A6C992" w:rsidR="004A3835" w:rsidRPr="00B014BC" w:rsidRDefault="004A3835" w:rsidP="004518BB">
      <w:pPr>
        <w:spacing w:after="0" w:line="240" w:lineRule="auto"/>
        <w:rPr>
          <w:rFonts w:cstheme="minorHAnsi"/>
          <w:b/>
        </w:rPr>
      </w:pPr>
      <w:r w:rsidRPr="00B014BC">
        <w:rPr>
          <w:rFonts w:cstheme="minorHAnsi"/>
        </w:rPr>
        <w:t xml:space="preserve">Nitra </w:t>
      </w:r>
      <w:r w:rsidRPr="00B014BC">
        <w:rPr>
          <w:rFonts w:cstheme="minorHAnsi"/>
        </w:rPr>
        <w:tab/>
      </w:r>
      <w:r w:rsidRPr="00B014BC">
        <w:rPr>
          <w:rFonts w:cstheme="minorHAnsi"/>
        </w:rPr>
        <w:tab/>
      </w:r>
      <w:r w:rsidRPr="00B014BC">
        <w:rPr>
          <w:rFonts w:cstheme="minorHAnsi"/>
        </w:rPr>
        <w:tab/>
      </w:r>
      <w:proofErr w:type="spellStart"/>
      <w:r w:rsidRPr="00B014BC">
        <w:rPr>
          <w:rFonts w:cstheme="minorHAnsi"/>
        </w:rPr>
        <w:t>Tanasis</w:t>
      </w:r>
      <w:proofErr w:type="spellEnd"/>
      <w:r w:rsidRPr="00B014BC">
        <w:rPr>
          <w:rFonts w:cstheme="minorHAnsi"/>
        </w:rPr>
        <w:t xml:space="preserve"> </w:t>
      </w:r>
      <w:proofErr w:type="spellStart"/>
      <w:r w:rsidRPr="00B014BC">
        <w:rPr>
          <w:rFonts w:cstheme="minorHAnsi"/>
        </w:rPr>
        <w:t>Charizopulos</w:t>
      </w:r>
      <w:proofErr w:type="spellEnd"/>
      <w:r w:rsidRPr="00B014BC">
        <w:rPr>
          <w:rFonts w:cstheme="minorHAnsi"/>
        </w:rPr>
        <w:tab/>
      </w:r>
      <w:r w:rsidR="008D659B" w:rsidRPr="00B014BC">
        <w:rPr>
          <w:rFonts w:cstheme="minorHAnsi"/>
        </w:rPr>
        <w:tab/>
      </w:r>
      <w:r w:rsidR="008D659B" w:rsidRPr="00B014BC">
        <w:rPr>
          <w:rFonts w:cstheme="minorHAnsi"/>
        </w:rPr>
        <w:tab/>
      </w:r>
      <w:r w:rsidRPr="00B014BC">
        <w:rPr>
          <w:rFonts w:cstheme="minorHAnsi"/>
        </w:rPr>
        <w:t>Ing. Roman Remeň</w:t>
      </w:r>
    </w:p>
    <w:p w14:paraId="7DA33F9A" w14:textId="3292B1A4" w:rsidR="008D659B" w:rsidRPr="00B014BC" w:rsidRDefault="004A3835" w:rsidP="004518BB">
      <w:pPr>
        <w:spacing w:after="0" w:line="240" w:lineRule="auto"/>
        <w:rPr>
          <w:rFonts w:cstheme="minorHAnsi"/>
        </w:rPr>
      </w:pPr>
      <w:r w:rsidRPr="00B014BC">
        <w:rPr>
          <w:rFonts w:cstheme="minorHAnsi"/>
        </w:rPr>
        <w:t xml:space="preserve">Trenčín </w:t>
      </w:r>
      <w:r w:rsidRPr="00B014BC">
        <w:rPr>
          <w:rFonts w:cstheme="minorHAnsi"/>
        </w:rPr>
        <w:tab/>
      </w:r>
      <w:r w:rsidRPr="00B014BC">
        <w:rPr>
          <w:rFonts w:cstheme="minorHAnsi"/>
        </w:rPr>
        <w:tab/>
        <w:t>Ing. Ivan Lacko</w:t>
      </w:r>
      <w:r w:rsidRPr="00B014BC">
        <w:rPr>
          <w:rFonts w:cstheme="minorHAnsi"/>
        </w:rPr>
        <w:tab/>
      </w:r>
      <w:r w:rsidR="008D659B" w:rsidRPr="00B014BC">
        <w:rPr>
          <w:rFonts w:cstheme="minorHAnsi"/>
        </w:rPr>
        <w:tab/>
      </w:r>
      <w:r w:rsidR="008D659B" w:rsidRPr="00B014BC">
        <w:rPr>
          <w:rFonts w:cstheme="minorHAnsi"/>
        </w:rPr>
        <w:tab/>
      </w:r>
      <w:r w:rsidR="008D659B" w:rsidRPr="00B014BC">
        <w:rPr>
          <w:rFonts w:cstheme="minorHAnsi"/>
        </w:rPr>
        <w:tab/>
        <w:t>Ing. Andrea Lengyelová, od 1. 5. 2015</w:t>
      </w:r>
    </w:p>
    <w:p w14:paraId="51C0904D" w14:textId="743FA982" w:rsidR="004A3835" w:rsidRPr="00B014BC" w:rsidRDefault="004A3835" w:rsidP="004518BB">
      <w:pPr>
        <w:spacing w:after="0" w:line="240" w:lineRule="auto"/>
        <w:ind w:left="5664"/>
        <w:rPr>
          <w:rFonts w:cstheme="minorHAnsi"/>
        </w:rPr>
      </w:pPr>
      <w:r w:rsidRPr="00B014BC">
        <w:rPr>
          <w:rFonts w:cstheme="minorHAnsi"/>
        </w:rPr>
        <w:t>Ing. Jana Mrvová</w:t>
      </w:r>
      <w:r w:rsidR="008D659B" w:rsidRPr="00B014BC">
        <w:rPr>
          <w:rFonts w:cstheme="minorHAnsi"/>
        </w:rPr>
        <w:t>, do 30. 4. 2015</w:t>
      </w:r>
    </w:p>
    <w:p w14:paraId="636CC3FF" w14:textId="22492C07" w:rsidR="004A3835" w:rsidRPr="00B014BC" w:rsidRDefault="004A3835" w:rsidP="004518BB">
      <w:pPr>
        <w:spacing w:after="0" w:line="240" w:lineRule="auto"/>
        <w:rPr>
          <w:rFonts w:cstheme="minorHAnsi"/>
          <w:b/>
        </w:rPr>
      </w:pPr>
      <w:r w:rsidRPr="00B014BC">
        <w:rPr>
          <w:rFonts w:cstheme="minorHAnsi"/>
        </w:rPr>
        <w:t xml:space="preserve">Banská Bystrica </w:t>
      </w:r>
      <w:r w:rsidRPr="00B014BC">
        <w:rPr>
          <w:rFonts w:cstheme="minorHAnsi"/>
        </w:rPr>
        <w:tab/>
        <w:t xml:space="preserve">Ing. Jana </w:t>
      </w:r>
      <w:proofErr w:type="spellStart"/>
      <w:r w:rsidRPr="00B014BC">
        <w:rPr>
          <w:rFonts w:cstheme="minorHAnsi"/>
        </w:rPr>
        <w:t>Bibová</w:t>
      </w:r>
      <w:proofErr w:type="spellEnd"/>
      <w:r w:rsidRPr="00B014BC">
        <w:rPr>
          <w:rFonts w:cstheme="minorHAnsi"/>
        </w:rPr>
        <w:t xml:space="preserve"> </w:t>
      </w:r>
      <w:r w:rsidR="008D659B" w:rsidRPr="00B014BC">
        <w:rPr>
          <w:rFonts w:cstheme="minorHAnsi"/>
        </w:rPr>
        <w:tab/>
      </w:r>
      <w:r w:rsidR="008D659B" w:rsidRPr="00B014BC">
        <w:rPr>
          <w:rFonts w:cstheme="minorHAnsi"/>
        </w:rPr>
        <w:tab/>
      </w:r>
      <w:r w:rsidR="008D659B" w:rsidRPr="00B014BC">
        <w:rPr>
          <w:rFonts w:cstheme="minorHAnsi"/>
        </w:rPr>
        <w:tab/>
      </w:r>
      <w:r w:rsidRPr="00B014BC">
        <w:rPr>
          <w:rFonts w:cstheme="minorHAnsi"/>
        </w:rPr>
        <w:t xml:space="preserve">Dana </w:t>
      </w:r>
      <w:proofErr w:type="spellStart"/>
      <w:r w:rsidRPr="00B014BC">
        <w:rPr>
          <w:rFonts w:cstheme="minorHAnsi"/>
        </w:rPr>
        <w:t>Sládková</w:t>
      </w:r>
      <w:proofErr w:type="spellEnd"/>
      <w:r w:rsidRPr="00B014BC">
        <w:rPr>
          <w:rFonts w:cstheme="minorHAnsi"/>
        </w:rPr>
        <w:tab/>
      </w:r>
    </w:p>
    <w:p w14:paraId="5EA7E84C" w14:textId="3FD1EE19" w:rsidR="004A3835" w:rsidRPr="00B014BC" w:rsidRDefault="004A3835" w:rsidP="004518BB">
      <w:pPr>
        <w:spacing w:after="0" w:line="240" w:lineRule="auto"/>
        <w:rPr>
          <w:rFonts w:cstheme="minorHAnsi"/>
          <w:b/>
        </w:rPr>
      </w:pPr>
      <w:r w:rsidRPr="00B014BC">
        <w:rPr>
          <w:rFonts w:cstheme="minorHAnsi"/>
        </w:rPr>
        <w:t xml:space="preserve">Žilina </w:t>
      </w:r>
      <w:r w:rsidRPr="00B014BC">
        <w:rPr>
          <w:rFonts w:cstheme="minorHAnsi"/>
        </w:rPr>
        <w:tab/>
      </w:r>
      <w:r w:rsidRPr="00B014BC">
        <w:rPr>
          <w:rFonts w:cstheme="minorHAnsi"/>
        </w:rPr>
        <w:tab/>
      </w:r>
      <w:r w:rsidRPr="00B014BC">
        <w:rPr>
          <w:rFonts w:cstheme="minorHAnsi"/>
        </w:rPr>
        <w:tab/>
        <w:t xml:space="preserve">Ing. Dušan </w:t>
      </w:r>
      <w:proofErr w:type="spellStart"/>
      <w:r w:rsidRPr="00B014BC">
        <w:rPr>
          <w:rFonts w:cstheme="minorHAnsi"/>
        </w:rPr>
        <w:t>Chmelko</w:t>
      </w:r>
      <w:proofErr w:type="spellEnd"/>
      <w:r w:rsidRPr="00B014BC">
        <w:rPr>
          <w:rFonts w:cstheme="minorHAnsi"/>
        </w:rPr>
        <w:t xml:space="preserve"> </w:t>
      </w:r>
      <w:r w:rsidR="008D659B" w:rsidRPr="00B014BC">
        <w:rPr>
          <w:rFonts w:cstheme="minorHAnsi"/>
        </w:rPr>
        <w:tab/>
      </w:r>
      <w:r w:rsidR="008D659B" w:rsidRPr="00B014BC">
        <w:rPr>
          <w:rFonts w:cstheme="minorHAnsi"/>
        </w:rPr>
        <w:tab/>
      </w:r>
      <w:r w:rsidR="008D659B" w:rsidRPr="00B014BC">
        <w:rPr>
          <w:rFonts w:cstheme="minorHAnsi"/>
        </w:rPr>
        <w:tab/>
      </w:r>
      <w:r w:rsidRPr="00B014BC">
        <w:rPr>
          <w:rFonts w:cstheme="minorHAnsi"/>
        </w:rPr>
        <w:t xml:space="preserve">Daniela </w:t>
      </w:r>
      <w:proofErr w:type="spellStart"/>
      <w:r w:rsidRPr="00B014BC">
        <w:rPr>
          <w:rFonts w:cstheme="minorHAnsi"/>
        </w:rPr>
        <w:t>Pinčiarová</w:t>
      </w:r>
      <w:proofErr w:type="spellEnd"/>
      <w:r w:rsidRPr="00B014BC">
        <w:rPr>
          <w:rFonts w:cstheme="minorHAnsi"/>
        </w:rPr>
        <w:tab/>
      </w:r>
    </w:p>
    <w:p w14:paraId="6A87A391" w14:textId="1281F7B3" w:rsidR="004A3835" w:rsidRPr="00B014BC" w:rsidRDefault="004A3835" w:rsidP="004518BB">
      <w:pPr>
        <w:spacing w:after="0" w:line="240" w:lineRule="auto"/>
        <w:rPr>
          <w:rFonts w:cstheme="minorHAnsi"/>
          <w:b/>
        </w:rPr>
      </w:pPr>
      <w:r w:rsidRPr="00B014BC">
        <w:rPr>
          <w:rFonts w:cstheme="minorHAnsi"/>
        </w:rPr>
        <w:t xml:space="preserve">Košice </w:t>
      </w:r>
      <w:r w:rsidRPr="00B014BC">
        <w:rPr>
          <w:rFonts w:cstheme="minorHAnsi"/>
        </w:rPr>
        <w:tab/>
      </w:r>
      <w:r w:rsidRPr="00B014BC">
        <w:rPr>
          <w:rFonts w:cstheme="minorHAnsi"/>
        </w:rPr>
        <w:tab/>
      </w:r>
      <w:r w:rsidRPr="00B014BC">
        <w:rPr>
          <w:rFonts w:cstheme="minorHAnsi"/>
        </w:rPr>
        <w:tab/>
        <w:t>Jana Gregorová</w:t>
      </w:r>
      <w:r w:rsidRPr="00B014BC">
        <w:rPr>
          <w:rFonts w:cstheme="minorHAnsi"/>
        </w:rPr>
        <w:tab/>
      </w:r>
      <w:r w:rsidRPr="00B014BC">
        <w:rPr>
          <w:rFonts w:cstheme="minorHAnsi"/>
        </w:rPr>
        <w:tab/>
      </w:r>
      <w:r w:rsidR="008D659B" w:rsidRPr="00B014BC">
        <w:rPr>
          <w:rFonts w:cstheme="minorHAnsi"/>
        </w:rPr>
        <w:tab/>
      </w:r>
      <w:r w:rsidR="008D659B" w:rsidRPr="00B014BC">
        <w:rPr>
          <w:rFonts w:cstheme="minorHAnsi"/>
        </w:rPr>
        <w:tab/>
      </w:r>
      <w:r w:rsidRPr="00B014BC">
        <w:rPr>
          <w:rFonts w:cstheme="minorHAnsi"/>
        </w:rPr>
        <w:t>Lýdia Orgovánová</w:t>
      </w:r>
      <w:r w:rsidRPr="00B014BC">
        <w:rPr>
          <w:rFonts w:cstheme="minorHAnsi"/>
        </w:rPr>
        <w:tab/>
      </w:r>
    </w:p>
    <w:p w14:paraId="709AEA75" w14:textId="1E3B1BB5" w:rsidR="004A3835" w:rsidRPr="00B014BC" w:rsidRDefault="004A3835" w:rsidP="004518BB">
      <w:pPr>
        <w:spacing w:after="0" w:line="240" w:lineRule="auto"/>
        <w:rPr>
          <w:rFonts w:cstheme="minorHAnsi"/>
          <w:b/>
        </w:rPr>
      </w:pPr>
      <w:r w:rsidRPr="00B014BC">
        <w:rPr>
          <w:rFonts w:cstheme="minorHAnsi"/>
        </w:rPr>
        <w:t xml:space="preserve">Prešov </w:t>
      </w:r>
      <w:r w:rsidRPr="00B014BC">
        <w:rPr>
          <w:rFonts w:cstheme="minorHAnsi"/>
        </w:rPr>
        <w:tab/>
      </w:r>
      <w:r w:rsidRPr="00B014BC">
        <w:rPr>
          <w:rFonts w:cstheme="minorHAnsi"/>
        </w:rPr>
        <w:tab/>
      </w:r>
      <w:r w:rsidRPr="00B014BC">
        <w:rPr>
          <w:rFonts w:cstheme="minorHAnsi"/>
        </w:rPr>
        <w:tab/>
      </w:r>
      <w:proofErr w:type="spellStart"/>
      <w:r w:rsidRPr="00B014BC">
        <w:rPr>
          <w:rFonts w:cstheme="minorHAnsi"/>
        </w:rPr>
        <w:t>Vasilij</w:t>
      </w:r>
      <w:proofErr w:type="spellEnd"/>
      <w:r w:rsidRPr="00B014BC">
        <w:rPr>
          <w:rFonts w:cstheme="minorHAnsi"/>
        </w:rPr>
        <w:t xml:space="preserve"> </w:t>
      </w:r>
      <w:proofErr w:type="spellStart"/>
      <w:r w:rsidRPr="00B014BC">
        <w:rPr>
          <w:rFonts w:cstheme="minorHAnsi"/>
        </w:rPr>
        <w:t>Belan</w:t>
      </w:r>
      <w:proofErr w:type="spellEnd"/>
      <w:r w:rsidR="00933DEE" w:rsidRPr="00B014BC">
        <w:rPr>
          <w:rFonts w:cstheme="minorHAnsi"/>
        </w:rPr>
        <w:tab/>
      </w:r>
      <w:r w:rsidR="00933DEE" w:rsidRPr="00B014BC">
        <w:rPr>
          <w:rFonts w:cstheme="minorHAnsi"/>
        </w:rPr>
        <w:tab/>
      </w:r>
      <w:r w:rsidRPr="00B014BC">
        <w:rPr>
          <w:rFonts w:cstheme="minorHAnsi"/>
        </w:rPr>
        <w:tab/>
      </w:r>
      <w:r w:rsidR="008D659B" w:rsidRPr="00B014BC">
        <w:rPr>
          <w:rFonts w:cstheme="minorHAnsi"/>
        </w:rPr>
        <w:tab/>
      </w:r>
      <w:proofErr w:type="spellStart"/>
      <w:r w:rsidRPr="00B014BC">
        <w:rPr>
          <w:rFonts w:cstheme="minorHAnsi"/>
        </w:rPr>
        <w:t>Vasilij</w:t>
      </w:r>
      <w:proofErr w:type="spellEnd"/>
      <w:r w:rsidRPr="00B014BC">
        <w:rPr>
          <w:rFonts w:cstheme="minorHAnsi"/>
        </w:rPr>
        <w:t xml:space="preserve"> </w:t>
      </w:r>
      <w:proofErr w:type="spellStart"/>
      <w:r w:rsidRPr="00B014BC">
        <w:rPr>
          <w:rFonts w:cstheme="minorHAnsi"/>
        </w:rPr>
        <w:t>Belan</w:t>
      </w:r>
      <w:proofErr w:type="spellEnd"/>
    </w:p>
    <w:p w14:paraId="1DA567C1" w14:textId="40B5A3B7" w:rsidR="008D659B" w:rsidRPr="00B014BC" w:rsidRDefault="004A3835" w:rsidP="004518BB">
      <w:pPr>
        <w:spacing w:after="0" w:line="240" w:lineRule="auto"/>
        <w:rPr>
          <w:rFonts w:cstheme="minorHAnsi"/>
        </w:rPr>
      </w:pPr>
      <w:r w:rsidRPr="00B014BC">
        <w:rPr>
          <w:rFonts w:cstheme="minorHAnsi"/>
        </w:rPr>
        <w:tab/>
      </w:r>
      <w:r w:rsidRPr="00B014BC">
        <w:rPr>
          <w:rFonts w:cstheme="minorHAnsi"/>
        </w:rPr>
        <w:tab/>
      </w:r>
      <w:r w:rsidRPr="00B014BC">
        <w:rPr>
          <w:rFonts w:cstheme="minorHAnsi"/>
        </w:rPr>
        <w:tab/>
      </w:r>
    </w:p>
    <w:p w14:paraId="5AB3A06F" w14:textId="77777777" w:rsidR="00D124AC" w:rsidRPr="00B014BC" w:rsidRDefault="00D124AC" w:rsidP="004518BB">
      <w:pPr>
        <w:spacing w:after="0" w:line="240" w:lineRule="auto"/>
        <w:rPr>
          <w:rFonts w:cstheme="minorHAnsi"/>
        </w:rPr>
      </w:pPr>
      <w:r w:rsidRPr="00B014BC">
        <w:rPr>
          <w:rFonts w:cstheme="minorHAnsi"/>
        </w:rPr>
        <w:tab/>
      </w:r>
    </w:p>
    <w:p w14:paraId="381E98CB" w14:textId="77777777" w:rsidR="00D124AC" w:rsidRPr="00B014BC" w:rsidRDefault="004A3835" w:rsidP="004518BB">
      <w:pPr>
        <w:spacing w:after="0" w:line="240" w:lineRule="auto"/>
        <w:rPr>
          <w:rFonts w:cstheme="minorHAnsi"/>
          <w:b/>
        </w:rPr>
      </w:pPr>
      <w:r w:rsidRPr="00B014BC">
        <w:rPr>
          <w:rFonts w:cstheme="minorHAnsi"/>
          <w:u w:val="single"/>
        </w:rPr>
        <w:t>Pobočka pre externý obchod</w:t>
      </w:r>
      <w:r w:rsidRPr="00B014BC">
        <w:rPr>
          <w:rFonts w:cstheme="minorHAnsi"/>
          <w:b/>
        </w:rPr>
        <w:tab/>
      </w:r>
      <w:r w:rsidRPr="00B014BC">
        <w:rPr>
          <w:rFonts w:cstheme="minorHAnsi"/>
          <w:b/>
        </w:rPr>
        <w:tab/>
      </w:r>
      <w:r w:rsidRPr="00B014BC">
        <w:rPr>
          <w:rFonts w:cstheme="minorHAnsi"/>
        </w:rPr>
        <w:t xml:space="preserve">Martin </w:t>
      </w:r>
      <w:proofErr w:type="spellStart"/>
      <w:r w:rsidRPr="00B014BC">
        <w:rPr>
          <w:rFonts w:cstheme="minorHAnsi"/>
        </w:rPr>
        <w:t>Zummer</w:t>
      </w:r>
      <w:proofErr w:type="spellEnd"/>
      <w:r w:rsidRPr="00B014BC">
        <w:rPr>
          <w:rFonts w:cstheme="minorHAnsi"/>
        </w:rPr>
        <w:tab/>
      </w:r>
    </w:p>
    <w:p w14:paraId="08D885C2" w14:textId="77777777" w:rsidR="00D124AC" w:rsidRPr="00B014BC" w:rsidRDefault="00D124AC" w:rsidP="004518BB">
      <w:pPr>
        <w:spacing w:after="0" w:line="240" w:lineRule="auto"/>
        <w:rPr>
          <w:rFonts w:cstheme="minorHAnsi"/>
        </w:rPr>
      </w:pPr>
    </w:p>
    <w:p w14:paraId="75900711" w14:textId="77777777" w:rsidR="004A3835" w:rsidRPr="00B014BC" w:rsidRDefault="004A3835" w:rsidP="004518BB">
      <w:pPr>
        <w:spacing w:after="0" w:line="240" w:lineRule="auto"/>
        <w:rPr>
          <w:rFonts w:cstheme="minorHAnsi"/>
        </w:rPr>
      </w:pPr>
    </w:p>
    <w:p w14:paraId="316BFBBB" w14:textId="77777777" w:rsidR="003E053E" w:rsidRPr="00B014BC" w:rsidRDefault="003E053E" w:rsidP="004518BB">
      <w:pPr>
        <w:pStyle w:val="ListParagraph"/>
        <w:numPr>
          <w:ilvl w:val="0"/>
          <w:numId w:val="2"/>
        </w:numPr>
        <w:spacing w:after="0" w:line="240" w:lineRule="auto"/>
        <w:ind w:left="426"/>
        <w:rPr>
          <w:rFonts w:cstheme="minorHAnsi"/>
          <w:b/>
          <w:sz w:val="28"/>
          <w:szCs w:val="28"/>
        </w:rPr>
      </w:pPr>
      <w:proofErr w:type="spellStart"/>
      <w:r w:rsidRPr="00B014BC">
        <w:rPr>
          <w:rFonts w:cstheme="minorHAnsi"/>
          <w:b/>
          <w:sz w:val="28"/>
          <w:szCs w:val="28"/>
        </w:rPr>
        <w:t>Vienna</w:t>
      </w:r>
      <w:proofErr w:type="spellEnd"/>
      <w:r w:rsidRPr="00B014BC">
        <w:rPr>
          <w:rFonts w:cstheme="minorHAnsi"/>
          <w:b/>
          <w:sz w:val="28"/>
          <w:szCs w:val="28"/>
        </w:rPr>
        <w:t xml:space="preserve"> </w:t>
      </w:r>
      <w:proofErr w:type="spellStart"/>
      <w:r w:rsidRPr="00B014BC">
        <w:rPr>
          <w:rFonts w:cstheme="minorHAnsi"/>
          <w:b/>
          <w:sz w:val="28"/>
          <w:szCs w:val="28"/>
        </w:rPr>
        <w:t>Insurance</w:t>
      </w:r>
      <w:proofErr w:type="spellEnd"/>
      <w:r w:rsidRPr="00B014BC">
        <w:rPr>
          <w:rFonts w:cstheme="minorHAnsi"/>
          <w:b/>
          <w:sz w:val="28"/>
          <w:szCs w:val="28"/>
        </w:rPr>
        <w:t xml:space="preserve"> Group</w:t>
      </w:r>
    </w:p>
    <w:p w14:paraId="16A505C9" w14:textId="77777777" w:rsidR="00E2282C" w:rsidRPr="00B014BC" w:rsidRDefault="00E2282C" w:rsidP="004518BB">
      <w:pPr>
        <w:spacing w:after="0" w:line="240" w:lineRule="auto"/>
        <w:rPr>
          <w:rFonts w:cstheme="minorHAnsi"/>
        </w:rPr>
      </w:pPr>
    </w:p>
    <w:p w14:paraId="2326CC4E" w14:textId="1E573FF0" w:rsidR="00CC1664" w:rsidRPr="00B014BC" w:rsidRDefault="00CC1664" w:rsidP="004518BB">
      <w:pPr>
        <w:spacing w:after="0" w:line="240" w:lineRule="auto"/>
        <w:rPr>
          <w:rFonts w:ascii="Calibri" w:hAnsi="Calibri"/>
        </w:rPr>
      </w:pPr>
      <w:proofErr w:type="spellStart"/>
      <w:r w:rsidRPr="00B014BC">
        <w:rPr>
          <w:rFonts w:ascii="Calibri" w:hAnsi="Calibri"/>
        </w:rPr>
        <w:t>Vienna</w:t>
      </w:r>
      <w:proofErr w:type="spellEnd"/>
      <w:r w:rsidRPr="00B014BC">
        <w:rPr>
          <w:rFonts w:ascii="Calibri" w:hAnsi="Calibri"/>
        </w:rPr>
        <w:t xml:space="preserve"> </w:t>
      </w:r>
      <w:proofErr w:type="spellStart"/>
      <w:r w:rsidRPr="00B014BC">
        <w:rPr>
          <w:rFonts w:ascii="Calibri" w:hAnsi="Calibri"/>
        </w:rPr>
        <w:t>Insurance</w:t>
      </w:r>
      <w:proofErr w:type="spellEnd"/>
      <w:r w:rsidRPr="00B014BC">
        <w:rPr>
          <w:rFonts w:ascii="Calibri" w:hAnsi="Calibri"/>
        </w:rPr>
        <w:t xml:space="preserve"> Group (VIG) pôsobí v strednej a východnej Európe viac ako 25 rokov a je jednou z vedúcich poisťovacích skupín v regióne, ktoré sú kótované na burze. V roku 2015 dosiahla VIG na predpísanom poistnom viac ako 9 miliárd </w:t>
      </w:r>
      <w:r w:rsidR="003405E4" w:rsidRPr="00B014BC">
        <w:rPr>
          <w:rFonts w:ascii="Calibri" w:hAnsi="Calibri"/>
        </w:rPr>
        <w:t>eur</w:t>
      </w:r>
      <w:r w:rsidRPr="00B014BC">
        <w:rPr>
          <w:rFonts w:ascii="Calibri" w:hAnsi="Calibri"/>
        </w:rPr>
        <w:t xml:space="preserve">, čo z nej opäť robí číslo jeden na jej kľúčových trhoch. S takmer 23 000 zamestnancami a 50 koncernovými spoločnosťami v 25 krajinách ponúka rozsiahle portfólio </w:t>
      </w:r>
      <w:proofErr w:type="spellStart"/>
      <w:r w:rsidRPr="00B014BC">
        <w:rPr>
          <w:rFonts w:ascii="Calibri" w:hAnsi="Calibri"/>
        </w:rPr>
        <w:t>proklientsky</w:t>
      </w:r>
      <w:proofErr w:type="spellEnd"/>
      <w:r w:rsidRPr="00B014BC">
        <w:rPr>
          <w:rFonts w:ascii="Calibri" w:hAnsi="Calibri"/>
        </w:rPr>
        <w:t xml:space="preserve"> orientovaných produktov a služieb (majetkové a úrazové, životné a zdravotné poistenie).</w:t>
      </w:r>
    </w:p>
    <w:p w14:paraId="22788CB4" w14:textId="77777777" w:rsidR="00CC1664" w:rsidRPr="00B014BC" w:rsidRDefault="00CC1664" w:rsidP="004518BB">
      <w:pPr>
        <w:spacing w:after="0" w:line="240" w:lineRule="auto"/>
        <w:rPr>
          <w:rFonts w:ascii="Calibri" w:hAnsi="Calibri"/>
        </w:rPr>
      </w:pPr>
    </w:p>
    <w:p w14:paraId="05BA89FF" w14:textId="77777777" w:rsidR="00CC1664" w:rsidRPr="00B014BC" w:rsidRDefault="00CC1664" w:rsidP="004518BB">
      <w:pPr>
        <w:spacing w:after="0" w:line="240" w:lineRule="auto"/>
        <w:rPr>
          <w:rFonts w:ascii="Calibri" w:hAnsi="Calibri"/>
          <w:b/>
        </w:rPr>
      </w:pPr>
      <w:r w:rsidRPr="00B014BC">
        <w:rPr>
          <w:rFonts w:ascii="Calibri" w:hAnsi="Calibri"/>
          <w:b/>
        </w:rPr>
        <w:t>Expanzia do strednej a východnej Európy</w:t>
      </w:r>
    </w:p>
    <w:p w14:paraId="480C5BCB" w14:textId="61D92291" w:rsidR="00FD409B" w:rsidRPr="00B014BC" w:rsidRDefault="00CC1664" w:rsidP="004518BB">
      <w:pPr>
        <w:spacing w:after="0" w:line="240" w:lineRule="auto"/>
        <w:rPr>
          <w:rFonts w:ascii="Calibri" w:hAnsi="Calibri"/>
        </w:rPr>
      </w:pPr>
      <w:r w:rsidRPr="00B014BC">
        <w:rPr>
          <w:rFonts w:ascii="Calibri" w:hAnsi="Calibri"/>
        </w:rPr>
        <w:t xml:space="preserve">VIG má korene v Rakúsku, ktoré siahajú až do roku 1824. Od </w:t>
      </w:r>
      <w:r w:rsidR="003405E4" w:rsidRPr="00B014BC">
        <w:rPr>
          <w:rFonts w:ascii="Calibri" w:hAnsi="Calibri"/>
        </w:rPr>
        <w:t>vtedy</w:t>
      </w:r>
      <w:r w:rsidRPr="00B014BC">
        <w:rPr>
          <w:rFonts w:ascii="Calibri" w:hAnsi="Calibri"/>
        </w:rPr>
        <w:t xml:space="preserve"> sa spoločnosť vyvinula z lokálne založeného poisťovateľa na vedúcu medzinárodnú poisťovaciu skupinu. Smer pre medzinárodnú expanziu zadala Wiener </w:t>
      </w:r>
      <w:proofErr w:type="spellStart"/>
      <w:r w:rsidRPr="00B014BC">
        <w:rPr>
          <w:rFonts w:ascii="Calibri" w:hAnsi="Calibri"/>
        </w:rPr>
        <w:t>Städtische</w:t>
      </w:r>
      <w:proofErr w:type="spellEnd"/>
      <w:r w:rsidRPr="00B014BC">
        <w:rPr>
          <w:rFonts w:ascii="Calibri" w:hAnsi="Calibri"/>
        </w:rPr>
        <w:t>. Ako jedna z prvých západoeurópskych pois</w:t>
      </w:r>
      <w:r w:rsidR="003405E4" w:rsidRPr="00B014BC">
        <w:rPr>
          <w:rFonts w:ascii="Calibri" w:hAnsi="Calibri"/>
        </w:rPr>
        <w:t>ťovacích spoločností  v roku 199</w:t>
      </w:r>
      <w:r w:rsidRPr="00B014BC">
        <w:rPr>
          <w:rFonts w:ascii="Calibri" w:hAnsi="Calibri"/>
        </w:rPr>
        <w:t>0</w:t>
      </w:r>
      <w:r w:rsidR="003405E4" w:rsidRPr="00B014BC">
        <w:rPr>
          <w:rFonts w:ascii="Calibri" w:hAnsi="Calibri"/>
        </w:rPr>
        <w:t xml:space="preserve"> rozpoznala rastúci potenciál strednej a východnej Európy</w:t>
      </w:r>
      <w:r w:rsidRPr="00B014BC">
        <w:rPr>
          <w:rFonts w:ascii="Calibri" w:hAnsi="Calibri"/>
        </w:rPr>
        <w:t xml:space="preserve"> a odhodlala sa vstúpiť na trh</w:t>
      </w:r>
      <w:r w:rsidR="003405E4" w:rsidRPr="00B014BC">
        <w:rPr>
          <w:rFonts w:ascii="Calibri" w:hAnsi="Calibri"/>
        </w:rPr>
        <w:t xml:space="preserve"> v</w:t>
      </w:r>
      <w:r w:rsidRPr="00B014BC">
        <w:rPr>
          <w:rFonts w:ascii="Calibri" w:hAnsi="Calibri"/>
        </w:rPr>
        <w:t xml:space="preserve"> býv</w:t>
      </w:r>
      <w:r w:rsidR="003405E4" w:rsidRPr="00B014BC">
        <w:rPr>
          <w:rFonts w:ascii="Calibri" w:hAnsi="Calibri"/>
        </w:rPr>
        <w:t>alom Československu</w:t>
      </w:r>
      <w:r w:rsidRPr="00B014BC">
        <w:rPr>
          <w:rFonts w:ascii="Calibri" w:hAnsi="Calibri"/>
        </w:rPr>
        <w:t>. V</w:t>
      </w:r>
      <w:r w:rsidR="003405E4" w:rsidRPr="00B014BC">
        <w:rPr>
          <w:rFonts w:ascii="Calibri" w:hAnsi="Calibri"/>
        </w:rPr>
        <w:t> priebehu posledných 25 rokov</w:t>
      </w:r>
      <w:r w:rsidRPr="00B014BC">
        <w:rPr>
          <w:rFonts w:ascii="Calibri" w:hAnsi="Calibri"/>
        </w:rPr>
        <w:t xml:space="preserve"> došlo k ďalšej expanzii, okrem </w:t>
      </w:r>
      <w:r w:rsidR="003405E4" w:rsidRPr="00B014BC">
        <w:rPr>
          <w:rFonts w:ascii="Calibri" w:hAnsi="Calibri"/>
        </w:rPr>
        <w:t>iného</w:t>
      </w:r>
      <w:r w:rsidRPr="00B014BC">
        <w:rPr>
          <w:rFonts w:ascii="Calibri" w:hAnsi="Calibri"/>
        </w:rPr>
        <w:t xml:space="preserve"> do Maďarska (1996), Poľska (1998), Chorvátska (1999) a Rumunska (2001). Po vstupe na trh v Moldavsku v roku 2014 pôsobí v súčasnosti VIG celkovo v 25 krajinách.</w:t>
      </w:r>
    </w:p>
    <w:p w14:paraId="16320AFB" w14:textId="77777777" w:rsidR="00CC1664" w:rsidRPr="00B014BC" w:rsidRDefault="00CC1664" w:rsidP="004518BB">
      <w:pPr>
        <w:spacing w:after="0" w:line="240" w:lineRule="auto"/>
        <w:rPr>
          <w:rFonts w:ascii="Calibri" w:hAnsi="Calibri"/>
          <w:b/>
        </w:rPr>
      </w:pPr>
      <w:r w:rsidRPr="00B014BC">
        <w:rPr>
          <w:rFonts w:ascii="Calibri" w:hAnsi="Calibri"/>
          <w:b/>
        </w:rPr>
        <w:lastRenderedPageBreak/>
        <w:t>Jednotkou na kľúčových trhoch</w:t>
      </w:r>
    </w:p>
    <w:p w14:paraId="18DBFC8D" w14:textId="77777777" w:rsidR="00CC1664" w:rsidRPr="00B014BC" w:rsidRDefault="00CC1664" w:rsidP="004518BB">
      <w:pPr>
        <w:spacing w:after="0" w:line="240" w:lineRule="auto"/>
        <w:rPr>
          <w:rFonts w:ascii="Calibri" w:hAnsi="Calibri"/>
        </w:rPr>
      </w:pPr>
      <w:r w:rsidRPr="00B014BC">
        <w:rPr>
          <w:rFonts w:ascii="Calibri" w:hAnsi="Calibri"/>
        </w:rPr>
        <w:t>Hlavné trhy VIG sú Rakúsko, Česká republika, Slovensko, Poľsko, Rumunsko, Bulharsko, Chorvátsko, Maďarsko, Srbsko a Ukrajina. S trhovým podielom viac ako 18 % je VIG v týchto krajinách jednoznačne poisťovňu číslo jeden.</w:t>
      </w:r>
    </w:p>
    <w:p w14:paraId="72127221" w14:textId="07471DC8" w:rsidR="00CC1664" w:rsidRPr="00B014BC" w:rsidRDefault="00CC1664" w:rsidP="004518BB">
      <w:pPr>
        <w:spacing w:after="0" w:line="240" w:lineRule="auto"/>
        <w:rPr>
          <w:rFonts w:ascii="Calibri" w:hAnsi="Calibri"/>
        </w:rPr>
      </w:pPr>
      <w:r w:rsidRPr="00B014BC">
        <w:rPr>
          <w:rFonts w:ascii="Calibri" w:hAnsi="Calibri"/>
        </w:rPr>
        <w:t xml:space="preserve">Strategické rozhodnutie, ktorým bola v roku 1990 expanzia do strednej a východnej Európy, sa ukázalo ako úspešné. V roku 2015 bola </w:t>
      </w:r>
      <w:r w:rsidR="0064092F">
        <w:rPr>
          <w:rFonts w:ascii="Calibri" w:hAnsi="Calibri"/>
        </w:rPr>
        <w:t>takmer</w:t>
      </w:r>
      <w:bookmarkStart w:id="0" w:name="_GoBack"/>
      <w:bookmarkEnd w:id="0"/>
      <w:r w:rsidRPr="00B014BC">
        <w:rPr>
          <w:rFonts w:ascii="Calibri" w:hAnsi="Calibri"/>
        </w:rPr>
        <w:t xml:space="preserve"> polovica z celkového poistného VIG, viac ako 9 miliárd </w:t>
      </w:r>
      <w:r w:rsidR="009F7FD9" w:rsidRPr="00B014BC">
        <w:rPr>
          <w:rFonts w:ascii="Calibri" w:hAnsi="Calibri"/>
        </w:rPr>
        <w:t>eur</w:t>
      </w:r>
      <w:r w:rsidRPr="00B014BC">
        <w:rPr>
          <w:rFonts w:ascii="Calibri" w:hAnsi="Calibri"/>
        </w:rPr>
        <w:t>, vyprodukovaná na trhoch strednej a východnej Európy. Skupina VIG je presvedčená, že hospodársky rast v regióne, rovnako ako dopyt po poistení, bude aj naďalej stúpať.</w:t>
      </w:r>
    </w:p>
    <w:p w14:paraId="57167660" w14:textId="7B7AD566" w:rsidR="00CC1664" w:rsidRPr="00B014BC" w:rsidRDefault="00CC1664" w:rsidP="004518BB">
      <w:pPr>
        <w:spacing w:after="0" w:line="240" w:lineRule="auto"/>
        <w:rPr>
          <w:rFonts w:ascii="Calibri" w:hAnsi="Calibri"/>
        </w:rPr>
      </w:pPr>
      <w:r w:rsidRPr="00B014BC">
        <w:rPr>
          <w:rFonts w:ascii="Calibri" w:hAnsi="Calibri"/>
        </w:rPr>
        <w:t xml:space="preserve">Región strednej a východnej Európy má pre VIG veľký význam, o čom svedčí aj rozhodnutie o umiestnení sídla jej zaisťovacej spoločnosti VIG Re (založenej v roku 2008) </w:t>
      </w:r>
      <w:r w:rsidR="009F7FD9" w:rsidRPr="00B014BC">
        <w:rPr>
          <w:rFonts w:ascii="Calibri" w:hAnsi="Calibri"/>
        </w:rPr>
        <w:t>do Českej republiky</w:t>
      </w:r>
      <w:r w:rsidRPr="00B014BC">
        <w:rPr>
          <w:rFonts w:ascii="Calibri" w:hAnsi="Calibri"/>
        </w:rPr>
        <w:t>.</w:t>
      </w:r>
    </w:p>
    <w:p w14:paraId="13C8371D" w14:textId="77777777" w:rsidR="00CC1664" w:rsidRPr="00B014BC" w:rsidRDefault="00CC1664" w:rsidP="004518BB">
      <w:pPr>
        <w:spacing w:after="0" w:line="240" w:lineRule="auto"/>
        <w:rPr>
          <w:rFonts w:ascii="Calibri" w:hAnsi="Calibri"/>
          <w:b/>
        </w:rPr>
      </w:pPr>
    </w:p>
    <w:p w14:paraId="02F71F24" w14:textId="77777777" w:rsidR="00CC1664" w:rsidRPr="00B014BC" w:rsidRDefault="00CC1664" w:rsidP="004518BB">
      <w:pPr>
        <w:spacing w:after="0" w:line="240" w:lineRule="auto"/>
        <w:rPr>
          <w:rFonts w:ascii="Calibri" w:hAnsi="Calibri"/>
          <w:b/>
        </w:rPr>
      </w:pPr>
      <w:r w:rsidRPr="00B014BC">
        <w:rPr>
          <w:rFonts w:ascii="Calibri" w:hAnsi="Calibri"/>
          <w:b/>
        </w:rPr>
        <w:t>Blízkosť k zákazníkom je tromfom VIG na 25 trhoch</w:t>
      </w:r>
    </w:p>
    <w:p w14:paraId="5D72661E" w14:textId="356F7184" w:rsidR="00CC1664" w:rsidRPr="00B014BC" w:rsidRDefault="00CC1664" w:rsidP="004518BB">
      <w:pPr>
        <w:spacing w:after="0" w:line="240" w:lineRule="auto"/>
        <w:rPr>
          <w:rFonts w:ascii="Calibri" w:hAnsi="Calibri"/>
        </w:rPr>
      </w:pPr>
      <w:r w:rsidRPr="00B014BC">
        <w:rPr>
          <w:rFonts w:ascii="Calibri" w:hAnsi="Calibri"/>
        </w:rPr>
        <w:t xml:space="preserve">Úspech VIG je založený predovšetkým na lokálnom podnikaní a blízkosti k zákazníkovi. To sa odráža v regionálnych väzbách, </w:t>
      </w:r>
      <w:proofErr w:type="spellStart"/>
      <w:r w:rsidRPr="00B014BC">
        <w:rPr>
          <w:rFonts w:ascii="Calibri" w:hAnsi="Calibri"/>
        </w:rPr>
        <w:t>multibrandovej</w:t>
      </w:r>
      <w:proofErr w:type="spellEnd"/>
      <w:r w:rsidRPr="00B014BC">
        <w:rPr>
          <w:rFonts w:ascii="Calibri" w:hAnsi="Calibri"/>
        </w:rPr>
        <w:t xml:space="preserve"> stratégii a širokej škále využívaných distribučných kanálov. Skupina sa vedome rozhodla spoliehať sa na zavedené regionálne značky zjednotené pod hlavičkou </w:t>
      </w:r>
      <w:proofErr w:type="spellStart"/>
      <w:r w:rsidRPr="00B014BC">
        <w:rPr>
          <w:rFonts w:ascii="Calibri" w:hAnsi="Calibri"/>
        </w:rPr>
        <w:t>Vienna</w:t>
      </w:r>
      <w:proofErr w:type="spellEnd"/>
      <w:r w:rsidRPr="00B014BC">
        <w:rPr>
          <w:rFonts w:ascii="Calibri" w:hAnsi="Calibri"/>
        </w:rPr>
        <w:t xml:space="preserve"> </w:t>
      </w:r>
      <w:proofErr w:type="spellStart"/>
      <w:r w:rsidRPr="00B014BC">
        <w:rPr>
          <w:rFonts w:ascii="Calibri" w:hAnsi="Calibri"/>
        </w:rPr>
        <w:t>Insurance</w:t>
      </w:r>
      <w:proofErr w:type="spellEnd"/>
      <w:r w:rsidRPr="00B014BC">
        <w:rPr>
          <w:rFonts w:ascii="Calibri" w:hAnsi="Calibri"/>
        </w:rPr>
        <w:t xml:space="preserve"> Group. Úspech VIG ako </w:t>
      </w:r>
      <w:proofErr w:type="spellStart"/>
      <w:r w:rsidRPr="00B014BC">
        <w:rPr>
          <w:rFonts w:ascii="Calibri" w:hAnsi="Calibri"/>
        </w:rPr>
        <w:t>korporátnej</w:t>
      </w:r>
      <w:proofErr w:type="spellEnd"/>
      <w:r w:rsidRPr="00B014BC">
        <w:rPr>
          <w:rFonts w:ascii="Calibri" w:hAnsi="Calibri"/>
        </w:rPr>
        <w:t xml:space="preserve"> skupiny je tiež výsledkom individuálnej sily týchto značiek a lokálnych odborníkov </w:t>
      </w:r>
      <w:r w:rsidR="009F7FD9" w:rsidRPr="00B014BC">
        <w:rPr>
          <w:rFonts w:ascii="Calibri" w:hAnsi="Calibri"/>
        </w:rPr>
        <w:t>približne</w:t>
      </w:r>
      <w:r w:rsidRPr="00B014BC">
        <w:rPr>
          <w:rFonts w:ascii="Calibri" w:hAnsi="Calibri"/>
        </w:rPr>
        <w:t xml:space="preserve"> 50 spoločností skupiny.</w:t>
      </w:r>
    </w:p>
    <w:p w14:paraId="08C47607" w14:textId="77777777" w:rsidR="00CC1664" w:rsidRPr="00B014BC" w:rsidRDefault="00CC1664" w:rsidP="004518BB">
      <w:pPr>
        <w:spacing w:after="0" w:line="240" w:lineRule="auto"/>
        <w:rPr>
          <w:rFonts w:ascii="Calibri" w:hAnsi="Calibri"/>
        </w:rPr>
      </w:pPr>
    </w:p>
    <w:p w14:paraId="73F0AEF3" w14:textId="77777777" w:rsidR="00CC1664" w:rsidRPr="00B014BC" w:rsidRDefault="00CC1664" w:rsidP="004518BB">
      <w:pPr>
        <w:spacing w:after="0" w:line="240" w:lineRule="auto"/>
        <w:rPr>
          <w:rFonts w:ascii="Calibri" w:hAnsi="Calibri"/>
          <w:b/>
        </w:rPr>
      </w:pPr>
      <w:r w:rsidRPr="00B014BC">
        <w:rPr>
          <w:rFonts w:ascii="Calibri" w:hAnsi="Calibri"/>
          <w:b/>
        </w:rPr>
        <w:t>Hlavná činnosť je kľúčom k úspechu VIG</w:t>
      </w:r>
    </w:p>
    <w:p w14:paraId="73749A42" w14:textId="57EC9283" w:rsidR="00CC1664" w:rsidRPr="00B014BC" w:rsidRDefault="00CC1664" w:rsidP="004518BB">
      <w:pPr>
        <w:spacing w:after="0" w:line="240" w:lineRule="auto"/>
        <w:rPr>
          <w:rFonts w:ascii="Calibri" w:hAnsi="Calibri"/>
        </w:rPr>
      </w:pPr>
      <w:r w:rsidRPr="00B014BC">
        <w:rPr>
          <w:rFonts w:ascii="Calibri" w:hAnsi="Calibri"/>
        </w:rPr>
        <w:t>Aktivity VIG sú jednoznačne zamerané na jej hlavnú činnosť, a tou je poisťovacia činnosť. Pôsobí ako progresívny poisťovateľ</w:t>
      </w:r>
      <w:r w:rsidR="009F7FD9" w:rsidRPr="00B014BC">
        <w:rPr>
          <w:rFonts w:ascii="Calibri" w:hAnsi="Calibri"/>
        </w:rPr>
        <w:t>,</w:t>
      </w:r>
      <w:r w:rsidRPr="00B014BC">
        <w:rPr>
          <w:rFonts w:ascii="Calibri" w:hAnsi="Calibri"/>
        </w:rPr>
        <w:t xml:space="preserve"> a taktiež ako poisťovateľ silne si uvedomujúci možné riziká. Spoľahlivosť, dôveryhodnosť a solídnosť sú vlastnosti, ktoré skupinu prezentujú nielen vo vzťahu k zákazníkom, ale aj </w:t>
      </w:r>
      <w:r w:rsidR="009F7FD9" w:rsidRPr="00B014BC">
        <w:rPr>
          <w:rFonts w:ascii="Calibri" w:hAnsi="Calibri"/>
        </w:rPr>
        <w:t xml:space="preserve">voči </w:t>
      </w:r>
      <w:r w:rsidRPr="00B014BC">
        <w:rPr>
          <w:rFonts w:ascii="Calibri" w:hAnsi="Calibri"/>
        </w:rPr>
        <w:t xml:space="preserve">obchodným partnerom, zamestnancom a akcionárom. Hodnoty ako čestnosť, integrita, rozmanitosť, rovnosť príležitostí a orientácia na zákazníka tvoria základ manažérskych rozhodnutí vo VIG. </w:t>
      </w:r>
    </w:p>
    <w:p w14:paraId="78D20798" w14:textId="77777777" w:rsidR="00CC1664" w:rsidRPr="00B014BC" w:rsidRDefault="00CC1664" w:rsidP="004518BB">
      <w:pPr>
        <w:spacing w:after="0" w:line="240" w:lineRule="auto"/>
        <w:rPr>
          <w:rFonts w:ascii="Calibri" w:hAnsi="Calibri"/>
        </w:rPr>
      </w:pPr>
      <w:r w:rsidRPr="00B014BC">
        <w:rPr>
          <w:rFonts w:ascii="Calibri" w:hAnsi="Calibri"/>
        </w:rPr>
        <w:t xml:space="preserve">Tento prístup sa neprejavuje len v stratégii nepretržitého a udržateľného rastu, ale aj vo vynikajúcej bonite. Vývoj VIG potvrdzuje medzinárodná ratingová agentúra Standard &amp; </w:t>
      </w:r>
      <w:proofErr w:type="spellStart"/>
      <w:r w:rsidRPr="00B014BC">
        <w:rPr>
          <w:rFonts w:ascii="Calibri" w:hAnsi="Calibri"/>
        </w:rPr>
        <w:t>Poors</w:t>
      </w:r>
      <w:proofErr w:type="spellEnd"/>
      <w:r w:rsidRPr="00B014BC">
        <w:rPr>
          <w:rFonts w:ascii="Calibri" w:hAnsi="Calibri"/>
        </w:rPr>
        <w:t>, ktorá už roky skupine udeľuje rating A+ so stabilným výhľadom. Výsledkom je, že VIG má najlepšie hodnotenie zo všetkých spoločností v ATX, poprednom indexe viedenskej burzy.</w:t>
      </w:r>
    </w:p>
    <w:p w14:paraId="6C1D6687" w14:textId="77777777" w:rsidR="00CC1664" w:rsidRPr="00B014BC" w:rsidRDefault="00CC1664" w:rsidP="004518BB">
      <w:pPr>
        <w:spacing w:after="0" w:line="240" w:lineRule="auto"/>
        <w:rPr>
          <w:rFonts w:ascii="Calibri" w:hAnsi="Calibri"/>
          <w:b/>
        </w:rPr>
      </w:pPr>
    </w:p>
    <w:p w14:paraId="3EF33996" w14:textId="77777777" w:rsidR="00CC1664" w:rsidRPr="00B014BC" w:rsidRDefault="00CC1664" w:rsidP="004518BB">
      <w:pPr>
        <w:spacing w:after="0" w:line="240" w:lineRule="auto"/>
        <w:rPr>
          <w:rFonts w:ascii="Calibri" w:hAnsi="Calibri"/>
          <w:b/>
        </w:rPr>
      </w:pPr>
      <w:r w:rsidRPr="00B014BC">
        <w:rPr>
          <w:rFonts w:ascii="Calibri" w:hAnsi="Calibri"/>
          <w:b/>
        </w:rPr>
        <w:t>VIG a Erste Group: silný tím</w:t>
      </w:r>
    </w:p>
    <w:p w14:paraId="13F502BE" w14:textId="67DAAF48" w:rsidR="00CC1664" w:rsidRPr="00B014BC" w:rsidRDefault="00CC1664" w:rsidP="004518BB">
      <w:pPr>
        <w:spacing w:after="0" w:line="240" w:lineRule="auto"/>
        <w:rPr>
          <w:rFonts w:ascii="Calibri" w:hAnsi="Calibri"/>
        </w:rPr>
      </w:pPr>
      <w:r w:rsidRPr="00B014BC">
        <w:rPr>
          <w:rFonts w:ascii="Calibri" w:hAnsi="Calibri"/>
        </w:rPr>
        <w:t>Erste Group, ktorá je stabilne ukotvená v Rakúsku, je jednou z popredných bankových skupín v strednej a východnej Európe. VIG a Erste Group uzavreli v roku 2008 strategické partnerstvo, ktoré je prínosom pre obe skupiny v regióne: pobočky Erste Group distri</w:t>
      </w:r>
      <w:r w:rsidR="009F7FD9" w:rsidRPr="00B014BC">
        <w:rPr>
          <w:rFonts w:ascii="Calibri" w:hAnsi="Calibri"/>
        </w:rPr>
        <w:t xml:space="preserve">buujú poistné produkty VIG a </w:t>
      </w:r>
      <w:r w:rsidRPr="00B014BC">
        <w:rPr>
          <w:rFonts w:ascii="Calibri" w:hAnsi="Calibri"/>
        </w:rPr>
        <w:t xml:space="preserve">spoločnosti skupiny VIG </w:t>
      </w:r>
      <w:r w:rsidR="009F7FD9" w:rsidRPr="00B014BC">
        <w:rPr>
          <w:rFonts w:ascii="Calibri" w:hAnsi="Calibri"/>
        </w:rPr>
        <w:t xml:space="preserve">zasa </w:t>
      </w:r>
      <w:r w:rsidRPr="00B014BC">
        <w:rPr>
          <w:rFonts w:ascii="Calibri" w:hAnsi="Calibri"/>
        </w:rPr>
        <w:t>ponúkajú bankové produkty Erste Group.</w:t>
      </w:r>
    </w:p>
    <w:p w14:paraId="3976DEEF" w14:textId="77777777" w:rsidR="00CC1664" w:rsidRPr="00B014BC" w:rsidRDefault="00CC1664" w:rsidP="004518BB">
      <w:pPr>
        <w:spacing w:after="0" w:line="240" w:lineRule="auto"/>
        <w:rPr>
          <w:rFonts w:ascii="Calibri" w:hAnsi="Calibri"/>
        </w:rPr>
      </w:pPr>
    </w:p>
    <w:p w14:paraId="20533B3C" w14:textId="77777777" w:rsidR="00CC1664" w:rsidRPr="00B014BC" w:rsidRDefault="00CC1664" w:rsidP="004518BB">
      <w:pPr>
        <w:spacing w:after="0" w:line="240" w:lineRule="auto"/>
        <w:rPr>
          <w:rFonts w:ascii="Calibri" w:hAnsi="Calibri"/>
          <w:b/>
        </w:rPr>
      </w:pPr>
      <w:r w:rsidRPr="00B014BC">
        <w:rPr>
          <w:rFonts w:ascii="Calibri" w:hAnsi="Calibri"/>
          <w:b/>
        </w:rPr>
        <w:t>Stabilná dividendová politika</w:t>
      </w:r>
    </w:p>
    <w:p w14:paraId="3414406B" w14:textId="77777777" w:rsidR="00CC1664" w:rsidRPr="00B014BC" w:rsidRDefault="00CC1664" w:rsidP="004518BB">
      <w:pPr>
        <w:spacing w:after="0" w:line="240" w:lineRule="auto"/>
        <w:rPr>
          <w:rFonts w:ascii="Calibri" w:hAnsi="Calibri"/>
        </w:rPr>
      </w:pPr>
      <w:r w:rsidRPr="00B014BC">
        <w:rPr>
          <w:rFonts w:ascii="Calibri" w:hAnsi="Calibri"/>
        </w:rPr>
        <w:t xml:space="preserve">Skupina VIG je od októbra 1994 kótovaná na burze a v súčasnosti je jednou z popredných spoločností na Viedenskej burze v segmente "prime </w:t>
      </w:r>
      <w:proofErr w:type="spellStart"/>
      <w:r w:rsidRPr="00B014BC">
        <w:rPr>
          <w:rFonts w:ascii="Calibri" w:hAnsi="Calibri"/>
        </w:rPr>
        <w:t>market</w:t>
      </w:r>
      <w:proofErr w:type="spellEnd"/>
      <w:r w:rsidRPr="00B014BC">
        <w:rPr>
          <w:rFonts w:ascii="Calibri" w:hAnsi="Calibri"/>
        </w:rPr>
        <w:t xml:space="preserve">". Spoločnosť má atraktívnu dividendovú politiku, v rámci ktorej sú akcionárom vyplácané dividendy vo výške minimálne 30 % zisku koncernu (po zdanení </w:t>
      </w:r>
      <w:r w:rsidRPr="00B014BC">
        <w:rPr>
          <w:rFonts w:ascii="Calibri" w:hAnsi="Calibri"/>
          <w:color w:val="000000" w:themeColor="text1"/>
        </w:rPr>
        <w:t>a nekontrolných podieloch</w:t>
      </w:r>
      <w:r w:rsidRPr="00B014BC">
        <w:rPr>
          <w:rFonts w:ascii="Calibri" w:hAnsi="Calibri"/>
        </w:rPr>
        <w:t>).</w:t>
      </w:r>
    </w:p>
    <w:p w14:paraId="53AF04EE" w14:textId="62B342AD" w:rsidR="00CC1664" w:rsidRPr="00B014BC" w:rsidRDefault="009F7FD9" w:rsidP="004518BB">
      <w:pPr>
        <w:spacing w:after="0" w:line="240" w:lineRule="auto"/>
        <w:rPr>
          <w:rFonts w:ascii="Calibri" w:hAnsi="Calibri"/>
        </w:rPr>
      </w:pPr>
      <w:r w:rsidRPr="00B014BC">
        <w:rPr>
          <w:rFonts w:ascii="Calibri" w:hAnsi="Calibri"/>
        </w:rPr>
        <w:t>Aj z</w:t>
      </w:r>
      <w:r w:rsidR="00CC1664" w:rsidRPr="00B014BC">
        <w:rPr>
          <w:rFonts w:ascii="Calibri" w:hAnsi="Calibri"/>
        </w:rPr>
        <w:t xml:space="preserve">ápis VIG na Burze cenných papierov v Prahe vo februári 2008 zdôrazňuje veľký význam hospodárskeho priestoru strednej a východnej Európy pre VIG. Rovnako ako vo Viedni, aj na akciovom trhu v Prahe patria akcie VIG medzi najvyhľadávanejšie. </w:t>
      </w:r>
    </w:p>
    <w:p w14:paraId="7C5CF3F3" w14:textId="3B3BFA69" w:rsidR="00CC1664" w:rsidRPr="00B014BC" w:rsidRDefault="00CC1664" w:rsidP="004518BB">
      <w:pPr>
        <w:spacing w:after="0" w:line="240" w:lineRule="auto"/>
        <w:rPr>
          <w:rFonts w:ascii="Calibri" w:hAnsi="Calibri"/>
        </w:rPr>
      </w:pPr>
      <w:r w:rsidRPr="00B014BC">
        <w:rPr>
          <w:rFonts w:ascii="Calibri" w:hAnsi="Calibri"/>
        </w:rPr>
        <w:t xml:space="preserve">Približne 70 % akcií VIG </w:t>
      </w:r>
      <w:r w:rsidR="009F7FD9" w:rsidRPr="00B014BC">
        <w:rPr>
          <w:rFonts w:ascii="Calibri" w:hAnsi="Calibri"/>
        </w:rPr>
        <w:t>vlastní jej hlavný akcionár</w:t>
      </w:r>
      <w:r w:rsidRPr="00B014BC">
        <w:rPr>
          <w:rFonts w:ascii="Calibri" w:hAnsi="Calibri"/>
        </w:rPr>
        <w:t xml:space="preserve"> Wiener </w:t>
      </w:r>
      <w:proofErr w:type="spellStart"/>
      <w:r w:rsidRPr="00B014BC">
        <w:rPr>
          <w:rFonts w:ascii="Calibri" w:hAnsi="Calibri"/>
        </w:rPr>
        <w:t>Städtische</w:t>
      </w:r>
      <w:proofErr w:type="spellEnd"/>
      <w:r w:rsidRPr="00B014BC">
        <w:rPr>
          <w:rFonts w:ascii="Calibri" w:hAnsi="Calibri"/>
        </w:rPr>
        <w:t xml:space="preserve"> </w:t>
      </w:r>
      <w:proofErr w:type="spellStart"/>
      <w:r w:rsidRPr="00B014BC">
        <w:rPr>
          <w:rFonts w:ascii="Calibri" w:hAnsi="Calibri"/>
        </w:rPr>
        <w:t>Versicherungsverein</w:t>
      </w:r>
      <w:proofErr w:type="spellEnd"/>
      <w:r w:rsidRPr="00B014BC">
        <w:rPr>
          <w:rFonts w:ascii="Calibri" w:hAnsi="Calibri"/>
        </w:rPr>
        <w:t>. Zvyšné akcie majú v rukách drobní akcionári.</w:t>
      </w:r>
    </w:p>
    <w:p w14:paraId="1507BB26" w14:textId="77777777" w:rsidR="00CC1664" w:rsidRPr="00B014BC" w:rsidRDefault="00CC1664" w:rsidP="004518BB">
      <w:pPr>
        <w:spacing w:after="0" w:line="240" w:lineRule="auto"/>
        <w:rPr>
          <w:rFonts w:ascii="Calibri" w:hAnsi="Calibri"/>
        </w:rPr>
      </w:pPr>
    </w:p>
    <w:p w14:paraId="64A35CAC" w14:textId="77777777" w:rsidR="00CC1664" w:rsidRPr="00B014BC" w:rsidRDefault="00CC1664" w:rsidP="004518BB">
      <w:pPr>
        <w:spacing w:after="0" w:line="240" w:lineRule="auto"/>
        <w:rPr>
          <w:rFonts w:ascii="Calibri" w:hAnsi="Calibri"/>
          <w:b/>
        </w:rPr>
      </w:pPr>
      <w:r w:rsidRPr="00B014BC">
        <w:rPr>
          <w:rFonts w:ascii="Calibri" w:hAnsi="Calibri"/>
          <w:b/>
        </w:rPr>
        <w:t>Atraktívny zamestnávateľ v Rakúsku a v strednej a východnej Európe</w:t>
      </w:r>
    </w:p>
    <w:p w14:paraId="6A271157" w14:textId="6A4971B2" w:rsidR="00CC1664" w:rsidRPr="00B014BC" w:rsidRDefault="00CC1664" w:rsidP="004518BB">
      <w:pPr>
        <w:spacing w:after="0" w:line="240" w:lineRule="auto"/>
        <w:rPr>
          <w:rFonts w:ascii="Calibri" w:hAnsi="Calibri"/>
        </w:rPr>
      </w:pPr>
      <w:r w:rsidRPr="00B014BC">
        <w:rPr>
          <w:rFonts w:ascii="Calibri" w:hAnsi="Calibri"/>
        </w:rPr>
        <w:t xml:space="preserve">Okrem toho, že VIG chce byť </w:t>
      </w:r>
      <w:r w:rsidR="009F7FD9" w:rsidRPr="00B014BC">
        <w:rPr>
          <w:rFonts w:ascii="Calibri" w:hAnsi="Calibri"/>
        </w:rPr>
        <w:t>lídrom</w:t>
      </w:r>
      <w:r w:rsidRPr="00B014BC">
        <w:rPr>
          <w:rFonts w:ascii="Calibri" w:hAnsi="Calibri"/>
        </w:rPr>
        <w:t xml:space="preserve"> pre poistné produkty, chce byť aj zamestnávateľom prvej voľby a prilákať najtalentovanejších a </w:t>
      </w:r>
      <w:r w:rsidR="009F7FD9" w:rsidRPr="00B014BC">
        <w:rPr>
          <w:rFonts w:ascii="Calibri" w:hAnsi="Calibri"/>
        </w:rPr>
        <w:t>najšikovnejších</w:t>
      </w:r>
      <w:r w:rsidRPr="00B014BC">
        <w:rPr>
          <w:rFonts w:ascii="Calibri" w:hAnsi="Calibri"/>
        </w:rPr>
        <w:t xml:space="preserve"> zamestnancov.</w:t>
      </w:r>
      <w:r w:rsidRPr="00B014BC">
        <w:rPr>
          <w:rFonts w:ascii="Calibri" w:hAnsi="Calibri" w:cs="Arial"/>
          <w:color w:val="222222"/>
        </w:rPr>
        <w:t xml:space="preserve"> </w:t>
      </w:r>
      <w:r w:rsidRPr="00B014BC">
        <w:rPr>
          <w:rFonts w:ascii="Calibri" w:hAnsi="Calibri"/>
        </w:rPr>
        <w:t xml:space="preserve">Identifikácia a rozvoj individuálnych zručností zamestnancov sú hlavnou prioritou v modernom riadení ľudských zdrojov spoločnosti. Skupina tiež kladie veľký dôraz na vytvorenie prostredia, ktoré podporuje rozvoj svojich </w:t>
      </w:r>
      <w:r w:rsidRPr="00B014BC">
        <w:rPr>
          <w:rFonts w:ascii="Calibri" w:hAnsi="Calibri"/>
        </w:rPr>
        <w:lastRenderedPageBreak/>
        <w:t>zamestnancov</w:t>
      </w:r>
      <w:r w:rsidR="009F7FD9" w:rsidRPr="00B014BC">
        <w:rPr>
          <w:rFonts w:ascii="Calibri" w:hAnsi="Calibri"/>
        </w:rPr>
        <w:t xml:space="preserve">; </w:t>
      </w:r>
      <w:proofErr w:type="spellStart"/>
      <w:r w:rsidRPr="00B014BC">
        <w:rPr>
          <w:rFonts w:ascii="Calibri" w:hAnsi="Calibri"/>
        </w:rPr>
        <w:t>Vienna</w:t>
      </w:r>
      <w:proofErr w:type="spellEnd"/>
      <w:r w:rsidRPr="00B014BC">
        <w:rPr>
          <w:rFonts w:ascii="Calibri" w:hAnsi="Calibri"/>
        </w:rPr>
        <w:t xml:space="preserve"> </w:t>
      </w:r>
      <w:proofErr w:type="spellStart"/>
      <w:r w:rsidRPr="00B014BC">
        <w:rPr>
          <w:rFonts w:ascii="Calibri" w:hAnsi="Calibri"/>
        </w:rPr>
        <w:t>Insurance</w:t>
      </w:r>
      <w:proofErr w:type="spellEnd"/>
      <w:r w:rsidRPr="00B014BC">
        <w:rPr>
          <w:rFonts w:ascii="Calibri" w:hAnsi="Calibri"/>
        </w:rPr>
        <w:t xml:space="preserve"> Group si je vedomá, že jej úspech je založený na angažovanosti približne 23 000 zamestnancov.</w:t>
      </w:r>
    </w:p>
    <w:p w14:paraId="77D13528" w14:textId="77777777" w:rsidR="00CC1664" w:rsidRPr="00B014BC" w:rsidRDefault="00CC1664" w:rsidP="004518BB">
      <w:pPr>
        <w:spacing w:after="0" w:line="240" w:lineRule="auto"/>
        <w:rPr>
          <w:rFonts w:ascii="Calibri" w:hAnsi="Calibri"/>
          <w:i/>
        </w:rPr>
      </w:pPr>
    </w:p>
    <w:p w14:paraId="2FF137B8" w14:textId="53EEF115" w:rsidR="00CC1664" w:rsidRPr="00B014BC" w:rsidRDefault="00CC1664" w:rsidP="004518BB">
      <w:pPr>
        <w:spacing w:after="0" w:line="240" w:lineRule="auto"/>
        <w:rPr>
          <w:rFonts w:ascii="Calibri" w:hAnsi="Calibri"/>
          <w:i/>
        </w:rPr>
      </w:pPr>
      <w:r w:rsidRPr="00B014BC">
        <w:rPr>
          <w:rFonts w:ascii="Calibri" w:hAnsi="Calibri"/>
          <w:i/>
        </w:rPr>
        <w:t xml:space="preserve">Ďalšie informácie o </w:t>
      </w:r>
      <w:proofErr w:type="spellStart"/>
      <w:r w:rsidRPr="00B014BC">
        <w:rPr>
          <w:rFonts w:ascii="Calibri" w:hAnsi="Calibri"/>
          <w:i/>
        </w:rPr>
        <w:t>Vienna</w:t>
      </w:r>
      <w:proofErr w:type="spellEnd"/>
      <w:r w:rsidRPr="00B014BC">
        <w:rPr>
          <w:rFonts w:ascii="Calibri" w:hAnsi="Calibri"/>
          <w:i/>
        </w:rPr>
        <w:t xml:space="preserve"> </w:t>
      </w:r>
      <w:proofErr w:type="spellStart"/>
      <w:r w:rsidRPr="00B014BC">
        <w:rPr>
          <w:rFonts w:ascii="Calibri" w:hAnsi="Calibri"/>
          <w:i/>
        </w:rPr>
        <w:t>Insurance</w:t>
      </w:r>
      <w:proofErr w:type="spellEnd"/>
      <w:r w:rsidRPr="00B014BC">
        <w:rPr>
          <w:rFonts w:ascii="Calibri" w:hAnsi="Calibri"/>
          <w:i/>
        </w:rPr>
        <w:t xml:space="preserve"> Group</w:t>
      </w:r>
      <w:r w:rsidR="009F7FD9" w:rsidRPr="00B014BC">
        <w:rPr>
          <w:rFonts w:ascii="Calibri" w:hAnsi="Calibri"/>
          <w:i/>
        </w:rPr>
        <w:t xml:space="preserve"> sú k dispozícii na www.vig.com</w:t>
      </w:r>
      <w:r w:rsidRPr="00B014BC">
        <w:rPr>
          <w:rFonts w:ascii="Calibri" w:hAnsi="Calibri"/>
          <w:i/>
        </w:rPr>
        <w:t xml:space="preserve"> alebo vo výročnej správe skupiny.</w:t>
      </w:r>
    </w:p>
    <w:p w14:paraId="76AA3FF0" w14:textId="77777777" w:rsidR="00577E04" w:rsidRPr="00B014BC" w:rsidRDefault="00577E04" w:rsidP="004518BB">
      <w:pPr>
        <w:spacing w:after="0" w:line="240" w:lineRule="auto"/>
        <w:rPr>
          <w:rFonts w:cstheme="minorHAnsi"/>
        </w:rPr>
      </w:pPr>
    </w:p>
    <w:p w14:paraId="7C63D956" w14:textId="77777777" w:rsidR="0096599E" w:rsidRPr="00B014BC" w:rsidRDefault="0096599E" w:rsidP="004518BB">
      <w:pPr>
        <w:spacing w:after="0" w:line="240" w:lineRule="auto"/>
        <w:rPr>
          <w:rFonts w:cstheme="minorHAnsi"/>
          <w:b/>
          <w:sz w:val="28"/>
          <w:szCs w:val="28"/>
        </w:rPr>
      </w:pPr>
    </w:p>
    <w:p w14:paraId="1D95C1E3" w14:textId="7C6E5828" w:rsidR="003E053E" w:rsidRPr="00B014BC" w:rsidRDefault="00577E04" w:rsidP="004518BB">
      <w:pPr>
        <w:spacing w:after="0" w:line="240" w:lineRule="auto"/>
        <w:rPr>
          <w:rFonts w:cstheme="minorHAnsi"/>
          <w:b/>
          <w:sz w:val="28"/>
          <w:szCs w:val="28"/>
        </w:rPr>
      </w:pPr>
      <w:r w:rsidRPr="00B014BC">
        <w:rPr>
          <w:rFonts w:cstheme="minorHAnsi"/>
          <w:b/>
          <w:sz w:val="28"/>
          <w:szCs w:val="28"/>
        </w:rPr>
        <w:t xml:space="preserve">5. </w:t>
      </w:r>
      <w:r w:rsidR="003E053E" w:rsidRPr="00B014BC">
        <w:rPr>
          <w:rFonts w:cstheme="minorHAnsi"/>
          <w:b/>
          <w:sz w:val="28"/>
          <w:szCs w:val="28"/>
        </w:rPr>
        <w:t>Správa predstavenstva o výsledkoch hospodárenia, podnikateľskej činnosti a o stave majetku spoločnost</w:t>
      </w:r>
      <w:r w:rsidR="00C91535" w:rsidRPr="00B014BC">
        <w:rPr>
          <w:rFonts w:cstheme="minorHAnsi"/>
          <w:b/>
          <w:sz w:val="28"/>
          <w:szCs w:val="28"/>
        </w:rPr>
        <w:t>i k 31. 12. 2015</w:t>
      </w:r>
    </w:p>
    <w:p w14:paraId="153BEEDE" w14:textId="77777777" w:rsidR="00B72388" w:rsidRPr="00B014BC" w:rsidRDefault="00B72388" w:rsidP="004518BB">
      <w:pPr>
        <w:spacing w:after="0" w:line="240" w:lineRule="auto"/>
        <w:rPr>
          <w:rFonts w:cstheme="minorHAnsi"/>
          <w:b/>
        </w:rPr>
      </w:pPr>
    </w:p>
    <w:p w14:paraId="3747867A" w14:textId="77777777" w:rsidR="003271A4" w:rsidRPr="00B014BC" w:rsidRDefault="003271A4" w:rsidP="004518BB">
      <w:pPr>
        <w:autoSpaceDE w:val="0"/>
        <w:autoSpaceDN w:val="0"/>
        <w:adjustRightInd w:val="0"/>
        <w:spacing w:after="0" w:line="240" w:lineRule="auto"/>
        <w:rPr>
          <w:rFonts w:cstheme="minorHAnsi"/>
        </w:rPr>
      </w:pPr>
      <w:r w:rsidRPr="00B014BC">
        <w:rPr>
          <w:rFonts w:cstheme="minorHAnsi"/>
        </w:rPr>
        <w:t>Vážení akcionári,</w:t>
      </w:r>
    </w:p>
    <w:p w14:paraId="4DFEC944" w14:textId="77777777" w:rsidR="003271A4" w:rsidRPr="00B014BC" w:rsidRDefault="003271A4" w:rsidP="004518BB">
      <w:pPr>
        <w:autoSpaceDE w:val="0"/>
        <w:autoSpaceDN w:val="0"/>
        <w:adjustRightInd w:val="0"/>
        <w:spacing w:after="0" w:line="240" w:lineRule="auto"/>
        <w:rPr>
          <w:rFonts w:cstheme="minorHAnsi"/>
        </w:rPr>
      </w:pPr>
    </w:p>
    <w:p w14:paraId="427C1277" w14:textId="38771AF6" w:rsidR="003271A4" w:rsidRPr="00B014BC" w:rsidRDefault="003271A4" w:rsidP="004518BB">
      <w:pPr>
        <w:autoSpaceDE w:val="0"/>
        <w:autoSpaceDN w:val="0"/>
        <w:adjustRightInd w:val="0"/>
        <w:spacing w:after="0" w:line="240" w:lineRule="auto"/>
        <w:rPr>
          <w:rFonts w:cstheme="minorHAnsi"/>
        </w:rPr>
      </w:pPr>
      <w:r w:rsidRPr="00B014BC">
        <w:rPr>
          <w:rFonts w:cstheme="minorHAnsi"/>
        </w:rPr>
        <w:t xml:space="preserve">KOMUNÁLNA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uzatvorila rok 201</w:t>
      </w:r>
      <w:r w:rsidR="000617D3" w:rsidRPr="00B014BC">
        <w:rPr>
          <w:rFonts w:cstheme="minorHAnsi"/>
        </w:rPr>
        <w:t>5</w:t>
      </w:r>
      <w:r w:rsidRPr="00B014BC">
        <w:rPr>
          <w:rFonts w:cstheme="minorHAnsi"/>
        </w:rPr>
        <w:t xml:space="preserve"> s výsledkami hospodárenia, ktoré </w:t>
      </w:r>
      <w:r w:rsidR="009F7FD9" w:rsidRPr="00B014BC">
        <w:rPr>
          <w:rFonts w:cstheme="minorHAnsi"/>
        </w:rPr>
        <w:t>vzhľadom</w:t>
      </w:r>
      <w:r w:rsidRPr="00B014BC">
        <w:rPr>
          <w:rFonts w:cstheme="minorHAnsi"/>
        </w:rPr>
        <w:t xml:space="preserve"> na lokálny ekonomický vývoj možno považovať za nadštandardné. </w:t>
      </w:r>
    </w:p>
    <w:p w14:paraId="2CDD3420" w14:textId="14679BC1" w:rsidR="005D24C5" w:rsidRPr="00B014BC" w:rsidRDefault="003271A4" w:rsidP="004518BB">
      <w:pPr>
        <w:autoSpaceDE w:val="0"/>
        <w:autoSpaceDN w:val="0"/>
        <w:adjustRightInd w:val="0"/>
        <w:spacing w:after="0" w:line="240" w:lineRule="auto"/>
        <w:rPr>
          <w:rFonts w:cstheme="minorHAnsi"/>
          <w:color w:val="000000" w:themeColor="text1"/>
        </w:rPr>
      </w:pPr>
      <w:r w:rsidRPr="00B014BC">
        <w:rPr>
          <w:rFonts w:cstheme="minorHAnsi"/>
        </w:rPr>
        <w:t xml:space="preserve">Celkové predpísané poistné spoločnosti KOMUNÁLNA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zaúčtované za rok 201</w:t>
      </w:r>
      <w:r w:rsidR="00612559" w:rsidRPr="00B014BC">
        <w:rPr>
          <w:rFonts w:cstheme="minorHAnsi"/>
        </w:rPr>
        <w:t>5</w:t>
      </w:r>
      <w:r w:rsidRPr="00B014BC">
        <w:rPr>
          <w:rFonts w:cstheme="minorHAnsi"/>
        </w:rPr>
        <w:t xml:space="preserve"> </w:t>
      </w:r>
      <w:r w:rsidR="009F7FD9" w:rsidRPr="00B014BC">
        <w:rPr>
          <w:rFonts w:cstheme="minorHAnsi"/>
        </w:rPr>
        <w:t>predstavovalo</w:t>
      </w:r>
      <w:r w:rsidRPr="00B014BC">
        <w:rPr>
          <w:rFonts w:cstheme="minorHAnsi"/>
        </w:rPr>
        <w:t xml:space="preserve"> </w:t>
      </w:r>
      <w:r w:rsidR="00612559" w:rsidRPr="00B014BC">
        <w:rPr>
          <w:rFonts w:cstheme="minorHAnsi"/>
        </w:rPr>
        <w:t xml:space="preserve">181,1 mil. </w:t>
      </w:r>
      <w:r w:rsidR="009F7FD9" w:rsidRPr="00B014BC">
        <w:rPr>
          <w:rFonts w:cstheme="minorHAnsi"/>
        </w:rPr>
        <w:t>eur</w:t>
      </w:r>
      <w:r w:rsidR="00612559" w:rsidRPr="00B014BC">
        <w:rPr>
          <w:rFonts w:cstheme="minorHAnsi"/>
        </w:rPr>
        <w:t xml:space="preserve"> a h</w:t>
      </w:r>
      <w:r w:rsidRPr="00B014BC">
        <w:rPr>
          <w:rFonts w:cstheme="minorHAnsi"/>
        </w:rPr>
        <w:t xml:space="preserve">ospodársky výsledok dosiahol úroveň </w:t>
      </w:r>
      <w:r w:rsidR="00A65813" w:rsidRPr="00B014BC">
        <w:rPr>
          <w:rFonts w:cstheme="minorHAnsi"/>
        </w:rPr>
        <w:t>9,35</w:t>
      </w:r>
      <w:r w:rsidR="00612559" w:rsidRPr="00B014BC">
        <w:rPr>
          <w:rFonts w:cstheme="minorHAnsi"/>
        </w:rPr>
        <w:t xml:space="preserve"> mil</w:t>
      </w:r>
      <w:r w:rsidRPr="00B014BC">
        <w:rPr>
          <w:rFonts w:cstheme="minorHAnsi"/>
        </w:rPr>
        <w:t xml:space="preserve">. </w:t>
      </w:r>
      <w:r w:rsidR="009F7FD9" w:rsidRPr="00B014BC">
        <w:rPr>
          <w:rFonts w:cstheme="minorHAnsi"/>
        </w:rPr>
        <w:t>eur</w:t>
      </w:r>
      <w:r w:rsidRPr="00B014BC">
        <w:rPr>
          <w:rFonts w:cstheme="minorHAnsi"/>
        </w:rPr>
        <w:t xml:space="preserve"> </w:t>
      </w:r>
      <w:r w:rsidRPr="00B014BC">
        <w:rPr>
          <w:rFonts w:cstheme="minorHAnsi"/>
          <w:color w:val="000000" w:themeColor="text1"/>
        </w:rPr>
        <w:t>zisku pred zdanením, čo znamená zlepšenie v porovnaní s rokom 201</w:t>
      </w:r>
      <w:r w:rsidR="0058750D" w:rsidRPr="00B014BC">
        <w:rPr>
          <w:rFonts w:cstheme="minorHAnsi"/>
          <w:color w:val="000000" w:themeColor="text1"/>
        </w:rPr>
        <w:t>4</w:t>
      </w:r>
      <w:r w:rsidRPr="00B014BC">
        <w:rPr>
          <w:rFonts w:cstheme="minorHAnsi"/>
          <w:color w:val="000000" w:themeColor="text1"/>
        </w:rPr>
        <w:t xml:space="preserve">, keď bol hospodársky výsledok na úrovni </w:t>
      </w:r>
      <w:r w:rsidR="005F7692" w:rsidRPr="00B014BC">
        <w:rPr>
          <w:rFonts w:cstheme="minorHAnsi"/>
          <w:color w:val="000000" w:themeColor="text1"/>
        </w:rPr>
        <w:t>8</w:t>
      </w:r>
      <w:r w:rsidR="0058750D" w:rsidRPr="00B014BC">
        <w:rPr>
          <w:rFonts w:cstheme="minorHAnsi"/>
          <w:color w:val="000000" w:themeColor="text1"/>
        </w:rPr>
        <w:t>,75 mil</w:t>
      </w:r>
      <w:r w:rsidR="003837E9" w:rsidRPr="00B014BC">
        <w:rPr>
          <w:rFonts w:cstheme="minorHAnsi"/>
          <w:color w:val="000000" w:themeColor="text1"/>
        </w:rPr>
        <w:t xml:space="preserve">. </w:t>
      </w:r>
      <w:r w:rsidR="009F7FD9" w:rsidRPr="00B014BC">
        <w:rPr>
          <w:rFonts w:cstheme="minorHAnsi"/>
          <w:color w:val="000000" w:themeColor="text1"/>
        </w:rPr>
        <w:t>eur</w:t>
      </w:r>
      <w:r w:rsidR="003837E9" w:rsidRPr="00B014BC">
        <w:rPr>
          <w:rFonts w:cstheme="minorHAnsi"/>
          <w:color w:val="000000" w:themeColor="text1"/>
        </w:rPr>
        <w:t xml:space="preserve"> </w:t>
      </w:r>
      <w:r w:rsidRPr="00B014BC">
        <w:rPr>
          <w:rFonts w:cstheme="minorHAnsi"/>
          <w:color w:val="000000" w:themeColor="text1"/>
        </w:rPr>
        <w:t>pred zdanením.</w:t>
      </w:r>
    </w:p>
    <w:p w14:paraId="3D2581BF" w14:textId="71506A19" w:rsidR="005F414D" w:rsidRPr="00B014BC" w:rsidRDefault="005F414D" w:rsidP="004518BB">
      <w:pPr>
        <w:spacing w:after="0" w:line="240" w:lineRule="auto"/>
        <w:rPr>
          <w:color w:val="000000" w:themeColor="text1"/>
        </w:rPr>
      </w:pPr>
      <w:r w:rsidRPr="00B014BC">
        <w:rPr>
          <w:color w:val="000000" w:themeColor="text1"/>
        </w:rPr>
        <w:t xml:space="preserve">Celková hodnota aktív spoločnosti dosiahla ku koncu roka </w:t>
      </w:r>
      <w:r w:rsidR="0058525D" w:rsidRPr="00B014BC">
        <w:rPr>
          <w:color w:val="000000" w:themeColor="text1"/>
        </w:rPr>
        <w:t>2015</w:t>
      </w:r>
      <w:r w:rsidRPr="00B014BC">
        <w:rPr>
          <w:color w:val="000000" w:themeColor="text1"/>
        </w:rPr>
        <w:t xml:space="preserve"> úroveň </w:t>
      </w:r>
      <w:r w:rsidR="00A97E1B" w:rsidRPr="00B014BC">
        <w:rPr>
          <w:color w:val="000000" w:themeColor="text1"/>
        </w:rPr>
        <w:t>325 561</w:t>
      </w:r>
      <w:r w:rsidR="00834CB1" w:rsidRPr="00B014BC">
        <w:rPr>
          <w:color w:val="000000" w:themeColor="text1"/>
        </w:rPr>
        <w:t xml:space="preserve"> tis. </w:t>
      </w:r>
      <w:r w:rsidR="009F7FD9" w:rsidRPr="00B014BC">
        <w:rPr>
          <w:rFonts w:cstheme="minorHAnsi"/>
          <w:color w:val="000000" w:themeColor="text1"/>
        </w:rPr>
        <w:t>eur</w:t>
      </w:r>
      <w:r w:rsidRPr="00B014BC">
        <w:rPr>
          <w:color w:val="000000" w:themeColor="text1"/>
        </w:rPr>
        <w:t>, čo v porovnaní s rokom 201</w:t>
      </w:r>
      <w:r w:rsidR="0058525D" w:rsidRPr="00B014BC">
        <w:rPr>
          <w:color w:val="000000" w:themeColor="text1"/>
        </w:rPr>
        <w:t xml:space="preserve">4 </w:t>
      </w:r>
      <w:r w:rsidRPr="00B014BC">
        <w:rPr>
          <w:color w:val="000000" w:themeColor="text1"/>
        </w:rPr>
        <w:t>predstavuje nárast o</w:t>
      </w:r>
      <w:r w:rsidR="0058525D" w:rsidRPr="00B014BC">
        <w:rPr>
          <w:color w:val="000000" w:themeColor="text1"/>
        </w:rPr>
        <w:t> 4,1</w:t>
      </w:r>
      <w:r w:rsidRPr="00B014BC">
        <w:rPr>
          <w:color w:val="000000" w:themeColor="text1"/>
        </w:rPr>
        <w:t xml:space="preserve"> mil. </w:t>
      </w:r>
      <w:r w:rsidR="009F7FD9" w:rsidRPr="00B014BC">
        <w:rPr>
          <w:rFonts w:cstheme="minorHAnsi"/>
          <w:color w:val="000000" w:themeColor="text1"/>
        </w:rPr>
        <w:t>eur</w:t>
      </w:r>
      <w:r w:rsidRPr="00B014BC">
        <w:rPr>
          <w:color w:val="000000" w:themeColor="text1"/>
        </w:rPr>
        <w:t>. Najvyšší podiel mali finančné aktíva, ktoré v priebehu roka 201</w:t>
      </w:r>
      <w:r w:rsidR="006D2840" w:rsidRPr="00B014BC">
        <w:rPr>
          <w:color w:val="000000" w:themeColor="text1"/>
        </w:rPr>
        <w:t>5</w:t>
      </w:r>
      <w:r w:rsidRPr="00B014BC">
        <w:rPr>
          <w:color w:val="000000" w:themeColor="text1"/>
        </w:rPr>
        <w:t xml:space="preserve"> vzrástli o</w:t>
      </w:r>
      <w:r w:rsidR="006D2840" w:rsidRPr="00B014BC">
        <w:rPr>
          <w:color w:val="000000" w:themeColor="text1"/>
        </w:rPr>
        <w:t> 2,5</w:t>
      </w:r>
      <w:r w:rsidRPr="00B014BC">
        <w:rPr>
          <w:color w:val="000000" w:themeColor="text1"/>
        </w:rPr>
        <w:t xml:space="preserve"> mil. </w:t>
      </w:r>
      <w:r w:rsidR="009F7FD9" w:rsidRPr="00B014BC">
        <w:rPr>
          <w:rFonts w:cstheme="minorHAnsi"/>
          <w:color w:val="000000" w:themeColor="text1"/>
        </w:rPr>
        <w:t>eur</w:t>
      </w:r>
      <w:r w:rsidR="003837E9" w:rsidRPr="00B014BC">
        <w:rPr>
          <w:rFonts w:cstheme="minorHAnsi"/>
          <w:color w:val="000000" w:themeColor="text1"/>
        </w:rPr>
        <w:t xml:space="preserve"> </w:t>
      </w:r>
      <w:r w:rsidRPr="00B014BC">
        <w:rPr>
          <w:color w:val="000000" w:themeColor="text1"/>
        </w:rPr>
        <w:t>a dosiahli k 31. 12. 201</w:t>
      </w:r>
      <w:r w:rsidR="006D2840" w:rsidRPr="00B014BC">
        <w:rPr>
          <w:color w:val="000000" w:themeColor="text1"/>
        </w:rPr>
        <w:t>5</w:t>
      </w:r>
      <w:r w:rsidRPr="00B014BC">
        <w:rPr>
          <w:color w:val="000000" w:themeColor="text1"/>
        </w:rPr>
        <w:t xml:space="preserve"> úroveň </w:t>
      </w:r>
      <w:r w:rsidR="006D2840" w:rsidRPr="00B014BC">
        <w:rPr>
          <w:color w:val="000000" w:themeColor="text1"/>
        </w:rPr>
        <w:t>261 784</w:t>
      </w:r>
      <w:r w:rsidR="00834CB1" w:rsidRPr="00B014BC">
        <w:rPr>
          <w:color w:val="000000" w:themeColor="text1"/>
        </w:rPr>
        <w:t xml:space="preserve"> tis. </w:t>
      </w:r>
      <w:r w:rsidR="009F7FD9" w:rsidRPr="00B014BC">
        <w:rPr>
          <w:color w:val="000000" w:themeColor="text1"/>
        </w:rPr>
        <w:t>eur.</w:t>
      </w:r>
    </w:p>
    <w:p w14:paraId="133EBB92" w14:textId="12EE1CE8" w:rsidR="003271A4" w:rsidRPr="00B014BC" w:rsidRDefault="003271A4" w:rsidP="004518BB">
      <w:pPr>
        <w:autoSpaceDE w:val="0"/>
        <w:autoSpaceDN w:val="0"/>
        <w:adjustRightInd w:val="0"/>
        <w:spacing w:after="0" w:line="240" w:lineRule="auto"/>
        <w:rPr>
          <w:rFonts w:cstheme="minorHAnsi"/>
        </w:rPr>
      </w:pPr>
      <w:r w:rsidRPr="00B014BC">
        <w:rPr>
          <w:rFonts w:cstheme="minorHAnsi"/>
        </w:rPr>
        <w:t>Spoločnosť aj v roku 201</w:t>
      </w:r>
      <w:r w:rsidR="003E1675" w:rsidRPr="00B014BC">
        <w:rPr>
          <w:rFonts w:cstheme="minorHAnsi"/>
        </w:rPr>
        <w:t>5</w:t>
      </w:r>
      <w:r w:rsidRPr="00B014BC">
        <w:rPr>
          <w:rFonts w:cstheme="minorHAnsi"/>
        </w:rPr>
        <w:t xml:space="preserve"> pokračovala v racionalizácii postupov a kontrole nákladov, čo malo pozitívny dopad na hospodárenie a efektivitu všetkých činností.</w:t>
      </w:r>
    </w:p>
    <w:p w14:paraId="68AE9E0A" w14:textId="361B0ABB" w:rsidR="003271A4" w:rsidRPr="00B014BC" w:rsidRDefault="003271A4" w:rsidP="004518BB">
      <w:pPr>
        <w:autoSpaceDE w:val="0"/>
        <w:autoSpaceDN w:val="0"/>
        <w:adjustRightInd w:val="0"/>
        <w:spacing w:after="0" w:line="240" w:lineRule="auto"/>
        <w:rPr>
          <w:rFonts w:cstheme="minorHAnsi"/>
        </w:rPr>
      </w:pPr>
      <w:r w:rsidRPr="00B014BC">
        <w:rPr>
          <w:rFonts w:cstheme="minorHAnsi"/>
        </w:rPr>
        <w:t>V roku 201</w:t>
      </w:r>
      <w:r w:rsidR="003E1675" w:rsidRPr="00B014BC">
        <w:rPr>
          <w:rFonts w:cstheme="minorHAnsi"/>
        </w:rPr>
        <w:t>5</w:t>
      </w:r>
      <w:r w:rsidRPr="00B014BC">
        <w:rPr>
          <w:rFonts w:cstheme="minorHAnsi"/>
        </w:rPr>
        <w:t xml:space="preserve"> pracovalo Predstavenstvo</w:t>
      </w:r>
      <w:r w:rsidR="00FD6128" w:rsidRPr="00B014BC">
        <w:rPr>
          <w:rFonts w:cstheme="minorHAnsi"/>
        </w:rPr>
        <w:t xml:space="preserve"> spoločnosti</w:t>
      </w:r>
      <w:r w:rsidRPr="00B014BC">
        <w:rPr>
          <w:rFonts w:cstheme="minorHAnsi"/>
        </w:rPr>
        <w:t xml:space="preserve"> v štvorčlennom zložení: Ing. Vladimír </w:t>
      </w:r>
      <w:proofErr w:type="spellStart"/>
      <w:r w:rsidRPr="00B014BC">
        <w:rPr>
          <w:rFonts w:cstheme="minorHAnsi"/>
        </w:rPr>
        <w:t>Bakeš</w:t>
      </w:r>
      <w:proofErr w:type="spellEnd"/>
      <w:r w:rsidRPr="00B014BC">
        <w:rPr>
          <w:rFonts w:cstheme="minorHAnsi"/>
        </w:rPr>
        <w:t xml:space="preserve"> – predseda predstavenstva a generálny riaditeľ, </w:t>
      </w:r>
      <w:proofErr w:type="spellStart"/>
      <w:r w:rsidRPr="00B014BC">
        <w:rPr>
          <w:rFonts w:cstheme="minorHAnsi"/>
        </w:rPr>
        <w:t>Mag</w:t>
      </w:r>
      <w:proofErr w:type="spellEnd"/>
      <w:r w:rsidRPr="00B014BC">
        <w:rPr>
          <w:rFonts w:cstheme="minorHAnsi"/>
        </w:rPr>
        <w:t>.</w:t>
      </w:r>
      <w:r w:rsidR="005F7692" w:rsidRPr="00B014BC">
        <w:rPr>
          <w:rFonts w:cstheme="minorHAnsi"/>
        </w:rPr>
        <w:t xml:space="preserve"> </w:t>
      </w:r>
      <w:proofErr w:type="spellStart"/>
      <w:r w:rsidR="005F7692" w:rsidRPr="00B014BC">
        <w:rPr>
          <w:rFonts w:cstheme="minorHAnsi"/>
        </w:rPr>
        <w:t>iur</w:t>
      </w:r>
      <w:proofErr w:type="spellEnd"/>
      <w:r w:rsidR="005F7692" w:rsidRPr="00B014BC">
        <w:rPr>
          <w:rFonts w:cstheme="minorHAnsi"/>
        </w:rPr>
        <w:t>.</w:t>
      </w:r>
      <w:r w:rsidRPr="00B014BC">
        <w:rPr>
          <w:rFonts w:cstheme="minorHAnsi"/>
        </w:rPr>
        <w:t xml:space="preserve"> </w:t>
      </w:r>
      <w:proofErr w:type="spellStart"/>
      <w:r w:rsidRPr="00B014BC">
        <w:rPr>
          <w:rFonts w:cstheme="minorHAnsi"/>
        </w:rPr>
        <w:t>Patrick</w:t>
      </w:r>
      <w:proofErr w:type="spellEnd"/>
      <w:r w:rsidRPr="00B014BC">
        <w:rPr>
          <w:rFonts w:cstheme="minorHAnsi"/>
        </w:rPr>
        <w:t xml:space="preserve"> </w:t>
      </w:r>
      <w:proofErr w:type="spellStart"/>
      <w:r w:rsidRPr="00B014BC">
        <w:rPr>
          <w:rFonts w:cstheme="minorHAnsi"/>
        </w:rPr>
        <w:t>Skyba</w:t>
      </w:r>
      <w:proofErr w:type="spellEnd"/>
      <w:r w:rsidRPr="00B014BC">
        <w:rPr>
          <w:rFonts w:cstheme="minorHAnsi"/>
        </w:rPr>
        <w:t xml:space="preserve"> – člen predstavenstva a námestník generálneho riaditeľa, </w:t>
      </w:r>
      <w:r w:rsidR="000617D3" w:rsidRPr="00B014BC">
        <w:rPr>
          <w:rFonts w:cstheme="minorHAnsi"/>
        </w:rPr>
        <w:t xml:space="preserve">Dipl. Ing. </w:t>
      </w:r>
      <w:proofErr w:type="spellStart"/>
      <w:r w:rsidR="000617D3" w:rsidRPr="00B014BC">
        <w:rPr>
          <w:rFonts w:cstheme="minorHAnsi"/>
        </w:rPr>
        <w:t>Doris</w:t>
      </w:r>
      <w:proofErr w:type="spellEnd"/>
      <w:r w:rsidR="000617D3" w:rsidRPr="00B014BC">
        <w:rPr>
          <w:rFonts w:cstheme="minorHAnsi"/>
        </w:rPr>
        <w:t xml:space="preserve"> </w:t>
      </w:r>
      <w:proofErr w:type="spellStart"/>
      <w:r w:rsidR="000617D3" w:rsidRPr="00B014BC">
        <w:rPr>
          <w:rFonts w:cstheme="minorHAnsi"/>
        </w:rPr>
        <w:t>Wendler</w:t>
      </w:r>
      <w:proofErr w:type="spellEnd"/>
      <w:r w:rsidR="000617D3" w:rsidRPr="00B014BC">
        <w:rPr>
          <w:rFonts w:cstheme="minorHAnsi"/>
        </w:rPr>
        <w:t xml:space="preserve"> – členka predstavenstva a </w:t>
      </w:r>
      <w:r w:rsidRPr="00B014BC">
        <w:rPr>
          <w:rFonts w:cstheme="minorHAnsi"/>
        </w:rPr>
        <w:t xml:space="preserve">JUDr. </w:t>
      </w:r>
      <w:r w:rsidR="00333A44" w:rsidRPr="00B014BC">
        <w:rPr>
          <w:rFonts w:cstheme="minorHAnsi"/>
        </w:rPr>
        <w:t xml:space="preserve">Zuzana </w:t>
      </w:r>
      <w:proofErr w:type="spellStart"/>
      <w:r w:rsidR="00333A44" w:rsidRPr="00B014BC">
        <w:rPr>
          <w:rFonts w:cstheme="minorHAnsi"/>
        </w:rPr>
        <w:t>Brožek</w:t>
      </w:r>
      <w:proofErr w:type="spellEnd"/>
      <w:r w:rsidR="00333A44" w:rsidRPr="00B014BC">
        <w:rPr>
          <w:rFonts w:cstheme="minorHAnsi"/>
        </w:rPr>
        <w:t xml:space="preserve"> </w:t>
      </w:r>
      <w:proofErr w:type="spellStart"/>
      <w:r w:rsidR="00333A44" w:rsidRPr="00B014BC">
        <w:rPr>
          <w:rFonts w:cstheme="minorHAnsi"/>
        </w:rPr>
        <w:t>Mihóková</w:t>
      </w:r>
      <w:proofErr w:type="spellEnd"/>
      <w:r w:rsidRPr="00B014BC">
        <w:rPr>
          <w:rFonts w:cstheme="minorHAnsi"/>
        </w:rPr>
        <w:t xml:space="preserve"> – člen</w:t>
      </w:r>
      <w:r w:rsidR="00333A44" w:rsidRPr="00B014BC">
        <w:rPr>
          <w:rFonts w:cstheme="minorHAnsi"/>
        </w:rPr>
        <w:t>ka</w:t>
      </w:r>
      <w:r w:rsidRPr="00B014BC">
        <w:rPr>
          <w:rFonts w:cstheme="minorHAnsi"/>
        </w:rPr>
        <w:t xml:space="preserve"> predstavenstva</w:t>
      </w:r>
      <w:r w:rsidR="00B47CC8" w:rsidRPr="00B014BC">
        <w:rPr>
          <w:rFonts w:cstheme="minorHAnsi"/>
        </w:rPr>
        <w:t xml:space="preserve"> </w:t>
      </w:r>
      <w:r w:rsidR="00B47CC8" w:rsidRPr="00B014BC">
        <w:rPr>
          <w:rFonts w:eastAsiaTheme="majorEastAsia" w:cstheme="minorHAnsi"/>
          <w:bCs/>
          <w:iCs/>
        </w:rPr>
        <w:t>(od 1. 5. 2015 dočasne mimo výkonu funkcie)</w:t>
      </w:r>
      <w:r w:rsidR="00333A44" w:rsidRPr="00B014BC">
        <w:rPr>
          <w:rFonts w:cstheme="minorHAnsi"/>
        </w:rPr>
        <w:t>.</w:t>
      </w:r>
      <w:r w:rsidRPr="00B014BC">
        <w:rPr>
          <w:rFonts w:cstheme="minorHAnsi"/>
        </w:rPr>
        <w:t xml:space="preserve"> Predstavenstvo prijalo </w:t>
      </w:r>
      <w:r w:rsidR="000617D3" w:rsidRPr="00B014BC">
        <w:rPr>
          <w:rFonts w:cstheme="minorHAnsi"/>
        </w:rPr>
        <w:t xml:space="preserve">počas roka 2015 </w:t>
      </w:r>
      <w:r w:rsidRPr="00B014BC">
        <w:rPr>
          <w:rFonts w:cstheme="minorHAnsi"/>
        </w:rPr>
        <w:t>množstvo rozhodnutí na svojich 2</w:t>
      </w:r>
      <w:r w:rsidR="003E1675" w:rsidRPr="00B014BC">
        <w:rPr>
          <w:rFonts w:cstheme="minorHAnsi"/>
        </w:rPr>
        <w:t>2</w:t>
      </w:r>
      <w:r w:rsidRPr="00B014BC">
        <w:rPr>
          <w:rFonts w:cstheme="minorHAnsi"/>
        </w:rPr>
        <w:t xml:space="preserve"> zasadnutiach. Pozornosť v rozhodovaní venoval</w:t>
      </w:r>
      <w:r w:rsidR="003837E9" w:rsidRPr="00B014BC">
        <w:rPr>
          <w:rFonts w:cstheme="minorHAnsi"/>
        </w:rPr>
        <w:t>o</w:t>
      </w:r>
      <w:r w:rsidRPr="00B014BC">
        <w:rPr>
          <w:rFonts w:cstheme="minorHAnsi"/>
        </w:rPr>
        <w:t xml:space="preserve"> najmä dosiahnutiu strategických cieľov:</w:t>
      </w:r>
    </w:p>
    <w:p w14:paraId="0DF1C2D9"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naplnenie hospodárskych plánov</w:t>
      </w:r>
    </w:p>
    <w:p w14:paraId="0ECCB0D0"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naplnenie obchodných cieľov</w:t>
      </w:r>
    </w:p>
    <w:p w14:paraId="5DA7D4F5"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ústretovosť a starostlivosť o klienta</w:t>
      </w:r>
    </w:p>
    <w:p w14:paraId="0AA19A17"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zvýšenie trhového podielu</w:t>
      </w:r>
    </w:p>
    <w:p w14:paraId="74A12B16" w14:textId="58AD221C" w:rsidR="003271A4" w:rsidRPr="00B014BC" w:rsidRDefault="009F7FD9"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 xml:space="preserve">efektívnosť </w:t>
      </w:r>
      <w:proofErr w:type="spellStart"/>
      <w:r w:rsidRPr="00B014BC">
        <w:rPr>
          <w:rFonts w:cstheme="minorHAnsi"/>
        </w:rPr>
        <w:t>back-office</w:t>
      </w:r>
      <w:proofErr w:type="spellEnd"/>
      <w:r w:rsidR="003271A4" w:rsidRPr="00B014BC">
        <w:rPr>
          <w:rFonts w:cstheme="minorHAnsi"/>
        </w:rPr>
        <w:t xml:space="preserve"> štruktúry v rámci </w:t>
      </w:r>
      <w:r w:rsidR="00FD6128" w:rsidRPr="00B014BC">
        <w:rPr>
          <w:rFonts w:cstheme="minorHAnsi"/>
        </w:rPr>
        <w:t>VIG</w:t>
      </w:r>
      <w:r w:rsidR="003271A4" w:rsidRPr="00B014BC">
        <w:rPr>
          <w:rFonts w:cstheme="minorHAnsi"/>
        </w:rPr>
        <w:t xml:space="preserve"> </w:t>
      </w:r>
    </w:p>
    <w:p w14:paraId="65FED6D0"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rozširovanie obchodnej siete zamestnancov a sprostredkovateľov poistenia</w:t>
      </w:r>
    </w:p>
    <w:p w14:paraId="7C83D216"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zintenzívnenie spolupráce s externými sprostredkovateľmi predaja</w:t>
      </w:r>
    </w:p>
    <w:p w14:paraId="681F7EBD"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zefektívnenie hospodárenia a zabezpečenie finančnej stability spoločnosti</w:t>
      </w:r>
    </w:p>
    <w:p w14:paraId="1B4E1678" w14:textId="77777777" w:rsidR="003271A4" w:rsidRPr="00B014BC" w:rsidRDefault="003271A4" w:rsidP="004518BB">
      <w:pPr>
        <w:pStyle w:val="ListParagraph"/>
        <w:numPr>
          <w:ilvl w:val="0"/>
          <w:numId w:val="13"/>
        </w:numPr>
        <w:autoSpaceDE w:val="0"/>
        <w:autoSpaceDN w:val="0"/>
        <w:adjustRightInd w:val="0"/>
        <w:spacing w:after="0" w:line="240" w:lineRule="auto"/>
        <w:rPr>
          <w:rFonts w:cstheme="minorHAnsi"/>
        </w:rPr>
      </w:pPr>
      <w:r w:rsidRPr="00B014BC">
        <w:rPr>
          <w:rFonts w:cstheme="minorHAnsi"/>
        </w:rPr>
        <w:t>zintenzívnenie spolupráce so Slovenskou sporiteľňou a</w:t>
      </w:r>
      <w:r w:rsidR="003837E9" w:rsidRPr="00B014BC">
        <w:rPr>
          <w:rFonts w:cstheme="minorHAnsi"/>
        </w:rPr>
        <w:t> </w:t>
      </w:r>
      <w:r w:rsidRPr="00B014BC">
        <w:rPr>
          <w:rFonts w:cstheme="minorHAnsi"/>
        </w:rPr>
        <w:t>Z</w:t>
      </w:r>
      <w:r w:rsidR="003837E9" w:rsidRPr="00B014BC">
        <w:rPr>
          <w:rFonts w:cstheme="minorHAnsi"/>
        </w:rPr>
        <w:t>družením miest a obcí Slovenska</w:t>
      </w:r>
      <w:r w:rsidRPr="00B014BC">
        <w:rPr>
          <w:rFonts w:cstheme="minorHAnsi"/>
        </w:rPr>
        <w:t xml:space="preserve"> </w:t>
      </w:r>
    </w:p>
    <w:p w14:paraId="1DC0AC19" w14:textId="77777777" w:rsidR="00804E9C" w:rsidRPr="00B014BC" w:rsidRDefault="00804E9C" w:rsidP="004518BB">
      <w:pPr>
        <w:autoSpaceDE w:val="0"/>
        <w:autoSpaceDN w:val="0"/>
        <w:adjustRightInd w:val="0"/>
        <w:spacing w:after="0" w:line="240" w:lineRule="auto"/>
        <w:rPr>
          <w:rFonts w:cstheme="minorHAnsi"/>
        </w:rPr>
      </w:pPr>
      <w:r w:rsidRPr="00B014BC">
        <w:rPr>
          <w:rFonts w:cstheme="minorHAnsi"/>
        </w:rPr>
        <w:t xml:space="preserve">Záujmom vedenia spoločnosti bolo okrem uvedeného aj budovanie lojality a zvyšovanie profesionality zamestnancov a spolupracovníkov spoločnosti. </w:t>
      </w:r>
    </w:p>
    <w:p w14:paraId="52BD596D" w14:textId="0BC61904" w:rsidR="003271A4" w:rsidRPr="00B014BC" w:rsidRDefault="003271A4" w:rsidP="004518BB">
      <w:pPr>
        <w:autoSpaceDE w:val="0"/>
        <w:autoSpaceDN w:val="0"/>
        <w:adjustRightInd w:val="0"/>
        <w:spacing w:after="0" w:line="240" w:lineRule="auto"/>
        <w:rPr>
          <w:rFonts w:cstheme="minorHAnsi"/>
        </w:rPr>
      </w:pPr>
      <w:r w:rsidRPr="00B014BC">
        <w:rPr>
          <w:rFonts w:cstheme="minorHAnsi"/>
        </w:rPr>
        <w:t>V oblas</w:t>
      </w:r>
      <w:r w:rsidR="009F7FD9" w:rsidRPr="00B014BC">
        <w:rPr>
          <w:rFonts w:cstheme="minorHAnsi"/>
        </w:rPr>
        <w:t xml:space="preserve">ti obchodných aj </w:t>
      </w:r>
      <w:proofErr w:type="spellStart"/>
      <w:r w:rsidR="009F7FD9" w:rsidRPr="00B014BC">
        <w:rPr>
          <w:rFonts w:cstheme="minorHAnsi"/>
        </w:rPr>
        <w:t>back-office</w:t>
      </w:r>
      <w:proofErr w:type="spellEnd"/>
      <w:r w:rsidRPr="00B014BC">
        <w:rPr>
          <w:rFonts w:cstheme="minorHAnsi"/>
        </w:rPr>
        <w:t xml:space="preserve"> činností </w:t>
      </w:r>
      <w:r w:rsidR="003837E9" w:rsidRPr="00B014BC">
        <w:rPr>
          <w:rFonts w:cstheme="minorHAnsi"/>
        </w:rPr>
        <w:t>sme</w:t>
      </w:r>
      <w:r w:rsidRPr="00B014BC">
        <w:rPr>
          <w:rFonts w:cstheme="minorHAnsi"/>
        </w:rPr>
        <w:t xml:space="preserve"> pokračoval</w:t>
      </w:r>
      <w:r w:rsidR="003837E9" w:rsidRPr="00B014BC">
        <w:rPr>
          <w:rFonts w:cstheme="minorHAnsi"/>
        </w:rPr>
        <w:t>i</w:t>
      </w:r>
      <w:r w:rsidRPr="00B014BC">
        <w:rPr>
          <w:rFonts w:cstheme="minorHAnsi"/>
        </w:rPr>
        <w:t xml:space="preserve"> v realizácii optimalizačných opatrení</w:t>
      </w:r>
      <w:r w:rsidR="003837E9" w:rsidRPr="00B014BC">
        <w:rPr>
          <w:rFonts w:cstheme="minorHAnsi"/>
        </w:rPr>
        <w:t>, ktoré viedli</w:t>
      </w:r>
      <w:r w:rsidRPr="00B014BC">
        <w:rPr>
          <w:rFonts w:cstheme="minorHAnsi"/>
        </w:rPr>
        <w:t xml:space="preserve"> k zvýšeniu výkonnosti a efektívnosti všetkých zložiek spoločnosti. Zároveň prebiehali inovácie produktov životného a neživotného poistenia, inovácie prístupov k externým a interným klientom a potvrdzovanie zvýraznenia príslušnosti k silnej koncernovej značke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navo</w:t>
      </w:r>
      <w:r w:rsidR="009F7FD9" w:rsidRPr="00B014BC">
        <w:rPr>
          <w:rFonts w:cstheme="minorHAnsi"/>
        </w:rPr>
        <w:t>nok</w:t>
      </w:r>
      <w:r w:rsidRPr="00B014BC">
        <w:rPr>
          <w:rFonts w:cstheme="minorHAnsi"/>
        </w:rPr>
        <w:t xml:space="preserve"> aj dovnútra spoločnosti.</w:t>
      </w:r>
    </w:p>
    <w:p w14:paraId="451C9A51" w14:textId="50191BA9" w:rsidR="00033A27" w:rsidRPr="00B014BC" w:rsidRDefault="00033A27" w:rsidP="004518BB">
      <w:pPr>
        <w:autoSpaceDE w:val="0"/>
        <w:autoSpaceDN w:val="0"/>
        <w:adjustRightInd w:val="0"/>
        <w:spacing w:after="0" w:line="240" w:lineRule="auto"/>
        <w:rPr>
          <w:rFonts w:cstheme="minorHAnsi"/>
        </w:rPr>
      </w:pPr>
      <w:r w:rsidRPr="00B014BC">
        <w:rPr>
          <w:rFonts w:cstheme="minorHAnsi"/>
        </w:rPr>
        <w:t>Počas roka 201</w:t>
      </w:r>
      <w:r w:rsidR="000617D3" w:rsidRPr="00B014BC">
        <w:rPr>
          <w:rFonts w:cstheme="minorHAnsi"/>
        </w:rPr>
        <w:t>5</w:t>
      </w:r>
      <w:r w:rsidRPr="00B014BC">
        <w:rPr>
          <w:rFonts w:cstheme="minorHAnsi"/>
        </w:rPr>
        <w:t xml:space="preserve"> sme od našich klientov </w:t>
      </w:r>
      <w:r w:rsidR="003837E9" w:rsidRPr="00B014BC">
        <w:rPr>
          <w:rFonts w:cstheme="minorHAnsi"/>
        </w:rPr>
        <w:t>dostali</w:t>
      </w:r>
      <w:r w:rsidRPr="00B014BC">
        <w:rPr>
          <w:rFonts w:cstheme="minorHAnsi"/>
        </w:rPr>
        <w:t xml:space="preserve"> </w:t>
      </w:r>
      <w:r w:rsidR="003E1675" w:rsidRPr="00B014BC">
        <w:rPr>
          <w:rFonts w:cstheme="minorHAnsi"/>
        </w:rPr>
        <w:t>177</w:t>
      </w:r>
      <w:r w:rsidRPr="00B014BC">
        <w:rPr>
          <w:rFonts w:cstheme="minorHAnsi"/>
        </w:rPr>
        <w:t xml:space="preserve"> sťažností, z ktorých </w:t>
      </w:r>
      <w:r w:rsidR="003E1675" w:rsidRPr="00B014BC">
        <w:rPr>
          <w:rFonts w:cstheme="minorHAnsi"/>
        </w:rPr>
        <w:t>26</w:t>
      </w:r>
      <w:r w:rsidRPr="00B014BC">
        <w:rPr>
          <w:rFonts w:cstheme="minorHAnsi"/>
        </w:rPr>
        <w:t xml:space="preserve"> bolo opodstatnených a </w:t>
      </w:r>
      <w:r w:rsidR="003E1675" w:rsidRPr="00B014BC">
        <w:rPr>
          <w:rFonts w:cstheme="minorHAnsi"/>
        </w:rPr>
        <w:t>151</w:t>
      </w:r>
      <w:r w:rsidRPr="00B014BC">
        <w:rPr>
          <w:rFonts w:cstheme="minorHAnsi"/>
        </w:rPr>
        <w:t xml:space="preserve"> neopodstatnených.</w:t>
      </w:r>
    </w:p>
    <w:p w14:paraId="7558E898" w14:textId="7F79BB61" w:rsidR="005E0EA0" w:rsidRPr="00B014BC" w:rsidRDefault="005E0EA0" w:rsidP="004518BB">
      <w:pPr>
        <w:spacing w:after="0" w:line="240" w:lineRule="auto"/>
        <w:rPr>
          <w:rFonts w:cstheme="minorHAnsi"/>
        </w:rPr>
      </w:pPr>
      <w:r w:rsidRPr="00B014BC">
        <w:rPr>
          <w:rFonts w:cstheme="minorHAnsi"/>
        </w:rPr>
        <w:t xml:space="preserve">V </w:t>
      </w:r>
      <w:r w:rsidR="003023E8" w:rsidRPr="00B014BC">
        <w:rPr>
          <w:rFonts w:cstheme="minorHAnsi"/>
        </w:rPr>
        <w:t>rámci prípravy na Solventnosť II</w:t>
      </w:r>
      <w:r w:rsidRPr="00B014BC">
        <w:rPr>
          <w:rFonts w:cstheme="minorHAnsi"/>
        </w:rPr>
        <w:t xml:space="preserve"> pristúpila KOMUNÁLNA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k viac</w:t>
      </w:r>
      <w:r w:rsidR="003E1675" w:rsidRPr="00B014BC">
        <w:rPr>
          <w:rFonts w:cstheme="minorHAnsi"/>
        </w:rPr>
        <w:t>erým aktivitám, ktoré zabezpečili</w:t>
      </w:r>
      <w:r w:rsidRPr="00B014BC">
        <w:rPr>
          <w:rFonts w:cstheme="minorHAnsi"/>
        </w:rPr>
        <w:t xml:space="preserve"> náležitú a včasnú prípravu spoločnosti na novú reguláciu, ktorá vstúpi</w:t>
      </w:r>
      <w:r w:rsidR="003E1675" w:rsidRPr="00B014BC">
        <w:rPr>
          <w:rFonts w:cstheme="minorHAnsi"/>
        </w:rPr>
        <w:t>la</w:t>
      </w:r>
      <w:r w:rsidRPr="00B014BC">
        <w:rPr>
          <w:rFonts w:cstheme="minorHAnsi"/>
        </w:rPr>
        <w:t xml:space="preserve"> do platnosti 1. januára 2016. </w:t>
      </w:r>
    </w:p>
    <w:p w14:paraId="228ECD13" w14:textId="77777777" w:rsidR="00A96B87" w:rsidRPr="00B014BC" w:rsidRDefault="00A96B87" w:rsidP="004518BB">
      <w:pPr>
        <w:autoSpaceDE w:val="0"/>
        <w:autoSpaceDN w:val="0"/>
        <w:adjustRightInd w:val="0"/>
        <w:spacing w:after="0" w:line="240" w:lineRule="auto"/>
        <w:rPr>
          <w:rFonts w:cstheme="minorHAnsi"/>
        </w:rPr>
      </w:pPr>
      <w:r w:rsidRPr="00B014BC">
        <w:rPr>
          <w:rFonts w:cstheme="minorHAnsi"/>
        </w:rPr>
        <w:lastRenderedPageBreak/>
        <w:t xml:space="preserve">KOMUNÁLNA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sa počas celého roka prostredníctvom predsedu predstavenstva a generálneho riaditeľa aktívne zapájala do činnosti Slovenskej kancelárie poisťovateľov a Slovenskej asociácie poisťovní.</w:t>
      </w:r>
    </w:p>
    <w:p w14:paraId="5B5E05D4" w14:textId="77777777" w:rsidR="00A96B87" w:rsidRPr="00B014BC" w:rsidRDefault="003837E9" w:rsidP="004518BB">
      <w:pPr>
        <w:autoSpaceDE w:val="0"/>
        <w:autoSpaceDN w:val="0"/>
        <w:adjustRightInd w:val="0"/>
        <w:spacing w:after="0" w:line="240" w:lineRule="auto"/>
        <w:rPr>
          <w:rFonts w:cstheme="minorHAnsi"/>
        </w:rPr>
      </w:pPr>
      <w:r w:rsidRPr="00B014BC">
        <w:rPr>
          <w:rFonts w:cstheme="minorHAnsi"/>
        </w:rPr>
        <w:t>N</w:t>
      </w:r>
      <w:r w:rsidR="00A96B87" w:rsidRPr="00B014BC">
        <w:rPr>
          <w:rFonts w:cstheme="minorHAnsi"/>
        </w:rPr>
        <w:t>aďalej</w:t>
      </w:r>
      <w:r w:rsidRPr="00B014BC">
        <w:rPr>
          <w:rFonts w:cstheme="minorHAnsi"/>
        </w:rPr>
        <w:t xml:space="preserve"> sme</w:t>
      </w:r>
      <w:r w:rsidR="00A96B87" w:rsidRPr="00B014BC">
        <w:rPr>
          <w:rFonts w:cstheme="minorHAnsi"/>
        </w:rPr>
        <w:t xml:space="preserve"> upevňoval</w:t>
      </w:r>
      <w:r w:rsidRPr="00B014BC">
        <w:rPr>
          <w:rFonts w:cstheme="minorHAnsi"/>
        </w:rPr>
        <w:t>i</w:t>
      </w:r>
      <w:r w:rsidR="00A96B87" w:rsidRPr="00B014BC">
        <w:rPr>
          <w:rFonts w:cstheme="minorHAnsi"/>
        </w:rPr>
        <w:t xml:space="preserve"> spoluprác</w:t>
      </w:r>
      <w:r w:rsidRPr="00B014BC">
        <w:rPr>
          <w:rFonts w:cstheme="minorHAnsi"/>
        </w:rPr>
        <w:t>u</w:t>
      </w:r>
      <w:r w:rsidR="00A96B87" w:rsidRPr="00B014BC">
        <w:rPr>
          <w:rFonts w:cstheme="minorHAnsi"/>
        </w:rPr>
        <w:t xml:space="preserve"> so Združením miest a obcí Slovenska</w:t>
      </w:r>
      <w:r w:rsidRPr="00B014BC">
        <w:rPr>
          <w:rFonts w:cstheme="minorHAnsi"/>
        </w:rPr>
        <w:t xml:space="preserve"> (ZMOS)</w:t>
      </w:r>
      <w:r w:rsidR="00A96B87" w:rsidRPr="00B014BC">
        <w:rPr>
          <w:rFonts w:cstheme="minorHAnsi"/>
        </w:rPr>
        <w:t xml:space="preserve">, keď zástupcovia našej spoločnosti </w:t>
      </w:r>
      <w:r w:rsidRPr="00B014BC">
        <w:rPr>
          <w:rFonts w:cstheme="minorHAnsi"/>
        </w:rPr>
        <w:t xml:space="preserve">boli </w:t>
      </w:r>
      <w:r w:rsidR="00A96B87" w:rsidRPr="00B014BC">
        <w:rPr>
          <w:rFonts w:cstheme="minorHAnsi"/>
        </w:rPr>
        <w:t>pravidelne prizývaní na zasadnutia Rady ZMOS a celoslovenský snem ZMOS.</w:t>
      </w:r>
    </w:p>
    <w:p w14:paraId="21F3FFB7" w14:textId="77777777" w:rsidR="003271A4" w:rsidRPr="00B014BC" w:rsidRDefault="003271A4" w:rsidP="004518BB">
      <w:pPr>
        <w:autoSpaceDE w:val="0"/>
        <w:autoSpaceDN w:val="0"/>
        <w:adjustRightInd w:val="0"/>
        <w:spacing w:after="0" w:line="240" w:lineRule="auto"/>
        <w:rPr>
          <w:rFonts w:cstheme="minorHAnsi"/>
        </w:rPr>
      </w:pPr>
    </w:p>
    <w:p w14:paraId="28A5C641" w14:textId="77777777" w:rsidR="003271A4" w:rsidRPr="00B014BC" w:rsidRDefault="003271A4" w:rsidP="004518BB">
      <w:pPr>
        <w:autoSpaceDE w:val="0"/>
        <w:autoSpaceDN w:val="0"/>
        <w:adjustRightInd w:val="0"/>
        <w:spacing w:after="0" w:line="240" w:lineRule="auto"/>
        <w:rPr>
          <w:rFonts w:cstheme="minorHAnsi"/>
        </w:rPr>
      </w:pPr>
      <w:r w:rsidRPr="00B014BC">
        <w:rPr>
          <w:rFonts w:cstheme="minorHAnsi"/>
        </w:rPr>
        <w:t>Vážení akcionári,</w:t>
      </w:r>
    </w:p>
    <w:p w14:paraId="7AB37CFB" w14:textId="77777777" w:rsidR="003271A4" w:rsidRPr="00B014BC" w:rsidRDefault="003271A4" w:rsidP="004518BB">
      <w:pPr>
        <w:autoSpaceDE w:val="0"/>
        <w:autoSpaceDN w:val="0"/>
        <w:adjustRightInd w:val="0"/>
        <w:spacing w:after="0" w:line="240" w:lineRule="auto"/>
        <w:rPr>
          <w:rFonts w:cstheme="minorHAnsi"/>
        </w:rPr>
      </w:pPr>
    </w:p>
    <w:p w14:paraId="52CEB36D" w14:textId="384FC14E" w:rsidR="003271A4" w:rsidRPr="00B014BC" w:rsidRDefault="003271A4" w:rsidP="004518BB">
      <w:pPr>
        <w:autoSpaceDE w:val="0"/>
        <w:autoSpaceDN w:val="0"/>
        <w:adjustRightInd w:val="0"/>
        <w:spacing w:after="0" w:line="240" w:lineRule="auto"/>
        <w:rPr>
          <w:rFonts w:cstheme="minorHAnsi"/>
        </w:rPr>
      </w:pPr>
      <w:r w:rsidRPr="00B014BC">
        <w:rPr>
          <w:rFonts w:cstheme="minorHAnsi"/>
        </w:rPr>
        <w:t xml:space="preserve">uvedené výsledky nás zaväzujú </w:t>
      </w:r>
      <w:r w:rsidR="0038552B" w:rsidRPr="00B014BC">
        <w:rPr>
          <w:rFonts w:cstheme="minorHAnsi"/>
        </w:rPr>
        <w:t xml:space="preserve">aj v budúcnosti </w:t>
      </w:r>
      <w:r w:rsidRPr="00B014BC">
        <w:rPr>
          <w:rFonts w:cstheme="minorHAnsi"/>
        </w:rPr>
        <w:t>podávať výkony, ktoré od nás očakávate</w:t>
      </w:r>
      <w:r w:rsidR="003837E9" w:rsidRPr="00B014BC">
        <w:rPr>
          <w:rFonts w:cstheme="minorHAnsi"/>
        </w:rPr>
        <w:t xml:space="preserve"> -</w:t>
      </w:r>
      <w:r w:rsidRPr="00B014BC">
        <w:rPr>
          <w:rFonts w:cstheme="minorHAnsi"/>
        </w:rPr>
        <w:t xml:space="preserve"> zvyšovať kvalitu a efektívnosť hospodárenia. Počas roka 201</w:t>
      </w:r>
      <w:r w:rsidR="000617D3" w:rsidRPr="00B014BC">
        <w:rPr>
          <w:rFonts w:cstheme="minorHAnsi"/>
        </w:rPr>
        <w:t>5</w:t>
      </w:r>
      <w:r w:rsidRPr="00B014BC">
        <w:rPr>
          <w:rFonts w:cstheme="minorHAnsi"/>
        </w:rPr>
        <w:t xml:space="preserve"> sa</w:t>
      </w:r>
      <w:r w:rsidR="003837E9" w:rsidRPr="00B014BC">
        <w:rPr>
          <w:rFonts w:cstheme="minorHAnsi"/>
        </w:rPr>
        <w:t xml:space="preserve"> nám </w:t>
      </w:r>
      <w:r w:rsidRPr="00B014BC">
        <w:rPr>
          <w:rFonts w:cstheme="minorHAnsi"/>
        </w:rPr>
        <w:t xml:space="preserve">podarilo dosiahnuť náročné ciele a vytvorili sme dobrý predpoklad </w:t>
      </w:r>
      <w:r w:rsidR="003837E9" w:rsidRPr="00B014BC">
        <w:rPr>
          <w:rFonts w:cstheme="minorHAnsi"/>
        </w:rPr>
        <w:t>na</w:t>
      </w:r>
      <w:r w:rsidRPr="00B014BC">
        <w:rPr>
          <w:rFonts w:cstheme="minorHAnsi"/>
        </w:rPr>
        <w:t xml:space="preserve"> úspešné zvládnutie úloh pre ďalšie obdobia. V roku 201</w:t>
      </w:r>
      <w:r w:rsidR="000617D3" w:rsidRPr="00B014BC">
        <w:rPr>
          <w:rFonts w:cstheme="minorHAnsi"/>
        </w:rPr>
        <w:t>5</w:t>
      </w:r>
      <w:r w:rsidRPr="00B014BC">
        <w:rPr>
          <w:rFonts w:cstheme="minorHAnsi"/>
        </w:rPr>
        <w:t xml:space="preserve"> sa KOMUNÁLNA poisťovňa významne podieľala na úspešných výsledkoch skupiny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a aj v ďalšom období má za cieľ zvýšiť svoj trhový podiel a zisk spoločnosti a</w:t>
      </w:r>
      <w:r w:rsidR="003837E9" w:rsidRPr="00B014BC">
        <w:rPr>
          <w:rFonts w:cstheme="minorHAnsi"/>
        </w:rPr>
        <w:t> výraznejšie sa podieľať na celkových výsledkoch</w:t>
      </w:r>
      <w:r w:rsidRPr="00B014BC">
        <w:rPr>
          <w:rFonts w:cstheme="minorHAnsi"/>
        </w:rPr>
        <w:t xml:space="preserve"> skupiny na Slovensku. </w:t>
      </w:r>
    </w:p>
    <w:p w14:paraId="5EC63B61" w14:textId="2CDAC228" w:rsidR="003271A4" w:rsidRPr="00B014BC" w:rsidRDefault="003271A4" w:rsidP="004518BB">
      <w:pPr>
        <w:autoSpaceDE w:val="0"/>
        <w:autoSpaceDN w:val="0"/>
        <w:adjustRightInd w:val="0"/>
        <w:spacing w:after="0" w:line="240" w:lineRule="auto"/>
        <w:rPr>
          <w:rFonts w:cstheme="minorHAnsi"/>
        </w:rPr>
      </w:pPr>
      <w:r w:rsidRPr="00B014BC">
        <w:rPr>
          <w:rFonts w:cstheme="minorHAnsi"/>
        </w:rPr>
        <w:t xml:space="preserve">Na </w:t>
      </w:r>
      <w:r w:rsidR="003837E9" w:rsidRPr="00B014BC">
        <w:rPr>
          <w:rFonts w:cstheme="minorHAnsi"/>
        </w:rPr>
        <w:t>plnení</w:t>
      </w:r>
      <w:r w:rsidRPr="00B014BC">
        <w:rPr>
          <w:rFonts w:cstheme="minorHAnsi"/>
        </w:rPr>
        <w:t xml:space="preserve"> hospodárskych plánov a realizácii obchodných výsledkov sa budú podieľať všetky zložky spoločnosti, zamestnanci a spolupracovníci. </w:t>
      </w:r>
      <w:r w:rsidR="00F57A29" w:rsidRPr="00B014BC">
        <w:rPr>
          <w:rFonts w:cstheme="minorHAnsi"/>
        </w:rPr>
        <w:t>Na strane</w:t>
      </w:r>
      <w:r w:rsidRPr="00B014BC">
        <w:rPr>
          <w:rFonts w:cstheme="minorHAnsi"/>
        </w:rPr>
        <w:t xml:space="preserve"> vedenia </w:t>
      </w:r>
      <w:r w:rsidR="003837E9" w:rsidRPr="00B014BC">
        <w:rPr>
          <w:rFonts w:cstheme="minorHAnsi"/>
        </w:rPr>
        <w:t xml:space="preserve">bude </w:t>
      </w:r>
      <w:r w:rsidR="00F57A29" w:rsidRPr="00B014BC">
        <w:rPr>
          <w:rFonts w:cstheme="minorHAnsi"/>
        </w:rPr>
        <w:t>našou podporou</w:t>
      </w:r>
      <w:r w:rsidR="003837E9" w:rsidRPr="00B014BC">
        <w:rPr>
          <w:rFonts w:cstheme="minorHAnsi"/>
        </w:rPr>
        <w:t xml:space="preserve"> správne </w:t>
      </w:r>
      <w:r w:rsidR="00F57A29" w:rsidRPr="00B014BC">
        <w:rPr>
          <w:rFonts w:cstheme="minorHAnsi"/>
        </w:rPr>
        <w:t>zvolená stratégia a neustála motivácia, na strane</w:t>
      </w:r>
      <w:r w:rsidRPr="00B014BC">
        <w:rPr>
          <w:rFonts w:cstheme="minorHAnsi"/>
        </w:rPr>
        <w:t xml:space="preserve"> zamestnancov a</w:t>
      </w:r>
      <w:r w:rsidR="00F57A29" w:rsidRPr="00B014BC">
        <w:rPr>
          <w:rFonts w:cstheme="minorHAnsi"/>
        </w:rPr>
        <w:t> spolupracovníkov angažovanosť a starostlivosť</w:t>
      </w:r>
      <w:r w:rsidRPr="00B014BC">
        <w:rPr>
          <w:rFonts w:cstheme="minorHAnsi"/>
        </w:rPr>
        <w:t xml:space="preserve"> o klientov. To všetko </w:t>
      </w:r>
      <w:r w:rsidR="003837E9" w:rsidRPr="00B014BC">
        <w:rPr>
          <w:rFonts w:cstheme="minorHAnsi"/>
        </w:rPr>
        <w:t>má prispieť</w:t>
      </w:r>
      <w:r w:rsidRPr="00B014BC">
        <w:rPr>
          <w:rFonts w:cstheme="minorHAnsi"/>
        </w:rPr>
        <w:t xml:space="preserve"> k dosiahnutiu ďalších úspechov spoločnosti KOMUNÁLNA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na poistnom trhu Slovenskej republiky v nasledujúcich rokoch.</w:t>
      </w:r>
    </w:p>
    <w:p w14:paraId="75E0EFD2" w14:textId="77777777" w:rsidR="003271A4" w:rsidRPr="00B014BC" w:rsidRDefault="003271A4" w:rsidP="004518BB">
      <w:pPr>
        <w:autoSpaceDE w:val="0"/>
        <w:autoSpaceDN w:val="0"/>
        <w:adjustRightInd w:val="0"/>
        <w:spacing w:after="0" w:line="240" w:lineRule="auto"/>
        <w:rPr>
          <w:rFonts w:cstheme="minorHAnsi"/>
        </w:rPr>
      </w:pPr>
    </w:p>
    <w:p w14:paraId="515D4798" w14:textId="77777777" w:rsidR="003271A4" w:rsidRPr="00B014BC" w:rsidRDefault="003271A4" w:rsidP="004518BB">
      <w:pPr>
        <w:autoSpaceDE w:val="0"/>
        <w:autoSpaceDN w:val="0"/>
        <w:adjustRightInd w:val="0"/>
        <w:spacing w:after="0" w:line="240" w:lineRule="auto"/>
        <w:rPr>
          <w:rFonts w:cstheme="minorHAnsi"/>
          <w:b/>
        </w:rPr>
      </w:pPr>
      <w:r w:rsidRPr="00B014BC">
        <w:rPr>
          <w:rFonts w:cstheme="minorHAnsi"/>
          <w:b/>
        </w:rPr>
        <w:t xml:space="preserve">Ing. Vladimír </w:t>
      </w:r>
      <w:proofErr w:type="spellStart"/>
      <w:r w:rsidRPr="00B014BC">
        <w:rPr>
          <w:rFonts w:cstheme="minorHAnsi"/>
          <w:b/>
        </w:rPr>
        <w:t>Bakeš</w:t>
      </w:r>
      <w:proofErr w:type="spellEnd"/>
    </w:p>
    <w:p w14:paraId="02907940" w14:textId="77777777" w:rsidR="003271A4" w:rsidRPr="00B014BC" w:rsidRDefault="003271A4" w:rsidP="004518BB">
      <w:pPr>
        <w:autoSpaceDE w:val="0"/>
        <w:autoSpaceDN w:val="0"/>
        <w:adjustRightInd w:val="0"/>
        <w:spacing w:after="0" w:line="240" w:lineRule="auto"/>
        <w:rPr>
          <w:rFonts w:cstheme="minorHAnsi"/>
          <w:b/>
        </w:rPr>
      </w:pPr>
      <w:r w:rsidRPr="00B014BC">
        <w:rPr>
          <w:rFonts w:cstheme="minorHAnsi"/>
          <w:b/>
        </w:rPr>
        <w:t>predseda predstavenstva a generálny riaditeľ</w:t>
      </w:r>
    </w:p>
    <w:p w14:paraId="7B88365B" w14:textId="77777777" w:rsidR="003271A4" w:rsidRPr="00B014BC" w:rsidRDefault="003271A4" w:rsidP="004518BB">
      <w:pPr>
        <w:autoSpaceDE w:val="0"/>
        <w:autoSpaceDN w:val="0"/>
        <w:adjustRightInd w:val="0"/>
        <w:spacing w:after="0" w:line="240" w:lineRule="auto"/>
        <w:rPr>
          <w:rFonts w:cstheme="minorHAnsi"/>
          <w:b/>
        </w:rPr>
      </w:pPr>
    </w:p>
    <w:p w14:paraId="339A4469" w14:textId="77777777" w:rsidR="003271A4" w:rsidRPr="00B014BC" w:rsidRDefault="00E6419C" w:rsidP="004518BB">
      <w:pPr>
        <w:autoSpaceDE w:val="0"/>
        <w:autoSpaceDN w:val="0"/>
        <w:adjustRightInd w:val="0"/>
        <w:spacing w:after="0" w:line="240" w:lineRule="auto"/>
        <w:rPr>
          <w:rFonts w:cstheme="minorHAnsi"/>
        </w:rPr>
      </w:pPr>
      <w:r w:rsidRPr="00B014BC">
        <w:rPr>
          <w:rFonts w:cstheme="minorHAnsi"/>
        </w:rPr>
        <w:t>Bratislava, marec 2016</w:t>
      </w:r>
    </w:p>
    <w:p w14:paraId="403F4A95" w14:textId="77777777" w:rsidR="000A6322" w:rsidRPr="00B014BC" w:rsidRDefault="000A6322" w:rsidP="004518BB">
      <w:pPr>
        <w:spacing w:after="0" w:line="240" w:lineRule="auto"/>
        <w:rPr>
          <w:rFonts w:cstheme="minorHAnsi"/>
          <w:b/>
        </w:rPr>
      </w:pPr>
    </w:p>
    <w:p w14:paraId="125BFEDD"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5.1 Ekonomické prostredie a poistný trh</w:t>
      </w:r>
    </w:p>
    <w:p w14:paraId="6E4D0F24" w14:textId="77777777" w:rsidR="00E6419C" w:rsidRPr="00B014BC" w:rsidRDefault="00E6419C" w:rsidP="004518BB">
      <w:pPr>
        <w:spacing w:after="0" w:line="240" w:lineRule="auto"/>
        <w:rPr>
          <w:rFonts w:ascii="Calibri" w:hAnsi="Calibri" w:cs="Calibri"/>
          <w:color w:val="000000"/>
        </w:rPr>
      </w:pPr>
    </w:p>
    <w:p w14:paraId="1D4AD463" w14:textId="768C680D" w:rsidR="00E6419C" w:rsidRPr="00B014BC" w:rsidRDefault="00E6419C" w:rsidP="004518BB">
      <w:pPr>
        <w:spacing w:after="0" w:line="240" w:lineRule="auto"/>
      </w:pPr>
      <w:r w:rsidRPr="00B014BC">
        <w:t>Slovenskej ekono</w:t>
      </w:r>
      <w:r w:rsidR="00F57A29" w:rsidRPr="00B014BC">
        <w:t>mike sa v roku 2015 darilo viac</w:t>
      </w:r>
      <w:r w:rsidRPr="00B014BC">
        <w:t xml:space="preserve"> ako sa očakávalo. Kým v roku 2012</w:t>
      </w:r>
      <w:r w:rsidR="00F57A29" w:rsidRPr="00B014BC">
        <w:t xml:space="preserve"> ju</w:t>
      </w:r>
      <w:r w:rsidRPr="00B014BC">
        <w:t xml:space="preserve"> ťahal najmä export, v roku 2015 už boli pre rast najdôležitejšie domáci dopyt, spotreba a investície. Slovenská ekonomika si v roku 2015 reálne prilepšila o 3,5 percenta. Nad očakávania rýchlejší rast HDP bol dôsledkom najmä prudkého rastu verejných investícií, ktoré boli v treťom štvrťroku medziročne vyššie o viac ako 70 percent. Takýto nárast investícií súvisel s nutnosťou dočerpať eurofondy z programovacieho obdobia na roky 2007 až 2013, ktoré boli dostupné iba do konca roku 2015. Keďže ekonomika rástla, stúpali aj mzdy a klesala nezamestnanosť. Slováci minuli viac peňazí v obchodoch, kupovali nové nehnuteľnosti alebo rekonštruovali staré.</w:t>
      </w:r>
    </w:p>
    <w:p w14:paraId="5AC29AA0" w14:textId="485F80CE" w:rsidR="00E6419C" w:rsidRPr="00B014BC" w:rsidRDefault="00E6419C" w:rsidP="004518BB">
      <w:pPr>
        <w:spacing w:after="0" w:line="240" w:lineRule="auto"/>
      </w:pPr>
      <w:r w:rsidRPr="00B014BC">
        <w:t>Rýchlejší rast ekonomiky sa pretavil aj do výraznejšieho zlepšenia na trhu práce. Ten v roku 2015 pokoril dva míľniky - počet pracovných miest v ekonomike prekonal predkrízové maximum a miera nezamestnanosti klesla na úroveň eurozóny, a to vôbec prvýkrát. Trh práce sa zlepšil natoľko, že v októbri prvýkrát v histórii klesla nezamestnanosť na Slovensku na úroveň eurozóny. Nezamestnanosť sme mali na úrovni 10,7 percenta a je možné, že bude ešte klesať. Vďaka zlepšeniu na trhu práce rástla aj spotreba do</w:t>
      </w:r>
      <w:r w:rsidR="00F57A29" w:rsidRPr="00B014BC">
        <w:t>mácností, hoci o niečo pomalšie</w:t>
      </w:r>
      <w:r w:rsidRPr="00B014BC">
        <w:t xml:space="preserve"> ako by sme čakal</w:t>
      </w:r>
      <w:r w:rsidR="00B07585" w:rsidRPr="00B014BC">
        <w:t>i. Intenzívnejšie sa zrýchľovali</w:t>
      </w:r>
      <w:r w:rsidRPr="00B014BC">
        <w:t xml:space="preserve"> </w:t>
      </w:r>
      <w:r w:rsidR="00B07585" w:rsidRPr="00B014BC">
        <w:t>verejné výdavky</w:t>
      </w:r>
      <w:r w:rsidRPr="00B014BC">
        <w:t xml:space="preserve">. Aktivita v zahraničnom obchode sa tiež zvyšovala, no rast dovozov prekonal vývozy, a k celkovému rastu HDP v roku 2015 pozitívne prispel </w:t>
      </w:r>
      <w:r w:rsidR="00B07585" w:rsidRPr="00B014BC">
        <w:t>najmä</w:t>
      </w:r>
      <w:r w:rsidRPr="00B014BC">
        <w:t xml:space="preserve"> domáci dopyt, teda investície a spotreba.</w:t>
      </w:r>
    </w:p>
    <w:p w14:paraId="76B2E2F5" w14:textId="12DD29B1" w:rsidR="00E6419C" w:rsidRPr="00B014BC" w:rsidRDefault="00FC63D7" w:rsidP="004518BB">
      <w:pPr>
        <w:spacing w:after="0" w:line="240" w:lineRule="auto"/>
        <w:rPr>
          <w:b/>
        </w:rPr>
      </w:pPr>
      <w:r w:rsidRPr="00B014BC">
        <w:rPr>
          <w:rFonts w:ascii="Calibri" w:hAnsi="Calibri" w:cs="Calibri"/>
        </w:rPr>
        <w:t>Kým v eurozóne sa ceny za rok 2015 takmer nemenili, na Slovensku mali mierne klesajúcu tendenciu.</w:t>
      </w:r>
      <w:r w:rsidR="00E6419C" w:rsidRPr="00B014BC">
        <w:rPr>
          <w:rFonts w:eastAsia="Times New Roman" w:cstheme="minorHAnsi"/>
          <w:lang w:eastAsia="sk-SK"/>
        </w:rPr>
        <w:t xml:space="preserve"> Miernu defláciu máme na Sloven</w:t>
      </w:r>
      <w:r w:rsidR="00F57A29" w:rsidRPr="00B014BC">
        <w:rPr>
          <w:rFonts w:eastAsia="Times New Roman" w:cstheme="minorHAnsi"/>
          <w:lang w:eastAsia="sk-SK"/>
        </w:rPr>
        <w:t>s</w:t>
      </w:r>
      <w:r w:rsidR="00E6419C" w:rsidRPr="00B014BC">
        <w:rPr>
          <w:rFonts w:eastAsia="Times New Roman" w:cstheme="minorHAnsi"/>
          <w:lang w:eastAsia="sk-SK"/>
        </w:rPr>
        <w:t>ku už dva roky. Pokles cien súvisí najmä s nižšími cenami energií, ale aj s absenciou akýchkoľvek dopytových inflačných tlakov.</w:t>
      </w:r>
    </w:p>
    <w:p w14:paraId="47B9D45A" w14:textId="77777777" w:rsidR="00E6419C" w:rsidRPr="00B014BC" w:rsidRDefault="00E6419C" w:rsidP="004518BB">
      <w:pPr>
        <w:spacing w:after="0" w:line="240" w:lineRule="auto"/>
      </w:pPr>
      <w:r w:rsidRPr="00B014BC">
        <w:t xml:space="preserve">Úrokové sadzby bankových úverov spojených s bývaním sa počas roka opäť o čosi znížili a pokorili doterajšie najnižšie úrovne. Bežný klient mohol na konci roka získať o desatinu nižšiu sadzbu než na jeho začiatku. Najžiadanejšie fixácie úrokových sadzieb tak rok ukončovali na hladine 2,09 percenta pri trojročnom a 2,53 percenta pri päťročnom variante. Zníženie </w:t>
      </w:r>
      <w:proofErr w:type="spellStart"/>
      <w:r w:rsidRPr="00B014BC">
        <w:t>hyposadzieb</w:t>
      </w:r>
      <w:proofErr w:type="spellEnd"/>
      <w:r w:rsidRPr="00B014BC">
        <w:t xml:space="preserve"> vyvolané politikou </w:t>
      </w:r>
      <w:r w:rsidRPr="00B014BC">
        <w:lastRenderedPageBreak/>
        <w:t xml:space="preserve">Európskej centrálnej banky i konkurenčným bojom umožnilo klientom zadlžiť sa na vyššie sumy, respektíve sprístupnilo úver väčšiemu počtu klientov. </w:t>
      </w:r>
    </w:p>
    <w:p w14:paraId="3F146A92" w14:textId="77777777" w:rsidR="00E6419C" w:rsidRPr="00B014BC" w:rsidRDefault="00E6419C" w:rsidP="004518BB">
      <w:pPr>
        <w:spacing w:after="0" w:line="240" w:lineRule="auto"/>
        <w:rPr>
          <w:b/>
        </w:rPr>
      </w:pPr>
      <w:r w:rsidRPr="00B014BC">
        <w:t>Podielové fondy ešte na začiatku roka 2015 nadštandardne rástli, ale potom postupne väčšina fondov zaznamenala medziročné poklesy výnosov. Na akciových trhoch to spôsobilo zvýšenú nervozitu investorov. Trhy rastú už viac ako šesť rokov, čo je jedno z najdlhších období rastu v histórii. Aj preto akákoľvek negatívna informácia spôsobovala väčšiu či menšiu paniku. Zvýšená nervozita spôsobovala aj zvyšovanie rizikových prirážok na dlhopisových trhoch, čo malo zase za následok kolísanie cien aj konzervatívnejších nástrojov, ako sú napríklad dlhopisy.</w:t>
      </w:r>
      <w:r w:rsidRPr="00B014BC">
        <w:br/>
        <w:t>V priebehu roka rástli aj výnosy niektorých fondov. Najzaujímavejšie výnosy zaznamenali investori, ktorí mali investované v dolároch, prípadne dolárových aktívach. Tí ťažili z posilnenia dolára oproti euru. Celkovo sa darilo akciám na vyspelých trhoch, ktoré zažili pomerne úspešný rok. Prognóza na budúci rok je skôr optimistická.</w:t>
      </w:r>
      <w:r w:rsidRPr="00B014BC">
        <w:br/>
      </w:r>
    </w:p>
    <w:p w14:paraId="0D492FC5" w14:textId="77777777" w:rsidR="00E6419C" w:rsidRPr="00B014BC" w:rsidRDefault="00E6419C" w:rsidP="004518BB">
      <w:pPr>
        <w:spacing w:after="0" w:line="240" w:lineRule="auto"/>
        <w:rPr>
          <w:rFonts w:cstheme="minorHAnsi"/>
          <w:b/>
        </w:rPr>
      </w:pPr>
      <w:r w:rsidRPr="00B014BC">
        <w:rPr>
          <w:rFonts w:cstheme="minorHAnsi"/>
          <w:b/>
        </w:rPr>
        <w:t>Vývoj slovenského poistného trhu v roku 2015</w:t>
      </w:r>
    </w:p>
    <w:p w14:paraId="48736083" w14:textId="67250265" w:rsidR="00E6419C" w:rsidRPr="00B014BC" w:rsidRDefault="00E6419C" w:rsidP="004518BB">
      <w:pPr>
        <w:spacing w:after="0" w:line="240" w:lineRule="auto"/>
      </w:pPr>
      <w:r w:rsidRPr="00B014BC">
        <w:t>Poistný trh bol v roku 2015 charakteristický aj zmenou názvov niektorých poisťovní. Málokedy pritom išlo o dôsledok fúzie či akvizície. Od začiatku roka sa vrátila k svojej pôvodnej jednoduchej verzii názvu poisťovňa Generali. Poisťovňa prebrala pod svoje krídla aj p</w:t>
      </w:r>
      <w:r w:rsidR="00F57A29" w:rsidRPr="00B014BC">
        <w:t xml:space="preserve">obočky iných koncernov Generali - </w:t>
      </w:r>
      <w:r w:rsidRPr="00B014BC">
        <w:t>jej súčasťou</w:t>
      </w:r>
      <w:r w:rsidR="00F57A29" w:rsidRPr="00B014BC">
        <w:t xml:space="preserve"> sa</w:t>
      </w:r>
      <w:r w:rsidRPr="00B014BC">
        <w:t xml:space="preserve"> stali </w:t>
      </w:r>
      <w:proofErr w:type="spellStart"/>
      <w:r w:rsidRPr="00B014BC">
        <w:t>Genertel</w:t>
      </w:r>
      <w:proofErr w:type="spellEnd"/>
      <w:r w:rsidRPr="00B014BC">
        <w:t xml:space="preserve"> a Európska cestovná poisťovňa. Hlavne </w:t>
      </w:r>
      <w:proofErr w:type="spellStart"/>
      <w:r w:rsidRPr="00B014BC">
        <w:t>Genertel</w:t>
      </w:r>
      <w:proofErr w:type="spellEnd"/>
      <w:r w:rsidRPr="00B014BC">
        <w:t>, pôsobiaci primárne na trhu povinného zmluvného poistenia, prispel významne k</w:t>
      </w:r>
      <w:r w:rsidR="00FD6128" w:rsidRPr="00B014BC">
        <w:t xml:space="preserve"> rastu. </w:t>
      </w:r>
      <w:r w:rsidRPr="00B014BC">
        <w:t>Prechod o</w:t>
      </w:r>
      <w:r w:rsidR="00F57A29" w:rsidRPr="00B014BC">
        <w:t>d zaužívanej značky ING k novej</w:t>
      </w:r>
      <w:r w:rsidRPr="00B014BC">
        <w:t xml:space="preserve"> NN je zasa súčasťou </w:t>
      </w:r>
      <w:proofErr w:type="spellStart"/>
      <w:r w:rsidRPr="00B014BC">
        <w:t>celokoncernovej</w:t>
      </w:r>
      <w:proofErr w:type="spellEnd"/>
      <w:r w:rsidRPr="00B014BC">
        <w:t xml:space="preserve"> zmeny holandskej poisťovne po celom svete. Pôvodné ING sa stalo čisto bankovou skupinou – tak znela dohoda s holandskou vládou, ktorá firme pomáhala v časoch finančnej krízy. Poistná časť ING sa od nej oddelila a stala sa nezávislou, pričom prechod na značku NN je potvrdením tejto samostatnosti. Historicky nová skratka nadväzuje na Nationale </w:t>
      </w:r>
      <w:proofErr w:type="spellStart"/>
      <w:r w:rsidRPr="00B014BC">
        <w:t>Nederlanden</w:t>
      </w:r>
      <w:proofErr w:type="spellEnd"/>
      <w:r w:rsidRPr="00B014BC">
        <w:t xml:space="preserve">, úplne pôvodný názov poisťovne. Miernu zmenu v názve má za sebou aj Poštová poisťovňa, predtým Poisťovňa Poštovej banky. Reflektuje </w:t>
      </w:r>
      <w:r w:rsidRPr="00B014BC">
        <w:rPr>
          <w:color w:val="000000" w:themeColor="text1"/>
        </w:rPr>
        <w:t xml:space="preserve">tak vstup nového </w:t>
      </w:r>
      <w:proofErr w:type="spellStart"/>
      <w:r w:rsidRPr="00B014BC">
        <w:rPr>
          <w:color w:val="000000" w:themeColor="text1"/>
        </w:rPr>
        <w:t>spoluakcionára</w:t>
      </w:r>
      <w:proofErr w:type="spellEnd"/>
      <w:r w:rsidRPr="00B014BC">
        <w:rPr>
          <w:color w:val="000000" w:themeColor="text1"/>
        </w:rPr>
        <w:t xml:space="preserve">, štátnu Slovenskú poštu. </w:t>
      </w:r>
    </w:p>
    <w:p w14:paraId="76E4D0AD" w14:textId="0DFA4F1D" w:rsidR="00E6419C" w:rsidRPr="00B014BC" w:rsidRDefault="00E6419C" w:rsidP="004518BB">
      <w:pPr>
        <w:spacing w:after="0" w:line="240" w:lineRule="auto"/>
      </w:pPr>
      <w:r w:rsidRPr="00B014BC">
        <w:rPr>
          <w:rFonts w:cstheme="minorHAnsi"/>
          <w:color w:val="000000" w:themeColor="text1"/>
          <w:szCs w:val="24"/>
        </w:rPr>
        <w:t xml:space="preserve">Hoci sa slovenský trh ukazuje v dobrej kondícii, od septembra 2015 na ňom pôsobí o jednu poisťovňu menej. </w:t>
      </w:r>
      <w:r w:rsidR="0058750D" w:rsidRPr="00B014BC">
        <w:rPr>
          <w:rFonts w:ascii="Calibri" w:hAnsi="Calibri" w:cs="Times New Roman"/>
        </w:rPr>
        <w:t xml:space="preserve">V dôsledku uvalenia nútenej správy pre platobnú neschopnosť na poisťovňu Astra na jej domovskom poistnom trhu v Rumunsku skončila svoju činnosť aj jej dcérska spoločnosť na Slovensku. </w:t>
      </w:r>
      <w:r w:rsidRPr="00B014BC">
        <w:rPr>
          <w:color w:val="000000" w:themeColor="text1"/>
        </w:rPr>
        <w:t xml:space="preserve">Vôbec najzásadnejšou zmenou na slovenskom poistnom trhu je však premena trhovej päťky </w:t>
      </w:r>
      <w:proofErr w:type="spellStart"/>
      <w:r w:rsidRPr="00B014BC">
        <w:rPr>
          <w:color w:val="000000" w:themeColor="text1"/>
        </w:rPr>
        <w:t>MetLife</w:t>
      </w:r>
      <w:proofErr w:type="spellEnd"/>
      <w:r w:rsidRPr="00B014BC">
        <w:rPr>
          <w:color w:val="000000" w:themeColor="text1"/>
        </w:rPr>
        <w:t xml:space="preserve"> na pobočku zahraničnej – v tomto prípade írskej – poisťovne. </w:t>
      </w:r>
    </w:p>
    <w:p w14:paraId="43266F30" w14:textId="6E1BAD70" w:rsidR="00E6419C" w:rsidRPr="00B014BC" w:rsidRDefault="00E6419C" w:rsidP="004518BB">
      <w:pPr>
        <w:spacing w:after="0" w:line="240" w:lineRule="auto"/>
      </w:pPr>
      <w:r w:rsidRPr="00B014BC">
        <w:t xml:space="preserve">Slabé výsledky trhu životného poistenia možno čiastočne pripísať aj distribúcii: na prelome rokov 2014 a 2015 sa externé siete sústredili viac na predaj hypotekárnych úverov. Od druhého štvrťroka 2015 začalo platiť odporúčanie Národnej banky Slovenska o obmedzení poskytovania úverov hlavne s vysokým pomerom k cene založenej nehnuteľnosti. Národná banka Slovenska určila maximálnu technickú úrokovú mieru na hodnotu 1,9 %, ktorú poisťovne garantovali v prípade kapitálových produktov. Celkovo však môžeme konštatovať, že u Slovákov badať vyššiu akceptáciu rizika v oblasti životného poistenia. Oveľa častejšie siahajú po investičných produktoch, kde sú výnosy </w:t>
      </w:r>
      <w:r w:rsidR="00F57A29" w:rsidRPr="00B014BC">
        <w:t>o dosť</w:t>
      </w:r>
      <w:r w:rsidRPr="00B014BC">
        <w:t xml:space="preserve"> zaujímavejšie, ale na druhej strane prípadné straty znášajú v plnej miere. Dôvodom je, že maximálny garantovaný úrok v kapitálových poisteniach sa nariadením NBS každý rok znižuje, čím strácajú na atraktivite.</w:t>
      </w:r>
    </w:p>
    <w:p w14:paraId="56358F0C" w14:textId="36D99A79" w:rsidR="000A6322" w:rsidRPr="00B014BC" w:rsidRDefault="00E6419C" w:rsidP="004518BB">
      <w:pPr>
        <w:spacing w:after="0" w:line="240" w:lineRule="auto"/>
      </w:pPr>
      <w:r w:rsidRPr="00B014BC">
        <w:t xml:space="preserve">Poisťovne </w:t>
      </w:r>
      <w:r w:rsidR="004518BB" w:rsidRPr="00B014BC">
        <w:t>finišovali</w:t>
      </w:r>
      <w:r w:rsidRPr="00B014BC">
        <w:t xml:space="preserve"> s prípravou na pravidlá </w:t>
      </w:r>
      <w:proofErr w:type="spellStart"/>
      <w:r w:rsidRPr="00B014BC">
        <w:t>Solvency</w:t>
      </w:r>
      <w:proofErr w:type="spellEnd"/>
      <w:r w:rsidRPr="00B014BC">
        <w:t xml:space="preserve"> II, ktoré</w:t>
      </w:r>
      <w:r w:rsidR="004518BB" w:rsidRPr="00B014BC">
        <w:t xml:space="preserve"> si vyžiadali </w:t>
      </w:r>
      <w:r w:rsidRPr="00B014BC">
        <w:t xml:space="preserve">výrazné náklady na zmeny v IT systémoch a v niektorých prípadoch aj na dotvorenie kapitálových rezerv. S čím treba do budúcnosti počítať, je zmena ďalších poisťovní na pobočky: práve </w:t>
      </w:r>
      <w:proofErr w:type="spellStart"/>
      <w:r w:rsidRPr="00B014BC">
        <w:t>Solvency</w:t>
      </w:r>
      <w:proofErr w:type="spellEnd"/>
      <w:r w:rsidRPr="00B014BC">
        <w:t xml:space="preserve"> II nahráva veľkým konglomerátom, ktoré majú oveľa väčšiu kontrolu nad pobočkami než nad dcérami. Sieť pobočiek sa navyše jednoduchšie riadi z hľadiska potrebného kapitálu, keďže so zvyšovaním imania dcér sú vždy spojené administratívne a iné náklady.</w:t>
      </w:r>
    </w:p>
    <w:p w14:paraId="23CCB2FF" w14:textId="77777777" w:rsidR="00616C12" w:rsidRPr="00B014BC" w:rsidRDefault="00616C12" w:rsidP="004518BB">
      <w:pPr>
        <w:spacing w:after="0" w:line="240" w:lineRule="auto"/>
        <w:rPr>
          <w:rFonts w:eastAsia="Times New Roman" w:cstheme="minorHAnsi"/>
          <w:szCs w:val="24"/>
          <w:lang w:eastAsia="sk-SK"/>
        </w:rPr>
      </w:pPr>
    </w:p>
    <w:p w14:paraId="0B8D9E75"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5.2 Bilancia obchodného roka</w:t>
      </w:r>
    </w:p>
    <w:p w14:paraId="53049B16" w14:textId="77777777" w:rsidR="003271A4" w:rsidRPr="00B014BC" w:rsidRDefault="003271A4" w:rsidP="004518BB">
      <w:pPr>
        <w:spacing w:after="0" w:line="240" w:lineRule="auto"/>
        <w:rPr>
          <w:rFonts w:cstheme="minorHAnsi"/>
          <w:b/>
        </w:rPr>
      </w:pPr>
    </w:p>
    <w:p w14:paraId="7EFBA651" w14:textId="71B2D197" w:rsidR="00616C12" w:rsidRPr="00B014BC" w:rsidRDefault="00616C12" w:rsidP="00616C12">
      <w:pPr>
        <w:spacing w:after="0" w:line="240" w:lineRule="auto"/>
        <w:rPr>
          <w:rFonts w:cs="Helvetica"/>
          <w:color w:val="333333"/>
        </w:rPr>
      </w:pPr>
      <w:r w:rsidRPr="00B014BC">
        <w:rPr>
          <w:rFonts w:cs="Helvetica"/>
          <w:color w:val="333333"/>
        </w:rPr>
        <w:t xml:space="preserve">Rok 2015, nech bol akýkoľvek, bol z tých lepších. Ako hovoria analytici, rástli sme rýchlo, no vzhľadom na Európu to nebolo žiadne </w:t>
      </w:r>
      <w:r w:rsidR="00F57A29" w:rsidRPr="00B014BC">
        <w:rPr>
          <w:rFonts w:cs="Helvetica"/>
          <w:color w:val="333333"/>
        </w:rPr>
        <w:t>„</w:t>
      </w:r>
      <w:r w:rsidRPr="00B014BC">
        <w:rPr>
          <w:rFonts w:cs="Helvetica"/>
          <w:color w:val="333333"/>
        </w:rPr>
        <w:t>terno</w:t>
      </w:r>
      <w:r w:rsidR="00F57A29" w:rsidRPr="00B014BC">
        <w:rPr>
          <w:rFonts w:cs="Helvetica"/>
          <w:color w:val="333333"/>
        </w:rPr>
        <w:t>“</w:t>
      </w:r>
      <w:r w:rsidRPr="00B014BC">
        <w:rPr>
          <w:rFonts w:cs="Helvetica"/>
          <w:color w:val="333333"/>
        </w:rPr>
        <w:t xml:space="preserve">. A hoci sa politici dušujú, že dôvera investorov je zásluhou </w:t>
      </w:r>
      <w:r w:rsidRPr="00B014BC">
        <w:rPr>
          <w:rFonts w:cs="Helvetica"/>
          <w:color w:val="333333"/>
        </w:rPr>
        <w:lastRenderedPageBreak/>
        <w:t>dobrého hospodárenia, počas roka nám pomáhalo niečo iné.</w:t>
      </w:r>
      <w:r w:rsidRPr="00B014BC">
        <w:rPr>
          <w:rFonts w:ascii="Roboto-Regular-webfont" w:hAnsi="Roboto-Regular-webfont" w:cs="Helvetica"/>
          <w:color w:val="333333"/>
          <w:sz w:val="21"/>
          <w:szCs w:val="21"/>
        </w:rPr>
        <w:t xml:space="preserve"> </w:t>
      </w:r>
      <w:r w:rsidRPr="00B014BC">
        <w:rPr>
          <w:rFonts w:cs="Helvetica"/>
          <w:color w:val="333333"/>
        </w:rPr>
        <w:t xml:space="preserve">Ekonomika rástla, </w:t>
      </w:r>
      <w:proofErr w:type="spellStart"/>
      <w:r w:rsidRPr="00B014BC">
        <w:rPr>
          <w:rFonts w:cs="Helvetica"/>
          <w:color w:val="333333"/>
        </w:rPr>
        <w:t>zafungovali</w:t>
      </w:r>
      <w:proofErr w:type="spellEnd"/>
      <w:r w:rsidRPr="00B014BC">
        <w:rPr>
          <w:rFonts w:cs="Helvetica"/>
          <w:color w:val="333333"/>
        </w:rPr>
        <w:t xml:space="preserve"> eurofondy, pracovných miest bolo rekordne veľa, rástla dôveryhodnosť voči našim dlhopisom a súkromná spotreba ťahala ľudí do obchodov čoraz častejšie. </w:t>
      </w:r>
    </w:p>
    <w:p w14:paraId="17286EC9" w14:textId="69BA690E" w:rsidR="00616C12" w:rsidRPr="00B014BC" w:rsidRDefault="00616C12" w:rsidP="00616C12">
      <w:pPr>
        <w:spacing w:after="0" w:line="240" w:lineRule="auto"/>
        <w:rPr>
          <w:rFonts w:cs="Helvetica"/>
          <w:color w:val="333333"/>
        </w:rPr>
      </w:pPr>
      <w:r w:rsidRPr="00B014BC">
        <w:rPr>
          <w:rFonts w:cs="Helvetica"/>
          <w:color w:val="333333"/>
        </w:rPr>
        <w:t>Poisťovníctvo sa môže pochváliť stabilitou a rastúcou dôverou Slovákov. Inovácie prináša prakticky každá poisťovňa v životných aj majetkových poistných odvetviach. Tomuto odvetviu sa vyhýbajú extrémne situácie, čo dokazuje aj 98 %-</w:t>
      </w:r>
      <w:proofErr w:type="spellStart"/>
      <w:r w:rsidRPr="00B014BC">
        <w:rPr>
          <w:rFonts w:cs="Helvetica"/>
          <w:color w:val="333333"/>
        </w:rPr>
        <w:t>ná</w:t>
      </w:r>
      <w:proofErr w:type="spellEnd"/>
      <w:r w:rsidRPr="00B014BC">
        <w:rPr>
          <w:rFonts w:cs="Helvetica"/>
          <w:color w:val="333333"/>
        </w:rPr>
        <w:t xml:space="preserve"> pripravenosť tes</w:t>
      </w:r>
      <w:r w:rsidR="00F57A29" w:rsidRPr="00B014BC">
        <w:rPr>
          <w:rFonts w:cs="Helvetica"/>
          <w:color w:val="333333"/>
        </w:rPr>
        <w:t>tovaných značiek na štandardy S</w:t>
      </w:r>
      <w:r w:rsidRPr="00B014BC">
        <w:rPr>
          <w:rFonts w:cs="Helvetica"/>
          <w:color w:val="333333"/>
        </w:rPr>
        <w:t>O</w:t>
      </w:r>
      <w:r w:rsidR="00F57A29" w:rsidRPr="00B014BC">
        <w:rPr>
          <w:rFonts w:cs="Helvetica"/>
          <w:color w:val="333333"/>
        </w:rPr>
        <w:t>L</w:t>
      </w:r>
      <w:r w:rsidRPr="00B014BC">
        <w:rPr>
          <w:rFonts w:cs="Helvetica"/>
          <w:color w:val="333333"/>
        </w:rPr>
        <w:t>VENCY II. Výnimku tvorí v roku 2015 iba poisťovňa Astra, ktorá celoeurópsky musela ukončiť svoju existenciu – poistenci na Slovensku dostali mimoriadne príležitosti zmeniť poisťovateľa.</w:t>
      </w:r>
    </w:p>
    <w:p w14:paraId="052EC427" w14:textId="77777777" w:rsidR="00616C12" w:rsidRPr="00B014BC" w:rsidRDefault="00616C12" w:rsidP="00616C12">
      <w:pPr>
        <w:spacing w:after="0" w:line="240" w:lineRule="auto"/>
        <w:rPr>
          <w:rFonts w:cs="Helvetica"/>
          <w:color w:val="333333"/>
        </w:rPr>
      </w:pPr>
      <w:r w:rsidRPr="00B014BC">
        <w:rPr>
          <w:rFonts w:cs="Helvetica"/>
          <w:color w:val="333333"/>
        </w:rPr>
        <w:t xml:space="preserve">Pre spoločnosť KOMUNÁLNA poisťovňa, </w:t>
      </w:r>
      <w:proofErr w:type="spellStart"/>
      <w:r w:rsidRPr="00B014BC">
        <w:rPr>
          <w:rFonts w:cs="Helvetica"/>
          <w:color w:val="333333"/>
        </w:rPr>
        <w:t>a.s</w:t>
      </w:r>
      <w:proofErr w:type="spellEnd"/>
      <w:r w:rsidRPr="00B014BC">
        <w:rPr>
          <w:rFonts w:cs="Helvetica"/>
          <w:color w:val="333333"/>
        </w:rPr>
        <w:t xml:space="preserve">. </w:t>
      </w:r>
      <w:proofErr w:type="spellStart"/>
      <w:r w:rsidRPr="00B014BC">
        <w:rPr>
          <w:rFonts w:cs="Helvetica"/>
          <w:color w:val="333333"/>
        </w:rPr>
        <w:t>Vienna</w:t>
      </w:r>
      <w:proofErr w:type="spellEnd"/>
      <w:r w:rsidRPr="00B014BC">
        <w:rPr>
          <w:rFonts w:cs="Helvetica"/>
          <w:color w:val="333333"/>
        </w:rPr>
        <w:t xml:space="preserve"> </w:t>
      </w:r>
      <w:proofErr w:type="spellStart"/>
      <w:r w:rsidRPr="00B014BC">
        <w:rPr>
          <w:rFonts w:cs="Helvetica"/>
          <w:color w:val="333333"/>
        </w:rPr>
        <w:t>Insurance</w:t>
      </w:r>
      <w:proofErr w:type="spellEnd"/>
      <w:r w:rsidRPr="00B014BC">
        <w:rPr>
          <w:rFonts w:cs="Helvetica"/>
          <w:color w:val="333333"/>
        </w:rPr>
        <w:t xml:space="preserve"> Group bol rok 2015 rokom, kedy môže konštatovať rast vlastnej obchodnej služby v štruktúrach zamestnancov aj viazaných finančných agentov. Poisťovňa je vyhľadávaným zamestnávateľom i partnerom pre tých, ktorí riadia svoj pracovný život bez vplyvu manažmentu poisťovne (vytvorili sme efektívne vzťahy s 27 novými externými spoločnosťami a so žiadnou sme vzťah nerozviazali). </w:t>
      </w:r>
    </w:p>
    <w:p w14:paraId="6E27C94F" w14:textId="67E9ABD4" w:rsidR="00616C12" w:rsidRPr="00B014BC" w:rsidRDefault="00616C12" w:rsidP="00616C12">
      <w:pPr>
        <w:spacing w:after="0" w:line="240" w:lineRule="auto"/>
        <w:rPr>
          <w:rFonts w:cstheme="minorHAnsi"/>
          <w:color w:val="000000" w:themeColor="text1"/>
        </w:rPr>
      </w:pPr>
      <w:r w:rsidRPr="00B014BC">
        <w:rPr>
          <w:rFonts w:cstheme="minorHAnsi"/>
          <w:color w:val="000000" w:themeColor="text1"/>
        </w:rPr>
        <w:t xml:space="preserve">Poisťovňa dosiahla predpísané poistné vo výške 181,11 mil. </w:t>
      </w:r>
      <w:r w:rsidR="00F57A29" w:rsidRPr="00B014BC">
        <w:rPr>
          <w:rFonts w:cstheme="minorHAnsi"/>
          <w:color w:val="000000" w:themeColor="text1"/>
        </w:rPr>
        <w:t>eur</w:t>
      </w:r>
      <w:r w:rsidRPr="00B014BC">
        <w:rPr>
          <w:rFonts w:cstheme="minorHAnsi"/>
          <w:color w:val="000000" w:themeColor="text1"/>
        </w:rPr>
        <w:t xml:space="preserve">, čo bolo o 4,3 mil. </w:t>
      </w:r>
      <w:r w:rsidR="00F57A29" w:rsidRPr="00B014BC">
        <w:rPr>
          <w:rFonts w:cstheme="minorHAnsi"/>
          <w:color w:val="000000" w:themeColor="text1"/>
        </w:rPr>
        <w:t>eur</w:t>
      </w:r>
      <w:r w:rsidRPr="00B014BC">
        <w:rPr>
          <w:rFonts w:cstheme="minorHAnsi"/>
          <w:color w:val="000000" w:themeColor="text1"/>
        </w:rPr>
        <w:t xml:space="preserve"> viac ako v predchádzajúcom roku. V životnom poistení poisťovňa zaknihovala o 1,52 mil. </w:t>
      </w:r>
      <w:r w:rsidR="00F57A29" w:rsidRPr="00B014BC">
        <w:rPr>
          <w:rFonts w:cstheme="minorHAnsi"/>
          <w:color w:val="000000" w:themeColor="text1"/>
        </w:rPr>
        <w:t>eur</w:t>
      </w:r>
      <w:r w:rsidRPr="00B014BC">
        <w:rPr>
          <w:rFonts w:cstheme="minorHAnsi"/>
          <w:color w:val="000000" w:themeColor="text1"/>
        </w:rPr>
        <w:t xml:space="preserve"> menej ako v roku 2014, a to aj napriek zvýšeniu predaju kapitálového bežne plateného poistenia o 10 % a IŽP bežne plateného o cca 30 %. </w:t>
      </w:r>
    </w:p>
    <w:p w14:paraId="0762BDEF" w14:textId="0FC40F5F" w:rsidR="00616C12" w:rsidRPr="00B014BC" w:rsidRDefault="00616C12" w:rsidP="00616C12">
      <w:pPr>
        <w:spacing w:after="0" w:line="240" w:lineRule="auto"/>
        <w:rPr>
          <w:rFonts w:cstheme="minorHAnsi"/>
          <w:color w:val="000000" w:themeColor="text1"/>
        </w:rPr>
      </w:pPr>
      <w:r w:rsidRPr="00B014BC">
        <w:rPr>
          <w:rFonts w:cstheme="minorHAnsi"/>
          <w:color w:val="000000" w:themeColor="text1"/>
        </w:rPr>
        <w:t xml:space="preserve">V neživotnom poistení sa KOMUNÁLNEJ poisťovni darilo. Tržby naberala až trojnásobne rýchlejšie oproti rastu trhu, keď vo všetkých sledovaných produktových skupinách zaknihovala viac financií. Poistné 70,2 mil. </w:t>
      </w:r>
      <w:r w:rsidR="00F57A29" w:rsidRPr="00B014BC">
        <w:rPr>
          <w:rFonts w:cstheme="minorHAnsi"/>
          <w:color w:val="000000" w:themeColor="text1"/>
        </w:rPr>
        <w:t>eur</w:t>
      </w:r>
      <w:r w:rsidRPr="00B014BC">
        <w:rPr>
          <w:rFonts w:cstheme="minorHAnsi"/>
          <w:color w:val="000000" w:themeColor="text1"/>
        </w:rPr>
        <w:t xml:space="preserve"> bolo s rastom 9 % o 5,8 mil. </w:t>
      </w:r>
      <w:r w:rsidR="00F57A29" w:rsidRPr="00B014BC">
        <w:rPr>
          <w:rFonts w:cstheme="minorHAnsi"/>
          <w:color w:val="000000" w:themeColor="text1"/>
        </w:rPr>
        <w:t>eur</w:t>
      </w:r>
      <w:r w:rsidRPr="00B014BC">
        <w:rPr>
          <w:rFonts w:cstheme="minorHAnsi"/>
          <w:color w:val="000000" w:themeColor="text1"/>
        </w:rPr>
        <w:t xml:space="preserve"> vyššie ako v roku 2014. </w:t>
      </w:r>
    </w:p>
    <w:p w14:paraId="721D3264" w14:textId="77777777" w:rsidR="00616C12" w:rsidRPr="00B014BC" w:rsidRDefault="00616C12" w:rsidP="00616C12">
      <w:pPr>
        <w:spacing w:after="0" w:line="240" w:lineRule="auto"/>
        <w:rPr>
          <w:rFonts w:cstheme="minorHAnsi"/>
          <w:b/>
          <w:color w:val="000000" w:themeColor="text1"/>
        </w:rPr>
      </w:pPr>
    </w:p>
    <w:p w14:paraId="65232BD9" w14:textId="77777777" w:rsidR="00616C12" w:rsidRPr="00B014BC" w:rsidRDefault="00616C12" w:rsidP="00616C12">
      <w:pPr>
        <w:spacing w:after="0" w:line="240" w:lineRule="auto"/>
        <w:rPr>
          <w:rFonts w:cstheme="minorHAnsi"/>
          <w:b/>
          <w:color w:val="000000" w:themeColor="text1"/>
        </w:rPr>
      </w:pPr>
      <w:r w:rsidRPr="00B014BC">
        <w:rPr>
          <w:rFonts w:cstheme="minorHAnsi"/>
          <w:b/>
          <w:color w:val="000000" w:themeColor="text1"/>
        </w:rPr>
        <w:t>Spolupráca s externými spoločnosťami</w:t>
      </w:r>
    </w:p>
    <w:p w14:paraId="1156180D" w14:textId="42B7E9C2" w:rsidR="00616C12" w:rsidRPr="00B014BC" w:rsidRDefault="00616C12" w:rsidP="00616C12">
      <w:pPr>
        <w:spacing w:after="0" w:line="240" w:lineRule="auto"/>
        <w:rPr>
          <w:rFonts w:cstheme="minorHAnsi"/>
        </w:rPr>
      </w:pPr>
      <w:r w:rsidRPr="00B014BC">
        <w:rPr>
          <w:rFonts w:cstheme="minorHAnsi"/>
          <w:color w:val="000000" w:themeColor="text1"/>
        </w:rPr>
        <w:t xml:space="preserve">Spolupráca s externe spolupracujúcimi spoločnosťami tvorí v našej </w:t>
      </w:r>
      <w:r w:rsidRPr="00B014BC">
        <w:rPr>
          <w:rFonts w:cstheme="minorHAnsi"/>
        </w:rPr>
        <w:t xml:space="preserve">spoločnosti približne 33,6 % </w:t>
      </w:r>
      <w:r w:rsidRPr="00B014BC">
        <w:rPr>
          <w:rFonts w:cstheme="minorHAnsi"/>
          <w:color w:val="000000" w:themeColor="text1"/>
        </w:rPr>
        <w:t>tržieb (</w:t>
      </w:r>
      <w:r w:rsidRPr="00B014BC">
        <w:rPr>
          <w:rFonts w:cstheme="minorHAnsi"/>
        </w:rPr>
        <w:t xml:space="preserve">60,9 mil. </w:t>
      </w:r>
      <w:r w:rsidR="00F57A29" w:rsidRPr="00B014BC">
        <w:rPr>
          <w:rFonts w:cstheme="minorHAnsi"/>
        </w:rPr>
        <w:t>eur</w:t>
      </w:r>
      <w:r w:rsidRPr="00B014BC">
        <w:rPr>
          <w:rFonts w:cstheme="minorHAnsi"/>
        </w:rPr>
        <w:t xml:space="preserve">) s medziročným rastom tržieb na úrovni 9,46 %. Medzi najobľúbenejšie produkty patria poistenia motorových vozidiel (67 % tržieb), ale pozorujeme zvýšený záujem o majetkové a zodpovednostné poistenia, kapitálové životné poistenia (21 % tržieb) a ostatné neživotné poistenia s podielom tržieb 12 %. </w:t>
      </w:r>
    </w:p>
    <w:p w14:paraId="2EE553A3" w14:textId="3156B2A7" w:rsidR="00616C12" w:rsidRPr="00B014BC" w:rsidRDefault="00616C12" w:rsidP="00616C12">
      <w:pPr>
        <w:spacing w:after="0" w:line="240" w:lineRule="auto"/>
        <w:rPr>
          <w:rFonts w:cstheme="minorHAnsi"/>
        </w:rPr>
      </w:pPr>
      <w:r w:rsidRPr="00B014BC">
        <w:rPr>
          <w:rFonts w:cstheme="minorHAnsi"/>
        </w:rPr>
        <w:t>Počas roka 2015 poisťovňa zaevidovala cez externých partnerov približne 99 000 poistných zmlúv (cca 30 %-</w:t>
      </w:r>
      <w:proofErr w:type="spellStart"/>
      <w:r w:rsidRPr="00B014BC">
        <w:rPr>
          <w:rFonts w:cstheme="minorHAnsi"/>
        </w:rPr>
        <w:t>ný</w:t>
      </w:r>
      <w:proofErr w:type="spellEnd"/>
      <w:r w:rsidRPr="00B014BC">
        <w:rPr>
          <w:rFonts w:cstheme="minorHAnsi"/>
        </w:rPr>
        <w:t xml:space="preserve"> rast záujmu klientov o služby poisťovne), na ktorých sa podieľalo viac ako 330 partnerov. Spoluprácu s týmito partnermi zabezpečujú pracovníci špecializovanej pobočky - riaditeľ pobočky, </w:t>
      </w:r>
      <w:r w:rsidR="00F57A29" w:rsidRPr="00B014BC">
        <w:rPr>
          <w:rFonts w:cstheme="minorHAnsi"/>
        </w:rPr>
        <w:t>jeden</w:t>
      </w:r>
      <w:r w:rsidRPr="00B014BC">
        <w:rPr>
          <w:rFonts w:cstheme="minorHAnsi"/>
        </w:rPr>
        <w:t xml:space="preserve"> manažér a 17 maklérskych poradcov, ktorí vzájomne pôsobia celoslovensky vo všetkých krajských mestách s výnimkou Trnavy.</w:t>
      </w:r>
    </w:p>
    <w:p w14:paraId="2EC64E6F" w14:textId="77777777" w:rsidR="00616C12" w:rsidRPr="00B014BC" w:rsidRDefault="00616C12" w:rsidP="00616C12">
      <w:pPr>
        <w:spacing w:after="0" w:line="240" w:lineRule="auto"/>
        <w:rPr>
          <w:rFonts w:cstheme="minorHAnsi"/>
          <w:color w:val="000000" w:themeColor="text1"/>
        </w:rPr>
      </w:pPr>
      <w:r w:rsidRPr="00B014BC">
        <w:rPr>
          <w:rFonts w:cstheme="minorHAnsi"/>
          <w:color w:val="000000" w:themeColor="text1"/>
        </w:rPr>
        <w:t>Za najvýznamnejšie obchodné úspechy spolupráce počas roka 2015 považujeme zvýšený predaj vo všetkých produktových skupinách neživotného poistenia a v predaji bežne platených životných poistení.</w:t>
      </w:r>
    </w:p>
    <w:p w14:paraId="08BBD756" w14:textId="77777777" w:rsidR="00616C12" w:rsidRPr="00B014BC" w:rsidRDefault="00616C12" w:rsidP="00616C12">
      <w:pPr>
        <w:spacing w:after="0" w:line="240" w:lineRule="auto"/>
        <w:rPr>
          <w:rFonts w:cstheme="minorHAnsi"/>
          <w:color w:val="000000" w:themeColor="text1"/>
        </w:rPr>
      </w:pPr>
      <w:r w:rsidRPr="00B014BC">
        <w:rPr>
          <w:rFonts w:cstheme="minorHAnsi"/>
          <w:color w:val="000000" w:themeColor="text1"/>
        </w:rPr>
        <w:t xml:space="preserve">Medzi najvýznamnejších obchodných partnerov spoločnosti KOMUNÁLNA poisťovňa, </w:t>
      </w:r>
      <w:proofErr w:type="spellStart"/>
      <w:r w:rsidRPr="00B014BC">
        <w:rPr>
          <w:rFonts w:cstheme="minorHAnsi"/>
          <w:color w:val="000000" w:themeColor="text1"/>
        </w:rPr>
        <w:t>a.s</w:t>
      </w:r>
      <w:proofErr w:type="spellEnd"/>
      <w:r w:rsidRPr="00B014BC">
        <w:rPr>
          <w:rFonts w:cstheme="minorHAnsi"/>
          <w:color w:val="000000" w:themeColor="text1"/>
        </w:rPr>
        <w:t xml:space="preserve">. </w:t>
      </w:r>
      <w:proofErr w:type="spellStart"/>
      <w:r w:rsidRPr="00B014BC">
        <w:rPr>
          <w:rFonts w:cstheme="minorHAnsi"/>
          <w:color w:val="000000" w:themeColor="text1"/>
        </w:rPr>
        <w:t>Vienna</w:t>
      </w:r>
      <w:proofErr w:type="spellEnd"/>
      <w:r w:rsidRPr="00B014BC">
        <w:rPr>
          <w:rFonts w:cstheme="minorHAnsi"/>
          <w:color w:val="000000" w:themeColor="text1"/>
        </w:rPr>
        <w:t xml:space="preserve"> </w:t>
      </w:r>
      <w:proofErr w:type="spellStart"/>
      <w:r w:rsidRPr="00B014BC">
        <w:rPr>
          <w:rFonts w:cstheme="minorHAnsi"/>
          <w:color w:val="000000" w:themeColor="text1"/>
        </w:rPr>
        <w:t>Insurance</w:t>
      </w:r>
      <w:proofErr w:type="spellEnd"/>
      <w:r w:rsidRPr="00B014BC">
        <w:rPr>
          <w:rFonts w:cstheme="minorHAnsi"/>
          <w:color w:val="000000" w:themeColor="text1"/>
        </w:rPr>
        <w:t xml:space="preserve"> Group patria (v abecednom poradí):</w:t>
      </w:r>
    </w:p>
    <w:p w14:paraId="228BDEFA" w14:textId="77777777" w:rsidR="00FD409B" w:rsidRPr="00B014BC" w:rsidRDefault="00FD409B" w:rsidP="004518BB">
      <w:pPr>
        <w:spacing w:after="0" w:line="240" w:lineRule="auto"/>
        <w:rPr>
          <w:rFonts w:cstheme="minorHAnsi"/>
          <w:color w:val="000000" w:themeColor="text1"/>
        </w:rPr>
      </w:pPr>
    </w:p>
    <w:tbl>
      <w:tblPr>
        <w:tblW w:w="3341" w:type="dxa"/>
        <w:jc w:val="center"/>
        <w:tblCellMar>
          <w:left w:w="70" w:type="dxa"/>
          <w:right w:w="70" w:type="dxa"/>
        </w:tblCellMar>
        <w:tblLook w:val="04A0" w:firstRow="1" w:lastRow="0" w:firstColumn="1" w:lastColumn="0" w:noHBand="0" w:noVBand="1"/>
      </w:tblPr>
      <w:tblGrid>
        <w:gridCol w:w="3341"/>
      </w:tblGrid>
      <w:tr w:rsidR="00FD409B" w:rsidRPr="00B014BC" w14:paraId="6971FB53" w14:textId="77777777" w:rsidTr="00176EAF">
        <w:trPr>
          <w:trHeight w:val="300"/>
          <w:jc w:val="center"/>
        </w:trPr>
        <w:tc>
          <w:tcPr>
            <w:tcW w:w="33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2A7FB4" w14:textId="221D403B"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Brasco</w:t>
            </w:r>
            <w:proofErr w:type="spellEnd"/>
            <w:r w:rsidRPr="00B014BC">
              <w:rPr>
                <w:rFonts w:ascii="Calibri" w:eastAsia="Times New Roman" w:hAnsi="Calibri" w:cs="Calibri"/>
                <w:lang w:eastAsia="sk-SK"/>
              </w:rPr>
              <w:t xml:space="preserve"> Sk,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6AD190C3"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tcPr>
          <w:p w14:paraId="54C37E4F" w14:textId="47E984F8"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Concorde</w:t>
            </w:r>
            <w:proofErr w:type="spellEnd"/>
            <w:r w:rsidRPr="00B014BC">
              <w:rPr>
                <w:rFonts w:ascii="Calibri" w:eastAsia="Times New Roman" w:hAnsi="Calibri" w:cs="Calibri"/>
                <w:lang w:eastAsia="sk-SK"/>
              </w:rPr>
              <w:t>,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400946F5"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04AB708B" w14:textId="4138A1E5"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 xml:space="preserve">C&amp;C </w:t>
            </w:r>
            <w:proofErr w:type="spellStart"/>
            <w:r w:rsidRPr="00B014BC">
              <w:rPr>
                <w:rFonts w:ascii="Calibri" w:eastAsia="Times New Roman" w:hAnsi="Calibri" w:cs="Calibri"/>
                <w:lang w:eastAsia="sk-SK"/>
              </w:rPr>
              <w:t>Insurance</w:t>
            </w:r>
            <w:proofErr w:type="spellEnd"/>
            <w:r w:rsidRPr="00B014BC">
              <w:rPr>
                <w:rFonts w:ascii="Calibri" w:eastAsia="Times New Roman" w:hAnsi="Calibri" w:cs="Calibri"/>
                <w:lang w:eastAsia="sk-SK"/>
              </w:rPr>
              <w:t xml:space="preserve"> </w:t>
            </w:r>
            <w:proofErr w:type="spellStart"/>
            <w:r w:rsidRPr="00B014BC">
              <w:rPr>
                <w:rFonts w:ascii="Calibri" w:eastAsia="Times New Roman" w:hAnsi="Calibri" w:cs="Calibri"/>
                <w:lang w:eastAsia="sk-SK"/>
              </w:rPr>
              <w:t>service</w:t>
            </w:r>
            <w:proofErr w:type="spellEnd"/>
            <w:r w:rsidRPr="00B014BC">
              <w:rPr>
                <w:rFonts w:ascii="Calibri" w:eastAsia="Times New Roman" w:hAnsi="Calibri" w:cs="Calibri"/>
                <w:lang w:eastAsia="sk-SK"/>
              </w:rPr>
              <w:t>,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322E0E83"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tcPr>
          <w:p w14:paraId="3EF40344" w14:textId="34A79A3F"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Fincentrum</w:t>
            </w:r>
            <w:proofErr w:type="spellEnd"/>
            <w:r w:rsidRPr="00B014BC">
              <w:rPr>
                <w:rFonts w:ascii="Calibri" w:eastAsia="Times New Roman" w:hAnsi="Calibri" w:cs="Calibri"/>
                <w:lang w:eastAsia="sk-SK"/>
              </w:rPr>
              <w:t>, a.</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s.</w:t>
            </w:r>
          </w:p>
        </w:tc>
      </w:tr>
      <w:tr w:rsidR="00FD409B" w:rsidRPr="00B014BC" w14:paraId="1EA871C9"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tcPr>
          <w:p w14:paraId="2BEF8405" w14:textId="1CD52460"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Finportal</w:t>
            </w:r>
            <w:proofErr w:type="spellEnd"/>
            <w:r w:rsidRPr="00B014BC">
              <w:rPr>
                <w:rFonts w:ascii="Calibri" w:eastAsia="Times New Roman" w:hAnsi="Calibri" w:cs="Calibri"/>
                <w:lang w:eastAsia="sk-SK"/>
              </w:rPr>
              <w:t>, a.</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s.</w:t>
            </w:r>
          </w:p>
        </w:tc>
      </w:tr>
      <w:tr w:rsidR="00FD409B" w:rsidRPr="00B014BC" w14:paraId="12C6EE75"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3F21E7D0" w14:textId="58781E72"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Finsun</w:t>
            </w:r>
            <w:proofErr w:type="spellEnd"/>
            <w:r w:rsidRPr="00B014BC">
              <w:rPr>
                <w:rFonts w:ascii="Calibri" w:eastAsia="Times New Roman" w:hAnsi="Calibri" w:cs="Calibri"/>
                <w:lang w:eastAsia="sk-SK"/>
              </w:rPr>
              <w:t>,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20359797"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74B6B473" w14:textId="6FE84DA0"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FLEXI CONSULTING,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3B850411"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4305406A" w14:textId="41472449"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INSIA Sk,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2147FE7E"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tcPr>
          <w:p w14:paraId="78F9C6AE" w14:textId="6147E686"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 xml:space="preserve">K </w:t>
            </w:r>
            <w:proofErr w:type="spellStart"/>
            <w:r w:rsidRPr="00B014BC">
              <w:rPr>
                <w:rFonts w:ascii="Calibri" w:eastAsia="Times New Roman" w:hAnsi="Calibri" w:cs="Calibri"/>
                <w:lang w:eastAsia="sk-SK"/>
              </w:rPr>
              <w:t>Finance</w:t>
            </w:r>
            <w:proofErr w:type="spellEnd"/>
            <w:r w:rsidRPr="00B014BC">
              <w:rPr>
                <w:rFonts w:ascii="Calibri" w:eastAsia="Times New Roman" w:hAnsi="Calibri" w:cs="Calibri"/>
                <w:lang w:eastAsia="sk-SK"/>
              </w:rPr>
              <w:t>, spol. s 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73C4C95D"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61FAF639" w14:textId="6D0B2530"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MACULA poisťovacie služby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146E4CED"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5F6DDAC3" w14:textId="5F9E997F"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MAXIMA BROKER, a.</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s.</w:t>
            </w:r>
          </w:p>
        </w:tc>
      </w:tr>
      <w:tr w:rsidR="00FD409B" w:rsidRPr="00B014BC" w14:paraId="4F306F77"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6689CAA8" w14:textId="0645BCDA"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Merkury</w:t>
            </w:r>
            <w:proofErr w:type="spellEnd"/>
            <w:r w:rsidRPr="00B014BC">
              <w:rPr>
                <w:rFonts w:ascii="Calibri" w:eastAsia="Times New Roman" w:hAnsi="Calibri" w:cs="Calibri"/>
                <w:lang w:eastAsia="sk-SK"/>
              </w:rPr>
              <w:t xml:space="preserve"> Broker, s.</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F57A29"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41D8ED58"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1030F94E" w14:textId="5711B46C"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lastRenderedPageBreak/>
              <w:t xml:space="preserve">MIBA CAR </w:t>
            </w:r>
            <w:proofErr w:type="spellStart"/>
            <w:r w:rsidRPr="00B014BC">
              <w:rPr>
                <w:rFonts w:ascii="Calibri" w:eastAsia="Times New Roman" w:hAnsi="Calibri" w:cs="Calibri"/>
                <w:lang w:eastAsia="sk-SK"/>
              </w:rPr>
              <w:t>Insurance</w:t>
            </w:r>
            <w:proofErr w:type="spellEnd"/>
            <w:r w:rsidRPr="00B014BC">
              <w:rPr>
                <w:rFonts w:ascii="Calibri" w:eastAsia="Times New Roman" w:hAnsi="Calibri" w:cs="Calibri"/>
                <w:lang w:eastAsia="sk-SK"/>
              </w:rPr>
              <w:t xml:space="preserve"> Group,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7BB5AE3A"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3A1611CD" w14:textId="7F4EDCFA"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MIPS,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3BBF83C4"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03E9CF3A" w14:textId="48922F50"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MPS,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46FBB2A9"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3D2EC9AC" w14:textId="1B2B37D3"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Pre-M,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7F5A4294"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4101DBCE" w14:textId="57C0700B"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PZP Siladice,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0B006C4B"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44B91250" w14:textId="1EA89B34"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R.I.C. Slovakia,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09D30CA1"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2A473BEF" w14:textId="2DDAC347"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Respect</w:t>
            </w:r>
            <w:proofErr w:type="spellEnd"/>
            <w:r w:rsidRPr="00B014BC">
              <w:rPr>
                <w:rFonts w:ascii="Calibri" w:eastAsia="Times New Roman" w:hAnsi="Calibri" w:cs="Calibri"/>
                <w:lang w:eastAsia="sk-SK"/>
              </w:rPr>
              <w:t xml:space="preserve"> Slovakia,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6A803C5F"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009836F0" w14:textId="6F20BA95"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Tatra-Leasing,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0DED51C0"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549908A4" w14:textId="61D625CE" w:rsidR="00FD409B" w:rsidRPr="00B014BC" w:rsidRDefault="00FD409B" w:rsidP="004518BB">
            <w:pPr>
              <w:spacing w:after="0" w:line="240" w:lineRule="auto"/>
              <w:rPr>
                <w:rFonts w:ascii="Calibri" w:eastAsia="Times New Roman" w:hAnsi="Calibri" w:cs="Calibri"/>
                <w:lang w:eastAsia="sk-SK"/>
              </w:rPr>
            </w:pPr>
            <w:r w:rsidRPr="00B014BC">
              <w:rPr>
                <w:rFonts w:ascii="Calibri" w:eastAsia="Times New Roman" w:hAnsi="Calibri" w:cs="Calibri"/>
                <w:lang w:eastAsia="sk-SK"/>
              </w:rPr>
              <w:t>UMS, s.</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r.</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o.</w:t>
            </w:r>
          </w:p>
        </w:tc>
      </w:tr>
      <w:tr w:rsidR="00FD409B" w:rsidRPr="00B014BC" w14:paraId="3397583E" w14:textId="77777777" w:rsidTr="00176EAF">
        <w:trPr>
          <w:trHeight w:val="300"/>
          <w:jc w:val="center"/>
        </w:trPr>
        <w:tc>
          <w:tcPr>
            <w:tcW w:w="3341" w:type="dxa"/>
            <w:tcBorders>
              <w:top w:val="nil"/>
              <w:left w:val="single" w:sz="4" w:space="0" w:color="auto"/>
              <w:bottom w:val="single" w:sz="4" w:space="0" w:color="auto"/>
              <w:right w:val="single" w:sz="4" w:space="0" w:color="auto"/>
            </w:tcBorders>
            <w:shd w:val="clear" w:color="auto" w:fill="auto"/>
            <w:noWrap/>
            <w:vAlign w:val="center"/>
            <w:hideMark/>
          </w:tcPr>
          <w:p w14:paraId="6465E1E1" w14:textId="6F75337D" w:rsidR="00FD409B" w:rsidRPr="00B014BC" w:rsidRDefault="00FD409B" w:rsidP="004518BB">
            <w:pPr>
              <w:spacing w:after="0" w:line="240" w:lineRule="auto"/>
              <w:rPr>
                <w:rFonts w:ascii="Calibri" w:eastAsia="Times New Roman" w:hAnsi="Calibri" w:cs="Calibri"/>
                <w:lang w:eastAsia="sk-SK"/>
              </w:rPr>
            </w:pPr>
            <w:proofErr w:type="spellStart"/>
            <w:r w:rsidRPr="00B014BC">
              <w:rPr>
                <w:rFonts w:ascii="Calibri" w:eastAsia="Times New Roman" w:hAnsi="Calibri" w:cs="Calibri"/>
                <w:lang w:eastAsia="sk-SK"/>
              </w:rPr>
              <w:t>Universal</w:t>
            </w:r>
            <w:proofErr w:type="spellEnd"/>
            <w:r w:rsidRPr="00B014BC">
              <w:rPr>
                <w:rFonts w:ascii="Calibri" w:eastAsia="Times New Roman" w:hAnsi="Calibri" w:cs="Calibri"/>
                <w:lang w:eastAsia="sk-SK"/>
              </w:rPr>
              <w:t xml:space="preserve"> maklérsky dom a.</w:t>
            </w:r>
            <w:r w:rsidR="00176EAF" w:rsidRPr="00B014BC">
              <w:rPr>
                <w:rFonts w:ascii="Calibri" w:eastAsia="Times New Roman" w:hAnsi="Calibri" w:cs="Calibri"/>
                <w:lang w:eastAsia="sk-SK"/>
              </w:rPr>
              <w:t xml:space="preserve"> </w:t>
            </w:r>
            <w:r w:rsidRPr="00B014BC">
              <w:rPr>
                <w:rFonts w:ascii="Calibri" w:eastAsia="Times New Roman" w:hAnsi="Calibri" w:cs="Calibri"/>
                <w:lang w:eastAsia="sk-SK"/>
              </w:rPr>
              <w:t>s.</w:t>
            </w:r>
          </w:p>
        </w:tc>
      </w:tr>
    </w:tbl>
    <w:p w14:paraId="3230C339" w14:textId="77777777" w:rsidR="004E3DDE" w:rsidRPr="00B014BC" w:rsidRDefault="004E3DDE" w:rsidP="004518BB">
      <w:pPr>
        <w:spacing w:after="0" w:line="240" w:lineRule="auto"/>
        <w:rPr>
          <w:rFonts w:cstheme="minorHAnsi"/>
          <w:b/>
        </w:rPr>
      </w:pPr>
    </w:p>
    <w:p w14:paraId="749170F7" w14:textId="77777777" w:rsidR="00255BC4" w:rsidRPr="00B014BC" w:rsidRDefault="00255BC4" w:rsidP="004518BB">
      <w:pPr>
        <w:spacing w:after="0" w:line="240" w:lineRule="auto"/>
        <w:rPr>
          <w:rFonts w:cstheme="minorHAnsi"/>
          <w:b/>
        </w:rPr>
      </w:pPr>
      <w:r w:rsidRPr="00B014BC">
        <w:rPr>
          <w:rFonts w:cstheme="minorHAnsi"/>
          <w:b/>
        </w:rPr>
        <w:t>Spolupráca so SLSP</w:t>
      </w:r>
    </w:p>
    <w:p w14:paraId="0AA7A94C" w14:textId="3FB22E75" w:rsidR="00255BC4" w:rsidRPr="00B014BC" w:rsidRDefault="00255BC4" w:rsidP="004518BB">
      <w:pPr>
        <w:spacing w:after="0" w:line="240" w:lineRule="auto"/>
        <w:rPr>
          <w:rFonts w:cstheme="minorHAnsi"/>
        </w:rPr>
      </w:pPr>
      <w:r w:rsidRPr="00B014BC">
        <w:t>Už pred približne desiatimi rokmi banky a poisťovne pochopili, že vzájomnou spoluprácou dokážu dosiahnuť významné synergie.</w:t>
      </w:r>
      <w:r w:rsidR="004518BB" w:rsidRPr="00B014BC">
        <w:rPr>
          <w:rFonts w:ascii="MingLiU" w:eastAsia="MingLiU" w:hAnsi="MingLiU" w:cs="MingLiU"/>
        </w:rPr>
        <w:t xml:space="preserve"> </w:t>
      </w:r>
      <w:r w:rsidRPr="00B014BC">
        <w:rPr>
          <w:rFonts w:cstheme="minorHAnsi"/>
        </w:rPr>
        <w:t>Aj KOMUNÁLNA poisťovňa má v tomto segmente strategického partnera – spoločnosť Slovenská sporiteľňa, a.</w:t>
      </w:r>
      <w:r w:rsidR="00176EAF" w:rsidRPr="00B014BC">
        <w:rPr>
          <w:rFonts w:cstheme="minorHAnsi"/>
        </w:rPr>
        <w:t xml:space="preserve"> </w:t>
      </w:r>
      <w:r w:rsidRPr="00B014BC">
        <w:rPr>
          <w:rFonts w:cstheme="minorHAnsi"/>
        </w:rPr>
        <w:t>s., člen</w:t>
      </w:r>
      <w:r w:rsidR="00176EAF" w:rsidRPr="00B014BC">
        <w:rPr>
          <w:rFonts w:cstheme="minorHAnsi"/>
        </w:rPr>
        <w:t>a</w:t>
      </w:r>
      <w:r w:rsidRPr="00B014BC">
        <w:rPr>
          <w:rFonts w:cstheme="minorHAnsi"/>
        </w:rPr>
        <w:t xml:space="preserve"> skupiny Erste.</w:t>
      </w:r>
    </w:p>
    <w:p w14:paraId="5D167BEF" w14:textId="77777777" w:rsidR="00255BC4" w:rsidRPr="00B014BC" w:rsidRDefault="00255BC4" w:rsidP="004518BB">
      <w:pPr>
        <w:spacing w:after="0" w:line="240" w:lineRule="auto"/>
        <w:rPr>
          <w:rFonts w:cstheme="minorHAnsi"/>
        </w:rPr>
      </w:pPr>
      <w:r w:rsidRPr="00B014BC">
        <w:rPr>
          <w:rFonts w:cstheme="minorHAnsi"/>
        </w:rPr>
        <w:t>Spolupráca sa začala už v roku 2008 uzatvorením partnerskej zmluvy, ktorej predmetom bol predaj bankových produktov Slovenskej sporiteľne prostredníctvom predajných sietí KOMUNÁLNEJ poisťovne. V prvej fáze spolupráce išlo o Úvery zabezpečené záložným právom k nehnuteľnosti (Úver na bývanie, Hypotekárny úver pre mladých), ako aj služby bezhotovostného platobného styku, Súhlas s inkasom. Od roku 2012 je naše portfólio bankových produktov rozšírené o Spotrebný úver na Čokoľvek, ktorý je jedným z najžiadanejších produktov svojho druhu na slovenskom trhu.</w:t>
      </w:r>
    </w:p>
    <w:p w14:paraId="429D69EC" w14:textId="488D25F2" w:rsidR="00255BC4" w:rsidRPr="00B014BC" w:rsidRDefault="00255BC4" w:rsidP="004518BB">
      <w:pPr>
        <w:spacing w:after="0" w:line="240" w:lineRule="auto"/>
        <w:rPr>
          <w:rFonts w:cstheme="minorHAnsi"/>
        </w:rPr>
      </w:pPr>
      <w:r w:rsidRPr="00B014BC">
        <w:rPr>
          <w:rFonts w:cstheme="minorHAnsi"/>
        </w:rPr>
        <w:t xml:space="preserve">Aj napriek silnej konkurencii medzi bankami v ponuke predaja bankových produktov dokázala obchodná sieť KOMUNÁLNEJ poisťovne v roku 2015 sprostredkovať 101 úverov zabezpečených záložným pravom k nehnuteľnosti v celkovom objeme </w:t>
      </w:r>
      <w:r w:rsidRPr="00B014BC">
        <w:rPr>
          <w:rFonts w:cstheme="minorHAnsi"/>
          <w:bCs/>
        </w:rPr>
        <w:t xml:space="preserve">4,276 mil. </w:t>
      </w:r>
      <w:r w:rsidR="00176EAF" w:rsidRPr="00B014BC">
        <w:rPr>
          <w:rFonts w:cstheme="minorHAnsi"/>
          <w:bCs/>
        </w:rPr>
        <w:t>eur</w:t>
      </w:r>
      <w:r w:rsidRPr="00B014BC">
        <w:rPr>
          <w:rFonts w:cstheme="minorHAnsi"/>
          <w:bCs/>
        </w:rPr>
        <w:t xml:space="preserve">, </w:t>
      </w:r>
      <w:r w:rsidRPr="00B014BC">
        <w:rPr>
          <w:rFonts w:cstheme="minorHAnsi"/>
        </w:rPr>
        <w:t xml:space="preserve">čo v porovnaní s predchádzajúcim rokom predstavuje nárast o 28,66 %, 82 spotrebných úverov v celkovom objeme </w:t>
      </w:r>
      <w:r w:rsidRPr="00B014BC">
        <w:rPr>
          <w:rFonts w:cstheme="minorHAnsi"/>
          <w:bCs/>
        </w:rPr>
        <w:t xml:space="preserve">789 727 </w:t>
      </w:r>
      <w:r w:rsidR="00176EAF" w:rsidRPr="00B014BC">
        <w:rPr>
          <w:rFonts w:cstheme="minorHAnsi"/>
          <w:bCs/>
        </w:rPr>
        <w:t>eur</w:t>
      </w:r>
      <w:r w:rsidRPr="00B014BC">
        <w:rPr>
          <w:rFonts w:cstheme="minorHAnsi"/>
          <w:bCs/>
        </w:rPr>
        <w:t xml:space="preserve"> </w:t>
      </w:r>
      <w:r w:rsidRPr="00B014BC">
        <w:rPr>
          <w:rFonts w:cstheme="minorHAnsi"/>
        </w:rPr>
        <w:t>a 1 249 ks súhlasov s inkasom, čím sme zabezpečili predaj týchto produktov na porovnateľnej úrovni ako v roku 2014.</w:t>
      </w:r>
    </w:p>
    <w:p w14:paraId="2BF5645E" w14:textId="77777777" w:rsidR="00255BC4" w:rsidRPr="00B014BC" w:rsidRDefault="00255BC4" w:rsidP="004518BB">
      <w:pPr>
        <w:spacing w:after="0" w:line="240" w:lineRule="auto"/>
        <w:rPr>
          <w:rFonts w:cstheme="minorHAnsi"/>
        </w:rPr>
      </w:pPr>
      <w:r w:rsidRPr="00B014BC">
        <w:rPr>
          <w:rFonts w:cstheme="minorHAnsi"/>
        </w:rPr>
        <w:t>V roku 2015 sa predaju bankových produktov venovalo viac ako 150 profesionálnych poradcov obchodnej siete, ktorí poskytovali služby mimoriadnej kvality s kladením veľkého dôrazu na klienta a jeho potreby. Poradcovia absolvovali prostredníctvom Slovenskej asociácie poisťovní podľa zákona č. 186/2009 Z. z. o finančnom sprostredkovaní a finančnom poradenstve skúšky odbornej spôsobilosti pre stredný stupeň odbornej spôsobilosti v sektore poskytovania úverov a prijímania vkladov zo záverečnou skúškou s osvedčením na vykonávanie predaja bankových produktov.</w:t>
      </w:r>
    </w:p>
    <w:p w14:paraId="58FB9FAE" w14:textId="77777777" w:rsidR="00FD409B" w:rsidRPr="00B014BC" w:rsidRDefault="00FD409B" w:rsidP="004518BB">
      <w:pPr>
        <w:spacing w:after="0" w:line="240" w:lineRule="auto"/>
        <w:rPr>
          <w:rFonts w:cstheme="minorHAnsi"/>
          <w:b/>
          <w:sz w:val="24"/>
          <w:szCs w:val="24"/>
        </w:rPr>
      </w:pPr>
    </w:p>
    <w:p w14:paraId="266D4262" w14:textId="77777777" w:rsidR="00491C9B" w:rsidRPr="00B014BC" w:rsidRDefault="003E053E" w:rsidP="004518BB">
      <w:pPr>
        <w:spacing w:after="0" w:line="240" w:lineRule="auto"/>
        <w:rPr>
          <w:rFonts w:cstheme="minorHAnsi"/>
          <w:b/>
          <w:sz w:val="24"/>
          <w:szCs w:val="24"/>
        </w:rPr>
      </w:pPr>
      <w:r w:rsidRPr="00B014BC">
        <w:rPr>
          <w:rFonts w:cstheme="minorHAnsi"/>
          <w:b/>
          <w:sz w:val="24"/>
          <w:szCs w:val="24"/>
        </w:rPr>
        <w:t>5.3 Životné poistenie</w:t>
      </w:r>
    </w:p>
    <w:p w14:paraId="3D3686A2" w14:textId="77777777" w:rsidR="00FD409B" w:rsidRPr="00B014BC" w:rsidRDefault="00FD409B" w:rsidP="004518BB">
      <w:pPr>
        <w:spacing w:after="0" w:line="240" w:lineRule="auto"/>
        <w:rPr>
          <w:rFonts w:cstheme="minorHAnsi"/>
          <w:b/>
          <w:sz w:val="24"/>
          <w:szCs w:val="24"/>
        </w:rPr>
      </w:pPr>
    </w:p>
    <w:p w14:paraId="29A824A5" w14:textId="26ABB852" w:rsidR="005152D8" w:rsidRPr="00B014BC" w:rsidRDefault="005152D8" w:rsidP="004518BB">
      <w:pPr>
        <w:spacing w:after="0" w:line="240" w:lineRule="auto"/>
        <w:rPr>
          <w:rFonts w:ascii="Calibri" w:hAnsi="Calibri" w:cs="Times New Roman"/>
        </w:rPr>
      </w:pPr>
      <w:r w:rsidRPr="00B014BC">
        <w:rPr>
          <w:rFonts w:ascii="Calibri" w:hAnsi="Calibri" w:cs="Times New Roman"/>
        </w:rPr>
        <w:t xml:space="preserve">Rok 2015 bol v oblasti tvorby a vývoja produktov od začiatku veľmi špecifický, </w:t>
      </w:r>
      <w:r w:rsidR="00176EAF" w:rsidRPr="00B014BC">
        <w:rPr>
          <w:rFonts w:ascii="Calibri" w:hAnsi="Calibri" w:cs="Times New Roman"/>
        </w:rPr>
        <w:t>keďže</w:t>
      </w:r>
      <w:r w:rsidRPr="00B014BC">
        <w:rPr>
          <w:rFonts w:ascii="Calibri" w:hAnsi="Calibri" w:cs="Times New Roman"/>
        </w:rPr>
        <w:t xml:space="preserve"> sme si naplánovali mnohé inovácie v oblasti produktov vrátane pripoistení. </w:t>
      </w:r>
    </w:p>
    <w:p w14:paraId="3292937A" w14:textId="74358266" w:rsidR="005152D8" w:rsidRPr="00B014BC" w:rsidRDefault="005152D8" w:rsidP="004518BB">
      <w:pPr>
        <w:spacing w:after="0" w:line="240" w:lineRule="auto"/>
        <w:rPr>
          <w:rFonts w:ascii="Calibri" w:hAnsi="Calibri" w:cs="Times New Roman"/>
        </w:rPr>
      </w:pPr>
      <w:r w:rsidRPr="00B014BC">
        <w:rPr>
          <w:rFonts w:ascii="Calibri" w:hAnsi="Calibri" w:cs="Times New Roman"/>
        </w:rPr>
        <w:t xml:space="preserve">Prvým produktom, ktorý sa nám podarilo uviesť na trh hneď </w:t>
      </w:r>
      <w:r w:rsidR="00176EAF" w:rsidRPr="00B014BC">
        <w:rPr>
          <w:rFonts w:ascii="Calibri" w:hAnsi="Calibri" w:cs="Times New Roman"/>
        </w:rPr>
        <w:t>na začiatku</w:t>
      </w:r>
      <w:r w:rsidRPr="00B014BC">
        <w:rPr>
          <w:rFonts w:ascii="Calibri" w:hAnsi="Calibri" w:cs="Times New Roman"/>
        </w:rPr>
        <w:t xml:space="preserve"> roka, bolo investičné životné poistenie VIG Profit 130. Tento produkt ponúka</w:t>
      </w:r>
      <w:r w:rsidR="004518BB" w:rsidRPr="00B014BC">
        <w:rPr>
          <w:rFonts w:ascii="Calibri" w:hAnsi="Calibri" w:cs="Times New Roman"/>
        </w:rPr>
        <w:t>l</w:t>
      </w:r>
      <w:r w:rsidRPr="00B014BC">
        <w:rPr>
          <w:rFonts w:ascii="Calibri" w:hAnsi="Calibri" w:cs="Times New Roman"/>
        </w:rPr>
        <w:t xml:space="preserve"> atraktívne zhodnotenie investovaného kapitálu prostredníctvom podriadeného dlhu emitenta SPARKASSEN VERSICHERUNG, ktorý je súčasťou najväčšej a najúspešnejšej poisťovacej spoločnosti Rakúska - </w:t>
      </w:r>
      <w:proofErr w:type="spellStart"/>
      <w:r w:rsidRPr="00B014BC">
        <w:rPr>
          <w:rFonts w:ascii="Calibri" w:hAnsi="Calibri" w:cs="Times New Roman"/>
        </w:rPr>
        <w:t>Vienna</w:t>
      </w:r>
      <w:proofErr w:type="spellEnd"/>
      <w:r w:rsidRPr="00B014BC">
        <w:rPr>
          <w:rFonts w:ascii="Calibri" w:hAnsi="Calibri" w:cs="Times New Roman"/>
        </w:rPr>
        <w:t xml:space="preserve"> </w:t>
      </w:r>
      <w:proofErr w:type="spellStart"/>
      <w:r w:rsidRPr="00B014BC">
        <w:rPr>
          <w:rFonts w:ascii="Calibri" w:hAnsi="Calibri" w:cs="Times New Roman"/>
        </w:rPr>
        <w:t>Insurance</w:t>
      </w:r>
      <w:proofErr w:type="spellEnd"/>
      <w:r w:rsidRPr="00B014BC">
        <w:rPr>
          <w:rFonts w:ascii="Calibri" w:hAnsi="Calibri" w:cs="Times New Roman"/>
        </w:rPr>
        <w:t xml:space="preserve"> Group. </w:t>
      </w:r>
      <w:r w:rsidR="004518BB" w:rsidRPr="00B014BC">
        <w:rPr>
          <w:rFonts w:ascii="Calibri" w:hAnsi="Calibri" w:cs="Times New Roman"/>
        </w:rPr>
        <w:t>Bolo</w:t>
      </w:r>
      <w:r w:rsidRPr="00B014BC">
        <w:rPr>
          <w:rFonts w:ascii="Calibri" w:hAnsi="Calibri" w:cs="Times New Roman"/>
        </w:rPr>
        <w:t xml:space="preserve"> to vlastne už tretie pokračovanie tohto typu produktu, </w:t>
      </w:r>
      <w:r w:rsidR="00176EAF" w:rsidRPr="00B014BC">
        <w:rPr>
          <w:rFonts w:ascii="Calibri" w:hAnsi="Calibri" w:cs="Times New Roman"/>
        </w:rPr>
        <w:t>nakoľko</w:t>
      </w:r>
      <w:r w:rsidRPr="00B014BC">
        <w:rPr>
          <w:rFonts w:ascii="Calibri" w:hAnsi="Calibri" w:cs="Times New Roman"/>
        </w:rPr>
        <w:t xml:space="preserve"> je pre našich klientov veľmi atraktívny. Cieľom produktu VIG Profit 130 </w:t>
      </w:r>
      <w:r w:rsidR="004518BB" w:rsidRPr="00B014BC">
        <w:rPr>
          <w:rFonts w:ascii="Calibri" w:hAnsi="Calibri" w:cs="Times New Roman"/>
        </w:rPr>
        <w:t>bolo</w:t>
      </w:r>
      <w:r w:rsidRPr="00B014BC">
        <w:rPr>
          <w:rFonts w:ascii="Calibri" w:hAnsi="Calibri" w:cs="Times New Roman"/>
        </w:rPr>
        <w:t xml:space="preserve"> najmä zhodnotenie vložených finančných prostriedkov klienta s dojednaním ochrany proti inflácii, čo nie je bežne na trhu dostupné a zároveň krytie rizika smrti počas trvania poistenia. Zároveň sme produkt doplnili o atraktívne balíky pripoistení za prijateľné ceny. Výsledok predaja tohto produktu za rok 2015 bol viac ako uspokojivý a utvrdil nás v tom, že sme urobili správny krok. </w:t>
      </w:r>
    </w:p>
    <w:p w14:paraId="3C307860" w14:textId="6F9D7E22" w:rsidR="005152D8" w:rsidRPr="00B014BC" w:rsidRDefault="005152D8" w:rsidP="004518BB">
      <w:pPr>
        <w:spacing w:after="0" w:line="240" w:lineRule="auto"/>
        <w:rPr>
          <w:rFonts w:ascii="Calibri" w:hAnsi="Calibri" w:cs="Times New Roman"/>
        </w:rPr>
      </w:pPr>
      <w:r w:rsidRPr="00B014BC">
        <w:rPr>
          <w:rFonts w:ascii="Calibri" w:hAnsi="Calibri" w:cs="Times New Roman"/>
        </w:rPr>
        <w:t xml:space="preserve">Následne sme začali intenzívne skúmať potreby trhu v oblasti detského poistenia a pustili sme sa do tvorby detského produktu tak, aby vedel zabezpečiť všetky životné situácie, s ktorými by sa mohlo </w:t>
      </w:r>
      <w:r w:rsidRPr="00B014BC">
        <w:rPr>
          <w:rFonts w:ascii="Calibri" w:hAnsi="Calibri" w:cs="Times New Roman"/>
        </w:rPr>
        <w:lastRenderedPageBreak/>
        <w:t>dieťa stretnúť. Výsledkom je PROVITAL Junior, ktorý ponúka rodičom možnosť šetriť dieťaťu finančnú hotovosť pre ľahší štart do života, pričom vieme flexibilne poskytnúť poistné plnenie ešte pred dožitím konca poistenia v situáciách, ako je štúdium na vysokej škole či založenie rodiny. Produkt zahŕňa aj možnosť investovania do moderných fondov, ktoré boli citlivo vyberané špeciálne pre potreby detského poistenia a umožňuje predčasný prístup k našetreným financiám. Takisto je možné zvoliť</w:t>
      </w:r>
      <w:r w:rsidR="00B322E2" w:rsidRPr="00B014BC">
        <w:rPr>
          <w:rFonts w:ascii="Calibri" w:hAnsi="Calibri" w:cs="Times New Roman"/>
        </w:rPr>
        <w:t xml:space="preserve"> si</w:t>
      </w:r>
      <w:r w:rsidRPr="00B014BC">
        <w:rPr>
          <w:rFonts w:ascii="Calibri" w:hAnsi="Calibri" w:cs="Times New Roman"/>
        </w:rPr>
        <w:t xml:space="preserve"> krytie úrazových rizík cez balíky pripoistení, ktoré majú veľmi atraktívne ceny, ako aj cez individuálne namiešanie pripoistení na mieru podľa potreby dieťaťa. Dieťa získava v produkte aj poistenie zlomenín zadarmo a takisto za symbolické jedno euro je možné dojednať poistenie liečebných nákladov počas cestovania. A nezabudli sme ani na</w:t>
      </w:r>
      <w:r w:rsidR="00B322E2" w:rsidRPr="00B014BC">
        <w:rPr>
          <w:rFonts w:ascii="Calibri" w:hAnsi="Calibri" w:cs="Times New Roman"/>
        </w:rPr>
        <w:t xml:space="preserve"> </w:t>
      </w:r>
      <w:r w:rsidRPr="00B014BC">
        <w:rPr>
          <w:rFonts w:ascii="Calibri" w:hAnsi="Calibri" w:cs="Times New Roman"/>
        </w:rPr>
        <w:t xml:space="preserve">to, že aj rodičia sú dôležitou, ak nie najdôležitejšou súčasťou života dieťaťa a produkt umožňuje pripoistiť oboch rodičov v rámci pripoistení. Tento produkt bol veľmi pozitívne prijatý ako na trhu, tak aj u obchodnej služby a je najpredávanejším detským produktom našej poisťovne. </w:t>
      </w:r>
    </w:p>
    <w:p w14:paraId="2A86D889" w14:textId="088EC865" w:rsidR="005152D8" w:rsidRPr="00B014BC" w:rsidRDefault="00B322E2" w:rsidP="004518BB">
      <w:pPr>
        <w:spacing w:after="0" w:line="240" w:lineRule="auto"/>
        <w:rPr>
          <w:rFonts w:ascii="Calibri" w:hAnsi="Calibri" w:cs="Times New Roman"/>
        </w:rPr>
      </w:pPr>
      <w:r w:rsidRPr="00B014BC">
        <w:rPr>
          <w:rFonts w:ascii="Calibri" w:hAnsi="Calibri" w:cs="Times New Roman"/>
        </w:rPr>
        <w:t>Č</w:t>
      </w:r>
      <w:r w:rsidR="005152D8" w:rsidRPr="00B014BC">
        <w:rPr>
          <w:rFonts w:ascii="Calibri" w:hAnsi="Calibri" w:cs="Times New Roman"/>
        </w:rPr>
        <w:t>akala</w:t>
      </w:r>
      <w:r w:rsidRPr="00B014BC">
        <w:rPr>
          <w:rFonts w:ascii="Calibri" w:hAnsi="Calibri" w:cs="Times New Roman"/>
        </w:rPr>
        <w:t xml:space="preserve"> nás tiež</w:t>
      </w:r>
      <w:r w:rsidR="005152D8" w:rsidRPr="00B014BC">
        <w:rPr>
          <w:rFonts w:ascii="Calibri" w:hAnsi="Calibri" w:cs="Times New Roman"/>
        </w:rPr>
        <w:t xml:space="preserve"> práca na poli investičných poistení. Keďže sme chceli aj tu uviesť na trh niečo moderné a rozprúdiť opäť predaj investičného poistenia, najskôr</w:t>
      </w:r>
      <w:r w:rsidRPr="00B014BC">
        <w:rPr>
          <w:rFonts w:ascii="Calibri" w:hAnsi="Calibri" w:cs="Times New Roman"/>
        </w:rPr>
        <w:t xml:space="preserve"> sme začali hĺbkovou analýzou</w:t>
      </w:r>
      <w:r w:rsidR="005152D8" w:rsidRPr="00B014BC">
        <w:rPr>
          <w:rFonts w:ascii="Calibri" w:hAnsi="Calibri" w:cs="Times New Roman"/>
        </w:rPr>
        <w:t xml:space="preserve"> toho, čo už slovenský poistný trh v súčasnosti ponúka. A v októbri uzrel svetlo sveta produkt PROVITAL </w:t>
      </w:r>
      <w:proofErr w:type="spellStart"/>
      <w:r w:rsidR="005152D8" w:rsidRPr="00B014BC">
        <w:rPr>
          <w:rFonts w:ascii="Calibri" w:hAnsi="Calibri" w:cs="Times New Roman"/>
        </w:rPr>
        <w:t>Invest</w:t>
      </w:r>
      <w:proofErr w:type="spellEnd"/>
      <w:r w:rsidR="005152D8" w:rsidRPr="00B014BC">
        <w:rPr>
          <w:rFonts w:ascii="Calibri" w:hAnsi="Calibri" w:cs="Times New Roman"/>
        </w:rPr>
        <w:t xml:space="preserve"> s výhodnou poplatkovou štruktúrou a ponukou fondov, ktoré ponúkajú modernú a aktívnu investičnú stratégiu. Tá dokáže zabezpečiť vhodné rozloženie investície, a teda pomôže zhodnotiť peniaze efektívnejšie. K tomu, aby si klient vedel vybrať naozaj fond, ktorý je blízky jeho investičnému apetítu, sme pripravili aj investičný dotazník, </w:t>
      </w:r>
      <w:r w:rsidRPr="00B014BC">
        <w:rPr>
          <w:rFonts w:ascii="Calibri" w:hAnsi="Calibri" w:cs="Times New Roman"/>
        </w:rPr>
        <w:t>a ten</w:t>
      </w:r>
      <w:r w:rsidR="005152D8" w:rsidRPr="00B014BC">
        <w:rPr>
          <w:rFonts w:ascii="Calibri" w:hAnsi="Calibri" w:cs="Times New Roman"/>
        </w:rPr>
        <w:t xml:space="preserve"> je veľkou pomôckou. Samozrejme, že tento produkt zahŕňa aj širokú škálu pripoistení, ktoré si </w:t>
      </w:r>
      <w:r w:rsidRPr="00B014BC">
        <w:rPr>
          <w:rFonts w:ascii="Calibri" w:hAnsi="Calibri" w:cs="Times New Roman"/>
        </w:rPr>
        <w:t>klient môže namiešať sám</w:t>
      </w:r>
      <w:r w:rsidR="005152D8" w:rsidRPr="00B014BC">
        <w:rPr>
          <w:rFonts w:ascii="Calibri" w:hAnsi="Calibri" w:cs="Times New Roman"/>
        </w:rPr>
        <w:t xml:space="preserve"> alebo si zvolí jeden z balíkov. </w:t>
      </w:r>
    </w:p>
    <w:p w14:paraId="122DDB8F" w14:textId="77777777" w:rsidR="005152D8" w:rsidRPr="00B014BC" w:rsidRDefault="005152D8" w:rsidP="004518BB">
      <w:pPr>
        <w:spacing w:after="0" w:line="240" w:lineRule="auto"/>
        <w:rPr>
          <w:rFonts w:ascii="Calibri" w:hAnsi="Calibri" w:cs="Times New Roman"/>
        </w:rPr>
      </w:pPr>
      <w:r w:rsidRPr="00B014BC">
        <w:rPr>
          <w:rFonts w:ascii="Calibri" w:hAnsi="Calibri" w:cs="Times New Roman"/>
        </w:rPr>
        <w:t xml:space="preserve">Okrem kreatívnej tvorby produktov sme počas celého roka pracovali na implementácii legislatívnych zmien týkajúcich sa zákona o poisťovníctve a novelizácii Občianskeho zákonníka. Išlo najmä o predzmluvné povinnosti poisťovne, konkrétne o vzorové prepočty pri investičnom poistení a úpravu formulárov o podmienkach poistnej zmluvy. </w:t>
      </w:r>
    </w:p>
    <w:p w14:paraId="044CC3FC" w14:textId="70D67C5C" w:rsidR="005152D8" w:rsidRPr="00B014BC" w:rsidRDefault="005152D8" w:rsidP="004518BB">
      <w:pPr>
        <w:spacing w:after="0" w:line="240" w:lineRule="auto"/>
        <w:rPr>
          <w:rFonts w:ascii="Calibri" w:hAnsi="Calibri" w:cs="Times New Roman"/>
        </w:rPr>
      </w:pPr>
      <w:r w:rsidRPr="00B014BC">
        <w:rPr>
          <w:rFonts w:ascii="Calibri" w:hAnsi="Calibri" w:cs="Times New Roman"/>
        </w:rPr>
        <w:t xml:space="preserve">V roku 2015 celková produkcia v spoločnosti KOMUNÁLNA poisťovňa, </w:t>
      </w:r>
      <w:proofErr w:type="spellStart"/>
      <w:r w:rsidRPr="00B014BC">
        <w:rPr>
          <w:rFonts w:ascii="Calibri" w:hAnsi="Calibri" w:cs="Times New Roman"/>
        </w:rPr>
        <w:t>a.s</w:t>
      </w:r>
      <w:proofErr w:type="spellEnd"/>
      <w:r w:rsidRPr="00B014BC">
        <w:rPr>
          <w:rFonts w:ascii="Calibri" w:hAnsi="Calibri" w:cs="Times New Roman"/>
        </w:rPr>
        <w:t xml:space="preserve">. </w:t>
      </w:r>
      <w:proofErr w:type="spellStart"/>
      <w:r w:rsidRPr="00B014BC">
        <w:rPr>
          <w:rFonts w:ascii="Calibri" w:hAnsi="Calibri" w:cs="Times New Roman"/>
        </w:rPr>
        <w:t>Vienna</w:t>
      </w:r>
      <w:proofErr w:type="spellEnd"/>
      <w:r w:rsidRPr="00B014BC">
        <w:rPr>
          <w:rFonts w:ascii="Calibri" w:hAnsi="Calibri" w:cs="Times New Roman"/>
        </w:rPr>
        <w:t xml:space="preserve"> </w:t>
      </w:r>
      <w:proofErr w:type="spellStart"/>
      <w:r w:rsidRPr="00B014BC">
        <w:rPr>
          <w:rFonts w:ascii="Calibri" w:hAnsi="Calibri" w:cs="Times New Roman"/>
        </w:rPr>
        <w:t>Insurance</w:t>
      </w:r>
      <w:proofErr w:type="spellEnd"/>
      <w:r w:rsidRPr="00B014BC">
        <w:rPr>
          <w:rFonts w:ascii="Calibri" w:hAnsi="Calibri" w:cs="Times New Roman"/>
        </w:rPr>
        <w:t xml:space="preserve"> Group predstavovala 11 875 nových poistných zmlúv v životnom poistení a celkové predpísané poistné bolo vo výške 110,913 mil. </w:t>
      </w:r>
      <w:r w:rsidR="00B322E2" w:rsidRPr="00B014BC">
        <w:rPr>
          <w:rFonts w:ascii="Calibri" w:hAnsi="Calibri" w:cs="Times New Roman"/>
        </w:rPr>
        <w:t>eur</w:t>
      </w:r>
      <w:r w:rsidRPr="00B014BC">
        <w:rPr>
          <w:rFonts w:ascii="Calibri" w:hAnsi="Calibri" w:cs="Times New Roman"/>
        </w:rPr>
        <w:t>.</w:t>
      </w:r>
    </w:p>
    <w:p w14:paraId="3B1B4894" w14:textId="77777777" w:rsidR="004518BB" w:rsidRPr="00B014BC" w:rsidRDefault="004518BB" w:rsidP="004518BB">
      <w:pPr>
        <w:spacing w:after="0" w:line="240" w:lineRule="auto"/>
        <w:rPr>
          <w:rFonts w:ascii="Calibri" w:hAnsi="Calibri" w:cs="Times New Roman"/>
        </w:rPr>
      </w:pPr>
    </w:p>
    <w:p w14:paraId="13630661" w14:textId="77777777" w:rsidR="008570DA" w:rsidRPr="00B014BC" w:rsidRDefault="008570DA" w:rsidP="004518BB">
      <w:pPr>
        <w:pStyle w:val="Heading1"/>
        <w:tabs>
          <w:tab w:val="clear" w:pos="3544"/>
        </w:tabs>
        <w:jc w:val="left"/>
        <w:rPr>
          <w:rFonts w:asciiTheme="minorHAnsi" w:hAnsiTheme="minorHAnsi" w:cstheme="minorHAnsi"/>
          <w:sz w:val="22"/>
          <w:szCs w:val="22"/>
        </w:rPr>
      </w:pPr>
      <w:r w:rsidRPr="00B014BC">
        <w:rPr>
          <w:rFonts w:asciiTheme="minorHAnsi" w:hAnsiTheme="minorHAnsi" w:cstheme="minorHAnsi"/>
          <w:sz w:val="22"/>
          <w:szCs w:val="22"/>
        </w:rPr>
        <w:t>Likvidácia poistných udalostí poistenia osôb</w:t>
      </w:r>
    </w:p>
    <w:p w14:paraId="58F8732E" w14:textId="63A5E9E8" w:rsidR="008570DA" w:rsidRPr="00B014BC" w:rsidRDefault="008570DA" w:rsidP="004518BB">
      <w:pPr>
        <w:spacing w:after="0" w:line="240" w:lineRule="auto"/>
        <w:rPr>
          <w:rFonts w:cstheme="minorHAnsi"/>
        </w:rPr>
      </w:pPr>
      <w:r w:rsidRPr="00B014BC">
        <w:rPr>
          <w:rFonts w:cstheme="minorHAnsi"/>
        </w:rPr>
        <w:t xml:space="preserve">Likvidácia poistných udalostí úseku poistenia osôb pokračovala </w:t>
      </w:r>
      <w:r w:rsidR="00BA5157" w:rsidRPr="00B014BC">
        <w:rPr>
          <w:rFonts w:cstheme="minorHAnsi"/>
        </w:rPr>
        <w:t xml:space="preserve">aj </w:t>
      </w:r>
      <w:r w:rsidRPr="00B014BC">
        <w:rPr>
          <w:rFonts w:cstheme="minorHAnsi"/>
        </w:rPr>
        <w:t xml:space="preserve">v tomto roku v skvalitňovaní služieb zákazníkom. Pri vybavovaní nárokov na poistné plnenie sme kládli veľký dôraz najmä na kvalitu a rýchlosť vybavovania nahlásených poistných udalostí. </w:t>
      </w:r>
      <w:r w:rsidR="00BA5157" w:rsidRPr="00B014BC">
        <w:rPr>
          <w:rFonts w:cstheme="minorHAnsi"/>
        </w:rPr>
        <w:t xml:space="preserve">V roku </w:t>
      </w:r>
      <w:r w:rsidR="002E7EFC" w:rsidRPr="00B014BC">
        <w:rPr>
          <w:rFonts w:cstheme="minorHAnsi"/>
        </w:rPr>
        <w:t>2015</w:t>
      </w:r>
      <w:r w:rsidR="00BA5157" w:rsidRPr="00B014BC">
        <w:rPr>
          <w:rFonts w:cstheme="minorHAnsi"/>
        </w:rPr>
        <w:t xml:space="preserve"> sme rozvinuli spôsoby sledovania </w:t>
      </w:r>
      <w:proofErr w:type="spellStart"/>
      <w:r w:rsidR="00BA5157" w:rsidRPr="00B014BC">
        <w:rPr>
          <w:rFonts w:cstheme="minorHAnsi"/>
        </w:rPr>
        <w:t>škodovosti</w:t>
      </w:r>
      <w:proofErr w:type="spellEnd"/>
      <w:r w:rsidR="00BA5157" w:rsidRPr="00B014BC">
        <w:rPr>
          <w:rFonts w:cstheme="minorHAnsi"/>
        </w:rPr>
        <w:t xml:space="preserve"> na jednotlivých poistných zmluvách. </w:t>
      </w:r>
      <w:r w:rsidR="002E7EFC" w:rsidRPr="00B014BC">
        <w:rPr>
          <w:rFonts w:cstheme="minorHAnsi"/>
        </w:rPr>
        <w:t>Pokračovali sme v</w:t>
      </w:r>
      <w:r w:rsidR="00BA5157" w:rsidRPr="00B014BC">
        <w:rPr>
          <w:rFonts w:cstheme="minorHAnsi"/>
        </w:rPr>
        <w:t xml:space="preserve"> eliminácii klientov, ktorí vykazovali známky podozrivých poistných udalostí a vysokej </w:t>
      </w:r>
      <w:proofErr w:type="spellStart"/>
      <w:r w:rsidR="00BA5157" w:rsidRPr="00B014BC">
        <w:rPr>
          <w:rFonts w:cstheme="minorHAnsi"/>
        </w:rPr>
        <w:t>škodovosti</w:t>
      </w:r>
      <w:proofErr w:type="spellEnd"/>
      <w:r w:rsidR="00BA5157" w:rsidRPr="00B014BC">
        <w:rPr>
          <w:rFonts w:cstheme="minorHAnsi"/>
        </w:rPr>
        <w:t xml:space="preserve">. </w:t>
      </w:r>
    </w:p>
    <w:p w14:paraId="4829C33B" w14:textId="77777777" w:rsidR="00FD409B" w:rsidRPr="00B014BC" w:rsidRDefault="00FD409B" w:rsidP="004518BB">
      <w:pPr>
        <w:spacing w:after="0" w:line="240" w:lineRule="auto"/>
        <w:rPr>
          <w:rFonts w:cstheme="minorHAnsi"/>
          <w:b/>
          <w:bCs/>
        </w:rPr>
      </w:pPr>
    </w:p>
    <w:p w14:paraId="76472F33" w14:textId="202E1B48" w:rsidR="008570DA" w:rsidRPr="00B014BC" w:rsidRDefault="008570DA" w:rsidP="004518BB">
      <w:pPr>
        <w:pStyle w:val="BodyText"/>
        <w:jc w:val="left"/>
        <w:rPr>
          <w:rFonts w:asciiTheme="minorHAnsi" w:hAnsiTheme="minorHAnsi" w:cstheme="minorHAnsi"/>
          <w:b w:val="0"/>
          <w:sz w:val="22"/>
          <w:szCs w:val="22"/>
        </w:rPr>
      </w:pPr>
      <w:r w:rsidRPr="00B014BC">
        <w:rPr>
          <w:rFonts w:asciiTheme="minorHAnsi" w:hAnsiTheme="minorHAnsi" w:cstheme="minorHAnsi"/>
          <w:b w:val="0"/>
          <w:sz w:val="22"/>
          <w:szCs w:val="22"/>
        </w:rPr>
        <w:t>Z</w:t>
      </w:r>
      <w:r w:rsidR="002E7EFC" w:rsidRPr="00B014BC">
        <w:rPr>
          <w:rFonts w:asciiTheme="minorHAnsi" w:hAnsiTheme="minorHAnsi" w:cstheme="minorHAnsi"/>
          <w:b w:val="0"/>
          <w:sz w:val="22"/>
          <w:szCs w:val="22"/>
        </w:rPr>
        <w:t> poistenia osôb bolo v roku 2015</w:t>
      </w:r>
      <w:r w:rsidRPr="00B014BC">
        <w:rPr>
          <w:rFonts w:asciiTheme="minorHAnsi" w:hAnsiTheme="minorHAnsi" w:cstheme="minorHAnsi"/>
          <w:b w:val="0"/>
          <w:sz w:val="22"/>
          <w:szCs w:val="22"/>
        </w:rPr>
        <w:t xml:space="preserve"> hlásených </w:t>
      </w:r>
      <w:r w:rsidR="002E7EFC" w:rsidRPr="00B014BC">
        <w:rPr>
          <w:rFonts w:asciiTheme="minorHAnsi" w:hAnsiTheme="minorHAnsi" w:cstheme="minorHAnsi"/>
          <w:sz w:val="22"/>
          <w:szCs w:val="22"/>
        </w:rPr>
        <w:t>12 837</w:t>
      </w:r>
      <w:r w:rsidRPr="00B014BC">
        <w:rPr>
          <w:rFonts w:asciiTheme="minorHAnsi" w:hAnsiTheme="minorHAnsi" w:cstheme="minorHAnsi"/>
          <w:b w:val="0"/>
          <w:sz w:val="22"/>
          <w:szCs w:val="22"/>
        </w:rPr>
        <w:t xml:space="preserve"> poistných udalostí</w:t>
      </w:r>
      <w:r w:rsidR="00BA5157" w:rsidRPr="00B014BC">
        <w:rPr>
          <w:rFonts w:asciiTheme="minorHAnsi" w:hAnsiTheme="minorHAnsi" w:cstheme="minorHAnsi"/>
          <w:b w:val="0"/>
          <w:sz w:val="22"/>
          <w:szCs w:val="22"/>
        </w:rPr>
        <w:t xml:space="preserve"> </w:t>
      </w:r>
      <w:r w:rsidRPr="00B014BC">
        <w:rPr>
          <w:rFonts w:asciiTheme="minorHAnsi" w:hAnsiTheme="minorHAnsi" w:cstheme="minorHAnsi"/>
          <w:b w:val="0"/>
          <w:sz w:val="22"/>
          <w:szCs w:val="22"/>
        </w:rPr>
        <w:t xml:space="preserve">(bez </w:t>
      </w:r>
      <w:proofErr w:type="spellStart"/>
      <w:r w:rsidRPr="00B014BC">
        <w:rPr>
          <w:rFonts w:asciiTheme="minorHAnsi" w:hAnsiTheme="minorHAnsi" w:cstheme="minorHAnsi"/>
          <w:b w:val="0"/>
          <w:sz w:val="22"/>
          <w:szCs w:val="22"/>
        </w:rPr>
        <w:t>odkupov</w:t>
      </w:r>
      <w:proofErr w:type="spellEnd"/>
      <w:r w:rsidRPr="00B014BC">
        <w:rPr>
          <w:rFonts w:asciiTheme="minorHAnsi" w:hAnsiTheme="minorHAnsi" w:cstheme="minorHAnsi"/>
          <w:b w:val="0"/>
          <w:sz w:val="22"/>
          <w:szCs w:val="22"/>
        </w:rPr>
        <w:t>), z toho:</w:t>
      </w:r>
    </w:p>
    <w:p w14:paraId="23EAB017" w14:textId="64ADD9E1" w:rsidR="008570DA" w:rsidRPr="00B014BC" w:rsidRDefault="008570DA" w:rsidP="004518BB">
      <w:pPr>
        <w:numPr>
          <w:ilvl w:val="0"/>
          <w:numId w:val="15"/>
        </w:numPr>
        <w:spacing w:after="0" w:line="240" w:lineRule="auto"/>
        <w:rPr>
          <w:rFonts w:cstheme="minorHAnsi"/>
          <w:b/>
        </w:rPr>
      </w:pPr>
      <w:r w:rsidRPr="00B014BC">
        <w:rPr>
          <w:rFonts w:cstheme="minorHAnsi"/>
          <w:b/>
        </w:rPr>
        <w:t xml:space="preserve">životné poistenia spolu (bez </w:t>
      </w:r>
      <w:proofErr w:type="spellStart"/>
      <w:r w:rsidRPr="00B014BC">
        <w:rPr>
          <w:rFonts w:cstheme="minorHAnsi"/>
          <w:b/>
        </w:rPr>
        <w:t>odkupov</w:t>
      </w:r>
      <w:proofErr w:type="spellEnd"/>
      <w:r w:rsidRPr="00B014BC">
        <w:rPr>
          <w:rFonts w:cstheme="minorHAnsi"/>
          <w:b/>
        </w:rPr>
        <w:t>)</w:t>
      </w:r>
      <w:r w:rsidRPr="00B014BC">
        <w:rPr>
          <w:rFonts w:cstheme="minorHAnsi"/>
          <w:b/>
        </w:rPr>
        <w:tab/>
      </w:r>
      <w:r w:rsidRPr="00B014BC">
        <w:rPr>
          <w:rFonts w:cstheme="minorHAnsi"/>
          <w:b/>
        </w:rPr>
        <w:tab/>
      </w:r>
      <w:r w:rsidRPr="00B014BC">
        <w:rPr>
          <w:rFonts w:cstheme="minorHAnsi"/>
          <w:b/>
        </w:rPr>
        <w:tab/>
      </w:r>
      <w:r w:rsidR="002E7EFC" w:rsidRPr="00B014BC">
        <w:rPr>
          <w:rFonts w:cstheme="minorHAnsi"/>
          <w:b/>
        </w:rPr>
        <w:t>12 351</w:t>
      </w:r>
      <w:r w:rsidRPr="00B014BC">
        <w:rPr>
          <w:rFonts w:cstheme="minorHAnsi"/>
          <w:b/>
        </w:rPr>
        <w:t xml:space="preserve"> ks</w:t>
      </w:r>
    </w:p>
    <w:p w14:paraId="7D721FDE" w14:textId="77777777" w:rsidR="008570DA" w:rsidRPr="00B014BC" w:rsidRDefault="008570DA" w:rsidP="004518BB">
      <w:pPr>
        <w:spacing w:after="0" w:line="240" w:lineRule="auto"/>
        <w:ind w:left="360"/>
        <w:rPr>
          <w:rFonts w:cstheme="minorHAnsi"/>
        </w:rPr>
      </w:pPr>
      <w:r w:rsidRPr="00B014BC">
        <w:rPr>
          <w:rFonts w:cstheme="minorHAnsi"/>
        </w:rPr>
        <w:t xml:space="preserve">           z</w:t>
      </w:r>
      <w:r w:rsidR="00A707FB" w:rsidRPr="00B014BC">
        <w:rPr>
          <w:rFonts w:cstheme="minorHAnsi"/>
        </w:rPr>
        <w:t> </w:t>
      </w:r>
      <w:r w:rsidRPr="00B014BC">
        <w:rPr>
          <w:rFonts w:cstheme="minorHAnsi"/>
        </w:rPr>
        <w:t>toho</w:t>
      </w:r>
      <w:r w:rsidR="00A707FB" w:rsidRPr="00B014BC">
        <w:rPr>
          <w:rFonts w:cstheme="minorHAnsi"/>
        </w:rPr>
        <w:t>:</w:t>
      </w:r>
    </w:p>
    <w:p w14:paraId="1E3D8CB9" w14:textId="3638D489" w:rsidR="008570DA" w:rsidRPr="00B014BC" w:rsidRDefault="008570DA" w:rsidP="004518BB">
      <w:pPr>
        <w:numPr>
          <w:ilvl w:val="1"/>
          <w:numId w:val="16"/>
        </w:numPr>
        <w:spacing w:after="0" w:line="240" w:lineRule="auto"/>
        <w:rPr>
          <w:rFonts w:cstheme="minorHAnsi"/>
        </w:rPr>
      </w:pPr>
      <w:r w:rsidRPr="00B014BC">
        <w:rPr>
          <w:rFonts w:cstheme="minorHAnsi"/>
        </w:rPr>
        <w:t>životné poistenia bez pripoistení</w:t>
      </w:r>
      <w:r w:rsidRPr="00B014BC">
        <w:rPr>
          <w:rFonts w:cstheme="minorHAnsi"/>
        </w:rPr>
        <w:tab/>
      </w:r>
      <w:r w:rsidRPr="00B014BC">
        <w:rPr>
          <w:rFonts w:cstheme="minorHAnsi"/>
        </w:rPr>
        <w:tab/>
        <w:t xml:space="preserve">  7 </w:t>
      </w:r>
      <w:r w:rsidR="002E7EFC" w:rsidRPr="00B014BC">
        <w:rPr>
          <w:rFonts w:cstheme="minorHAnsi"/>
        </w:rPr>
        <w:t>143</w:t>
      </w:r>
      <w:r w:rsidRPr="00B014BC">
        <w:rPr>
          <w:rFonts w:cstheme="minorHAnsi"/>
        </w:rPr>
        <w:t xml:space="preserve"> ks</w:t>
      </w:r>
    </w:p>
    <w:p w14:paraId="3A4C5F76" w14:textId="1C3A7574" w:rsidR="008570DA" w:rsidRPr="00B014BC" w:rsidRDefault="008570DA" w:rsidP="004518BB">
      <w:pPr>
        <w:numPr>
          <w:ilvl w:val="1"/>
          <w:numId w:val="16"/>
        </w:numPr>
        <w:spacing w:after="0" w:line="240" w:lineRule="auto"/>
        <w:rPr>
          <w:rFonts w:cstheme="minorHAnsi"/>
        </w:rPr>
      </w:pPr>
      <w:r w:rsidRPr="00B014BC">
        <w:rPr>
          <w:rFonts w:cstheme="minorHAnsi"/>
        </w:rPr>
        <w:t>pripoistenia k životným poisteniam</w:t>
      </w:r>
      <w:r w:rsidRPr="00B014BC">
        <w:rPr>
          <w:rFonts w:cstheme="minorHAnsi"/>
        </w:rPr>
        <w:tab/>
      </w:r>
      <w:r w:rsidRPr="00B014BC">
        <w:rPr>
          <w:rFonts w:cstheme="minorHAnsi"/>
        </w:rPr>
        <w:tab/>
        <w:t xml:space="preserve">  </w:t>
      </w:r>
      <w:r w:rsidR="00BA5157" w:rsidRPr="00B014BC">
        <w:rPr>
          <w:rFonts w:cstheme="minorHAnsi"/>
        </w:rPr>
        <w:t xml:space="preserve">5 </w:t>
      </w:r>
      <w:r w:rsidR="002E7EFC" w:rsidRPr="00B014BC">
        <w:rPr>
          <w:rFonts w:cstheme="minorHAnsi"/>
        </w:rPr>
        <w:t>208</w:t>
      </w:r>
      <w:r w:rsidRPr="00B014BC">
        <w:rPr>
          <w:rFonts w:cstheme="minorHAnsi"/>
        </w:rPr>
        <w:t xml:space="preserve"> ks</w:t>
      </w:r>
    </w:p>
    <w:p w14:paraId="1EF70BEF" w14:textId="099F3B43" w:rsidR="008570DA" w:rsidRPr="00B014BC" w:rsidRDefault="008570DA" w:rsidP="004518BB">
      <w:pPr>
        <w:numPr>
          <w:ilvl w:val="0"/>
          <w:numId w:val="15"/>
        </w:numPr>
        <w:spacing w:after="0" w:line="240" w:lineRule="auto"/>
        <w:rPr>
          <w:rFonts w:cstheme="minorHAnsi"/>
          <w:b/>
        </w:rPr>
      </w:pPr>
      <w:r w:rsidRPr="00B014BC">
        <w:rPr>
          <w:rFonts w:cstheme="minorHAnsi"/>
          <w:b/>
        </w:rPr>
        <w:t>neživotné poistenia osôb</w:t>
      </w:r>
      <w:r w:rsidRPr="00B014BC">
        <w:rPr>
          <w:rFonts w:cstheme="minorHAnsi"/>
          <w:b/>
        </w:rPr>
        <w:tab/>
      </w:r>
      <w:r w:rsidRPr="00B014BC">
        <w:rPr>
          <w:rFonts w:cstheme="minorHAnsi"/>
          <w:b/>
        </w:rPr>
        <w:tab/>
      </w:r>
      <w:r w:rsidRPr="00B014BC">
        <w:rPr>
          <w:rFonts w:cstheme="minorHAnsi"/>
          <w:b/>
        </w:rPr>
        <w:tab/>
      </w:r>
      <w:r w:rsidRPr="00B014BC">
        <w:rPr>
          <w:rFonts w:cstheme="minorHAnsi"/>
          <w:b/>
        </w:rPr>
        <w:tab/>
        <w:t xml:space="preserve">    </w:t>
      </w:r>
      <w:r w:rsidR="002E7EFC" w:rsidRPr="00B014BC">
        <w:rPr>
          <w:rFonts w:cstheme="minorHAnsi"/>
          <w:b/>
        </w:rPr>
        <w:t>486</w:t>
      </w:r>
      <w:r w:rsidRPr="00B014BC">
        <w:rPr>
          <w:rFonts w:cstheme="minorHAnsi"/>
          <w:b/>
        </w:rPr>
        <w:t xml:space="preserve"> ks </w:t>
      </w:r>
    </w:p>
    <w:p w14:paraId="0691900B" w14:textId="77777777" w:rsidR="000B6906" w:rsidRPr="00B014BC" w:rsidRDefault="000B6906" w:rsidP="004518BB">
      <w:pPr>
        <w:spacing w:after="0" w:line="240" w:lineRule="auto"/>
        <w:rPr>
          <w:rFonts w:cstheme="minorHAnsi"/>
          <w:i/>
        </w:rPr>
      </w:pPr>
    </w:p>
    <w:p w14:paraId="194F9CA9" w14:textId="553A82C3" w:rsidR="008570DA" w:rsidRPr="00B014BC" w:rsidRDefault="002E7EFC" w:rsidP="004518BB">
      <w:pPr>
        <w:pStyle w:val="BodyText"/>
        <w:jc w:val="left"/>
        <w:rPr>
          <w:rFonts w:asciiTheme="minorHAnsi" w:hAnsiTheme="minorHAnsi" w:cstheme="minorHAnsi"/>
          <w:b w:val="0"/>
          <w:sz w:val="22"/>
          <w:szCs w:val="22"/>
        </w:rPr>
      </w:pPr>
      <w:r w:rsidRPr="00B014BC">
        <w:rPr>
          <w:noProof/>
          <w:lang w:val="en-US" w:eastAsia="en-US"/>
        </w:rPr>
        <w:lastRenderedPageBreak/>
        <w:drawing>
          <wp:inline distT="0" distB="0" distL="0" distR="0" wp14:anchorId="514774FC" wp14:editId="124E6AD3">
            <wp:extent cx="5332942" cy="2305473"/>
            <wp:effectExtent l="0" t="0" r="1270" b="635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E39CEBF" w14:textId="40B7537F" w:rsidR="000B6906" w:rsidRPr="00B014BC" w:rsidRDefault="000B6906" w:rsidP="004518BB">
      <w:pPr>
        <w:spacing w:after="0" w:line="240" w:lineRule="auto"/>
        <w:rPr>
          <w:rFonts w:cstheme="minorHAnsi"/>
          <w:i/>
        </w:rPr>
      </w:pPr>
      <w:r w:rsidRPr="00B014BC">
        <w:rPr>
          <w:rFonts w:cstheme="minorHAnsi"/>
          <w:i/>
        </w:rPr>
        <w:t xml:space="preserve">Vývoj počtu hlásených PU (bez </w:t>
      </w:r>
      <w:proofErr w:type="spellStart"/>
      <w:r w:rsidRPr="00B014BC">
        <w:rPr>
          <w:rFonts w:cstheme="minorHAnsi"/>
          <w:i/>
        </w:rPr>
        <w:t>odkupov</w:t>
      </w:r>
      <w:proofErr w:type="spellEnd"/>
      <w:r w:rsidRPr="00B014BC">
        <w:rPr>
          <w:rFonts w:cstheme="minorHAnsi"/>
          <w:i/>
        </w:rPr>
        <w:t>) v poistení osôb v ks</w:t>
      </w:r>
    </w:p>
    <w:p w14:paraId="2ABD3693" w14:textId="77777777" w:rsidR="008570DA" w:rsidRPr="00B014BC" w:rsidRDefault="008570DA" w:rsidP="004518BB">
      <w:pPr>
        <w:spacing w:after="0" w:line="240" w:lineRule="auto"/>
        <w:rPr>
          <w:rFonts w:cstheme="minorHAnsi"/>
        </w:rPr>
      </w:pPr>
    </w:p>
    <w:p w14:paraId="37E3804B" w14:textId="5F539ECA" w:rsidR="008570DA" w:rsidRPr="00B014BC" w:rsidRDefault="008570DA" w:rsidP="004518BB">
      <w:pPr>
        <w:spacing w:after="0" w:line="240" w:lineRule="auto"/>
        <w:rPr>
          <w:rFonts w:cstheme="minorHAnsi"/>
        </w:rPr>
      </w:pPr>
      <w:r w:rsidRPr="00B014BC">
        <w:rPr>
          <w:rFonts w:cstheme="minorHAnsi"/>
        </w:rPr>
        <w:t xml:space="preserve">Poistné plnenia zo všetkých poistných udalostí vybavovaných úsekom poistenia osôb (životné aj neživotné bez </w:t>
      </w:r>
      <w:proofErr w:type="spellStart"/>
      <w:r w:rsidRPr="00B014BC">
        <w:rPr>
          <w:rFonts w:cstheme="minorHAnsi"/>
        </w:rPr>
        <w:t>odkupov</w:t>
      </w:r>
      <w:proofErr w:type="spellEnd"/>
      <w:r w:rsidRPr="00B014BC">
        <w:rPr>
          <w:rFonts w:cstheme="minorHAnsi"/>
        </w:rPr>
        <w:t>) za obdobie 1. 1. 201</w:t>
      </w:r>
      <w:r w:rsidR="002E7EFC" w:rsidRPr="00B014BC">
        <w:rPr>
          <w:rFonts w:cstheme="minorHAnsi"/>
        </w:rPr>
        <w:t>5</w:t>
      </w:r>
      <w:r w:rsidRPr="00B014BC">
        <w:rPr>
          <w:rFonts w:cstheme="minorHAnsi"/>
        </w:rPr>
        <w:t xml:space="preserve"> - 31. 12. 201</w:t>
      </w:r>
      <w:r w:rsidR="002E7EFC" w:rsidRPr="00B014BC">
        <w:rPr>
          <w:rFonts w:cstheme="minorHAnsi"/>
        </w:rPr>
        <w:t>5</w:t>
      </w:r>
      <w:r w:rsidRPr="00B014BC">
        <w:rPr>
          <w:rFonts w:cstheme="minorHAnsi"/>
        </w:rPr>
        <w:t xml:space="preserve"> predstavovali sumu </w:t>
      </w:r>
      <w:r w:rsidR="00DA2953" w:rsidRPr="00B014BC">
        <w:rPr>
          <w:rFonts w:cstheme="minorHAnsi"/>
        </w:rPr>
        <w:t>13,</w:t>
      </w:r>
      <w:r w:rsidR="002E7EFC" w:rsidRPr="00B014BC">
        <w:rPr>
          <w:rFonts w:cstheme="minorHAnsi"/>
        </w:rPr>
        <w:t>35</w:t>
      </w:r>
      <w:r w:rsidRPr="00B014BC">
        <w:rPr>
          <w:rFonts w:cstheme="minorHAnsi"/>
        </w:rPr>
        <w:t xml:space="preserve"> mil. </w:t>
      </w:r>
      <w:r w:rsidR="00B322E2" w:rsidRPr="00B014BC">
        <w:rPr>
          <w:rFonts w:cstheme="minorHAnsi"/>
        </w:rPr>
        <w:t>eur</w:t>
      </w:r>
      <w:r w:rsidRPr="00B014BC">
        <w:rPr>
          <w:rFonts w:cstheme="minorHAnsi"/>
        </w:rPr>
        <w:t>, čo je v p</w:t>
      </w:r>
      <w:r w:rsidR="002E7EFC" w:rsidRPr="00B014BC">
        <w:rPr>
          <w:rFonts w:cstheme="minorHAnsi"/>
        </w:rPr>
        <w:t>orovnaní s obdobím od 1. 1. 2014</w:t>
      </w:r>
      <w:r w:rsidRPr="00B014BC">
        <w:rPr>
          <w:rFonts w:cstheme="minorHAnsi"/>
        </w:rPr>
        <w:t xml:space="preserve"> do 31. 12. 201</w:t>
      </w:r>
      <w:r w:rsidR="002E7EFC" w:rsidRPr="00B014BC">
        <w:rPr>
          <w:rFonts w:cstheme="minorHAnsi"/>
        </w:rPr>
        <w:t>4 minimálny nárast</w:t>
      </w:r>
      <w:r w:rsidRPr="00B014BC">
        <w:rPr>
          <w:rFonts w:cstheme="minorHAnsi"/>
        </w:rPr>
        <w:t xml:space="preserve"> nárast o</w:t>
      </w:r>
      <w:r w:rsidR="002E7EFC" w:rsidRPr="00B014BC">
        <w:rPr>
          <w:rFonts w:cstheme="minorHAnsi"/>
        </w:rPr>
        <w:t> 1,4</w:t>
      </w:r>
      <w:r w:rsidRPr="00B014BC">
        <w:rPr>
          <w:rFonts w:cstheme="minorHAnsi"/>
        </w:rPr>
        <w:t xml:space="preserve"> %.</w:t>
      </w:r>
    </w:p>
    <w:p w14:paraId="2DBD7D63" w14:textId="2578F27B" w:rsidR="008570DA" w:rsidRPr="00B014BC" w:rsidRDefault="008570DA" w:rsidP="004518BB">
      <w:pPr>
        <w:spacing w:after="0" w:line="240" w:lineRule="auto"/>
        <w:rPr>
          <w:rFonts w:cstheme="minorHAnsi"/>
        </w:rPr>
      </w:pPr>
      <w:r w:rsidRPr="00B014BC">
        <w:rPr>
          <w:rFonts w:cstheme="minorHAnsi"/>
        </w:rPr>
        <w:t xml:space="preserve">Vyplatené poistné plnenie zo životných poistných udalostí (bez </w:t>
      </w:r>
      <w:proofErr w:type="spellStart"/>
      <w:r w:rsidRPr="00B014BC">
        <w:rPr>
          <w:rFonts w:cstheme="minorHAnsi"/>
        </w:rPr>
        <w:t>odkupov</w:t>
      </w:r>
      <w:proofErr w:type="spellEnd"/>
      <w:r w:rsidRPr="00B014BC">
        <w:rPr>
          <w:rFonts w:cstheme="minorHAnsi"/>
        </w:rPr>
        <w:t xml:space="preserve"> a bez pripoistení) predstavovalo sumu </w:t>
      </w:r>
      <w:r w:rsidR="00DA2953" w:rsidRPr="00B014BC">
        <w:rPr>
          <w:rFonts w:cstheme="minorHAnsi"/>
        </w:rPr>
        <w:t>11,</w:t>
      </w:r>
      <w:r w:rsidR="002E7EFC" w:rsidRPr="00B014BC">
        <w:rPr>
          <w:rFonts w:cstheme="minorHAnsi"/>
        </w:rPr>
        <w:t>70</w:t>
      </w:r>
      <w:r w:rsidRPr="00B014BC">
        <w:rPr>
          <w:rFonts w:cstheme="minorHAnsi"/>
        </w:rPr>
        <w:t xml:space="preserve"> mil. </w:t>
      </w:r>
      <w:r w:rsidR="00B322E2" w:rsidRPr="00B014BC">
        <w:rPr>
          <w:rFonts w:cstheme="minorHAnsi"/>
        </w:rPr>
        <w:t>eur</w:t>
      </w:r>
      <w:r w:rsidRPr="00B014BC">
        <w:rPr>
          <w:rFonts w:cstheme="minorHAnsi"/>
        </w:rPr>
        <w:t>, čo je v porovnaní s obdobím </w:t>
      </w:r>
      <w:r w:rsidR="002E7EFC" w:rsidRPr="00B014BC">
        <w:rPr>
          <w:rFonts w:cstheme="minorHAnsi"/>
        </w:rPr>
        <w:t>minulého roku</w:t>
      </w:r>
      <w:r w:rsidRPr="00B014BC">
        <w:rPr>
          <w:rFonts w:cstheme="minorHAnsi"/>
        </w:rPr>
        <w:t xml:space="preserve"> </w:t>
      </w:r>
      <w:r w:rsidR="002E7EFC" w:rsidRPr="00B014BC">
        <w:rPr>
          <w:rFonts w:cstheme="minorHAnsi"/>
        </w:rPr>
        <w:t>pokles len o 1 %. Z tejto sumy tvorilo 93</w:t>
      </w:r>
      <w:r w:rsidRPr="00B014BC">
        <w:rPr>
          <w:rFonts w:cstheme="minorHAnsi"/>
        </w:rPr>
        <w:t xml:space="preserve"> % poistné plnenie z dožití a výplat dôchodkov. Suma vyplatených poistných plnení za dožitia a dôchodky v období od 1. 1. 201</w:t>
      </w:r>
      <w:r w:rsidR="002E7EFC" w:rsidRPr="00B014BC">
        <w:rPr>
          <w:rFonts w:cstheme="minorHAnsi"/>
        </w:rPr>
        <w:t>5</w:t>
      </w:r>
      <w:r w:rsidRPr="00B014BC">
        <w:rPr>
          <w:rFonts w:cstheme="minorHAnsi"/>
        </w:rPr>
        <w:t xml:space="preserve"> do 31. 12. 201</w:t>
      </w:r>
      <w:r w:rsidR="002E7EFC" w:rsidRPr="00B014BC">
        <w:rPr>
          <w:rFonts w:cstheme="minorHAnsi"/>
        </w:rPr>
        <w:t>5</w:t>
      </w:r>
      <w:r w:rsidR="004518BB" w:rsidRPr="00B014BC">
        <w:rPr>
          <w:rFonts w:cstheme="minorHAnsi"/>
        </w:rPr>
        <w:t xml:space="preserve"> je vo výške</w:t>
      </w:r>
      <w:r w:rsidR="002E7EFC" w:rsidRPr="00B014BC">
        <w:rPr>
          <w:rFonts w:cstheme="minorHAnsi"/>
        </w:rPr>
        <w:t xml:space="preserve"> 10,84</w:t>
      </w:r>
      <w:r w:rsidRPr="00B014BC">
        <w:rPr>
          <w:rFonts w:cstheme="minorHAnsi"/>
        </w:rPr>
        <w:t xml:space="preserve"> mil. </w:t>
      </w:r>
      <w:r w:rsidR="00B322E2" w:rsidRPr="00B014BC">
        <w:rPr>
          <w:rFonts w:cstheme="minorHAnsi"/>
        </w:rPr>
        <w:t>eur</w:t>
      </w:r>
      <w:r w:rsidRPr="00B014BC">
        <w:rPr>
          <w:rFonts w:cstheme="minorHAnsi"/>
        </w:rPr>
        <w:t>.</w:t>
      </w:r>
    </w:p>
    <w:p w14:paraId="59800506" w14:textId="68B75A46" w:rsidR="008570DA" w:rsidRPr="00B014BC" w:rsidRDefault="008570DA" w:rsidP="004518BB">
      <w:pPr>
        <w:spacing w:after="0" w:line="240" w:lineRule="auto"/>
        <w:rPr>
          <w:rFonts w:cstheme="minorHAnsi"/>
        </w:rPr>
      </w:pPr>
      <w:r w:rsidRPr="00B014BC">
        <w:rPr>
          <w:rFonts w:cstheme="minorHAnsi"/>
        </w:rPr>
        <w:t>Z pripoistení k životným poisteniam bolo za obdobie 1. 1. 201</w:t>
      </w:r>
      <w:r w:rsidR="002E7EFC" w:rsidRPr="00B014BC">
        <w:rPr>
          <w:rFonts w:cstheme="minorHAnsi"/>
        </w:rPr>
        <w:t xml:space="preserve">5 </w:t>
      </w:r>
      <w:r w:rsidRPr="00B014BC">
        <w:rPr>
          <w:rFonts w:cstheme="minorHAnsi"/>
        </w:rPr>
        <w:t>- 31. 12. 201</w:t>
      </w:r>
      <w:r w:rsidR="002E7EFC" w:rsidRPr="00B014BC">
        <w:rPr>
          <w:rFonts w:cstheme="minorHAnsi"/>
        </w:rPr>
        <w:t>5</w:t>
      </w:r>
      <w:r w:rsidRPr="00B014BC">
        <w:rPr>
          <w:rFonts w:cstheme="minorHAnsi"/>
        </w:rPr>
        <w:t xml:space="preserve"> vyplatené poistné plnenie vo výške 1,</w:t>
      </w:r>
      <w:r w:rsidR="002E7EFC" w:rsidRPr="00B014BC">
        <w:rPr>
          <w:rFonts w:cstheme="minorHAnsi"/>
        </w:rPr>
        <w:t>57</w:t>
      </w:r>
      <w:r w:rsidRPr="00B014BC">
        <w:rPr>
          <w:rFonts w:cstheme="minorHAnsi"/>
        </w:rPr>
        <w:t xml:space="preserve"> mil. </w:t>
      </w:r>
      <w:r w:rsidR="00B322E2" w:rsidRPr="00B014BC">
        <w:rPr>
          <w:rFonts w:cstheme="minorHAnsi"/>
        </w:rPr>
        <w:t>eur</w:t>
      </w:r>
      <w:r w:rsidRPr="00B014BC">
        <w:rPr>
          <w:rFonts w:cstheme="minorHAnsi"/>
        </w:rPr>
        <w:t xml:space="preserve">, čo predstavuje v porovnaní s rovnakým obdobím minulého roku medziročný </w:t>
      </w:r>
      <w:r w:rsidR="002E7EFC" w:rsidRPr="00B014BC">
        <w:rPr>
          <w:rFonts w:cstheme="minorHAnsi"/>
        </w:rPr>
        <w:t>nárast</w:t>
      </w:r>
      <w:r w:rsidRPr="00B014BC">
        <w:rPr>
          <w:rFonts w:cstheme="minorHAnsi"/>
        </w:rPr>
        <w:t xml:space="preserve"> o </w:t>
      </w:r>
      <w:r w:rsidR="002E7EFC" w:rsidRPr="00B014BC">
        <w:rPr>
          <w:rFonts w:cstheme="minorHAnsi"/>
        </w:rPr>
        <w:t>19</w:t>
      </w:r>
      <w:r w:rsidRPr="00B014BC">
        <w:rPr>
          <w:rFonts w:cstheme="minorHAnsi"/>
        </w:rPr>
        <w:t xml:space="preserve"> %. </w:t>
      </w:r>
    </w:p>
    <w:p w14:paraId="1F4D8AA7" w14:textId="5A2AE5C3" w:rsidR="008570DA" w:rsidRPr="00B014BC" w:rsidRDefault="008570DA" w:rsidP="004518BB">
      <w:pPr>
        <w:spacing w:after="0" w:line="240" w:lineRule="auto"/>
        <w:rPr>
          <w:rFonts w:cstheme="minorHAnsi"/>
        </w:rPr>
      </w:pPr>
      <w:r w:rsidRPr="00B014BC">
        <w:rPr>
          <w:rFonts w:cstheme="minorHAnsi"/>
        </w:rPr>
        <w:t>Za poistné udalosti neživotného poistenia (napr. samostatné úrazové poistenia osôb) vybavované úsekom poistenia osôb bolo za obdobie 1. 1. 201</w:t>
      </w:r>
      <w:r w:rsidR="002E7EFC" w:rsidRPr="00B014BC">
        <w:rPr>
          <w:rFonts w:cstheme="minorHAnsi"/>
        </w:rPr>
        <w:t>5</w:t>
      </w:r>
      <w:r w:rsidRPr="00B014BC">
        <w:rPr>
          <w:rFonts w:cstheme="minorHAnsi"/>
        </w:rPr>
        <w:t xml:space="preserve"> - 31. 12. 201</w:t>
      </w:r>
      <w:r w:rsidR="002E7EFC" w:rsidRPr="00B014BC">
        <w:rPr>
          <w:rFonts w:cstheme="minorHAnsi"/>
        </w:rPr>
        <w:t>5</w:t>
      </w:r>
      <w:r w:rsidRPr="00B014BC">
        <w:rPr>
          <w:rFonts w:cstheme="minorHAnsi"/>
        </w:rPr>
        <w:t xml:space="preserve">  vyplatené plnenie  0,0</w:t>
      </w:r>
      <w:r w:rsidR="002E7EFC" w:rsidRPr="00B014BC">
        <w:rPr>
          <w:rFonts w:cstheme="minorHAnsi"/>
        </w:rPr>
        <w:t>8</w:t>
      </w:r>
      <w:r w:rsidRPr="00B014BC">
        <w:rPr>
          <w:rFonts w:cstheme="minorHAnsi"/>
        </w:rPr>
        <w:t xml:space="preserve"> mil. </w:t>
      </w:r>
      <w:r w:rsidR="00B322E2" w:rsidRPr="00B014BC">
        <w:rPr>
          <w:rFonts w:cstheme="minorHAnsi"/>
        </w:rPr>
        <w:t>eur</w:t>
      </w:r>
      <w:r w:rsidRPr="00B014BC">
        <w:rPr>
          <w:rFonts w:cstheme="minorHAnsi"/>
        </w:rPr>
        <w:t xml:space="preserve">, čo je v porovnaní s rovnakým obdobím minulého roku medziročný </w:t>
      </w:r>
      <w:r w:rsidR="002E7EFC" w:rsidRPr="00B014BC">
        <w:rPr>
          <w:rFonts w:cstheme="minorHAnsi"/>
        </w:rPr>
        <w:t>nárast</w:t>
      </w:r>
      <w:r w:rsidRPr="00B014BC">
        <w:rPr>
          <w:rFonts w:cstheme="minorHAnsi"/>
        </w:rPr>
        <w:t xml:space="preserve"> o </w:t>
      </w:r>
      <w:r w:rsidR="002E7EFC" w:rsidRPr="00B014BC">
        <w:rPr>
          <w:rFonts w:cstheme="minorHAnsi"/>
        </w:rPr>
        <w:t>15</w:t>
      </w:r>
      <w:r w:rsidRPr="00B014BC">
        <w:rPr>
          <w:rFonts w:cstheme="minorHAnsi"/>
        </w:rPr>
        <w:t xml:space="preserve"> %.</w:t>
      </w:r>
    </w:p>
    <w:p w14:paraId="7CCCE97A" w14:textId="77777777" w:rsidR="000B6906" w:rsidRPr="00B014BC" w:rsidRDefault="000B6906" w:rsidP="004518BB">
      <w:pPr>
        <w:spacing w:after="0" w:line="240" w:lineRule="auto"/>
        <w:rPr>
          <w:rFonts w:cstheme="minorHAnsi"/>
        </w:rPr>
      </w:pPr>
    </w:p>
    <w:p w14:paraId="5C25F218" w14:textId="75853D5E" w:rsidR="008570DA" w:rsidRPr="00B014BC" w:rsidRDefault="002E7EFC" w:rsidP="004518BB">
      <w:pPr>
        <w:spacing w:after="0" w:line="240" w:lineRule="auto"/>
        <w:rPr>
          <w:rFonts w:cstheme="minorHAnsi"/>
          <w:b/>
        </w:rPr>
      </w:pPr>
      <w:r w:rsidRPr="00B014BC">
        <w:rPr>
          <w:noProof/>
          <w:lang w:val="en-US"/>
        </w:rPr>
        <w:drawing>
          <wp:inline distT="0" distB="0" distL="0" distR="0" wp14:anchorId="48B23B57" wp14:editId="7C12E2F6">
            <wp:extent cx="4700905" cy="2745740"/>
            <wp:effectExtent l="0" t="0" r="23495" b="22860"/>
            <wp:docPr id="7"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6C55777" w14:textId="0BE2847A" w:rsidR="000B6906" w:rsidRPr="00B014BC" w:rsidRDefault="000B6906" w:rsidP="004518BB">
      <w:pPr>
        <w:spacing w:after="0" w:line="240" w:lineRule="auto"/>
        <w:rPr>
          <w:rFonts w:cstheme="minorHAnsi"/>
          <w:i/>
        </w:rPr>
      </w:pPr>
      <w:r w:rsidRPr="00B014BC">
        <w:rPr>
          <w:rFonts w:cstheme="minorHAnsi"/>
          <w:i/>
        </w:rPr>
        <w:t xml:space="preserve">Vývoj vyplatených plnení (bez </w:t>
      </w:r>
      <w:proofErr w:type="spellStart"/>
      <w:r w:rsidRPr="00B014BC">
        <w:rPr>
          <w:rFonts w:cstheme="minorHAnsi"/>
          <w:i/>
        </w:rPr>
        <w:t>odkupov</w:t>
      </w:r>
      <w:proofErr w:type="spellEnd"/>
      <w:r w:rsidRPr="00B014BC">
        <w:rPr>
          <w:rFonts w:cstheme="minorHAnsi"/>
          <w:i/>
        </w:rPr>
        <w:t>) v poistení osôb v</w:t>
      </w:r>
      <w:r w:rsidR="00B87971" w:rsidRPr="00B014BC">
        <w:rPr>
          <w:rFonts w:cstheme="minorHAnsi"/>
          <w:i/>
        </w:rPr>
        <w:t> </w:t>
      </w:r>
      <w:r w:rsidR="00B322E2" w:rsidRPr="00B014BC">
        <w:rPr>
          <w:rFonts w:cstheme="minorHAnsi"/>
          <w:i/>
        </w:rPr>
        <w:t>eurách</w:t>
      </w:r>
    </w:p>
    <w:p w14:paraId="4BB9346A" w14:textId="77777777" w:rsidR="00B87971" w:rsidRPr="00B014BC" w:rsidRDefault="00B87971" w:rsidP="004518BB">
      <w:pPr>
        <w:spacing w:after="0" w:line="240" w:lineRule="auto"/>
        <w:rPr>
          <w:rFonts w:cstheme="minorHAnsi"/>
          <w:i/>
        </w:rPr>
      </w:pPr>
    </w:p>
    <w:p w14:paraId="35EF749B"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5.4 Neživotné poistenie</w:t>
      </w:r>
    </w:p>
    <w:p w14:paraId="3E59335A" w14:textId="77777777" w:rsidR="003271A4" w:rsidRPr="00B014BC" w:rsidRDefault="003271A4" w:rsidP="004518BB">
      <w:pPr>
        <w:spacing w:after="0" w:line="240" w:lineRule="auto"/>
        <w:rPr>
          <w:rFonts w:cstheme="minorHAnsi"/>
          <w:b/>
        </w:rPr>
      </w:pPr>
    </w:p>
    <w:p w14:paraId="4D90283A" w14:textId="065DE033" w:rsidR="00EB5F1F" w:rsidRPr="00B014BC" w:rsidRDefault="00EB5F1F" w:rsidP="004518BB">
      <w:pPr>
        <w:spacing w:after="0" w:line="240" w:lineRule="auto"/>
        <w:rPr>
          <w:rFonts w:cstheme="minorHAnsi"/>
        </w:rPr>
      </w:pPr>
      <w:r w:rsidRPr="00B014BC">
        <w:rPr>
          <w:rFonts w:cstheme="minorHAnsi"/>
        </w:rPr>
        <w:t xml:space="preserve">V celkovom pohľade na vývoj tržieb môžeme konštatovať, že KOMUNÁLNA poisťovňa v roku 2015 zaznamenala nárast vo všetkých sledovaných odvetviach neživotného poistenia, keď predpísané </w:t>
      </w:r>
      <w:r w:rsidRPr="00B014BC">
        <w:rPr>
          <w:rFonts w:cstheme="minorHAnsi"/>
        </w:rPr>
        <w:lastRenderedPageBreak/>
        <w:t xml:space="preserve">poistné v tomto segmente </w:t>
      </w:r>
      <w:r w:rsidR="00A97E1B" w:rsidRPr="00B014BC">
        <w:rPr>
          <w:rFonts w:cstheme="minorHAnsi"/>
        </w:rPr>
        <w:t xml:space="preserve">narástlo o </w:t>
      </w:r>
      <w:r w:rsidRPr="00B014BC">
        <w:rPr>
          <w:rFonts w:cstheme="minorHAnsi"/>
        </w:rPr>
        <w:t xml:space="preserve">5,795 mil. </w:t>
      </w:r>
      <w:r w:rsidR="00B322E2" w:rsidRPr="00B014BC">
        <w:rPr>
          <w:rFonts w:cstheme="minorHAnsi"/>
        </w:rPr>
        <w:t>eur</w:t>
      </w:r>
      <w:r w:rsidRPr="00B014BC">
        <w:rPr>
          <w:rFonts w:cstheme="minorHAnsi"/>
        </w:rPr>
        <w:t>. V PZP sme narástli o rekordných 11,41 %, v havarijnom poistení o 7,37 % a v ostatnom neživotnom poistení poisťovňa dosiahla rast</w:t>
      </w:r>
      <w:r w:rsidR="00B322E2" w:rsidRPr="00B014BC">
        <w:rPr>
          <w:rFonts w:cstheme="minorHAnsi"/>
        </w:rPr>
        <w:t xml:space="preserve"> tržieb o </w:t>
      </w:r>
      <w:r w:rsidRPr="00B014BC">
        <w:rPr>
          <w:rFonts w:cstheme="minorHAnsi"/>
        </w:rPr>
        <w:t>5,44 %. Priestor na rast je stále v segmente poistenia majetku občanov, keďže podľa odhadov je na Slovensku poistených menej ako 50 percent bytov a domov. V segmente poistenia malých a stredných podnikateľov sme zaznamenali nárast v tržbách o 5,24</w:t>
      </w:r>
      <w:r w:rsidR="00B322E2" w:rsidRPr="00B014BC">
        <w:rPr>
          <w:rFonts w:cstheme="minorHAnsi"/>
        </w:rPr>
        <w:t xml:space="preserve"> </w:t>
      </w:r>
      <w:r w:rsidRPr="00B014BC">
        <w:rPr>
          <w:rFonts w:cstheme="minorHAnsi"/>
        </w:rPr>
        <w:t>%.</w:t>
      </w:r>
    </w:p>
    <w:p w14:paraId="2E6414EF" w14:textId="77777777" w:rsidR="00EB5F1F" w:rsidRPr="00B014BC" w:rsidRDefault="00EB5F1F" w:rsidP="004518BB">
      <w:pPr>
        <w:spacing w:after="0" w:line="240" w:lineRule="auto"/>
        <w:rPr>
          <w:rFonts w:cstheme="minorHAnsi"/>
          <w:b/>
          <w:bCs/>
          <w:highlight w:val="green"/>
        </w:rPr>
      </w:pPr>
    </w:p>
    <w:p w14:paraId="5083E2D3" w14:textId="77777777" w:rsidR="00EB5F1F" w:rsidRPr="00B014BC" w:rsidRDefault="00EB5F1F" w:rsidP="004518BB">
      <w:pPr>
        <w:spacing w:after="0" w:line="240" w:lineRule="auto"/>
        <w:rPr>
          <w:rFonts w:cstheme="minorHAnsi"/>
          <w:b/>
          <w:bCs/>
        </w:rPr>
      </w:pPr>
      <w:r w:rsidRPr="00B014BC">
        <w:rPr>
          <w:rFonts w:cstheme="minorHAnsi"/>
          <w:b/>
          <w:bCs/>
        </w:rPr>
        <w:t>Vznik a vývoj produktov</w:t>
      </w:r>
    </w:p>
    <w:p w14:paraId="6EA195DC" w14:textId="63599E42" w:rsidR="00EB5F1F" w:rsidRPr="00B014BC" w:rsidRDefault="00EB5F1F" w:rsidP="004518BB">
      <w:pPr>
        <w:spacing w:after="0" w:line="240" w:lineRule="auto"/>
      </w:pPr>
      <w:r w:rsidRPr="00B014BC">
        <w:t>Na začiatku roka 2015 sme našu pozornosť sústredili do oblasti povinného zmluvného poistenia z prevádzky motorových vozidiel (PZP MV), kde sme v dôsledku legislatívnej zmeny platnej od 1. 4. 2015 zmenili bonus/</w:t>
      </w:r>
      <w:proofErr w:type="spellStart"/>
      <w:r w:rsidRPr="00B014BC">
        <w:t>malus</w:t>
      </w:r>
      <w:proofErr w:type="spellEnd"/>
      <w:r w:rsidRPr="00B014BC">
        <w:t xml:space="preserve"> systém ako v individuálnom, tak aj v súborovom poistení. V novom produkte výšku poistného pri vstupe do poistenia nových klientov alebo k výročnému dátumu pri kmeňových klientoch už neovplyvňuje rozhodná doba (počet mesiacov </w:t>
      </w:r>
      <w:proofErr w:type="spellStart"/>
      <w:r w:rsidRPr="00B014BC">
        <w:t>bezškodového</w:t>
      </w:r>
      <w:proofErr w:type="spellEnd"/>
      <w:r w:rsidRPr="00B014BC">
        <w:t xml:space="preserve"> priebehu), ale počet poistných udalostí za stanovené obdobie. Nový produkt naďalej obsahuje štvrtý bezplatný benefit „Vráť ma“, keď poistený klient v prípade straty kľúčov od vozidla sa k nim môže dostať vďaka systému poistnej karty/kľúčenky, čím mu nevzniknú náklady na výmenu zámku. Samozrejmosťou je, že produkt je naďalej ponúkaný pre interných a externých sprostredkovateľov poistenia aj cez webovú poistnú aplikáciu KOWA. Konkurenčné prostredie v </w:t>
      </w:r>
      <w:proofErr w:type="spellStart"/>
      <w:r w:rsidRPr="00B014BC">
        <w:t>kasko</w:t>
      </w:r>
      <w:proofErr w:type="spellEnd"/>
      <w:r w:rsidRPr="00B014BC">
        <w:t xml:space="preserve"> poistení vyvolalo rozšírenie akcie </w:t>
      </w:r>
      <w:r w:rsidRPr="00B014BC">
        <w:rPr>
          <w:i/>
        </w:rPr>
        <w:t>4 ročné obdobia</w:t>
      </w:r>
      <w:r w:rsidR="00B322E2" w:rsidRPr="00B014BC">
        <w:t xml:space="preserve"> o ďalšie dva</w:t>
      </w:r>
      <w:r w:rsidRPr="00B014BC">
        <w:t xml:space="preserve"> varianty spoluúčastí, a teda ďalšie zatraktívnenie </w:t>
      </w:r>
      <w:proofErr w:type="spellStart"/>
      <w:r w:rsidRPr="00B014BC">
        <w:t>kasko</w:t>
      </w:r>
      <w:proofErr w:type="spellEnd"/>
      <w:r w:rsidRPr="00B014BC">
        <w:t xml:space="preserve"> poistenia ako v individuálnom, tak aj v súborovom poistení.</w:t>
      </w:r>
    </w:p>
    <w:p w14:paraId="47FF17A0" w14:textId="309C9C32" w:rsidR="00EB5F1F" w:rsidRPr="00B014BC" w:rsidRDefault="00EB5F1F" w:rsidP="004518BB">
      <w:pPr>
        <w:spacing w:after="0" w:line="240" w:lineRule="auto"/>
      </w:pPr>
      <w:r w:rsidRPr="00B014BC">
        <w:t>Následne sme sa zamerali na oblasť občianskeho poistenia, kde sme s platnosťou od 1. 10. 2015 pripravili úplne nový produkt občianskeho poistenia Dom/Domácnosť. Nový produkt je to nielen z pohľadu rozsahu poistného krytia, ale aj z pohľadu užívateľského prostredia. V produktovej oblasti sme rozšírili počet poistných rizík, počet predmetov poistenia vo všetkých troch balíkoch poistenia a doplnili sme aj nové poistné riziká, ako napr. poistenie predĺženej záruky vybraných domácich elektrospotrebičov a </w:t>
      </w:r>
      <w:proofErr w:type="spellStart"/>
      <w:r w:rsidRPr="00B014BC">
        <w:t>home</w:t>
      </w:r>
      <w:proofErr w:type="spellEnd"/>
      <w:r w:rsidRPr="00B014BC">
        <w:t xml:space="preserve"> </w:t>
      </w:r>
      <w:proofErr w:type="spellStart"/>
      <w:r w:rsidRPr="00B014BC">
        <w:t>assistance</w:t>
      </w:r>
      <w:proofErr w:type="spellEnd"/>
      <w:r w:rsidRPr="00B014BC">
        <w:t>. V oblasti užívateľského prostredia je aj tento produkt ponúkaný pre interných a externých sprostredkovateľov poistenia cez webovú poistnú aplikáciu KOWA, ktorá umožňuje poistným poradcom v zjednodušenej forme okrem kalkulácie poistného a vystavenia poistnej zmluvy aj „online“ zaslanie poistnej zmluvy priamo do produkčného systému poisťovne, čo eliminuje riziko neskorého spracovania. Na zvýšenie komfortu užívateľov táto kalkulačka ponúka aj archiv</w:t>
      </w:r>
      <w:r w:rsidR="00B322E2" w:rsidRPr="00B014BC">
        <w:t>áciu rozpracovaných ponúk (</w:t>
      </w:r>
      <w:r w:rsidRPr="00B014BC">
        <w:t>poistný poradca sa</w:t>
      </w:r>
      <w:r w:rsidR="00B322E2" w:rsidRPr="00B014BC">
        <w:t xml:space="preserve"> tak</w:t>
      </w:r>
      <w:r w:rsidRPr="00B014BC">
        <w:t xml:space="preserve"> môže vrátiť kedykoľvek v čase k rozpracovaným ponukám).</w:t>
      </w:r>
    </w:p>
    <w:p w14:paraId="203A34F6" w14:textId="77777777" w:rsidR="00EB5F1F" w:rsidRPr="00B014BC" w:rsidRDefault="00EB5F1F" w:rsidP="004518BB">
      <w:pPr>
        <w:spacing w:after="0" w:line="240" w:lineRule="auto"/>
      </w:pPr>
      <w:r w:rsidRPr="00B014BC">
        <w:t>Legislatívne požiadavky v oblasti klientskej informovanosti účinné od 1. 1. 2016 – produktový formulár o dôležitých zmluvných podmienkach uzatváranej poistnej zmluvy ako aj SEPA požiadavky (prechod z BBAN na IBAN formát bankových účtov) – spôsobili potrebu prepracovania všetkých tlačových formulárov poistných zmlúv vrátane záznamu z rokovania s klientom v oblasti občianskeho i firemného poistenia majetkového, zodpovednostného, motorového a cestovného poistenia.</w:t>
      </w:r>
    </w:p>
    <w:p w14:paraId="03891C10" w14:textId="77777777" w:rsidR="008570DA" w:rsidRPr="00B014BC" w:rsidRDefault="008570DA" w:rsidP="004518BB">
      <w:pPr>
        <w:spacing w:after="0" w:line="240" w:lineRule="auto"/>
        <w:rPr>
          <w:rFonts w:cstheme="minorHAnsi"/>
        </w:rPr>
      </w:pPr>
    </w:p>
    <w:p w14:paraId="3E0630FC" w14:textId="77777777" w:rsidR="008570DA" w:rsidRPr="00B014BC" w:rsidRDefault="008570DA" w:rsidP="004518BB">
      <w:pPr>
        <w:spacing w:after="0" w:line="240" w:lineRule="auto"/>
        <w:rPr>
          <w:rFonts w:cstheme="minorHAnsi"/>
          <w:b/>
        </w:rPr>
      </w:pPr>
      <w:r w:rsidRPr="00B014BC">
        <w:rPr>
          <w:rFonts w:cstheme="minorHAnsi"/>
          <w:b/>
        </w:rPr>
        <w:t>Likvidácia poistných udalostí v neživotnom poistení</w:t>
      </w:r>
    </w:p>
    <w:p w14:paraId="284DDEA0" w14:textId="24F1088C" w:rsidR="006C6A68" w:rsidRPr="00B014BC" w:rsidRDefault="006C6A68" w:rsidP="004518BB">
      <w:pPr>
        <w:spacing w:after="0" w:line="240" w:lineRule="auto"/>
        <w:rPr>
          <w:rFonts w:cs="Calibri"/>
        </w:rPr>
      </w:pPr>
      <w:r w:rsidRPr="00B014BC">
        <w:rPr>
          <w:rFonts w:cs="Calibri"/>
        </w:rPr>
        <w:t xml:space="preserve">V roku 2015 sme sa zamerali na zvyšovanie kvality a rýchlosti poskytovaných služieb na každom stupni procesu likvidácie, ako aj na maximálnu možnú mieru objektivizácie nárokov poškodených. Prostredníctvom dcérskej spoločnosti </w:t>
      </w:r>
      <w:proofErr w:type="spellStart"/>
      <w:r w:rsidRPr="00B014BC">
        <w:rPr>
          <w:rFonts w:cs="Calibri"/>
        </w:rPr>
        <w:t>Slovexp</w:t>
      </w:r>
      <w:r w:rsidR="004518BB" w:rsidRPr="00B014BC">
        <w:rPr>
          <w:rFonts w:cs="Calibri"/>
        </w:rPr>
        <w:t>erta</w:t>
      </w:r>
      <w:proofErr w:type="spellEnd"/>
      <w:r w:rsidR="004518BB" w:rsidRPr="00B014BC">
        <w:rPr>
          <w:rFonts w:cs="Calibri"/>
        </w:rPr>
        <w:t xml:space="preserve"> s.</w:t>
      </w:r>
      <w:r w:rsidR="00B322E2" w:rsidRPr="00B014BC">
        <w:rPr>
          <w:rFonts w:cs="Calibri"/>
        </w:rPr>
        <w:t xml:space="preserve"> </w:t>
      </w:r>
      <w:r w:rsidR="004518BB" w:rsidRPr="00B014BC">
        <w:rPr>
          <w:rFonts w:cs="Calibri"/>
        </w:rPr>
        <w:t>r.</w:t>
      </w:r>
      <w:r w:rsidR="00B322E2" w:rsidRPr="00B014BC">
        <w:rPr>
          <w:rFonts w:cs="Calibri"/>
        </w:rPr>
        <w:t xml:space="preserve"> </w:t>
      </w:r>
      <w:r w:rsidR="004518BB" w:rsidRPr="00B014BC">
        <w:rPr>
          <w:rFonts w:cs="Calibri"/>
        </w:rPr>
        <w:t>o. sme rozšírili objem</w:t>
      </w:r>
      <w:r w:rsidRPr="00B014BC">
        <w:rPr>
          <w:rFonts w:cs="Calibri"/>
        </w:rPr>
        <w:t xml:space="preserve"> poskytovaných služieb. Okrem realizácie obhliadok poškodených motorových vozidiel  a vstupov do poistenia sme zvýšili podiel obhliadok poistených motorových vozidiel zodpovedných za škodu z PZP.V havarijnom poistení sme sa zamerali na zvýšenie počtu kontrol prostredníctvom realizácie obhliadok po oprave za účelom dodržania technologického postupu, ako aj kvality poskytnutej služby zo strany opravcov. Z dôvodu zefektívnenia a skvalitnenia služieb klientom bola aktualizovaná sieť zmluvných servisov na zabezpečenie lepšej dostupnosti pre klientov. V roku 2015 na poskytovaní služieb participovalo 318 autorizovaných a 137 neautorizovaných zmluvných servisov po celom území SR. </w:t>
      </w:r>
    </w:p>
    <w:p w14:paraId="4E626642" w14:textId="58541588" w:rsidR="006C6A68" w:rsidRPr="00B014BC" w:rsidRDefault="006C6A68" w:rsidP="004518BB">
      <w:pPr>
        <w:spacing w:after="0" w:line="240" w:lineRule="auto"/>
        <w:rPr>
          <w:rFonts w:cs="Calibri"/>
        </w:rPr>
      </w:pPr>
      <w:r w:rsidRPr="00B014BC">
        <w:rPr>
          <w:rFonts w:cs="Calibri"/>
        </w:rPr>
        <w:t xml:space="preserve">V likvidácii škôd na motorových vozidlách spoločnosť naďalej využívala výmenu digitalizovaných dokumentov potrebných pre likvidáciu škôd zo strany partnerských servisov. Ide o elektronickú výmenu dokumentov nevyhnutných k likvidácii škôd zo strany poškodeného a aj servisu. Pre výber </w:t>
      </w:r>
      <w:r w:rsidRPr="00B014BC">
        <w:rPr>
          <w:rFonts w:cs="Calibri"/>
        </w:rPr>
        <w:lastRenderedPageBreak/>
        <w:t>a spoluprácu so</w:t>
      </w:r>
      <w:r w:rsidR="004518BB" w:rsidRPr="00B014BC">
        <w:rPr>
          <w:rFonts w:cs="Calibri"/>
        </w:rPr>
        <w:t xml:space="preserve"> zmluvnými servismi je zavedený</w:t>
      </w:r>
      <w:r w:rsidRPr="00B014BC">
        <w:rPr>
          <w:rFonts w:cs="Calibri"/>
        </w:rPr>
        <w:t xml:space="preserve"> kontrolný systém hodnotenia kvality ich práce zameraný na zvyšovanie úrovne služieb poskytovaných klientom. </w:t>
      </w:r>
    </w:p>
    <w:p w14:paraId="2FF9CC6B" w14:textId="77777777" w:rsidR="006C6A68" w:rsidRPr="00B014BC" w:rsidRDefault="006C6A68" w:rsidP="004518BB">
      <w:pPr>
        <w:spacing w:after="0" w:line="240" w:lineRule="auto"/>
        <w:rPr>
          <w:rFonts w:cs="Calibri"/>
        </w:rPr>
      </w:pPr>
      <w:r w:rsidRPr="00B014BC">
        <w:rPr>
          <w:rFonts w:cs="Calibri"/>
        </w:rPr>
        <w:t xml:space="preserve">S účinnosťou od 1. 7. 2015 boli pri likvidácii škôd na motorových vozidlách z produktu povinné zmluvné poistenie poškodení odškodňovaní na základe fakturovaných nákladov na opravu bez odpočtu amortizácie, ktorá zohľadňuje opotrebenie. </w:t>
      </w:r>
    </w:p>
    <w:p w14:paraId="1D23E191" w14:textId="77777777" w:rsidR="006C6A68" w:rsidRPr="00B014BC" w:rsidRDefault="006C6A68" w:rsidP="004518BB">
      <w:pPr>
        <w:spacing w:after="0" w:line="240" w:lineRule="auto"/>
        <w:rPr>
          <w:rFonts w:cs="Calibri"/>
        </w:rPr>
      </w:pPr>
      <w:r w:rsidRPr="00B014BC">
        <w:rPr>
          <w:rFonts w:cs="Calibri"/>
        </w:rPr>
        <w:t>V roku 2015  bola vo vyššej miere využívaná možnosť hlásenia škôd cez internet. Klienti poisťovne si tak pri vybavovaní škôd môžu zvoliť taký spôsob komunikácie s poisťovňou, aký im najviac vyhovuje – formou e-mailu, telefonicky alebo písomne. Proces likvidácie je tak flexibilnejší a rešpektuje v plnej miere potreby klientov. Skvalitnili sme poskytované služby aj prostredníctvom centrálneho dispečingu škôd skrátením reakčných časov. Všetky vyššie uvádzané skutočnosti prispievajú k zvýšenému záujmu klientov o poistné produkty spoločnosti, čo sa prejavuje aj v náraste obchodnej činnosti.</w:t>
      </w:r>
    </w:p>
    <w:p w14:paraId="0491301A" w14:textId="62D2A418" w:rsidR="006C6A68" w:rsidRPr="00B014BC" w:rsidRDefault="006C6A68" w:rsidP="004518BB">
      <w:pPr>
        <w:spacing w:after="0" w:line="240" w:lineRule="auto"/>
        <w:rPr>
          <w:rFonts w:cs="Calibri"/>
        </w:rPr>
      </w:pPr>
      <w:r w:rsidRPr="00B014BC">
        <w:rPr>
          <w:rFonts w:cs="Calibri"/>
        </w:rPr>
        <w:t xml:space="preserve">V roku 2015 sme zaznamenali prírodnú katastrofu väčšieho rozsahu – krupobitie a lokálne záplavy na severe a východe Slovenska zo 6. 5. 2015.  Bolo nahlásených 1 106 škôd za 1 474 182 </w:t>
      </w:r>
      <w:r w:rsidR="00B322E2" w:rsidRPr="00B014BC">
        <w:rPr>
          <w:rFonts w:cstheme="minorHAnsi"/>
        </w:rPr>
        <w:t>eur</w:t>
      </w:r>
      <w:r w:rsidRPr="00B014BC">
        <w:rPr>
          <w:rFonts w:cs="Calibri"/>
        </w:rPr>
        <w:t xml:space="preserve">. Okrem toho boli zaznamenané aj ďalšie lokálne živelné katastrofy, ktoré však svojim počtom a rozsahom boli menej významné – snehová kalamita v mesiacoch január a február na celom území SR, krupobitie v mesiaci júl.  </w:t>
      </w:r>
    </w:p>
    <w:p w14:paraId="034FA91E" w14:textId="77777777" w:rsidR="00B305AE" w:rsidRPr="00B014BC" w:rsidRDefault="00B305AE" w:rsidP="004518BB">
      <w:pPr>
        <w:spacing w:after="0" w:line="240" w:lineRule="auto"/>
      </w:pPr>
    </w:p>
    <w:p w14:paraId="22179EDF" w14:textId="6244D447" w:rsidR="00B305AE" w:rsidRPr="00B014BC" w:rsidRDefault="002A300B" w:rsidP="004518BB">
      <w:pPr>
        <w:spacing w:after="0" w:line="240" w:lineRule="auto"/>
      </w:pPr>
      <w:r w:rsidRPr="00B014BC">
        <w:t xml:space="preserve">V roku 2015 </w:t>
      </w:r>
      <w:r w:rsidR="00B305AE" w:rsidRPr="00B014BC">
        <w:t xml:space="preserve">bolo celkovo hlásených </w:t>
      </w:r>
      <w:r w:rsidRPr="00B014BC">
        <w:t>42 027</w:t>
      </w:r>
      <w:r w:rsidR="00B305AE" w:rsidRPr="00B014BC">
        <w:t xml:space="preserve"> poistných udalostí. Index rastu počtu hlásených poistných udalostí je 1,</w:t>
      </w:r>
      <w:r w:rsidRPr="00B014BC">
        <w:t>17</w:t>
      </w:r>
      <w:r w:rsidR="00B305AE" w:rsidRPr="00B014BC">
        <w:t>, čo znamená</w:t>
      </w:r>
      <w:r w:rsidRPr="00B014BC">
        <w:t xml:space="preserve"> nárast</w:t>
      </w:r>
      <w:r w:rsidR="00B305AE" w:rsidRPr="00B014BC">
        <w:t xml:space="preserve"> hlásených poistných udalostí </w:t>
      </w:r>
      <w:r w:rsidRPr="00B014BC">
        <w:t>o 17 % v porovnaní s rokom 2014</w:t>
      </w:r>
      <w:r w:rsidR="00B305AE" w:rsidRPr="00B014BC">
        <w:t xml:space="preserve">. </w:t>
      </w:r>
    </w:p>
    <w:p w14:paraId="7F36829D" w14:textId="77777777" w:rsidR="00B305AE" w:rsidRPr="00B014BC" w:rsidRDefault="00B305AE" w:rsidP="004518BB">
      <w:pPr>
        <w:spacing w:after="0" w:line="240" w:lineRule="auto"/>
      </w:pPr>
      <w:r w:rsidRPr="00B014BC">
        <w:t xml:space="preserve">     </w:t>
      </w:r>
    </w:p>
    <w:p w14:paraId="693DBB51" w14:textId="14AC3C37" w:rsidR="00B305AE" w:rsidRPr="00B014BC" w:rsidRDefault="002A300B" w:rsidP="004518BB">
      <w:pPr>
        <w:spacing w:after="0" w:line="240" w:lineRule="auto"/>
      </w:pPr>
      <w:r w:rsidRPr="00B014BC">
        <w:rPr>
          <w:noProof/>
          <w:lang w:val="en-US"/>
        </w:rPr>
        <w:drawing>
          <wp:inline distT="0" distB="0" distL="0" distR="0" wp14:anchorId="07E093CF" wp14:editId="479614EC">
            <wp:extent cx="4183168" cy="2038773"/>
            <wp:effectExtent l="0" t="0" r="8255" b="19050"/>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47FD0E" w14:textId="35E31A46" w:rsidR="00B305AE" w:rsidRPr="00B014BC" w:rsidRDefault="00B305AE" w:rsidP="004518BB">
      <w:pPr>
        <w:spacing w:after="0" w:line="240" w:lineRule="auto"/>
        <w:rPr>
          <w:i/>
        </w:rPr>
      </w:pPr>
      <w:r w:rsidRPr="00B014BC">
        <w:rPr>
          <w:i/>
        </w:rPr>
        <w:t>Vývoj počtu hlásených PU v ob</w:t>
      </w:r>
      <w:r w:rsidR="002A300B" w:rsidRPr="00B014BC">
        <w:rPr>
          <w:i/>
        </w:rPr>
        <w:t>dobí rokov 2013 – 2015</w:t>
      </w:r>
    </w:p>
    <w:p w14:paraId="64C3A167" w14:textId="77777777" w:rsidR="00694D53" w:rsidRPr="00B014BC" w:rsidRDefault="00694D53" w:rsidP="004518BB">
      <w:pPr>
        <w:spacing w:after="0" w:line="240" w:lineRule="auto"/>
      </w:pPr>
    </w:p>
    <w:p w14:paraId="4013E9C6" w14:textId="465254BC" w:rsidR="00B305AE" w:rsidRPr="00B014BC" w:rsidRDefault="00B305AE" w:rsidP="004518BB">
      <w:pPr>
        <w:spacing w:after="0" w:line="240" w:lineRule="auto"/>
      </w:pPr>
      <w:r w:rsidRPr="00B014BC">
        <w:t>V povinnom zm</w:t>
      </w:r>
      <w:r w:rsidR="002A300B" w:rsidRPr="00B014BC">
        <w:t>luvnom poistení bolo v roku 2015</w:t>
      </w:r>
      <w:r w:rsidRPr="00B014BC">
        <w:t xml:space="preserve"> hlásených </w:t>
      </w:r>
      <w:r w:rsidR="002A300B" w:rsidRPr="00B014BC">
        <w:t>19 763</w:t>
      </w:r>
      <w:r w:rsidRPr="00B014BC">
        <w:t xml:space="preserve"> poistných udalostí, čo predstavuje </w:t>
      </w:r>
      <w:r w:rsidR="002A300B" w:rsidRPr="00B014BC">
        <w:t>nárast</w:t>
      </w:r>
      <w:r w:rsidRPr="00B014BC">
        <w:t xml:space="preserve"> o</w:t>
      </w:r>
      <w:r w:rsidR="002A300B" w:rsidRPr="00B014BC">
        <w:t> 16,05 % v porovnaní s rokom 2014</w:t>
      </w:r>
      <w:r w:rsidRPr="00B014BC">
        <w:t>. Škôd na čelných sklách z povinného zmlu</w:t>
      </w:r>
      <w:r w:rsidR="002A300B" w:rsidRPr="00B014BC">
        <w:t>vného poistenia bolo v roku 2015</w:t>
      </w:r>
      <w:r w:rsidRPr="00B014BC">
        <w:t xml:space="preserve"> nahlásených </w:t>
      </w:r>
      <w:r w:rsidR="002A300B" w:rsidRPr="00B014BC">
        <w:t>453</w:t>
      </w:r>
      <w:r w:rsidRPr="00B014BC">
        <w:t>, zat</w:t>
      </w:r>
      <w:r w:rsidR="002A300B" w:rsidRPr="00B014BC">
        <w:t>iaľ čo v roku 2014</w:t>
      </w:r>
      <w:r w:rsidRPr="00B014BC">
        <w:t xml:space="preserve"> ich bolo </w:t>
      </w:r>
      <w:r w:rsidR="002A300B" w:rsidRPr="00B014BC">
        <w:t>424</w:t>
      </w:r>
      <w:r w:rsidRPr="00B014BC">
        <w:t>.</w:t>
      </w:r>
    </w:p>
    <w:p w14:paraId="56FC34BC" w14:textId="388AA3E7" w:rsidR="00B305AE" w:rsidRPr="00B014BC" w:rsidRDefault="00B305AE" w:rsidP="004518BB">
      <w:pPr>
        <w:spacing w:after="0" w:line="240" w:lineRule="auto"/>
      </w:pPr>
      <w:r w:rsidRPr="00B014BC">
        <w:t>V havar</w:t>
      </w:r>
      <w:r w:rsidR="002A300B" w:rsidRPr="00B014BC">
        <w:t xml:space="preserve">ijnom poistení bolo v roku 2015 </w:t>
      </w:r>
      <w:r w:rsidRPr="00B014BC">
        <w:t xml:space="preserve">hlásených </w:t>
      </w:r>
      <w:r w:rsidR="002A300B" w:rsidRPr="00B014BC">
        <w:t>17 319</w:t>
      </w:r>
      <w:r w:rsidRPr="00B014BC">
        <w:t xml:space="preserve"> poistných udalostí, čo predstavuje nárast </w:t>
      </w:r>
      <w:r w:rsidR="00485EDF" w:rsidRPr="00B014BC">
        <w:t>o</w:t>
      </w:r>
      <w:r w:rsidR="002A300B" w:rsidRPr="00B014BC">
        <w:t> 27,15 % oproti roku 2014</w:t>
      </w:r>
      <w:r w:rsidRPr="00B014BC">
        <w:t xml:space="preserve">. </w:t>
      </w:r>
    </w:p>
    <w:p w14:paraId="247FE80A" w14:textId="103CB3BE" w:rsidR="00B305AE" w:rsidRPr="00B014BC" w:rsidRDefault="00B305AE" w:rsidP="004518BB">
      <w:pPr>
        <w:spacing w:after="0" w:line="240" w:lineRule="auto"/>
      </w:pPr>
      <w:r w:rsidRPr="00B014BC">
        <w:t xml:space="preserve">V poistení ostatného majetku a zodpovednosti bolo hlásených </w:t>
      </w:r>
      <w:r w:rsidR="002A300B" w:rsidRPr="00B014BC">
        <w:t>4 945</w:t>
      </w:r>
      <w:r w:rsidRPr="00B014BC">
        <w:t xml:space="preserve"> poistných udalosti, čo predstavuje </w:t>
      </w:r>
      <w:r w:rsidR="002A300B" w:rsidRPr="00B014BC">
        <w:t>pokles</w:t>
      </w:r>
      <w:r w:rsidRPr="00B014BC">
        <w:t xml:space="preserve"> o</w:t>
      </w:r>
      <w:r w:rsidR="002A300B" w:rsidRPr="00B014BC">
        <w:t> 7,79 % v porovnaní s rokom 2014</w:t>
      </w:r>
      <w:r w:rsidRPr="00B014BC">
        <w:t xml:space="preserve">. </w:t>
      </w:r>
    </w:p>
    <w:p w14:paraId="59F59602" w14:textId="77777777" w:rsidR="00B305AE" w:rsidRPr="00B014BC" w:rsidRDefault="00B305AE" w:rsidP="004518BB">
      <w:pPr>
        <w:spacing w:after="0" w:line="240" w:lineRule="auto"/>
      </w:pPr>
      <w:r w:rsidRPr="00B014BC">
        <w:t xml:space="preserve">     </w:t>
      </w:r>
    </w:p>
    <w:p w14:paraId="3D88A46B" w14:textId="373000DC" w:rsidR="00B305AE" w:rsidRPr="00B014BC" w:rsidRDefault="002A300B" w:rsidP="004518BB">
      <w:pPr>
        <w:spacing w:after="0" w:line="240" w:lineRule="auto"/>
      </w:pPr>
      <w:r w:rsidRPr="00B014BC">
        <w:rPr>
          <w:noProof/>
          <w:lang w:val="en-US"/>
        </w:rPr>
        <w:lastRenderedPageBreak/>
        <w:drawing>
          <wp:inline distT="0" distB="0" distL="0" distR="0" wp14:anchorId="1A7C1106" wp14:editId="4D3FDF86">
            <wp:extent cx="5097145" cy="1848273"/>
            <wp:effectExtent l="0" t="0" r="8255" b="635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E18609B" w14:textId="35A2A230" w:rsidR="00B305AE" w:rsidRPr="00B014BC" w:rsidRDefault="00B305AE" w:rsidP="004518BB">
      <w:pPr>
        <w:spacing w:after="0" w:line="240" w:lineRule="auto"/>
        <w:rPr>
          <w:i/>
        </w:rPr>
      </w:pPr>
      <w:r w:rsidRPr="00B014BC">
        <w:rPr>
          <w:i/>
        </w:rPr>
        <w:t>Porovnanie podielov jednotlivých produktových skupín na celkovom počte hlásenýc</w:t>
      </w:r>
      <w:r w:rsidR="002A300B" w:rsidRPr="00B014BC">
        <w:rPr>
          <w:i/>
        </w:rPr>
        <w:t>h poistných udalostí v roku 2015</w:t>
      </w:r>
    </w:p>
    <w:p w14:paraId="483EFBF1" w14:textId="77777777" w:rsidR="00B305AE" w:rsidRPr="00B014BC" w:rsidRDefault="00B305AE" w:rsidP="004518BB">
      <w:pPr>
        <w:spacing w:after="0" w:line="240" w:lineRule="auto"/>
        <w:rPr>
          <w:b/>
        </w:rPr>
      </w:pPr>
    </w:p>
    <w:p w14:paraId="33541A07" w14:textId="1DB67236" w:rsidR="00B305AE" w:rsidRPr="00B014BC" w:rsidRDefault="002A300B" w:rsidP="004518BB">
      <w:pPr>
        <w:spacing w:after="0" w:line="240" w:lineRule="auto"/>
      </w:pPr>
      <w:r w:rsidRPr="00B014BC">
        <w:rPr>
          <w:noProof/>
          <w:lang w:val="en-US"/>
        </w:rPr>
        <w:drawing>
          <wp:inline distT="0" distB="0" distL="0" distR="0" wp14:anchorId="4AE03573" wp14:editId="0DE89A71">
            <wp:extent cx="5097145" cy="2106507"/>
            <wp:effectExtent l="0" t="0" r="8255" b="1905"/>
            <wp:docPr id="8"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C775157" w14:textId="458608D8" w:rsidR="00B305AE" w:rsidRPr="00B014BC" w:rsidRDefault="00B305AE" w:rsidP="004518BB">
      <w:pPr>
        <w:spacing w:after="0" w:line="240" w:lineRule="auto"/>
        <w:rPr>
          <w:i/>
        </w:rPr>
      </w:pPr>
      <w:r w:rsidRPr="00B014BC">
        <w:rPr>
          <w:i/>
        </w:rPr>
        <w:t xml:space="preserve">Vývoj a porovnanie počtu hlásených poistných udalostí jednotlivých </w:t>
      </w:r>
      <w:r w:rsidR="002A300B" w:rsidRPr="00B014BC">
        <w:rPr>
          <w:i/>
        </w:rPr>
        <w:t>produktových skupín za roky 2013 – 2015</w:t>
      </w:r>
    </w:p>
    <w:p w14:paraId="4878456E" w14:textId="77777777" w:rsidR="00B305AE" w:rsidRPr="00B014BC" w:rsidRDefault="00B305AE" w:rsidP="004518BB">
      <w:pPr>
        <w:spacing w:after="0" w:line="240" w:lineRule="auto"/>
      </w:pPr>
    </w:p>
    <w:p w14:paraId="490C6A19" w14:textId="072AD7F2" w:rsidR="00B305AE" w:rsidRPr="00B014BC" w:rsidRDefault="002A300B" w:rsidP="004518BB">
      <w:pPr>
        <w:spacing w:after="0" w:line="240" w:lineRule="auto"/>
      </w:pPr>
      <w:r w:rsidRPr="00B014BC">
        <w:t>Za rok 2015</w:t>
      </w:r>
      <w:r w:rsidR="00B305AE" w:rsidRPr="00B014BC">
        <w:t xml:space="preserve"> bolo v oblasti neživotného poistenia vyplatené poistné plnenie v celkovej výške </w:t>
      </w:r>
      <w:r w:rsidRPr="00B014BC">
        <w:t>38,572</w:t>
      </w:r>
      <w:r w:rsidR="00B305AE" w:rsidRPr="00B014BC">
        <w:t xml:space="preserve"> mil. </w:t>
      </w:r>
      <w:r w:rsidR="00B322E2" w:rsidRPr="00B014BC">
        <w:rPr>
          <w:rFonts w:cstheme="minorHAnsi"/>
        </w:rPr>
        <w:t>eur</w:t>
      </w:r>
      <w:r w:rsidR="00B305AE" w:rsidRPr="00B014BC">
        <w:t xml:space="preserve">, čo znamená </w:t>
      </w:r>
      <w:r w:rsidRPr="00B014BC">
        <w:t>nárast</w:t>
      </w:r>
      <w:r w:rsidR="00B305AE" w:rsidRPr="00B014BC">
        <w:t xml:space="preserve"> o</w:t>
      </w:r>
      <w:r w:rsidRPr="00B014BC">
        <w:t> 14,50</w:t>
      </w:r>
      <w:r w:rsidR="00B305AE" w:rsidRPr="00B014BC">
        <w:t xml:space="preserve"> % </w:t>
      </w:r>
      <w:r w:rsidR="00485EDF" w:rsidRPr="00B014BC">
        <w:t>v porovnaní s rokom</w:t>
      </w:r>
      <w:r w:rsidRPr="00B014BC">
        <w:t xml:space="preserve"> 2014</w:t>
      </w:r>
      <w:r w:rsidR="00B305AE" w:rsidRPr="00B014BC">
        <w:t xml:space="preserve">. Z toho v povinnom zmluvnom poistení bolo vyplatené poistné plnenie v celkovej výške </w:t>
      </w:r>
      <w:r w:rsidRPr="00B014BC">
        <w:t>18,486</w:t>
      </w:r>
      <w:r w:rsidR="00B305AE" w:rsidRPr="00B014BC">
        <w:t xml:space="preserve"> mil. </w:t>
      </w:r>
      <w:r w:rsidR="00B322E2" w:rsidRPr="00B014BC">
        <w:rPr>
          <w:rFonts w:cstheme="minorHAnsi"/>
        </w:rPr>
        <w:t>eur</w:t>
      </w:r>
      <w:r w:rsidR="00B322E2" w:rsidRPr="00B014BC">
        <w:t xml:space="preserve"> </w:t>
      </w:r>
      <w:r w:rsidR="00B305AE" w:rsidRPr="00B014BC">
        <w:t>(</w:t>
      </w:r>
      <w:r w:rsidRPr="00B014BC">
        <w:t>nárast</w:t>
      </w:r>
      <w:r w:rsidR="00B305AE" w:rsidRPr="00B014BC">
        <w:t xml:space="preserve"> o</w:t>
      </w:r>
      <w:r w:rsidRPr="00B014BC">
        <w:t> 12,70 % oproti roku 2014</w:t>
      </w:r>
      <w:r w:rsidR="00B305AE" w:rsidRPr="00B014BC">
        <w:t xml:space="preserve">), v havarijnom poistení </w:t>
      </w:r>
      <w:r w:rsidRPr="00B014BC">
        <w:t>17,691</w:t>
      </w:r>
      <w:r w:rsidR="00B305AE" w:rsidRPr="00B014BC">
        <w:t xml:space="preserve"> mil. </w:t>
      </w:r>
      <w:r w:rsidR="00B322E2" w:rsidRPr="00B014BC">
        <w:rPr>
          <w:rFonts w:cstheme="minorHAnsi"/>
        </w:rPr>
        <w:t>eur</w:t>
      </w:r>
      <w:r w:rsidR="00B322E2" w:rsidRPr="00B014BC">
        <w:t xml:space="preserve"> </w:t>
      </w:r>
      <w:r w:rsidR="00B305AE" w:rsidRPr="00B014BC">
        <w:t>(</w:t>
      </w:r>
      <w:r w:rsidRPr="00B014BC">
        <w:t>nárast</w:t>
      </w:r>
      <w:r w:rsidR="00B305AE" w:rsidRPr="00B014BC">
        <w:t xml:space="preserve"> o</w:t>
      </w:r>
      <w:r w:rsidRPr="00B014BC">
        <w:t> 33,60 % oproti roku 2014</w:t>
      </w:r>
      <w:r w:rsidR="00B305AE" w:rsidRPr="00B014BC">
        <w:t xml:space="preserve">) a v poistení ostatného majetku a zodpovednosti bolo vyplatené poistné plnenie v celkovej výške </w:t>
      </w:r>
      <w:r w:rsidRPr="00B014BC">
        <w:t>2,395</w:t>
      </w:r>
      <w:r w:rsidR="00B305AE" w:rsidRPr="00B014BC">
        <w:t xml:space="preserve"> mil. </w:t>
      </w:r>
      <w:r w:rsidR="00B322E2" w:rsidRPr="00B014BC">
        <w:rPr>
          <w:rFonts w:cstheme="minorHAnsi"/>
        </w:rPr>
        <w:t>eur</w:t>
      </w:r>
      <w:r w:rsidR="00B305AE" w:rsidRPr="00B014BC">
        <w:t xml:space="preserve">, čo predstavuje </w:t>
      </w:r>
      <w:r w:rsidRPr="00B014BC">
        <w:t>pokles</w:t>
      </w:r>
      <w:r w:rsidR="00B305AE" w:rsidRPr="00B014BC">
        <w:t xml:space="preserve"> o</w:t>
      </w:r>
      <w:r w:rsidRPr="00B014BC">
        <w:t> 40,70</w:t>
      </w:r>
      <w:r w:rsidR="00B305AE" w:rsidRPr="00B014BC">
        <w:t xml:space="preserve"> % </w:t>
      </w:r>
      <w:r w:rsidR="00485EDF" w:rsidRPr="00B014BC">
        <w:t>v porovnaní s rokom</w:t>
      </w:r>
      <w:r w:rsidRPr="00B014BC">
        <w:t xml:space="preserve"> 2014</w:t>
      </w:r>
      <w:r w:rsidR="00B305AE" w:rsidRPr="00B014BC">
        <w:t xml:space="preserve">. </w:t>
      </w:r>
    </w:p>
    <w:p w14:paraId="7C4F1273" w14:textId="77777777" w:rsidR="00B305AE" w:rsidRPr="00B014BC" w:rsidRDefault="00B305AE" w:rsidP="004518BB">
      <w:pPr>
        <w:spacing w:after="0" w:line="240" w:lineRule="auto"/>
      </w:pPr>
    </w:p>
    <w:p w14:paraId="0083D006" w14:textId="337DACC1" w:rsidR="00B305AE" w:rsidRPr="00B014BC" w:rsidRDefault="002A300B" w:rsidP="004518BB">
      <w:pPr>
        <w:spacing w:after="0" w:line="240" w:lineRule="auto"/>
      </w:pPr>
      <w:r w:rsidRPr="00B014BC">
        <w:rPr>
          <w:noProof/>
          <w:lang w:val="en-US"/>
        </w:rPr>
        <w:drawing>
          <wp:inline distT="0" distB="0" distL="0" distR="0" wp14:anchorId="2A6CF1D3" wp14:editId="53E6A851">
            <wp:extent cx="5097145" cy="1839807"/>
            <wp:effectExtent l="0" t="0" r="8255" b="14605"/>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BD02E99" w14:textId="229C5B55" w:rsidR="00B305AE" w:rsidRPr="00B014BC" w:rsidRDefault="00B305AE" w:rsidP="004518BB">
      <w:pPr>
        <w:spacing w:after="0" w:line="240" w:lineRule="auto"/>
        <w:rPr>
          <w:i/>
        </w:rPr>
      </w:pPr>
      <w:r w:rsidRPr="00B014BC">
        <w:rPr>
          <w:i/>
        </w:rPr>
        <w:t>Podiel jednotlivých produktových skupín na vyplat</w:t>
      </w:r>
      <w:r w:rsidR="002A300B" w:rsidRPr="00B014BC">
        <w:rPr>
          <w:i/>
        </w:rPr>
        <w:t>enom poistnom plnení v roku 2015</w:t>
      </w:r>
    </w:p>
    <w:p w14:paraId="13420623" w14:textId="77777777" w:rsidR="00C718A3" w:rsidRPr="00B014BC" w:rsidRDefault="00C718A3" w:rsidP="004518BB">
      <w:pPr>
        <w:spacing w:after="0" w:line="240" w:lineRule="auto"/>
        <w:rPr>
          <w:i/>
        </w:rPr>
      </w:pPr>
    </w:p>
    <w:p w14:paraId="6585A207" w14:textId="2229E9AE" w:rsidR="00B305AE" w:rsidRPr="00B014BC" w:rsidRDefault="00B305AE" w:rsidP="004518BB">
      <w:pPr>
        <w:spacing w:after="0" w:line="240" w:lineRule="auto"/>
      </w:pPr>
      <w:r w:rsidRPr="00B014BC">
        <w:t xml:space="preserve">Stav </w:t>
      </w:r>
      <w:r w:rsidR="002A300B" w:rsidRPr="00B014BC">
        <w:t>RBNS rezerv ku koncu roka 2015</w:t>
      </w:r>
      <w:r w:rsidRPr="00B014BC">
        <w:t xml:space="preserve"> bol v oblasti neživotného poistenia v objeme </w:t>
      </w:r>
      <w:r w:rsidR="002A300B" w:rsidRPr="00B014BC">
        <w:t>28,744</w:t>
      </w:r>
      <w:r w:rsidRPr="00B014BC">
        <w:t xml:space="preserve"> mil. </w:t>
      </w:r>
      <w:r w:rsidR="00B322E2" w:rsidRPr="00B014BC">
        <w:rPr>
          <w:rFonts w:cstheme="minorHAnsi"/>
        </w:rPr>
        <w:t>eur</w:t>
      </w:r>
      <w:r w:rsidRPr="00B014BC">
        <w:t xml:space="preserve">, z toho v povinnom zmluvnom poistení </w:t>
      </w:r>
      <w:r w:rsidR="002A300B" w:rsidRPr="00B014BC">
        <w:t>16,730</w:t>
      </w:r>
      <w:r w:rsidRPr="00B014BC">
        <w:t xml:space="preserve"> mil. </w:t>
      </w:r>
      <w:r w:rsidR="00B322E2" w:rsidRPr="00B014BC">
        <w:rPr>
          <w:rFonts w:cstheme="minorHAnsi"/>
        </w:rPr>
        <w:t>eur</w:t>
      </w:r>
      <w:r w:rsidRPr="00B014BC">
        <w:t xml:space="preserve">, v havarijnom poistení </w:t>
      </w:r>
      <w:r w:rsidR="002A300B" w:rsidRPr="00B014BC">
        <w:t>5,106</w:t>
      </w:r>
      <w:r w:rsidRPr="00B014BC">
        <w:t xml:space="preserve"> mil. </w:t>
      </w:r>
      <w:r w:rsidR="00B322E2" w:rsidRPr="00B014BC">
        <w:rPr>
          <w:rFonts w:cstheme="minorHAnsi"/>
        </w:rPr>
        <w:t>eur</w:t>
      </w:r>
      <w:r w:rsidR="00B322E2" w:rsidRPr="00B014BC">
        <w:t xml:space="preserve"> </w:t>
      </w:r>
      <w:r w:rsidRPr="00B014BC">
        <w:t>a v poistení ostatného majetku a zodpovednosti 6,</w:t>
      </w:r>
      <w:r w:rsidR="002A300B" w:rsidRPr="00B014BC">
        <w:t>908</w:t>
      </w:r>
      <w:r w:rsidRPr="00B014BC">
        <w:t xml:space="preserve"> mil. </w:t>
      </w:r>
      <w:r w:rsidR="00B322E2" w:rsidRPr="00B014BC">
        <w:rPr>
          <w:rFonts w:cstheme="minorHAnsi"/>
        </w:rPr>
        <w:t>eur</w:t>
      </w:r>
      <w:r w:rsidRPr="00B014BC">
        <w:t>.</w:t>
      </w:r>
    </w:p>
    <w:p w14:paraId="52A5C57A" w14:textId="77777777" w:rsidR="00B305AE" w:rsidRPr="00B014BC" w:rsidRDefault="00B305AE" w:rsidP="004518BB">
      <w:pPr>
        <w:spacing w:after="0" w:line="240" w:lineRule="auto"/>
      </w:pPr>
      <w:r w:rsidRPr="00B014BC">
        <w:lastRenderedPageBreak/>
        <w:t xml:space="preserve">     </w:t>
      </w:r>
    </w:p>
    <w:p w14:paraId="3C95B87B" w14:textId="288C2938" w:rsidR="00B305AE" w:rsidRPr="00B014BC" w:rsidRDefault="002A300B" w:rsidP="004518BB">
      <w:pPr>
        <w:spacing w:after="0" w:line="240" w:lineRule="auto"/>
      </w:pPr>
      <w:r w:rsidRPr="00B014BC">
        <w:rPr>
          <w:noProof/>
          <w:lang w:val="en-US"/>
        </w:rPr>
        <w:drawing>
          <wp:inline distT="0" distB="0" distL="0" distR="0" wp14:anchorId="54CC8605" wp14:editId="52B25668">
            <wp:extent cx="4982845" cy="1962573"/>
            <wp:effectExtent l="0" t="0" r="20955" b="19050"/>
            <wp:docPr id="10"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6D31462" w14:textId="7376A705" w:rsidR="00B305AE" w:rsidRPr="00B014BC" w:rsidRDefault="00B305AE" w:rsidP="004518BB">
      <w:pPr>
        <w:spacing w:after="0" w:line="240" w:lineRule="auto"/>
        <w:rPr>
          <w:i/>
        </w:rPr>
      </w:pPr>
      <w:r w:rsidRPr="00B014BC">
        <w:rPr>
          <w:i/>
        </w:rPr>
        <w:t>Podiel produktových skupín na zmene s</w:t>
      </w:r>
      <w:r w:rsidR="002A300B" w:rsidRPr="00B014BC">
        <w:rPr>
          <w:i/>
        </w:rPr>
        <w:t>tavu RBNS rezervy k 31. 12. 2015</w:t>
      </w:r>
    </w:p>
    <w:p w14:paraId="7AC1DB4D" w14:textId="77777777" w:rsidR="00B305AE" w:rsidRPr="00B014BC" w:rsidRDefault="00B305AE" w:rsidP="004518BB">
      <w:pPr>
        <w:spacing w:after="0" w:line="240" w:lineRule="auto"/>
      </w:pPr>
    </w:p>
    <w:p w14:paraId="7A0701CB" w14:textId="00716F82" w:rsidR="00B305AE" w:rsidRPr="00B014BC" w:rsidRDefault="002A300B" w:rsidP="004518BB">
      <w:pPr>
        <w:spacing w:after="0" w:line="240" w:lineRule="auto"/>
      </w:pPr>
      <w:r w:rsidRPr="00B014BC">
        <w:t>Za rok 2015</w:t>
      </w:r>
      <w:r w:rsidR="00B305AE" w:rsidRPr="00B014BC">
        <w:t xml:space="preserve"> bolo v oblasti neživotného poistenia vybavených celkovo </w:t>
      </w:r>
      <w:r w:rsidRPr="00B014BC">
        <w:t>40 004</w:t>
      </w:r>
      <w:r w:rsidR="00B305AE" w:rsidRPr="00B014BC">
        <w:t xml:space="preserve"> poistných udalostí. Index rastu počtu vybavených poistných udalostí je </w:t>
      </w:r>
      <w:r w:rsidRPr="00B014BC">
        <w:t>1,14</w:t>
      </w:r>
      <w:r w:rsidR="00B305AE" w:rsidRPr="00B014BC">
        <w:t>, čo znamená</w:t>
      </w:r>
      <w:r w:rsidRPr="00B014BC">
        <w:t xml:space="preserve"> nárast poč</w:t>
      </w:r>
      <w:r w:rsidR="00B305AE" w:rsidRPr="00B014BC">
        <w:t>t</w:t>
      </w:r>
      <w:r w:rsidRPr="00B014BC">
        <w:t>u</w:t>
      </w:r>
      <w:r w:rsidR="00B305AE" w:rsidRPr="00B014BC">
        <w:t xml:space="preserve"> vybavených poistných udalostí </w:t>
      </w:r>
      <w:r w:rsidRPr="00B014BC">
        <w:t>o 14 % v porovnaní s rokom 2014</w:t>
      </w:r>
      <w:r w:rsidR="00B305AE" w:rsidRPr="00B014BC">
        <w:t>.</w:t>
      </w:r>
    </w:p>
    <w:p w14:paraId="79DCCD71" w14:textId="77777777" w:rsidR="00B305AE" w:rsidRPr="00B014BC" w:rsidRDefault="00B305AE" w:rsidP="004518BB">
      <w:pPr>
        <w:spacing w:after="0" w:line="240" w:lineRule="auto"/>
        <w:rPr>
          <w:b/>
        </w:rPr>
      </w:pPr>
      <w:r w:rsidRPr="00B014BC">
        <w:t xml:space="preserve">     </w:t>
      </w:r>
    </w:p>
    <w:p w14:paraId="26C25C44" w14:textId="30BD64A2" w:rsidR="00B305AE" w:rsidRPr="00B014BC" w:rsidRDefault="002A300B" w:rsidP="004518BB">
      <w:pPr>
        <w:spacing w:after="0" w:line="240" w:lineRule="auto"/>
        <w:rPr>
          <w:b/>
        </w:rPr>
      </w:pPr>
      <w:r w:rsidRPr="00B014BC">
        <w:rPr>
          <w:noProof/>
          <w:lang w:val="en-US"/>
        </w:rPr>
        <w:drawing>
          <wp:inline distT="0" distB="0" distL="0" distR="0" wp14:anchorId="6372CD7C" wp14:editId="1994BA48">
            <wp:extent cx="4754245" cy="1928707"/>
            <wp:effectExtent l="0" t="0" r="20955" b="1905"/>
            <wp:docPr id="11"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95A6C0E" w14:textId="39828E75" w:rsidR="00B305AE" w:rsidRPr="00B014BC" w:rsidRDefault="00B305AE" w:rsidP="004518BB">
      <w:pPr>
        <w:spacing w:after="0" w:line="240" w:lineRule="auto"/>
        <w:rPr>
          <w:i/>
        </w:rPr>
      </w:pPr>
      <w:r w:rsidRPr="00B014BC">
        <w:rPr>
          <w:i/>
        </w:rPr>
        <w:t xml:space="preserve">Vývoj počtu vybavených </w:t>
      </w:r>
      <w:r w:rsidR="002A300B" w:rsidRPr="00B014BC">
        <w:rPr>
          <w:i/>
        </w:rPr>
        <w:t>poistných udalostí v rokoch 2013 – 2015</w:t>
      </w:r>
    </w:p>
    <w:p w14:paraId="6CF01645" w14:textId="77777777" w:rsidR="00B305AE" w:rsidRPr="00B014BC" w:rsidRDefault="00B305AE" w:rsidP="004518BB">
      <w:pPr>
        <w:spacing w:after="0" w:line="240" w:lineRule="auto"/>
      </w:pPr>
    </w:p>
    <w:p w14:paraId="51935651" w14:textId="7C8D375E" w:rsidR="00B305AE" w:rsidRPr="00B014BC" w:rsidRDefault="00B305AE" w:rsidP="004518BB">
      <w:pPr>
        <w:spacing w:after="0" w:line="240" w:lineRule="auto"/>
      </w:pPr>
      <w:r w:rsidRPr="00B014BC">
        <w:t>V povinnom zm</w:t>
      </w:r>
      <w:r w:rsidR="002A300B" w:rsidRPr="00B014BC">
        <w:t>luvnom poistení bolo v roku 2015</w:t>
      </w:r>
      <w:r w:rsidRPr="00B014BC">
        <w:t xml:space="preserve"> vybavených </w:t>
      </w:r>
      <w:r w:rsidR="002A300B" w:rsidRPr="00B014BC">
        <w:t>18 256</w:t>
      </w:r>
      <w:r w:rsidRPr="00B014BC">
        <w:t xml:space="preserve"> poistných udalostí (</w:t>
      </w:r>
      <w:r w:rsidR="002A300B" w:rsidRPr="00B014BC">
        <w:t xml:space="preserve">nárast </w:t>
      </w:r>
      <w:r w:rsidRPr="00B014BC">
        <w:t xml:space="preserve"> o</w:t>
      </w:r>
      <w:r w:rsidR="002A300B" w:rsidRPr="00B014BC">
        <w:t> 7,60 % v porovnaní s rokom 2014</w:t>
      </w:r>
      <w:r w:rsidRPr="00B014BC">
        <w:t xml:space="preserve">), v havarijnom poistení </w:t>
      </w:r>
      <w:r w:rsidR="00E1003B" w:rsidRPr="00B014BC">
        <w:t>16 773</w:t>
      </w:r>
      <w:r w:rsidRPr="00B014BC">
        <w:t xml:space="preserve"> poistných udalostí (nárast o</w:t>
      </w:r>
      <w:r w:rsidR="00E1003B" w:rsidRPr="00B014BC">
        <w:t> 26,40 % oproti roku 2014</w:t>
      </w:r>
      <w:r w:rsidRPr="00B014BC">
        <w:t xml:space="preserve">) a v poistení ostatného majetku a zodpovednosti bolo vybavených 4 </w:t>
      </w:r>
      <w:r w:rsidR="00E1003B" w:rsidRPr="00B014BC">
        <w:t>975</w:t>
      </w:r>
      <w:r w:rsidRPr="00B014BC">
        <w:t xml:space="preserve"> poistných udalosti, čo predstavuje pokles o</w:t>
      </w:r>
      <w:r w:rsidR="00E1003B" w:rsidRPr="00B014BC">
        <w:t> 0,34</w:t>
      </w:r>
      <w:r w:rsidRPr="00B014BC">
        <w:t xml:space="preserve"> % v poro</w:t>
      </w:r>
      <w:r w:rsidR="00E1003B" w:rsidRPr="00B014BC">
        <w:t>vnaní s rokom 2014</w:t>
      </w:r>
      <w:r w:rsidRPr="00B014BC">
        <w:t xml:space="preserve">. </w:t>
      </w:r>
    </w:p>
    <w:p w14:paraId="38E4BF8A" w14:textId="7BB1DD5A" w:rsidR="00E1003B" w:rsidRPr="00B014BC" w:rsidRDefault="00E1003B" w:rsidP="004518BB">
      <w:pPr>
        <w:spacing w:after="0" w:line="240" w:lineRule="auto"/>
      </w:pPr>
      <w:r w:rsidRPr="00B014BC">
        <w:t>Celková vybavenosť bola v roku 2015 na úrovni 70,90 %, pričom v roku 2014 to bolo 70,99 %.</w:t>
      </w:r>
    </w:p>
    <w:p w14:paraId="1C634801" w14:textId="77777777" w:rsidR="00B305AE" w:rsidRPr="00B014BC" w:rsidRDefault="00B305AE" w:rsidP="004518BB">
      <w:pPr>
        <w:spacing w:after="0" w:line="240" w:lineRule="auto"/>
        <w:rPr>
          <w:b/>
        </w:rPr>
      </w:pPr>
      <w:r w:rsidRPr="00B014BC">
        <w:t xml:space="preserve">     </w:t>
      </w:r>
    </w:p>
    <w:p w14:paraId="27CE1B64" w14:textId="5335957D" w:rsidR="00B305AE" w:rsidRPr="00B014BC" w:rsidRDefault="00E1003B" w:rsidP="004518BB">
      <w:pPr>
        <w:spacing w:after="0" w:line="240" w:lineRule="auto"/>
      </w:pPr>
      <w:r w:rsidRPr="00B014BC">
        <w:rPr>
          <w:noProof/>
          <w:lang w:val="en-US"/>
        </w:rPr>
        <w:drawing>
          <wp:inline distT="0" distB="0" distL="0" distR="0" wp14:anchorId="3D8E50B2" wp14:editId="7204F25A">
            <wp:extent cx="4754245" cy="1962573"/>
            <wp:effectExtent l="0" t="0" r="20955" b="19050"/>
            <wp:docPr id="12"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8FD9AAE" w14:textId="7AF77C2D" w:rsidR="00B305AE" w:rsidRPr="00B014BC" w:rsidRDefault="00B305AE" w:rsidP="004518BB">
      <w:pPr>
        <w:spacing w:after="0" w:line="240" w:lineRule="auto"/>
        <w:rPr>
          <w:i/>
        </w:rPr>
      </w:pPr>
      <w:r w:rsidRPr="00B014BC">
        <w:rPr>
          <w:i/>
        </w:rPr>
        <w:t>Podiel jednotlivých produktových skupín na celkovom počte vybavenýc</w:t>
      </w:r>
      <w:r w:rsidR="00E1003B" w:rsidRPr="00B014BC">
        <w:rPr>
          <w:i/>
        </w:rPr>
        <w:t>h poistných udalostí v roku 2015</w:t>
      </w:r>
    </w:p>
    <w:p w14:paraId="2423C667" w14:textId="77777777" w:rsidR="00B305AE" w:rsidRPr="00B014BC" w:rsidRDefault="00B305AE" w:rsidP="004518BB">
      <w:pPr>
        <w:spacing w:after="0" w:line="240" w:lineRule="auto"/>
      </w:pPr>
    </w:p>
    <w:p w14:paraId="0B7F11F2" w14:textId="0AD33F51" w:rsidR="00B305AE" w:rsidRPr="00B014BC" w:rsidRDefault="00E1003B" w:rsidP="004518BB">
      <w:pPr>
        <w:spacing w:after="0" w:line="240" w:lineRule="auto"/>
      </w:pPr>
      <w:r w:rsidRPr="00B014BC">
        <w:rPr>
          <w:noProof/>
          <w:lang w:val="en-US"/>
        </w:rPr>
        <w:drawing>
          <wp:inline distT="0" distB="0" distL="0" distR="0" wp14:anchorId="3D9EBA1F" wp14:editId="4823DF54">
            <wp:extent cx="5440045" cy="2305473"/>
            <wp:effectExtent l="0" t="0" r="20955" b="6350"/>
            <wp:docPr id="13"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E0310E" w14:textId="5EC71894" w:rsidR="00B305AE" w:rsidRPr="00B014BC" w:rsidRDefault="00B305AE" w:rsidP="004518BB">
      <w:pPr>
        <w:spacing w:after="0" w:line="240" w:lineRule="auto"/>
        <w:rPr>
          <w:i/>
        </w:rPr>
      </w:pPr>
      <w:r w:rsidRPr="00B014BC">
        <w:rPr>
          <w:i/>
        </w:rPr>
        <w:t xml:space="preserve">Vývoj a porovnanie počtu vybavených poistných udalostí jednotlivých </w:t>
      </w:r>
      <w:r w:rsidR="00E1003B" w:rsidRPr="00B014BC">
        <w:rPr>
          <w:i/>
        </w:rPr>
        <w:t>produktových skupín za roky 2013 – 2015</w:t>
      </w:r>
    </w:p>
    <w:p w14:paraId="47C6AC25" w14:textId="77777777" w:rsidR="00B305AE" w:rsidRPr="00B014BC" w:rsidRDefault="00B305AE" w:rsidP="004518BB">
      <w:pPr>
        <w:spacing w:after="0" w:line="240" w:lineRule="auto"/>
        <w:rPr>
          <w:b/>
          <w:u w:val="single"/>
        </w:rPr>
      </w:pPr>
    </w:p>
    <w:p w14:paraId="06C903D3" w14:textId="064C02A6" w:rsidR="000B6906" w:rsidRPr="00B014BC" w:rsidRDefault="00B305AE" w:rsidP="004518BB">
      <w:pPr>
        <w:spacing w:after="0" w:line="240" w:lineRule="auto"/>
      </w:pPr>
      <w:r w:rsidRPr="00B014BC">
        <w:t xml:space="preserve">V sledovanom období bolo hlásených 2 </w:t>
      </w:r>
      <w:r w:rsidR="00E1003B" w:rsidRPr="00B014BC">
        <w:t>925</w:t>
      </w:r>
      <w:r w:rsidRPr="00B014BC">
        <w:t xml:space="preserve"> poistných udalostí z povinného zmluvného poistenia so zahraničným prvkom.</w:t>
      </w:r>
    </w:p>
    <w:p w14:paraId="68A46DB2" w14:textId="4004585C" w:rsidR="00B305AE" w:rsidRPr="00B014BC" w:rsidRDefault="00E1003B" w:rsidP="004518BB">
      <w:pPr>
        <w:spacing w:after="0" w:line="240" w:lineRule="auto"/>
      </w:pPr>
      <w:r w:rsidRPr="00B014BC">
        <w:rPr>
          <w:noProof/>
          <w:lang w:val="en-US"/>
        </w:rPr>
        <w:drawing>
          <wp:inline distT="0" distB="0" distL="0" distR="0" wp14:anchorId="621C0F1F" wp14:editId="72614FF4">
            <wp:extent cx="5326168" cy="2305050"/>
            <wp:effectExtent l="0" t="0" r="8255" b="6350"/>
            <wp:docPr id="23"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725D627" w14:textId="2CF1CFD9" w:rsidR="00FD409B" w:rsidRPr="00B014BC" w:rsidRDefault="00B305AE" w:rsidP="004518BB">
      <w:pPr>
        <w:spacing w:after="0" w:line="240" w:lineRule="auto"/>
        <w:rPr>
          <w:i/>
        </w:rPr>
      </w:pPr>
      <w:r w:rsidRPr="00B014BC">
        <w:rPr>
          <w:i/>
        </w:rPr>
        <w:t>Vývoj počtu hlásených zahraničných poistných udalostí z povinného z</w:t>
      </w:r>
      <w:r w:rsidR="00E1003B" w:rsidRPr="00B014BC">
        <w:rPr>
          <w:i/>
        </w:rPr>
        <w:t xml:space="preserve">mluvného poistenia v rokoch 2013 </w:t>
      </w:r>
      <w:r w:rsidR="00FD409B" w:rsidRPr="00B014BC">
        <w:rPr>
          <w:i/>
        </w:rPr>
        <w:t>–</w:t>
      </w:r>
      <w:r w:rsidR="00E1003B" w:rsidRPr="00B014BC">
        <w:rPr>
          <w:i/>
        </w:rPr>
        <w:t xml:space="preserve"> 2015</w:t>
      </w:r>
    </w:p>
    <w:p w14:paraId="6A717371" w14:textId="77777777" w:rsidR="00442A8A" w:rsidRPr="00B014BC" w:rsidRDefault="00442A8A" w:rsidP="004518BB">
      <w:pPr>
        <w:spacing w:after="0" w:line="240" w:lineRule="auto"/>
      </w:pPr>
    </w:p>
    <w:p w14:paraId="4EE72D9D" w14:textId="14BC3449" w:rsidR="00B305AE" w:rsidRPr="00B014BC" w:rsidRDefault="00B305AE" w:rsidP="004518BB">
      <w:pPr>
        <w:spacing w:after="0" w:line="240" w:lineRule="auto"/>
        <w:rPr>
          <w:i/>
        </w:rPr>
      </w:pPr>
      <w:r w:rsidRPr="00B014BC">
        <w:t xml:space="preserve">Za rok </w:t>
      </w:r>
      <w:r w:rsidR="00C718A3" w:rsidRPr="00B014BC">
        <w:t>2015</w:t>
      </w:r>
      <w:r w:rsidRPr="00B014BC">
        <w:t xml:space="preserve"> bolo z povinného zmluvného poistenia so zahraničným prvkom vyplatené poistné plnenie v celkovej výške </w:t>
      </w:r>
      <w:r w:rsidR="00E1003B" w:rsidRPr="00B014BC">
        <w:t>4,981</w:t>
      </w:r>
      <w:r w:rsidRPr="00B014BC">
        <w:t xml:space="preserve"> mil. </w:t>
      </w:r>
      <w:r w:rsidR="00B322E2" w:rsidRPr="00B014BC">
        <w:rPr>
          <w:rFonts w:cstheme="minorHAnsi"/>
        </w:rPr>
        <w:t>eur</w:t>
      </w:r>
      <w:r w:rsidRPr="00B014BC">
        <w:t xml:space="preserve">, z toho na škodách na zdraví </w:t>
      </w:r>
      <w:r w:rsidR="00C718A3" w:rsidRPr="00B014BC">
        <w:t xml:space="preserve">432 </w:t>
      </w:r>
      <w:r w:rsidR="00E1003B" w:rsidRPr="00B014BC">
        <w:t>tis</w:t>
      </w:r>
      <w:r w:rsidRPr="00B014BC">
        <w:t xml:space="preserve">. </w:t>
      </w:r>
      <w:r w:rsidR="00B322E2" w:rsidRPr="00B014BC">
        <w:rPr>
          <w:rFonts w:cstheme="minorHAnsi"/>
        </w:rPr>
        <w:t>eur</w:t>
      </w:r>
      <w:r w:rsidR="00B322E2" w:rsidRPr="00B014BC">
        <w:t xml:space="preserve"> </w:t>
      </w:r>
      <w:r w:rsidRPr="00B014BC">
        <w:t>a škodách na majetku 4,</w:t>
      </w:r>
      <w:r w:rsidR="00E1003B" w:rsidRPr="00B014BC">
        <w:t>549</w:t>
      </w:r>
      <w:r w:rsidRPr="00B014BC">
        <w:t xml:space="preserve"> mil. </w:t>
      </w:r>
      <w:r w:rsidR="00B322E2" w:rsidRPr="00B014BC">
        <w:rPr>
          <w:rFonts w:cstheme="minorHAnsi"/>
        </w:rPr>
        <w:t>eur</w:t>
      </w:r>
      <w:r w:rsidRPr="00B014BC">
        <w:t>.</w:t>
      </w:r>
    </w:p>
    <w:p w14:paraId="15CDBB27" w14:textId="77777777" w:rsidR="00E67EFE" w:rsidRPr="00B014BC" w:rsidRDefault="00E67EFE" w:rsidP="004518BB">
      <w:pPr>
        <w:spacing w:after="0" w:line="240" w:lineRule="auto"/>
      </w:pPr>
    </w:p>
    <w:p w14:paraId="3762E5E4"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5.5 Zaistenie</w:t>
      </w:r>
    </w:p>
    <w:p w14:paraId="681A306C" w14:textId="77777777" w:rsidR="003271A4" w:rsidRPr="00B014BC" w:rsidRDefault="003271A4" w:rsidP="004518BB">
      <w:pPr>
        <w:spacing w:after="0" w:line="240" w:lineRule="auto"/>
        <w:rPr>
          <w:rFonts w:cstheme="minorHAnsi"/>
          <w:b/>
        </w:rPr>
      </w:pPr>
    </w:p>
    <w:p w14:paraId="50A219F8" w14:textId="464359C3" w:rsidR="0003220E" w:rsidRPr="00B014BC" w:rsidRDefault="0003220E" w:rsidP="004518BB">
      <w:pPr>
        <w:widowControl w:val="0"/>
        <w:autoSpaceDE w:val="0"/>
        <w:autoSpaceDN w:val="0"/>
        <w:adjustRightInd w:val="0"/>
        <w:spacing w:after="0" w:line="240" w:lineRule="auto"/>
        <w:rPr>
          <w:rFonts w:ascii="Calibri" w:hAnsi="Calibri" w:cs="Calibri"/>
        </w:rPr>
      </w:pPr>
      <w:r w:rsidRPr="00B014BC">
        <w:rPr>
          <w:rFonts w:ascii="Calibri" w:hAnsi="Calibri" w:cs="Calibri"/>
        </w:rPr>
        <w:t xml:space="preserve">Zaistná stratégia KOMUNÁLNEJ poisťovne sa nemení a predstavuje významný stabilizačný faktor spoločnosti. Zaistný program je zostavený konzervatívnym spôsobom a v súlade s koncernovou stratégiou </w:t>
      </w:r>
      <w:proofErr w:type="spellStart"/>
      <w:r w:rsidRPr="00B014BC">
        <w:rPr>
          <w:rFonts w:ascii="Calibri" w:hAnsi="Calibri" w:cs="Calibri"/>
        </w:rPr>
        <w:t>Vienna</w:t>
      </w:r>
      <w:proofErr w:type="spellEnd"/>
      <w:r w:rsidRPr="00B014BC">
        <w:rPr>
          <w:rFonts w:ascii="Calibri" w:hAnsi="Calibri" w:cs="Calibri"/>
        </w:rPr>
        <w:t xml:space="preserve"> </w:t>
      </w:r>
      <w:proofErr w:type="spellStart"/>
      <w:r w:rsidRPr="00B014BC">
        <w:rPr>
          <w:rFonts w:ascii="Calibri" w:hAnsi="Calibri" w:cs="Calibri"/>
        </w:rPr>
        <w:t>Insurance</w:t>
      </w:r>
      <w:proofErr w:type="spellEnd"/>
      <w:r w:rsidRPr="00B014BC">
        <w:rPr>
          <w:rFonts w:ascii="Calibri" w:hAnsi="Calibri" w:cs="Calibri"/>
        </w:rPr>
        <w:t xml:space="preserve"> Group s cieľom obmedziť riziko finančnej straty a ochrániť vlastné kapitálové zdroje. Parametre zaistného programu spĺňajú všetky interné požiadavky VIG, ako aj požiadavky dohľadu nad poisťovníctvom. Na krytie prírodných katastrof využíva KOMUNÁLNA poisťovňa skupinové zaistenie, ktoré zabezpečuje krytie až do výšky 250-ročnej škody a spĺňa tiež požiadavky vyplývajúce z nového regulatívneh</w:t>
      </w:r>
      <w:r w:rsidR="00656F30" w:rsidRPr="00B014BC">
        <w:rPr>
          <w:rFonts w:ascii="Calibri" w:hAnsi="Calibri" w:cs="Calibri"/>
        </w:rPr>
        <w:t xml:space="preserve">o rámca </w:t>
      </w:r>
      <w:proofErr w:type="spellStart"/>
      <w:r w:rsidR="00656F30" w:rsidRPr="00B014BC">
        <w:rPr>
          <w:rFonts w:ascii="Calibri" w:hAnsi="Calibri" w:cs="Calibri"/>
        </w:rPr>
        <w:t>Solvency</w:t>
      </w:r>
      <w:proofErr w:type="spellEnd"/>
      <w:r w:rsidR="00656F30" w:rsidRPr="00B014BC">
        <w:rPr>
          <w:rFonts w:ascii="Calibri" w:hAnsi="Calibri" w:cs="Calibri"/>
        </w:rPr>
        <w:t xml:space="preserve"> II. Modelovanie</w:t>
      </w:r>
      <w:r w:rsidRPr="00B014BC">
        <w:rPr>
          <w:rFonts w:ascii="Calibri" w:hAnsi="Calibri" w:cs="Calibri"/>
        </w:rPr>
        <w:t xml:space="preserve"> a umiestnenie tohto skupinového katastrofického programu sa </w:t>
      </w:r>
      <w:r w:rsidR="00656F30" w:rsidRPr="00B014BC">
        <w:rPr>
          <w:rFonts w:ascii="Calibri" w:hAnsi="Calibri" w:cs="Calibri"/>
        </w:rPr>
        <w:t>uskutočnilo v spolupráci s renom</w:t>
      </w:r>
      <w:r w:rsidRPr="00B014BC">
        <w:rPr>
          <w:rFonts w:ascii="Calibri" w:hAnsi="Calibri" w:cs="Calibri"/>
        </w:rPr>
        <w:t xml:space="preserve">ovanými zaistnými maklérmi </w:t>
      </w:r>
      <w:proofErr w:type="spellStart"/>
      <w:r w:rsidRPr="00B014BC">
        <w:rPr>
          <w:rFonts w:ascii="Calibri" w:hAnsi="Calibri" w:cs="Calibri"/>
        </w:rPr>
        <w:t>AonBenfield</w:t>
      </w:r>
      <w:proofErr w:type="spellEnd"/>
      <w:r w:rsidRPr="00B014BC">
        <w:rPr>
          <w:rFonts w:ascii="Calibri" w:hAnsi="Calibri" w:cs="Calibri"/>
        </w:rPr>
        <w:t xml:space="preserve"> a </w:t>
      </w:r>
      <w:proofErr w:type="spellStart"/>
      <w:r w:rsidRPr="00B014BC">
        <w:rPr>
          <w:rFonts w:ascii="Calibri" w:hAnsi="Calibri" w:cs="Calibri"/>
        </w:rPr>
        <w:t>Willis</w:t>
      </w:r>
      <w:proofErr w:type="spellEnd"/>
      <w:r w:rsidRPr="00B014BC">
        <w:rPr>
          <w:rFonts w:ascii="Calibri" w:hAnsi="Calibri" w:cs="Calibri"/>
        </w:rPr>
        <w:t>.</w:t>
      </w:r>
    </w:p>
    <w:p w14:paraId="109296AF" w14:textId="2E181EFE" w:rsidR="0003220E" w:rsidRPr="00B014BC" w:rsidRDefault="0003220E" w:rsidP="004518BB">
      <w:pPr>
        <w:autoSpaceDE w:val="0"/>
        <w:autoSpaceDN w:val="0"/>
        <w:adjustRightInd w:val="0"/>
        <w:spacing w:after="0" w:line="240" w:lineRule="auto"/>
        <w:rPr>
          <w:rFonts w:ascii="Calibri" w:hAnsi="Calibri" w:cs="Calibri"/>
        </w:rPr>
      </w:pPr>
      <w:r w:rsidRPr="00B014BC">
        <w:rPr>
          <w:rFonts w:ascii="Calibri" w:hAnsi="Calibri" w:cs="Calibri"/>
        </w:rPr>
        <w:lastRenderedPageBreak/>
        <w:t xml:space="preserve">Zaistný program KOMUNÁLNEJ poisťovne je založený na kombinácii zaistných zmlúv v rámci internej spolupráce s VIG Re </w:t>
      </w:r>
      <w:proofErr w:type="spellStart"/>
      <w:r w:rsidRPr="00B014BC">
        <w:rPr>
          <w:rFonts w:ascii="Calibri" w:hAnsi="Calibri" w:cs="Calibri"/>
        </w:rPr>
        <w:t>zajišťovnou</w:t>
      </w:r>
      <w:proofErr w:type="spellEnd"/>
      <w:r w:rsidRPr="00B014BC">
        <w:rPr>
          <w:rFonts w:ascii="Calibri" w:hAnsi="Calibri" w:cs="Calibri"/>
        </w:rPr>
        <w:t xml:space="preserve">, </w:t>
      </w:r>
      <w:proofErr w:type="spellStart"/>
      <w:r w:rsidRPr="00B014BC">
        <w:rPr>
          <w:rFonts w:ascii="Calibri" w:hAnsi="Calibri" w:cs="Calibri"/>
        </w:rPr>
        <w:t>a.s</w:t>
      </w:r>
      <w:proofErr w:type="spellEnd"/>
      <w:r w:rsidRPr="00B014BC">
        <w:rPr>
          <w:rFonts w:ascii="Calibri" w:hAnsi="Calibri" w:cs="Calibri"/>
        </w:rPr>
        <w:t xml:space="preserve">. a VIG Holdingom, ako aj s externými zaisťovateľmi. Medzi najdôležitejších a zároveň tradičných externých partnerov aj naďalej patria externé zaisťovne ako SCOR, </w:t>
      </w:r>
      <w:proofErr w:type="spellStart"/>
      <w:r w:rsidRPr="00B014BC">
        <w:rPr>
          <w:rFonts w:ascii="Calibri" w:hAnsi="Calibri" w:cs="Calibri"/>
        </w:rPr>
        <w:t>Munich</w:t>
      </w:r>
      <w:proofErr w:type="spellEnd"/>
      <w:r w:rsidRPr="00B014BC">
        <w:rPr>
          <w:rFonts w:ascii="Calibri" w:hAnsi="Calibri" w:cs="Calibri"/>
        </w:rPr>
        <w:t xml:space="preserve"> Re, </w:t>
      </w:r>
      <w:proofErr w:type="spellStart"/>
      <w:r w:rsidRPr="00B014BC">
        <w:rPr>
          <w:rFonts w:ascii="Calibri" w:hAnsi="Calibri" w:cs="Calibri"/>
        </w:rPr>
        <w:t>Hannover</w:t>
      </w:r>
      <w:proofErr w:type="spellEnd"/>
      <w:r w:rsidRPr="00B014BC">
        <w:rPr>
          <w:rFonts w:ascii="Calibri" w:hAnsi="Calibri" w:cs="Calibri"/>
        </w:rPr>
        <w:t xml:space="preserve"> Re, Swiss Re a pod., ktorých finančná sila a rating dáva dostatočnú garanciu plnenia si záväzkov.</w:t>
      </w:r>
    </w:p>
    <w:p w14:paraId="2027AB23" w14:textId="77777777" w:rsidR="00B87971" w:rsidRPr="00B014BC" w:rsidRDefault="00B87971" w:rsidP="004518BB">
      <w:pPr>
        <w:spacing w:after="0" w:line="240" w:lineRule="auto"/>
        <w:rPr>
          <w:rFonts w:cstheme="minorHAnsi"/>
          <w:b/>
          <w:sz w:val="24"/>
          <w:szCs w:val="24"/>
        </w:rPr>
      </w:pPr>
    </w:p>
    <w:p w14:paraId="2CDD10D1"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5.6 Ľudské zdroje</w:t>
      </w:r>
    </w:p>
    <w:p w14:paraId="37DAF71F" w14:textId="77777777" w:rsidR="003271A4" w:rsidRPr="00B014BC" w:rsidRDefault="003271A4" w:rsidP="004518BB">
      <w:pPr>
        <w:spacing w:after="0" w:line="240" w:lineRule="auto"/>
        <w:rPr>
          <w:rFonts w:cstheme="minorHAnsi"/>
          <w:b/>
        </w:rPr>
      </w:pPr>
    </w:p>
    <w:p w14:paraId="664727E4" w14:textId="15EAC66A" w:rsidR="00EC40C9" w:rsidRPr="00B014BC" w:rsidRDefault="00EC40C9" w:rsidP="004518BB">
      <w:pPr>
        <w:spacing w:after="0" w:line="240" w:lineRule="auto"/>
        <w:rPr>
          <w:rFonts w:cstheme="minorHAnsi"/>
        </w:rPr>
      </w:pPr>
      <w:r w:rsidRPr="00B014BC">
        <w:rPr>
          <w:rFonts w:cstheme="minorHAnsi"/>
        </w:rPr>
        <w:t xml:space="preserve">Firemná kultúra </w:t>
      </w:r>
      <w:r w:rsidR="002353E7" w:rsidRPr="00B014BC">
        <w:rPr>
          <w:rFonts w:cstheme="minorHAnsi"/>
        </w:rPr>
        <w:t>ako kľúčová zložka</w:t>
      </w:r>
      <w:r w:rsidRPr="00B014BC">
        <w:rPr>
          <w:rFonts w:cstheme="minorHAnsi"/>
        </w:rPr>
        <w:t xml:space="preserve"> úspe</w:t>
      </w:r>
      <w:r w:rsidR="002353E7" w:rsidRPr="00B014BC">
        <w:rPr>
          <w:rFonts w:cstheme="minorHAnsi"/>
        </w:rPr>
        <w:t>chu, poslania a stratégie firmy j</w:t>
      </w:r>
      <w:r w:rsidRPr="00B014BC">
        <w:rPr>
          <w:rFonts w:cstheme="minorHAnsi"/>
        </w:rPr>
        <w:t>e meradlom správania sa</w:t>
      </w:r>
      <w:r w:rsidR="002353E7" w:rsidRPr="00B014BC">
        <w:rPr>
          <w:rFonts w:cstheme="minorHAnsi"/>
        </w:rPr>
        <w:t xml:space="preserve"> a postojov</w:t>
      </w:r>
      <w:r w:rsidRPr="00B014BC">
        <w:rPr>
          <w:rFonts w:cstheme="minorHAnsi"/>
        </w:rPr>
        <w:t xml:space="preserve"> zamestnancov k sebe navzájom, ku klientom, odzrkadľuje vzájomnú dôveru a spokojnosť zamestnancov a priamo ovplyvňuje ich motiváciu.</w:t>
      </w:r>
    </w:p>
    <w:p w14:paraId="52D2488B" w14:textId="7DB095F3" w:rsidR="00EC40C9" w:rsidRPr="00B014BC" w:rsidRDefault="00EC40C9" w:rsidP="004518BB">
      <w:pPr>
        <w:spacing w:after="0" w:line="240" w:lineRule="auto"/>
        <w:rPr>
          <w:rFonts w:cstheme="minorHAnsi"/>
        </w:rPr>
      </w:pPr>
      <w:r w:rsidRPr="00B014BC">
        <w:rPr>
          <w:rFonts w:cstheme="minorHAnsi"/>
        </w:rPr>
        <w:t>Od personálneho obsadenia firmy, angažovanosti zamestnancov, ich iniciatívneho príst</w:t>
      </w:r>
      <w:r w:rsidR="00B322E2" w:rsidRPr="00B014BC">
        <w:rPr>
          <w:rFonts w:cstheme="minorHAnsi"/>
        </w:rPr>
        <w:t>upu k práci, lojalite a rešpektu</w:t>
      </w:r>
      <w:r w:rsidRPr="00B014BC">
        <w:rPr>
          <w:rFonts w:cstheme="minorHAnsi"/>
        </w:rPr>
        <w:t xml:space="preserve"> k cieľom spoločnosti sa odvíja aj ich vplyv na klienta. Keďže ekonomická prosperita finančnej skupiny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je plne závislá od zákazníka, poskytované služby by mali byť na špičkovej úrovni. </w:t>
      </w:r>
    </w:p>
    <w:p w14:paraId="6835D9DB" w14:textId="728F4CE7" w:rsidR="00EC40C9" w:rsidRPr="00B014BC" w:rsidRDefault="00016195" w:rsidP="004518BB">
      <w:pPr>
        <w:spacing w:after="0" w:line="240" w:lineRule="auto"/>
        <w:rPr>
          <w:rFonts w:cstheme="minorHAnsi"/>
        </w:rPr>
      </w:pPr>
      <w:r w:rsidRPr="00B014BC">
        <w:rPr>
          <w:rFonts w:cstheme="minorHAnsi"/>
        </w:rPr>
        <w:t>V</w:t>
      </w:r>
      <w:r w:rsidR="002353E7" w:rsidRPr="00B014BC">
        <w:rPr>
          <w:rFonts w:cstheme="minorHAnsi"/>
        </w:rPr>
        <w:t> priebehu roka 2015</w:t>
      </w:r>
      <w:r w:rsidRPr="00B014BC">
        <w:rPr>
          <w:rFonts w:cstheme="minorHAnsi"/>
        </w:rPr>
        <w:t>, tak ako v minulom období, sme sa s</w:t>
      </w:r>
      <w:r w:rsidR="00EC40C9" w:rsidRPr="00B014BC">
        <w:rPr>
          <w:rFonts w:cstheme="minorHAnsi"/>
        </w:rPr>
        <w:t>ústreďovali na neustále skvalitňovanie služieb a komunikácie s klientmi, informovanie súčasných aj potenciálnych klientov, zvyšovanie úrovne požiadaviek na pracovné pozície na všetkých organizačných stupňoch spoločnosti, čo viedlo k dosahovaniu stanovených výsledkov.</w:t>
      </w:r>
    </w:p>
    <w:p w14:paraId="74F38CD5" w14:textId="77777777" w:rsidR="00577E04" w:rsidRPr="00B014BC" w:rsidRDefault="00577E04" w:rsidP="004518BB">
      <w:pPr>
        <w:spacing w:after="0" w:line="240" w:lineRule="auto"/>
        <w:rPr>
          <w:rFonts w:cstheme="minorHAnsi"/>
          <w:b/>
        </w:rPr>
      </w:pPr>
    </w:p>
    <w:p w14:paraId="3E6EC542" w14:textId="027BE450" w:rsidR="00694D53" w:rsidRPr="00B014BC" w:rsidRDefault="002353E7" w:rsidP="004518BB">
      <w:pPr>
        <w:spacing w:after="0" w:line="240" w:lineRule="auto"/>
        <w:rPr>
          <w:rFonts w:cstheme="minorHAnsi"/>
          <w:b/>
        </w:rPr>
      </w:pPr>
      <w:r w:rsidRPr="00B014BC">
        <w:rPr>
          <w:rFonts w:cstheme="minorHAnsi"/>
          <w:b/>
        </w:rPr>
        <w:t>Vzdelávanie</w:t>
      </w:r>
    </w:p>
    <w:p w14:paraId="219460A7" w14:textId="77777777" w:rsidR="002353E7" w:rsidRPr="00B014BC" w:rsidRDefault="00694D53" w:rsidP="004518BB">
      <w:pPr>
        <w:pStyle w:val="NormalWeb"/>
        <w:spacing w:before="0" w:beforeAutospacing="0" w:after="0" w:afterAutospacing="0"/>
        <w:rPr>
          <w:rFonts w:asciiTheme="minorHAnsi" w:hAnsiTheme="minorHAnsi" w:cstheme="minorHAnsi"/>
          <w:color w:val="auto"/>
          <w:sz w:val="22"/>
          <w:szCs w:val="22"/>
        </w:rPr>
      </w:pPr>
      <w:r w:rsidRPr="00B014BC">
        <w:rPr>
          <w:rFonts w:asciiTheme="minorHAnsi" w:hAnsiTheme="minorHAnsi" w:cstheme="minorHAnsi"/>
          <w:sz w:val="22"/>
          <w:szCs w:val="22"/>
        </w:rPr>
        <w:t xml:space="preserve">KOMUNÁLNA poisťovňa </w:t>
      </w:r>
      <w:r w:rsidR="002353E7" w:rsidRPr="00B014BC">
        <w:rPr>
          <w:rFonts w:asciiTheme="minorHAnsi" w:hAnsiTheme="minorHAnsi" w:cstheme="minorHAnsi"/>
          <w:sz w:val="22"/>
          <w:szCs w:val="22"/>
        </w:rPr>
        <w:t xml:space="preserve">výrazne podporuje budovanie </w:t>
      </w:r>
      <w:r w:rsidRPr="00B014BC">
        <w:rPr>
          <w:rFonts w:asciiTheme="minorHAnsi" w:hAnsiTheme="minorHAnsi" w:cstheme="minorHAnsi"/>
          <w:sz w:val="22"/>
          <w:szCs w:val="22"/>
        </w:rPr>
        <w:t>firemnej značky a identifikáciu zamestnancov so svojím zamestnávateľom, preto všetkými dostupnými formami podporuje profesionálny a osobnostný rozvoj pracovníkov. Pre svojich zamestnancov organizujeme periodické a odborné vzdelávanie nielen pri nástupe do pracovného pomeru, ale aj počas roka</w:t>
      </w:r>
      <w:r w:rsidRPr="00B014BC">
        <w:rPr>
          <w:rFonts w:asciiTheme="minorHAnsi" w:hAnsiTheme="minorHAnsi" w:cstheme="minorHAnsi"/>
          <w:color w:val="auto"/>
          <w:sz w:val="22"/>
          <w:szCs w:val="22"/>
        </w:rPr>
        <w:t xml:space="preserve">. </w:t>
      </w:r>
    </w:p>
    <w:p w14:paraId="3A9254CF" w14:textId="421EC0CB" w:rsidR="00694D53" w:rsidRPr="00B014BC" w:rsidRDefault="00694D53" w:rsidP="004518BB">
      <w:pPr>
        <w:pStyle w:val="NormalWeb"/>
        <w:spacing w:before="0" w:beforeAutospacing="0" w:after="0" w:afterAutospacing="0"/>
        <w:rPr>
          <w:rFonts w:asciiTheme="minorHAnsi" w:hAnsiTheme="minorHAnsi" w:cstheme="minorHAnsi"/>
          <w:sz w:val="22"/>
          <w:szCs w:val="22"/>
        </w:rPr>
      </w:pPr>
      <w:r w:rsidRPr="00B014BC">
        <w:rPr>
          <w:rFonts w:asciiTheme="minorHAnsi" w:hAnsiTheme="minorHAnsi" w:cstheme="minorHAnsi"/>
          <w:sz w:val="22"/>
          <w:szCs w:val="22"/>
        </w:rPr>
        <w:t>Tréningové a rozv</w:t>
      </w:r>
      <w:r w:rsidR="002353E7" w:rsidRPr="00B014BC">
        <w:rPr>
          <w:rFonts w:asciiTheme="minorHAnsi" w:hAnsiTheme="minorHAnsi" w:cstheme="minorHAnsi"/>
          <w:sz w:val="22"/>
          <w:szCs w:val="22"/>
        </w:rPr>
        <w:t xml:space="preserve">ojové aktivity boli v roku 2015 </w:t>
      </w:r>
      <w:r w:rsidRPr="00B014BC">
        <w:rPr>
          <w:rFonts w:asciiTheme="minorHAnsi" w:hAnsiTheme="minorHAnsi" w:cstheme="minorHAnsi"/>
          <w:sz w:val="22"/>
          <w:szCs w:val="22"/>
        </w:rPr>
        <w:t>realizované nasledovne:</w:t>
      </w:r>
    </w:p>
    <w:p w14:paraId="1ACC6F41" w14:textId="77777777" w:rsidR="00694D53" w:rsidRPr="00B014BC" w:rsidRDefault="00694D53" w:rsidP="004518BB">
      <w:pPr>
        <w:numPr>
          <w:ilvl w:val="0"/>
          <w:numId w:val="18"/>
        </w:numPr>
        <w:spacing w:after="0" w:line="240" w:lineRule="auto"/>
        <w:rPr>
          <w:rFonts w:cstheme="minorHAnsi"/>
        </w:rPr>
      </w:pPr>
      <w:r w:rsidRPr="00B014BC">
        <w:rPr>
          <w:rFonts w:cstheme="minorHAnsi"/>
        </w:rPr>
        <w:t>interne – vlastnými zamestnancami,</w:t>
      </w:r>
    </w:p>
    <w:p w14:paraId="2FD4D33A" w14:textId="77777777" w:rsidR="00694D53" w:rsidRPr="00B014BC" w:rsidRDefault="00694D53" w:rsidP="004518BB">
      <w:pPr>
        <w:numPr>
          <w:ilvl w:val="0"/>
          <w:numId w:val="18"/>
        </w:numPr>
        <w:spacing w:after="0" w:line="240" w:lineRule="auto"/>
        <w:rPr>
          <w:rFonts w:cstheme="minorHAnsi"/>
        </w:rPr>
      </w:pPr>
      <w:r w:rsidRPr="00B014BC">
        <w:rPr>
          <w:rFonts w:cstheme="minorHAnsi"/>
        </w:rPr>
        <w:t>prostredníctvom e-learningu,</w:t>
      </w:r>
    </w:p>
    <w:p w14:paraId="12B81DE8" w14:textId="2BD4CBFA" w:rsidR="00694D53" w:rsidRPr="00B014BC" w:rsidRDefault="00B322E2" w:rsidP="004518BB">
      <w:pPr>
        <w:numPr>
          <w:ilvl w:val="0"/>
          <w:numId w:val="18"/>
        </w:numPr>
        <w:spacing w:after="0" w:line="240" w:lineRule="auto"/>
        <w:rPr>
          <w:rFonts w:cstheme="minorHAnsi"/>
        </w:rPr>
      </w:pPr>
      <w:r w:rsidRPr="00B014BC">
        <w:rPr>
          <w:rFonts w:cstheme="minorHAnsi"/>
        </w:rPr>
        <w:t>v rámci medzinárodných vzdelávacích programov</w:t>
      </w:r>
      <w:r w:rsidR="00694D53" w:rsidRPr="00B014BC">
        <w:rPr>
          <w:rFonts w:cstheme="minorHAnsi"/>
        </w:rPr>
        <w:t xml:space="preserve"> pre manažérov a vybraných zamestnancov,</w:t>
      </w:r>
    </w:p>
    <w:p w14:paraId="3C600BD9" w14:textId="687F19BF" w:rsidR="00694D53" w:rsidRPr="00B014BC" w:rsidRDefault="002353E7" w:rsidP="004518BB">
      <w:pPr>
        <w:numPr>
          <w:ilvl w:val="0"/>
          <w:numId w:val="18"/>
        </w:numPr>
        <w:spacing w:after="0" w:line="240" w:lineRule="auto"/>
        <w:rPr>
          <w:rFonts w:cstheme="minorHAnsi"/>
        </w:rPr>
      </w:pPr>
      <w:r w:rsidRPr="00B014BC">
        <w:rPr>
          <w:rFonts w:cstheme="minorHAnsi"/>
        </w:rPr>
        <w:t xml:space="preserve">prostredníctvom </w:t>
      </w:r>
      <w:r w:rsidR="00694D53" w:rsidRPr="00B014BC">
        <w:rPr>
          <w:rFonts w:cstheme="minorHAnsi"/>
        </w:rPr>
        <w:t>workshop</w:t>
      </w:r>
      <w:r w:rsidRPr="00B014BC">
        <w:rPr>
          <w:rFonts w:cstheme="minorHAnsi"/>
        </w:rPr>
        <w:t>ov</w:t>
      </w:r>
      <w:r w:rsidR="00694D53" w:rsidRPr="00B014BC">
        <w:rPr>
          <w:rFonts w:cstheme="minorHAnsi"/>
        </w:rPr>
        <w:t xml:space="preserve"> na medzinárodnej aj lokálnej úrovni.</w:t>
      </w:r>
    </w:p>
    <w:p w14:paraId="05F62748" w14:textId="1DA20027" w:rsidR="002353E7" w:rsidRPr="00B014BC" w:rsidRDefault="002353E7" w:rsidP="004518BB">
      <w:pPr>
        <w:pStyle w:val="NormalWeb"/>
        <w:spacing w:before="0" w:beforeAutospacing="0" w:after="0" w:afterAutospacing="0"/>
        <w:rPr>
          <w:rFonts w:asciiTheme="minorHAnsi" w:hAnsiTheme="minorHAnsi" w:cstheme="minorHAnsi"/>
          <w:color w:val="auto"/>
          <w:sz w:val="22"/>
          <w:szCs w:val="22"/>
        </w:rPr>
      </w:pPr>
      <w:r w:rsidRPr="00B014BC">
        <w:rPr>
          <w:rFonts w:asciiTheme="minorHAnsi" w:hAnsiTheme="minorHAnsi" w:cstheme="minorHAnsi"/>
          <w:color w:val="auto"/>
          <w:sz w:val="22"/>
          <w:szCs w:val="22"/>
        </w:rPr>
        <w:t>V roku 2015</w:t>
      </w:r>
      <w:r w:rsidR="00694D53" w:rsidRPr="00B014BC">
        <w:rPr>
          <w:rFonts w:asciiTheme="minorHAnsi" w:hAnsiTheme="minorHAnsi" w:cstheme="minorHAnsi"/>
          <w:color w:val="auto"/>
          <w:sz w:val="22"/>
          <w:szCs w:val="22"/>
        </w:rPr>
        <w:t xml:space="preserve"> sme </w:t>
      </w:r>
      <w:r w:rsidRPr="00B014BC">
        <w:rPr>
          <w:rFonts w:asciiTheme="minorHAnsi" w:hAnsiTheme="minorHAnsi" w:cstheme="minorHAnsi"/>
          <w:color w:val="auto"/>
          <w:sz w:val="22"/>
          <w:szCs w:val="22"/>
        </w:rPr>
        <w:t>v oblasti vzdelávania</w:t>
      </w:r>
      <w:r w:rsidR="00694D53" w:rsidRPr="00B014BC">
        <w:rPr>
          <w:rFonts w:asciiTheme="minorHAnsi" w:hAnsiTheme="minorHAnsi" w:cstheme="minorHAnsi"/>
          <w:color w:val="auto"/>
          <w:sz w:val="22"/>
          <w:szCs w:val="22"/>
        </w:rPr>
        <w:t xml:space="preserve"> v rámci spoločnosti </w:t>
      </w:r>
      <w:r w:rsidRPr="00B014BC">
        <w:rPr>
          <w:rFonts w:asciiTheme="minorHAnsi" w:hAnsiTheme="minorHAnsi" w:cstheme="minorHAnsi"/>
          <w:color w:val="auto"/>
          <w:sz w:val="22"/>
          <w:szCs w:val="22"/>
        </w:rPr>
        <w:t>pokračovali v realizácii</w:t>
      </w:r>
      <w:r w:rsidR="00694D53" w:rsidRPr="00B014BC">
        <w:rPr>
          <w:rFonts w:asciiTheme="minorHAnsi" w:hAnsiTheme="minorHAnsi" w:cstheme="minorHAnsi"/>
          <w:color w:val="auto"/>
          <w:sz w:val="22"/>
          <w:szCs w:val="22"/>
        </w:rPr>
        <w:t xml:space="preserve"> koncepcie, </w:t>
      </w:r>
      <w:r w:rsidRPr="00B014BC">
        <w:rPr>
          <w:rFonts w:asciiTheme="minorHAnsi" w:hAnsiTheme="minorHAnsi" w:cstheme="minorHAnsi"/>
          <w:color w:val="auto"/>
          <w:sz w:val="22"/>
          <w:szCs w:val="22"/>
        </w:rPr>
        <w:t>ktorá sa osvedčila v predchádzajúcom roku</w:t>
      </w:r>
      <w:r w:rsidR="00694D53" w:rsidRPr="00B014BC">
        <w:rPr>
          <w:rFonts w:asciiTheme="minorHAnsi" w:hAnsiTheme="minorHAnsi" w:cstheme="minorHAnsi"/>
          <w:color w:val="auto"/>
          <w:sz w:val="22"/>
          <w:szCs w:val="22"/>
        </w:rPr>
        <w:t xml:space="preserve">. </w:t>
      </w:r>
    </w:p>
    <w:p w14:paraId="4BB35102" w14:textId="5FA82624" w:rsidR="00694D53" w:rsidRPr="00B014BC" w:rsidRDefault="00694D53" w:rsidP="004518BB">
      <w:pPr>
        <w:pStyle w:val="NormalWeb"/>
        <w:spacing w:before="0" w:beforeAutospacing="0" w:after="0" w:afterAutospacing="0"/>
        <w:rPr>
          <w:rFonts w:asciiTheme="minorHAnsi" w:hAnsiTheme="minorHAnsi" w:cstheme="minorHAnsi"/>
          <w:sz w:val="22"/>
          <w:szCs w:val="22"/>
        </w:rPr>
      </w:pPr>
      <w:r w:rsidRPr="00B014BC">
        <w:rPr>
          <w:rFonts w:asciiTheme="minorHAnsi" w:hAnsiTheme="minorHAnsi" w:cstheme="minorHAnsi"/>
          <w:sz w:val="22"/>
          <w:szCs w:val="22"/>
        </w:rPr>
        <w:t xml:space="preserve">Vzdelávacie aktivity </w:t>
      </w:r>
      <w:r w:rsidR="002353E7" w:rsidRPr="00B014BC">
        <w:rPr>
          <w:rFonts w:asciiTheme="minorHAnsi" w:hAnsiTheme="minorHAnsi" w:cstheme="minorHAnsi"/>
          <w:sz w:val="22"/>
          <w:szCs w:val="22"/>
        </w:rPr>
        <w:t xml:space="preserve">zabezpečované internými školiteľmi </w:t>
      </w:r>
      <w:r w:rsidR="00485EDF" w:rsidRPr="00B014BC">
        <w:rPr>
          <w:rFonts w:asciiTheme="minorHAnsi" w:hAnsiTheme="minorHAnsi" w:cstheme="minorHAnsi"/>
          <w:sz w:val="22"/>
          <w:szCs w:val="22"/>
        </w:rPr>
        <w:t>boli</w:t>
      </w:r>
      <w:r w:rsidR="00B322E2" w:rsidRPr="00B014BC">
        <w:rPr>
          <w:rFonts w:asciiTheme="minorHAnsi" w:hAnsiTheme="minorHAnsi" w:cstheme="minorHAnsi"/>
          <w:sz w:val="22"/>
          <w:szCs w:val="22"/>
        </w:rPr>
        <w:t xml:space="preserve"> v troch</w:t>
      </w:r>
      <w:r w:rsidRPr="00B014BC">
        <w:rPr>
          <w:rFonts w:asciiTheme="minorHAnsi" w:hAnsiTheme="minorHAnsi" w:cstheme="minorHAnsi"/>
          <w:sz w:val="22"/>
          <w:szCs w:val="22"/>
        </w:rPr>
        <w:t xml:space="preserve"> líniách:</w:t>
      </w:r>
    </w:p>
    <w:p w14:paraId="39379703" w14:textId="77777777" w:rsidR="00694D53" w:rsidRPr="00B014BC" w:rsidRDefault="00694D53" w:rsidP="004518BB">
      <w:pPr>
        <w:pStyle w:val="ListParagraph"/>
        <w:numPr>
          <w:ilvl w:val="0"/>
          <w:numId w:val="30"/>
        </w:numPr>
        <w:spacing w:after="0" w:line="240" w:lineRule="auto"/>
        <w:ind w:left="851"/>
        <w:rPr>
          <w:rFonts w:cstheme="minorHAnsi"/>
        </w:rPr>
      </w:pPr>
      <w:proofErr w:type="spellStart"/>
      <w:r w:rsidRPr="00B014BC">
        <w:rPr>
          <w:rFonts w:cstheme="minorHAnsi"/>
        </w:rPr>
        <w:t>novonastúpení</w:t>
      </w:r>
      <w:proofErr w:type="spellEnd"/>
      <w:r w:rsidRPr="00B014BC">
        <w:rPr>
          <w:rFonts w:cstheme="minorHAnsi"/>
        </w:rPr>
        <w:t xml:space="preserve"> obchodníci  </w:t>
      </w:r>
    </w:p>
    <w:p w14:paraId="24A92D67" w14:textId="77777777" w:rsidR="00694D53" w:rsidRPr="00B014BC" w:rsidRDefault="00694D53" w:rsidP="004518BB">
      <w:pPr>
        <w:pStyle w:val="ListParagraph"/>
        <w:numPr>
          <w:ilvl w:val="0"/>
          <w:numId w:val="30"/>
        </w:numPr>
        <w:spacing w:after="0" w:line="240" w:lineRule="auto"/>
        <w:ind w:left="851"/>
        <w:rPr>
          <w:rFonts w:cstheme="minorHAnsi"/>
        </w:rPr>
      </w:pPr>
      <w:r w:rsidRPr="00B014BC">
        <w:rPr>
          <w:rFonts w:cstheme="minorHAnsi"/>
        </w:rPr>
        <w:t>služobne starší obchodníci</w:t>
      </w:r>
    </w:p>
    <w:p w14:paraId="093F7DB2" w14:textId="77777777" w:rsidR="00694D53" w:rsidRPr="00B014BC" w:rsidRDefault="00694D53" w:rsidP="004518BB">
      <w:pPr>
        <w:pStyle w:val="ListParagraph"/>
        <w:numPr>
          <w:ilvl w:val="0"/>
          <w:numId w:val="30"/>
        </w:numPr>
        <w:spacing w:after="0" w:line="240" w:lineRule="auto"/>
        <w:ind w:left="851"/>
        <w:rPr>
          <w:rFonts w:cstheme="minorHAnsi"/>
        </w:rPr>
      </w:pPr>
      <w:r w:rsidRPr="00B014BC">
        <w:rPr>
          <w:rFonts w:cstheme="minorHAnsi"/>
        </w:rPr>
        <w:t>manažéri</w:t>
      </w:r>
    </w:p>
    <w:p w14:paraId="5EB04B33" w14:textId="1BA392BC" w:rsidR="002353E7" w:rsidRPr="00B014BC" w:rsidRDefault="00694D53" w:rsidP="004518BB">
      <w:pPr>
        <w:pStyle w:val="NormalWeb"/>
        <w:spacing w:before="0" w:beforeAutospacing="0" w:after="0" w:afterAutospacing="0"/>
        <w:rPr>
          <w:rFonts w:asciiTheme="minorHAnsi" w:hAnsiTheme="minorHAnsi" w:cstheme="minorHAnsi"/>
          <w:color w:val="auto"/>
          <w:sz w:val="22"/>
          <w:szCs w:val="22"/>
        </w:rPr>
      </w:pPr>
      <w:r w:rsidRPr="00B014BC">
        <w:rPr>
          <w:rFonts w:asciiTheme="minorHAnsi" w:hAnsiTheme="minorHAnsi" w:cstheme="minorHAnsi"/>
          <w:color w:val="auto"/>
          <w:sz w:val="22"/>
          <w:szCs w:val="22"/>
        </w:rPr>
        <w:t xml:space="preserve">Proces vzdelávania </w:t>
      </w:r>
      <w:proofErr w:type="spellStart"/>
      <w:r w:rsidRPr="00B014BC">
        <w:rPr>
          <w:rFonts w:asciiTheme="minorHAnsi" w:hAnsiTheme="minorHAnsi" w:cstheme="minorHAnsi"/>
          <w:color w:val="auto"/>
          <w:sz w:val="22"/>
          <w:szCs w:val="22"/>
        </w:rPr>
        <w:t>novonastúpených</w:t>
      </w:r>
      <w:proofErr w:type="spellEnd"/>
      <w:r w:rsidRPr="00B014BC">
        <w:rPr>
          <w:rFonts w:asciiTheme="minorHAnsi" w:hAnsiTheme="minorHAnsi" w:cstheme="minorHAnsi"/>
          <w:color w:val="auto"/>
          <w:sz w:val="22"/>
          <w:szCs w:val="22"/>
        </w:rPr>
        <w:t xml:space="preserve"> obchodníkov sme rozdelili z čas</w:t>
      </w:r>
      <w:r w:rsidR="00B322E2" w:rsidRPr="00B014BC">
        <w:rPr>
          <w:rFonts w:asciiTheme="minorHAnsi" w:hAnsiTheme="minorHAnsi" w:cstheme="minorHAnsi"/>
          <w:color w:val="auto"/>
          <w:sz w:val="22"/>
          <w:szCs w:val="22"/>
        </w:rPr>
        <w:t>ového a obsahového hľadiska na tri</w:t>
      </w:r>
      <w:r w:rsidRPr="00B014BC">
        <w:rPr>
          <w:rFonts w:asciiTheme="minorHAnsi" w:hAnsiTheme="minorHAnsi" w:cstheme="minorHAnsi"/>
          <w:color w:val="auto"/>
          <w:sz w:val="22"/>
          <w:szCs w:val="22"/>
        </w:rPr>
        <w:t xml:space="preserve"> fázy, ktoré absol</w:t>
      </w:r>
      <w:r w:rsidR="00B322E2" w:rsidRPr="00B014BC">
        <w:rPr>
          <w:rFonts w:asciiTheme="minorHAnsi" w:hAnsiTheme="minorHAnsi" w:cstheme="minorHAnsi"/>
          <w:color w:val="auto"/>
          <w:sz w:val="22"/>
          <w:szCs w:val="22"/>
        </w:rPr>
        <w:t>vuje nový obchodník v priebehu štyroch až šiestich</w:t>
      </w:r>
      <w:r w:rsidRPr="00B014BC">
        <w:rPr>
          <w:rFonts w:asciiTheme="minorHAnsi" w:hAnsiTheme="minorHAnsi" w:cstheme="minorHAnsi"/>
          <w:color w:val="auto"/>
          <w:sz w:val="22"/>
          <w:szCs w:val="22"/>
        </w:rPr>
        <w:t xml:space="preserve"> mesiacov po nástupe. </w:t>
      </w:r>
    </w:p>
    <w:p w14:paraId="63C5CEC2" w14:textId="4DB0139E" w:rsidR="00694D53" w:rsidRPr="00B014BC" w:rsidRDefault="00694D53" w:rsidP="004518BB">
      <w:pPr>
        <w:pStyle w:val="NormalWeb"/>
        <w:spacing w:before="0" w:beforeAutospacing="0" w:after="0" w:afterAutospacing="0"/>
        <w:rPr>
          <w:rFonts w:asciiTheme="minorHAnsi" w:hAnsiTheme="minorHAnsi" w:cstheme="minorHAnsi"/>
          <w:color w:val="auto"/>
          <w:sz w:val="22"/>
          <w:szCs w:val="22"/>
        </w:rPr>
      </w:pPr>
      <w:r w:rsidRPr="00B014BC">
        <w:rPr>
          <w:rFonts w:asciiTheme="minorHAnsi" w:hAnsiTheme="minorHAnsi" w:cstheme="minorHAnsi"/>
          <w:color w:val="auto"/>
          <w:sz w:val="22"/>
          <w:szCs w:val="22"/>
        </w:rPr>
        <w:t>Počas tohto adaptačného procesu ich školíme v strategických produktoch a kladieme dôraz na dôležitosť správnej komunikácie so zákazníkmi, zvládnutie všetkých fáz predajného cyklu.</w:t>
      </w:r>
      <w:r w:rsidR="002353E7" w:rsidRPr="00B014BC">
        <w:rPr>
          <w:rFonts w:asciiTheme="minorHAnsi" w:hAnsiTheme="minorHAnsi" w:cstheme="minorHAnsi"/>
          <w:color w:val="auto"/>
          <w:sz w:val="22"/>
          <w:szCs w:val="22"/>
        </w:rPr>
        <w:t xml:space="preserve"> Tento cyklus sme v roku 2015 doplnili o nadstavbové školenie pre obchodníkov</w:t>
      </w:r>
      <w:r w:rsidR="00B322E2" w:rsidRPr="00B014BC">
        <w:rPr>
          <w:rFonts w:asciiTheme="minorHAnsi" w:hAnsiTheme="minorHAnsi" w:cstheme="minorHAnsi"/>
          <w:color w:val="auto"/>
          <w:sz w:val="22"/>
          <w:szCs w:val="22"/>
        </w:rPr>
        <w:t xml:space="preserve">, ktorí pracujú v spoločnosti 6 až </w:t>
      </w:r>
      <w:r w:rsidR="002353E7" w:rsidRPr="00B014BC">
        <w:rPr>
          <w:rFonts w:asciiTheme="minorHAnsi" w:hAnsiTheme="minorHAnsi" w:cstheme="minorHAnsi"/>
          <w:color w:val="auto"/>
          <w:sz w:val="22"/>
          <w:szCs w:val="22"/>
        </w:rPr>
        <w:t>12 mesiacov, so</w:t>
      </w:r>
      <w:r w:rsidR="00B322E2" w:rsidRPr="00B014BC">
        <w:rPr>
          <w:rFonts w:asciiTheme="minorHAnsi" w:hAnsiTheme="minorHAnsi" w:cstheme="minorHAnsi"/>
          <w:color w:val="auto"/>
          <w:sz w:val="22"/>
          <w:szCs w:val="22"/>
        </w:rPr>
        <w:t xml:space="preserve"> zameraním na praktické zvládnutie</w:t>
      </w:r>
      <w:r w:rsidR="002353E7" w:rsidRPr="00B014BC">
        <w:rPr>
          <w:rFonts w:asciiTheme="minorHAnsi" w:hAnsiTheme="minorHAnsi" w:cstheme="minorHAnsi"/>
          <w:color w:val="auto"/>
          <w:sz w:val="22"/>
          <w:szCs w:val="22"/>
        </w:rPr>
        <w:t xml:space="preserve"> telefonovania, námietok v procese predajného cyklu vrátane reálnych modelových situácií a spätnej väzby.</w:t>
      </w:r>
    </w:p>
    <w:p w14:paraId="3699D20D" w14:textId="6779DEFB" w:rsidR="00694D53" w:rsidRPr="00B014BC" w:rsidRDefault="00694D53" w:rsidP="004518BB">
      <w:pPr>
        <w:spacing w:after="0" w:line="240" w:lineRule="auto"/>
        <w:rPr>
          <w:rFonts w:cstheme="minorHAnsi"/>
        </w:rPr>
      </w:pPr>
      <w:r w:rsidRPr="00B014BC">
        <w:t>Pri služobne starších obchodníkoch sme sa zamerali na  doškolenie zložitejších</w:t>
      </w:r>
      <w:r w:rsidR="002353E7" w:rsidRPr="00B014BC">
        <w:t xml:space="preserve"> a menej predávaných produktov,</w:t>
      </w:r>
      <w:r w:rsidRPr="00B014BC">
        <w:t xml:space="preserve"> prezentáciu nových produktov</w:t>
      </w:r>
      <w:r w:rsidR="002353E7" w:rsidRPr="00B014BC">
        <w:t xml:space="preserve"> a zvyšovanie predajných zručností, a školenia podľa požiadaviek manažérov v jednotlivých regiónoch.</w:t>
      </w:r>
    </w:p>
    <w:p w14:paraId="0436822E" w14:textId="77777777" w:rsidR="002353E7" w:rsidRPr="00B014BC" w:rsidRDefault="00694D53" w:rsidP="004518BB">
      <w:pPr>
        <w:spacing w:after="0" w:line="240" w:lineRule="auto"/>
        <w:rPr>
          <w:rFonts w:cstheme="minorHAnsi"/>
        </w:rPr>
      </w:pPr>
      <w:r w:rsidRPr="00B014BC">
        <w:t>Manažérov riadiacich obchodnú službu sme podporovali v zlepšovaní  ich  manažérskych kompetencií.</w:t>
      </w:r>
      <w:r w:rsidR="002353E7" w:rsidRPr="00B014BC">
        <w:t xml:space="preserve"> </w:t>
      </w:r>
      <w:r w:rsidR="002353E7" w:rsidRPr="00B014BC">
        <w:rPr>
          <w:rFonts w:cstheme="minorHAnsi"/>
        </w:rPr>
        <w:t>Priebežne sme realizovali aktuálne produktové školenia pre všetky odbytové siete, s výrazným pôsobením pre maklérske spoločnosti.</w:t>
      </w:r>
    </w:p>
    <w:p w14:paraId="3E35C883" w14:textId="77777777" w:rsidR="00694D53" w:rsidRPr="00B014BC" w:rsidRDefault="00694D53" w:rsidP="004518BB">
      <w:pPr>
        <w:spacing w:after="0" w:line="240" w:lineRule="auto"/>
        <w:rPr>
          <w:rFonts w:cstheme="minorHAnsi"/>
        </w:rPr>
      </w:pPr>
      <w:r w:rsidRPr="00B014BC">
        <w:rPr>
          <w:rFonts w:cstheme="minorHAnsi"/>
        </w:rPr>
        <w:lastRenderedPageBreak/>
        <w:t xml:space="preserve">Výsledky rozvojových a vzdelávacích programov sú merateľné vo zvyšovaní kvality našich zamestnancov prostredníctvom ich cieleného kariérneho rozvoja. V rámci rozvojových aktivít sme sa zamerali na zvyšovanie parametrov výkonnosti, budovanie a rozvoj internej predajnej siete. </w:t>
      </w:r>
    </w:p>
    <w:p w14:paraId="305A19C4" w14:textId="77777777" w:rsidR="00694D53" w:rsidRPr="00B014BC" w:rsidRDefault="00694D53" w:rsidP="004518BB">
      <w:pPr>
        <w:pStyle w:val="NormalWeb"/>
        <w:spacing w:before="0" w:beforeAutospacing="0" w:after="0" w:afterAutospacing="0"/>
        <w:rPr>
          <w:rFonts w:asciiTheme="minorHAnsi" w:hAnsiTheme="minorHAnsi" w:cstheme="minorHAnsi"/>
          <w:b/>
          <w:bCs/>
          <w:sz w:val="22"/>
          <w:szCs w:val="22"/>
        </w:rPr>
      </w:pPr>
    </w:p>
    <w:p w14:paraId="0B9B3552" w14:textId="77777777" w:rsidR="00EC40C9" w:rsidRPr="00B014BC" w:rsidRDefault="00EC40C9" w:rsidP="004518BB">
      <w:pPr>
        <w:pStyle w:val="NormalWeb"/>
        <w:spacing w:before="0" w:beforeAutospacing="0" w:after="0" w:afterAutospacing="0"/>
        <w:rPr>
          <w:rFonts w:asciiTheme="minorHAnsi" w:hAnsiTheme="minorHAnsi" w:cstheme="minorHAnsi"/>
          <w:sz w:val="22"/>
          <w:szCs w:val="22"/>
        </w:rPr>
      </w:pPr>
      <w:r w:rsidRPr="00B014BC">
        <w:rPr>
          <w:rFonts w:asciiTheme="minorHAnsi" w:hAnsiTheme="minorHAnsi" w:cstheme="minorHAnsi"/>
          <w:b/>
          <w:bCs/>
          <w:sz w:val="22"/>
          <w:szCs w:val="22"/>
        </w:rPr>
        <w:t xml:space="preserve">Ciele personálneho manažmentu </w:t>
      </w:r>
    </w:p>
    <w:p w14:paraId="5C593858" w14:textId="20ECE3BD" w:rsidR="00EC40C9" w:rsidRPr="00B014BC" w:rsidRDefault="00EC40C9" w:rsidP="004518BB">
      <w:pPr>
        <w:spacing w:after="0" w:line="240" w:lineRule="auto"/>
        <w:rPr>
          <w:rFonts w:cstheme="minorHAnsi"/>
        </w:rPr>
      </w:pPr>
      <w:r w:rsidRPr="00B014BC">
        <w:rPr>
          <w:rFonts w:cstheme="minorHAnsi"/>
        </w:rPr>
        <w:t>Cieľom personálneho manažmentu je zabezpečiť primeraný počet zamestnancov vo vhodne</w:t>
      </w:r>
      <w:r w:rsidR="00D0533A" w:rsidRPr="00B014BC">
        <w:rPr>
          <w:rFonts w:cstheme="minorHAnsi"/>
        </w:rPr>
        <w:t>j štruktúre a optimálne využívať ich</w:t>
      </w:r>
      <w:r w:rsidRPr="00B014BC">
        <w:rPr>
          <w:rFonts w:cstheme="minorHAnsi"/>
        </w:rPr>
        <w:t xml:space="preserve"> vedomost</w:t>
      </w:r>
      <w:r w:rsidR="00D0533A" w:rsidRPr="00B014BC">
        <w:rPr>
          <w:rFonts w:cstheme="minorHAnsi"/>
        </w:rPr>
        <w:t>i</w:t>
      </w:r>
      <w:r w:rsidRPr="00B014BC">
        <w:rPr>
          <w:rFonts w:cstheme="minorHAnsi"/>
        </w:rPr>
        <w:t>, schopnost</w:t>
      </w:r>
      <w:r w:rsidR="00D0533A" w:rsidRPr="00B014BC">
        <w:rPr>
          <w:rFonts w:cstheme="minorHAnsi"/>
        </w:rPr>
        <w:t>i</w:t>
      </w:r>
      <w:r w:rsidRPr="00B014BC">
        <w:rPr>
          <w:rFonts w:cstheme="minorHAnsi"/>
        </w:rPr>
        <w:t xml:space="preserve"> a zručnost</w:t>
      </w:r>
      <w:r w:rsidR="00D0533A" w:rsidRPr="00B014BC">
        <w:rPr>
          <w:rFonts w:cstheme="minorHAnsi"/>
        </w:rPr>
        <w:t>i</w:t>
      </w:r>
      <w:r w:rsidRPr="00B014BC">
        <w:rPr>
          <w:rFonts w:cstheme="minorHAnsi"/>
        </w:rPr>
        <w:t xml:space="preserve">. Tento cieľ sa usilujeme dosiahnuť priebežným hodnotením kvality pracovného výkonu, adekvátnymi systémami odmeňovania, systémom nefinančného odmeňovania, ktoré slúžia na motiváciu zamestnancov. Ako člen nadnárodnej skupiny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sa podieľame aj na naplnení celko</w:t>
      </w:r>
      <w:r w:rsidR="00085287" w:rsidRPr="00B014BC">
        <w:rPr>
          <w:rFonts w:cstheme="minorHAnsi"/>
        </w:rPr>
        <w:t>vej stratégie spoločnosti:</w:t>
      </w:r>
      <w:r w:rsidRPr="00B014BC">
        <w:rPr>
          <w:rFonts w:cstheme="minorHAnsi"/>
        </w:rPr>
        <w:t xml:space="preserve"> dosahovanie požadovanej úrovne hospodárskeho výsledku, vedúca pozícia na poistnom trhu a zodpovedné konanie ako tradícia. </w:t>
      </w:r>
      <w:r w:rsidR="00485EDF" w:rsidRPr="00B014BC">
        <w:rPr>
          <w:rFonts w:cstheme="minorHAnsi"/>
        </w:rPr>
        <w:t>Našou</w:t>
      </w:r>
      <w:r w:rsidRPr="00B014BC">
        <w:rPr>
          <w:rFonts w:cstheme="minorHAnsi"/>
        </w:rPr>
        <w:t xml:space="preserve"> snahou</w:t>
      </w:r>
      <w:r w:rsidR="00485EDF" w:rsidRPr="00B014BC">
        <w:rPr>
          <w:rFonts w:cstheme="minorHAnsi"/>
        </w:rPr>
        <w:t xml:space="preserve"> pri napĺňaní týchto cieľov</w:t>
      </w:r>
      <w:r w:rsidRPr="00B014BC">
        <w:rPr>
          <w:rFonts w:cstheme="minorHAnsi"/>
        </w:rPr>
        <w:t xml:space="preserve"> je orient</w:t>
      </w:r>
      <w:r w:rsidR="00485EDF" w:rsidRPr="00B014BC">
        <w:rPr>
          <w:rFonts w:cstheme="minorHAnsi"/>
        </w:rPr>
        <w:t>ácia</w:t>
      </w:r>
      <w:r w:rsidRPr="00B014BC">
        <w:rPr>
          <w:rFonts w:cstheme="minorHAnsi"/>
        </w:rPr>
        <w:t xml:space="preserve"> na zvyšovanie výkonnosti zamestnancov a podpor</w:t>
      </w:r>
      <w:r w:rsidR="00485EDF" w:rsidRPr="00B014BC">
        <w:rPr>
          <w:rFonts w:cstheme="minorHAnsi"/>
        </w:rPr>
        <w:t>a</w:t>
      </w:r>
      <w:r w:rsidRPr="00B014BC">
        <w:rPr>
          <w:rFonts w:cstheme="minorHAnsi"/>
        </w:rPr>
        <w:t xml:space="preserve"> ich motiváci</w:t>
      </w:r>
      <w:r w:rsidR="00485EDF" w:rsidRPr="00B014BC">
        <w:rPr>
          <w:rFonts w:cstheme="minorHAnsi"/>
        </w:rPr>
        <w:t>e</w:t>
      </w:r>
      <w:r w:rsidRPr="00B014BC">
        <w:rPr>
          <w:rFonts w:cstheme="minorHAnsi"/>
        </w:rPr>
        <w:t xml:space="preserve"> </w:t>
      </w:r>
      <w:r w:rsidR="00D0533A" w:rsidRPr="00B014BC">
        <w:rPr>
          <w:rFonts w:cstheme="minorHAnsi"/>
        </w:rPr>
        <w:t>najmä</w:t>
      </w:r>
      <w:r w:rsidRPr="00B014BC">
        <w:rPr>
          <w:rFonts w:cstheme="minorHAnsi"/>
        </w:rPr>
        <w:t>:</w:t>
      </w:r>
    </w:p>
    <w:p w14:paraId="65D37297" w14:textId="77777777" w:rsidR="00EC40C9" w:rsidRPr="00B014BC" w:rsidRDefault="00EC40C9" w:rsidP="004518BB">
      <w:pPr>
        <w:numPr>
          <w:ilvl w:val="0"/>
          <w:numId w:val="20"/>
        </w:numPr>
        <w:spacing w:after="0" w:line="240" w:lineRule="auto"/>
        <w:rPr>
          <w:rFonts w:cstheme="minorHAnsi"/>
        </w:rPr>
      </w:pPr>
      <w:r w:rsidRPr="00B014BC">
        <w:rPr>
          <w:rFonts w:cstheme="minorHAnsi"/>
        </w:rPr>
        <w:t>aktívnou podporou obchodnej stratégie spoločnosti,</w:t>
      </w:r>
    </w:p>
    <w:p w14:paraId="7BDFF6E6" w14:textId="77777777" w:rsidR="00EC40C9" w:rsidRPr="00B014BC" w:rsidRDefault="00EC40C9" w:rsidP="004518BB">
      <w:pPr>
        <w:numPr>
          <w:ilvl w:val="0"/>
          <w:numId w:val="20"/>
        </w:numPr>
        <w:spacing w:after="0" w:line="240" w:lineRule="auto"/>
        <w:rPr>
          <w:rFonts w:cstheme="minorHAnsi"/>
        </w:rPr>
      </w:pPr>
      <w:r w:rsidRPr="00B014BC">
        <w:rPr>
          <w:rFonts w:cstheme="minorHAnsi"/>
        </w:rPr>
        <w:t xml:space="preserve">tvorbou prostredia, ktoré </w:t>
      </w:r>
      <w:r w:rsidR="00D0533A" w:rsidRPr="00B014BC">
        <w:rPr>
          <w:rFonts w:cstheme="minorHAnsi"/>
        </w:rPr>
        <w:t>umožňuje podporu</w:t>
      </w:r>
      <w:r w:rsidRPr="00B014BC">
        <w:rPr>
          <w:rFonts w:cstheme="minorHAnsi"/>
        </w:rPr>
        <w:t xml:space="preserve"> manažéro</w:t>
      </w:r>
      <w:r w:rsidR="00D0533A" w:rsidRPr="00B014BC">
        <w:rPr>
          <w:rFonts w:cstheme="minorHAnsi"/>
        </w:rPr>
        <w:t>v pri</w:t>
      </w:r>
      <w:r w:rsidRPr="00B014BC">
        <w:rPr>
          <w:rFonts w:cstheme="minorHAnsi"/>
        </w:rPr>
        <w:t xml:space="preserve"> získava</w:t>
      </w:r>
      <w:r w:rsidR="00D0533A" w:rsidRPr="00B014BC">
        <w:rPr>
          <w:rFonts w:cstheme="minorHAnsi"/>
        </w:rPr>
        <w:t>ní</w:t>
      </w:r>
      <w:r w:rsidRPr="00B014BC">
        <w:rPr>
          <w:rFonts w:cstheme="minorHAnsi"/>
        </w:rPr>
        <w:t>, rozvíja</w:t>
      </w:r>
      <w:r w:rsidR="00D0533A" w:rsidRPr="00B014BC">
        <w:rPr>
          <w:rFonts w:cstheme="minorHAnsi"/>
        </w:rPr>
        <w:t>ní</w:t>
      </w:r>
      <w:r w:rsidRPr="00B014BC">
        <w:rPr>
          <w:rFonts w:cstheme="minorHAnsi"/>
        </w:rPr>
        <w:t xml:space="preserve"> a motiv</w:t>
      </w:r>
      <w:r w:rsidR="00D0533A" w:rsidRPr="00B014BC">
        <w:rPr>
          <w:rFonts w:cstheme="minorHAnsi"/>
        </w:rPr>
        <w:t>ácii</w:t>
      </w:r>
      <w:r w:rsidRPr="00B014BC">
        <w:rPr>
          <w:rFonts w:cstheme="minorHAnsi"/>
        </w:rPr>
        <w:t xml:space="preserve"> zamestnancov na plnenie firemných cieľov,</w:t>
      </w:r>
    </w:p>
    <w:p w14:paraId="5A0FD2E9" w14:textId="77777777" w:rsidR="00EC40C9" w:rsidRPr="00B014BC" w:rsidRDefault="00EC40C9" w:rsidP="004518BB">
      <w:pPr>
        <w:numPr>
          <w:ilvl w:val="0"/>
          <w:numId w:val="20"/>
        </w:numPr>
        <w:spacing w:after="0" w:line="240" w:lineRule="auto"/>
        <w:rPr>
          <w:rFonts w:cstheme="minorHAnsi"/>
        </w:rPr>
      </w:pPr>
      <w:r w:rsidRPr="00B014BC">
        <w:rPr>
          <w:rFonts w:cstheme="minorHAnsi"/>
        </w:rPr>
        <w:t xml:space="preserve">otvorenou komunikáciou so zamestnancami. </w:t>
      </w:r>
    </w:p>
    <w:p w14:paraId="2C1B0A24" w14:textId="77777777" w:rsidR="00EC40C9" w:rsidRPr="00B014BC" w:rsidRDefault="00EC40C9" w:rsidP="004518BB">
      <w:pPr>
        <w:spacing w:after="0" w:line="240" w:lineRule="auto"/>
        <w:rPr>
          <w:rFonts w:cstheme="minorHAnsi"/>
        </w:rPr>
      </w:pPr>
    </w:p>
    <w:p w14:paraId="2460C439" w14:textId="60F3DE52" w:rsidR="00D0533A" w:rsidRPr="00B014BC" w:rsidRDefault="00D0533A" w:rsidP="004518BB">
      <w:pPr>
        <w:spacing w:after="0" w:line="240" w:lineRule="auto"/>
        <w:rPr>
          <w:rFonts w:cstheme="minorHAnsi"/>
        </w:rPr>
      </w:pPr>
      <w:r w:rsidRPr="00B014BC">
        <w:rPr>
          <w:rFonts w:cstheme="minorHAnsi"/>
        </w:rPr>
        <w:t>Spoločnosť pravidelne informuje zamestnancov o hospodárskej a finančnej situácii spoločnosti</w:t>
      </w:r>
      <w:r w:rsidR="00485EDF" w:rsidRPr="00B014BC">
        <w:rPr>
          <w:rFonts w:cstheme="minorHAnsi"/>
        </w:rPr>
        <w:t>. P</w:t>
      </w:r>
      <w:r w:rsidR="00EC40C9" w:rsidRPr="00B014BC">
        <w:rPr>
          <w:rFonts w:cstheme="minorHAnsi"/>
        </w:rPr>
        <w:t xml:space="preserve">ravidelne </w:t>
      </w:r>
      <w:r w:rsidR="00485EDF" w:rsidRPr="00B014BC">
        <w:rPr>
          <w:rFonts w:cstheme="minorHAnsi"/>
        </w:rPr>
        <w:t>organizuje</w:t>
      </w:r>
      <w:r w:rsidR="00EC40C9" w:rsidRPr="00B014BC">
        <w:rPr>
          <w:rFonts w:cstheme="minorHAnsi"/>
        </w:rPr>
        <w:t xml:space="preserve"> stretnutia predstave</w:t>
      </w:r>
      <w:r w:rsidR="00085287" w:rsidRPr="00B014BC">
        <w:rPr>
          <w:rFonts w:cstheme="minorHAnsi"/>
        </w:rPr>
        <w:t xml:space="preserve">nstva so všetkými zamestnancami, a to </w:t>
      </w:r>
      <w:r w:rsidR="00EC40C9" w:rsidRPr="00B014BC">
        <w:rPr>
          <w:rFonts w:cstheme="minorHAnsi"/>
        </w:rPr>
        <w:t xml:space="preserve">viackrát v priebehu roka. </w:t>
      </w:r>
    </w:p>
    <w:p w14:paraId="2F547A93" w14:textId="4E342F13" w:rsidR="00EC40C9" w:rsidRPr="00B014BC" w:rsidRDefault="00EC40C9" w:rsidP="004518BB">
      <w:pPr>
        <w:spacing w:after="0" w:line="240" w:lineRule="auto"/>
        <w:rPr>
          <w:rFonts w:cstheme="minorHAnsi"/>
        </w:rPr>
      </w:pPr>
      <w:r w:rsidRPr="00B014BC">
        <w:rPr>
          <w:rFonts w:cstheme="minorHAnsi"/>
        </w:rPr>
        <w:t xml:space="preserve">V roku </w:t>
      </w:r>
      <w:r w:rsidR="002353E7" w:rsidRPr="00B014BC">
        <w:rPr>
          <w:rFonts w:cstheme="minorHAnsi"/>
        </w:rPr>
        <w:t>2015</w:t>
      </w:r>
      <w:r w:rsidRPr="00B014BC">
        <w:rPr>
          <w:rFonts w:cstheme="minorHAnsi"/>
        </w:rPr>
        <w:t xml:space="preserve"> sme sa v rámci personálneho </w:t>
      </w:r>
      <w:proofErr w:type="spellStart"/>
      <w:r w:rsidRPr="00B014BC">
        <w:rPr>
          <w:rFonts w:cstheme="minorHAnsi"/>
        </w:rPr>
        <w:t>controllingu</w:t>
      </w:r>
      <w:proofErr w:type="spellEnd"/>
      <w:r w:rsidRPr="00B014BC">
        <w:rPr>
          <w:rFonts w:cstheme="minorHAnsi"/>
        </w:rPr>
        <w:t xml:space="preserve"> zamerali na nadväzovanie na strategické ciele spoločnosti a definovanie prínosov riadenia ľudských zdrojov. Zavedenie personálneho </w:t>
      </w:r>
      <w:proofErr w:type="spellStart"/>
      <w:r w:rsidRPr="00B014BC">
        <w:rPr>
          <w:rFonts w:cstheme="minorHAnsi"/>
        </w:rPr>
        <w:t>controllingu</w:t>
      </w:r>
      <w:proofErr w:type="spellEnd"/>
      <w:r w:rsidRPr="00B014BC">
        <w:rPr>
          <w:rFonts w:cstheme="minorHAnsi"/>
        </w:rPr>
        <w:t xml:space="preserve"> vyplynulo z potreby optimalizácie využívania zdrojov, ako aj optimalizácie nákladov v oblasti riadenia ľudských zdrojov. </w:t>
      </w:r>
    </w:p>
    <w:p w14:paraId="56EF3843" w14:textId="77777777" w:rsidR="00EC40C9" w:rsidRPr="00B014BC" w:rsidRDefault="00EC40C9" w:rsidP="004518BB">
      <w:pPr>
        <w:spacing w:after="0" w:line="240" w:lineRule="auto"/>
        <w:rPr>
          <w:rFonts w:cstheme="minorHAnsi"/>
        </w:rPr>
      </w:pPr>
      <w:r w:rsidRPr="00B014BC">
        <w:rPr>
          <w:rFonts w:cstheme="minorHAnsi"/>
        </w:rPr>
        <w:t xml:space="preserve">Oblasť personálneho </w:t>
      </w:r>
      <w:proofErr w:type="spellStart"/>
      <w:r w:rsidRPr="00B014BC">
        <w:rPr>
          <w:rFonts w:cstheme="minorHAnsi"/>
        </w:rPr>
        <w:t>controllingu</w:t>
      </w:r>
      <w:proofErr w:type="spellEnd"/>
      <w:r w:rsidRPr="00B014BC">
        <w:rPr>
          <w:rFonts w:cstheme="minorHAnsi"/>
        </w:rPr>
        <w:t xml:space="preserve"> sa zameriava na:</w:t>
      </w:r>
    </w:p>
    <w:p w14:paraId="324E3A88" w14:textId="77777777" w:rsidR="00EC40C9" w:rsidRPr="00B014BC" w:rsidRDefault="00EC40C9" w:rsidP="004518BB">
      <w:pPr>
        <w:pStyle w:val="ListParagraph"/>
        <w:numPr>
          <w:ilvl w:val="0"/>
          <w:numId w:val="21"/>
        </w:numPr>
        <w:spacing w:after="0" w:line="240" w:lineRule="auto"/>
        <w:rPr>
          <w:rFonts w:cstheme="minorHAnsi"/>
        </w:rPr>
      </w:pPr>
      <w:r w:rsidRPr="00B014BC">
        <w:rPr>
          <w:rFonts w:cstheme="minorHAnsi"/>
        </w:rPr>
        <w:t>vykonávanie analýz týkajúcich sa počtu a efektivity zamestnancov jednotlivých funkčných oblastí,</w:t>
      </w:r>
    </w:p>
    <w:p w14:paraId="7E284539" w14:textId="7D6A398B" w:rsidR="00EC40C9" w:rsidRPr="00B014BC" w:rsidRDefault="00EC40C9" w:rsidP="00085287">
      <w:pPr>
        <w:pStyle w:val="ListParagraph"/>
        <w:numPr>
          <w:ilvl w:val="0"/>
          <w:numId w:val="21"/>
        </w:numPr>
        <w:spacing w:after="0" w:line="240" w:lineRule="auto"/>
        <w:rPr>
          <w:rFonts w:cstheme="minorHAnsi"/>
        </w:rPr>
      </w:pPr>
      <w:r w:rsidRPr="00B014BC">
        <w:rPr>
          <w:rFonts w:cstheme="minorHAnsi"/>
        </w:rPr>
        <w:t xml:space="preserve">stanovovanie potrieb zamestnancov </w:t>
      </w:r>
      <w:r w:rsidR="00085287" w:rsidRPr="00B014BC">
        <w:rPr>
          <w:rFonts w:cstheme="minorHAnsi"/>
        </w:rPr>
        <w:t>v</w:t>
      </w:r>
      <w:r w:rsidRPr="00B014BC">
        <w:rPr>
          <w:rFonts w:cstheme="minorHAnsi"/>
        </w:rPr>
        <w:t xml:space="preserve"> jednotlivých organizačných zložkách,</w:t>
      </w:r>
    </w:p>
    <w:p w14:paraId="69F4A965" w14:textId="77777777" w:rsidR="00EC40C9" w:rsidRPr="00B014BC" w:rsidRDefault="00EC40C9" w:rsidP="004518BB">
      <w:pPr>
        <w:pStyle w:val="ListParagraph"/>
        <w:numPr>
          <w:ilvl w:val="0"/>
          <w:numId w:val="21"/>
        </w:numPr>
        <w:spacing w:after="0" w:line="240" w:lineRule="auto"/>
        <w:rPr>
          <w:rFonts w:cstheme="minorHAnsi"/>
        </w:rPr>
      </w:pPr>
      <w:r w:rsidRPr="00B014BC">
        <w:rPr>
          <w:rFonts w:cstheme="minorHAnsi"/>
        </w:rPr>
        <w:t>efektívny spôsob získavania nových zamestnancov z hľadiska nákladov na ich získavanie a výber,</w:t>
      </w:r>
    </w:p>
    <w:p w14:paraId="6A13741C" w14:textId="77777777" w:rsidR="00EC40C9" w:rsidRPr="00B014BC" w:rsidRDefault="00EC40C9" w:rsidP="004518BB">
      <w:pPr>
        <w:pStyle w:val="ListParagraph"/>
        <w:numPr>
          <w:ilvl w:val="0"/>
          <w:numId w:val="21"/>
        </w:numPr>
        <w:spacing w:after="0" w:line="240" w:lineRule="auto"/>
        <w:rPr>
          <w:rFonts w:cstheme="minorHAnsi"/>
        </w:rPr>
      </w:pPr>
      <w:r w:rsidRPr="00B014BC">
        <w:rPr>
          <w:rFonts w:cstheme="minorHAnsi"/>
        </w:rPr>
        <w:t>monitorovanie rozvojových a tréningových programov, výsledkov odborných školení a manažovanie rozvoja kariéry,</w:t>
      </w:r>
    </w:p>
    <w:p w14:paraId="075A5002" w14:textId="77777777" w:rsidR="00EC40C9" w:rsidRPr="00B014BC" w:rsidRDefault="00EC40C9" w:rsidP="004518BB">
      <w:pPr>
        <w:pStyle w:val="ListParagraph"/>
        <w:numPr>
          <w:ilvl w:val="0"/>
          <w:numId w:val="21"/>
        </w:numPr>
        <w:spacing w:after="0" w:line="240" w:lineRule="auto"/>
        <w:rPr>
          <w:rFonts w:cstheme="minorHAnsi"/>
        </w:rPr>
      </w:pPr>
      <w:r w:rsidRPr="00B014BC">
        <w:rPr>
          <w:rFonts w:cstheme="minorHAnsi"/>
        </w:rPr>
        <w:t>obsadzovanie pracovných miest z</w:t>
      </w:r>
      <w:r w:rsidR="001778A0" w:rsidRPr="00B014BC">
        <w:rPr>
          <w:rFonts w:cstheme="minorHAnsi"/>
        </w:rPr>
        <w:t> interných a externých zdrojov</w:t>
      </w:r>
      <w:r w:rsidRPr="00B014BC">
        <w:rPr>
          <w:rFonts w:cstheme="minorHAnsi"/>
        </w:rPr>
        <w:t>,</w:t>
      </w:r>
    </w:p>
    <w:p w14:paraId="2EBC1D8A" w14:textId="77777777" w:rsidR="00EC40C9" w:rsidRPr="00B014BC" w:rsidRDefault="00EC40C9" w:rsidP="004518BB">
      <w:pPr>
        <w:pStyle w:val="ListParagraph"/>
        <w:numPr>
          <w:ilvl w:val="0"/>
          <w:numId w:val="21"/>
        </w:numPr>
        <w:spacing w:after="0" w:line="240" w:lineRule="auto"/>
        <w:rPr>
          <w:rFonts w:cstheme="minorHAnsi"/>
        </w:rPr>
      </w:pPr>
      <w:r w:rsidRPr="00B014BC">
        <w:rPr>
          <w:rFonts w:cstheme="minorHAnsi"/>
        </w:rPr>
        <w:t>zostavovanie rozpočtu personálnych nákladov a sledovanie efektivity vynaložených nákladov,</w:t>
      </w:r>
    </w:p>
    <w:p w14:paraId="01C6158C" w14:textId="77777777" w:rsidR="00EC40C9" w:rsidRPr="00B014BC" w:rsidRDefault="00EC40C9" w:rsidP="004518BB">
      <w:pPr>
        <w:pStyle w:val="ListParagraph"/>
        <w:numPr>
          <w:ilvl w:val="0"/>
          <w:numId w:val="21"/>
        </w:numPr>
        <w:spacing w:after="0" w:line="240" w:lineRule="auto"/>
        <w:rPr>
          <w:rFonts w:cstheme="minorHAnsi"/>
        </w:rPr>
      </w:pPr>
      <w:r w:rsidRPr="00B014BC">
        <w:rPr>
          <w:rFonts w:cstheme="minorHAnsi"/>
        </w:rPr>
        <w:t>efektívne hodnotenie výkonnosti zamestnancov.</w:t>
      </w:r>
    </w:p>
    <w:p w14:paraId="0533934A" w14:textId="77777777" w:rsidR="00FD409B" w:rsidRPr="00B014BC" w:rsidRDefault="00FD409B" w:rsidP="004518BB">
      <w:pPr>
        <w:pStyle w:val="Heading1"/>
        <w:jc w:val="left"/>
        <w:rPr>
          <w:rFonts w:asciiTheme="minorHAnsi" w:eastAsiaTheme="minorHAnsi" w:hAnsiTheme="minorHAnsi" w:cstheme="minorHAnsi"/>
          <w:b w:val="0"/>
          <w:bCs w:val="0"/>
          <w:sz w:val="22"/>
          <w:szCs w:val="22"/>
          <w:lang w:eastAsia="en-US"/>
        </w:rPr>
      </w:pPr>
    </w:p>
    <w:p w14:paraId="426DF0B6" w14:textId="127217BE" w:rsidR="00EC40C9" w:rsidRPr="00B014BC" w:rsidRDefault="002353E7" w:rsidP="004518BB">
      <w:pPr>
        <w:pStyle w:val="Heading1"/>
        <w:jc w:val="left"/>
        <w:rPr>
          <w:rFonts w:asciiTheme="minorHAnsi" w:hAnsiTheme="minorHAnsi" w:cstheme="minorHAnsi"/>
          <w:sz w:val="22"/>
          <w:szCs w:val="22"/>
        </w:rPr>
      </w:pPr>
      <w:r w:rsidRPr="00B014BC">
        <w:rPr>
          <w:rFonts w:asciiTheme="minorHAnsi" w:hAnsiTheme="minorHAnsi" w:cstheme="minorHAnsi"/>
          <w:sz w:val="22"/>
          <w:szCs w:val="22"/>
        </w:rPr>
        <w:t>Stav a vývoj personálneho</w:t>
      </w:r>
      <w:r w:rsidR="00EC40C9" w:rsidRPr="00B014BC">
        <w:rPr>
          <w:rFonts w:asciiTheme="minorHAnsi" w:hAnsiTheme="minorHAnsi" w:cstheme="minorHAnsi"/>
          <w:sz w:val="22"/>
          <w:szCs w:val="22"/>
        </w:rPr>
        <w:t xml:space="preserve"> obsadenia</w:t>
      </w:r>
    </w:p>
    <w:p w14:paraId="7BAC8022" w14:textId="21F7D580" w:rsidR="002353E7" w:rsidRPr="00B014BC" w:rsidRDefault="00A97E1B" w:rsidP="004518BB">
      <w:pPr>
        <w:spacing w:after="0" w:line="240" w:lineRule="auto"/>
        <w:rPr>
          <w:rFonts w:cstheme="minorHAnsi"/>
        </w:rPr>
      </w:pPr>
      <w:r w:rsidRPr="00B014BC">
        <w:rPr>
          <w:rFonts w:cstheme="minorHAnsi"/>
        </w:rPr>
        <w:t>Priemerný</w:t>
      </w:r>
      <w:r w:rsidR="00EC40C9" w:rsidRPr="00B014BC">
        <w:rPr>
          <w:rFonts w:cstheme="minorHAnsi"/>
        </w:rPr>
        <w:t> prepočítaný počet zamestnancov roku 201</w:t>
      </w:r>
      <w:r w:rsidR="002353E7" w:rsidRPr="00B014BC">
        <w:rPr>
          <w:rFonts w:cstheme="minorHAnsi"/>
        </w:rPr>
        <w:t>5</w:t>
      </w:r>
      <w:r w:rsidR="00EC40C9" w:rsidRPr="00B014BC">
        <w:rPr>
          <w:rFonts w:cstheme="minorHAnsi"/>
        </w:rPr>
        <w:t xml:space="preserve"> bol </w:t>
      </w:r>
      <w:r w:rsidR="002353E7" w:rsidRPr="00B014BC">
        <w:rPr>
          <w:rFonts w:cstheme="minorHAnsi"/>
        </w:rPr>
        <w:t>407</w:t>
      </w:r>
      <w:r w:rsidR="00EC40C9" w:rsidRPr="00B014BC">
        <w:rPr>
          <w:rFonts w:cstheme="minorHAnsi"/>
        </w:rPr>
        <w:t xml:space="preserve">. </w:t>
      </w:r>
    </w:p>
    <w:p w14:paraId="16E19DFE" w14:textId="77777777" w:rsidR="002353E7" w:rsidRPr="00B014BC" w:rsidRDefault="002353E7" w:rsidP="004518BB">
      <w:pPr>
        <w:spacing w:after="0" w:line="240" w:lineRule="auto"/>
        <w:rPr>
          <w:rFonts w:cstheme="minorHAnsi"/>
        </w:rPr>
      </w:pPr>
    </w:p>
    <w:p w14:paraId="652D25A0" w14:textId="3B45A958" w:rsidR="002353E7" w:rsidRPr="00B014BC" w:rsidRDefault="002353E7" w:rsidP="004518BB">
      <w:pPr>
        <w:spacing w:after="0" w:line="240" w:lineRule="auto"/>
        <w:outlineLvl w:val="0"/>
        <w:rPr>
          <w:rFonts w:cstheme="minorHAnsi"/>
          <w:i/>
        </w:rPr>
      </w:pPr>
      <w:r w:rsidRPr="00B014BC">
        <w:rPr>
          <w:rFonts w:cstheme="minorHAnsi"/>
          <w:i/>
        </w:rPr>
        <w:t xml:space="preserve">Vývoj počtu zamestnancov </w:t>
      </w:r>
      <w:r w:rsidR="001E16D6" w:rsidRPr="00B014BC">
        <w:rPr>
          <w:rFonts w:cstheme="minorHAnsi"/>
          <w:i/>
        </w:rPr>
        <w:t>2009 - 2015</w:t>
      </w:r>
      <w:r w:rsidRPr="00B014BC">
        <w:rPr>
          <w:rFonts w:cstheme="minorHAnsi"/>
          <w:i/>
        </w:rPr>
        <w:t xml:space="preserve"> </w:t>
      </w:r>
    </w:p>
    <w:p w14:paraId="53B22F56" w14:textId="05FA3FFD" w:rsidR="002353E7" w:rsidRPr="00B014BC" w:rsidRDefault="002353E7" w:rsidP="004518BB">
      <w:pPr>
        <w:spacing w:after="0" w:line="240" w:lineRule="auto"/>
        <w:rPr>
          <w:rFonts w:cstheme="minorHAnsi"/>
          <w:i/>
        </w:rPr>
      </w:pPr>
      <w:r w:rsidRPr="00B014BC">
        <w:rPr>
          <w:rFonts w:cstheme="minorHAnsi"/>
          <w:i/>
        </w:rPr>
        <w:t>(priemerný prepočítaný počet k 31. 12. daného roka)</w:t>
      </w:r>
    </w:p>
    <w:p w14:paraId="75CEC6B6" w14:textId="27F5DC09" w:rsidR="002353E7" w:rsidRPr="00B014BC" w:rsidRDefault="001E16D6" w:rsidP="004518BB">
      <w:pPr>
        <w:spacing w:after="0" w:line="240" w:lineRule="auto"/>
        <w:rPr>
          <w:rFonts w:cstheme="minorHAnsi"/>
          <w:i/>
        </w:rPr>
      </w:pPr>
      <w:r w:rsidRPr="00B014BC">
        <w:rPr>
          <w:noProof/>
          <w:lang w:val="en-US"/>
        </w:rPr>
        <w:drawing>
          <wp:inline distT="0" distB="0" distL="0" distR="0" wp14:anchorId="1E070CE7" wp14:editId="577464E8">
            <wp:extent cx="5668645" cy="1581573"/>
            <wp:effectExtent l="0" t="0" r="20955" b="1905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EB84BD7" w14:textId="154AC335" w:rsidR="00EC40C9" w:rsidRPr="00B014BC" w:rsidRDefault="00681148" w:rsidP="004518BB">
      <w:pPr>
        <w:spacing w:after="0" w:line="240" w:lineRule="auto"/>
        <w:rPr>
          <w:rFonts w:cstheme="minorHAnsi"/>
        </w:rPr>
      </w:pPr>
      <w:r w:rsidRPr="00B014BC">
        <w:rPr>
          <w:rFonts w:cstheme="minorHAnsi"/>
        </w:rPr>
        <w:lastRenderedPageBreak/>
        <w:t>K 31. 12. 201</w:t>
      </w:r>
      <w:r w:rsidR="001E16D6" w:rsidRPr="00B014BC">
        <w:rPr>
          <w:rFonts w:cstheme="minorHAnsi"/>
        </w:rPr>
        <w:t>5</w:t>
      </w:r>
      <w:r w:rsidRPr="00B014BC">
        <w:rPr>
          <w:rFonts w:cstheme="minorHAnsi"/>
        </w:rPr>
        <w:t xml:space="preserve"> v spoločnosti pracovalo celkom </w:t>
      </w:r>
      <w:r w:rsidR="001E16D6" w:rsidRPr="00B014BC">
        <w:rPr>
          <w:rFonts w:cstheme="minorHAnsi"/>
        </w:rPr>
        <w:t>44</w:t>
      </w:r>
      <w:r w:rsidR="001778A0" w:rsidRPr="00B014BC">
        <w:rPr>
          <w:rFonts w:cstheme="minorHAnsi"/>
        </w:rPr>
        <w:t>3</w:t>
      </w:r>
      <w:r w:rsidRPr="00B014BC">
        <w:rPr>
          <w:rFonts w:cstheme="minorHAnsi"/>
        </w:rPr>
        <w:t xml:space="preserve"> zamestnancov, z toho </w:t>
      </w:r>
      <w:r w:rsidR="001E16D6" w:rsidRPr="00B014BC">
        <w:rPr>
          <w:rFonts w:cstheme="minorHAnsi"/>
        </w:rPr>
        <w:t>225</w:t>
      </w:r>
      <w:r w:rsidR="00485EDF" w:rsidRPr="00B014BC">
        <w:rPr>
          <w:rFonts w:cstheme="minorHAnsi"/>
        </w:rPr>
        <w:t xml:space="preserve"> obchodníkov a</w:t>
      </w:r>
      <w:r w:rsidRPr="00B014BC">
        <w:rPr>
          <w:rFonts w:cstheme="minorHAnsi"/>
        </w:rPr>
        <w:t xml:space="preserve"> </w:t>
      </w:r>
      <w:r w:rsidR="001E16D6" w:rsidRPr="00B014BC">
        <w:rPr>
          <w:rFonts w:cstheme="minorHAnsi"/>
        </w:rPr>
        <w:t>26</w:t>
      </w:r>
      <w:r w:rsidRPr="00B014BC">
        <w:rPr>
          <w:rFonts w:cstheme="minorHAnsi"/>
        </w:rPr>
        <w:t xml:space="preserve"> zamestnancov pre vybrané </w:t>
      </w:r>
      <w:proofErr w:type="spellStart"/>
      <w:r w:rsidRPr="00B014BC">
        <w:rPr>
          <w:rFonts w:cstheme="minorHAnsi"/>
        </w:rPr>
        <w:t>back-office</w:t>
      </w:r>
      <w:proofErr w:type="spellEnd"/>
      <w:r w:rsidRPr="00B014BC">
        <w:rPr>
          <w:rFonts w:cstheme="minorHAnsi"/>
        </w:rPr>
        <w:t xml:space="preserve"> činnosti na čiastočný pracovný úväzok.</w:t>
      </w:r>
    </w:p>
    <w:p w14:paraId="4F4222CA" w14:textId="65995277" w:rsidR="00D301DB" w:rsidRPr="00B014BC" w:rsidRDefault="00D301DB" w:rsidP="004518BB">
      <w:pPr>
        <w:spacing w:after="0" w:line="240" w:lineRule="auto"/>
        <w:rPr>
          <w:rFonts w:cstheme="minorHAnsi"/>
        </w:rPr>
      </w:pPr>
      <w:r w:rsidRPr="00B014BC">
        <w:rPr>
          <w:rFonts w:cstheme="minorHAnsi"/>
        </w:rPr>
        <w:t>Z celkovéh</w:t>
      </w:r>
      <w:r w:rsidR="00373E7A" w:rsidRPr="00B014BC">
        <w:rPr>
          <w:rFonts w:cstheme="minorHAnsi"/>
        </w:rPr>
        <w:t>o počtu zamestnancov v roku 201</w:t>
      </w:r>
      <w:r w:rsidR="001E16D6" w:rsidRPr="00B014BC">
        <w:rPr>
          <w:rFonts w:cstheme="minorHAnsi"/>
        </w:rPr>
        <w:t xml:space="preserve">5 </w:t>
      </w:r>
      <w:r w:rsidRPr="00B014BC">
        <w:rPr>
          <w:rFonts w:cstheme="minorHAnsi"/>
        </w:rPr>
        <w:t>pôsobilo 26</w:t>
      </w:r>
      <w:r w:rsidRPr="00B014BC">
        <w:rPr>
          <w:rFonts w:cstheme="minorHAnsi"/>
          <w:color w:val="FF0000"/>
        </w:rPr>
        <w:t xml:space="preserve"> </w:t>
      </w:r>
      <w:r w:rsidRPr="00B014BC">
        <w:rPr>
          <w:rFonts w:cstheme="minorHAnsi"/>
        </w:rPr>
        <w:t>zamestnancov na manažérskych pozíciách</w:t>
      </w:r>
      <w:r w:rsidR="001E16D6" w:rsidRPr="00B014BC">
        <w:rPr>
          <w:rFonts w:cstheme="minorHAnsi"/>
        </w:rPr>
        <w:t xml:space="preserve"> (riaditeľ, resp. člen predstavenstva)</w:t>
      </w:r>
      <w:r w:rsidRPr="00B014BC">
        <w:rPr>
          <w:rFonts w:cstheme="minorHAnsi"/>
        </w:rPr>
        <w:t>, z tohto počtu pôsobilo v manažmente 9</w:t>
      </w:r>
      <w:r w:rsidRPr="00B014BC">
        <w:rPr>
          <w:rFonts w:cstheme="minorHAnsi"/>
          <w:b/>
        </w:rPr>
        <w:t xml:space="preserve"> </w:t>
      </w:r>
      <w:r w:rsidRPr="00B014BC">
        <w:rPr>
          <w:rFonts w:cstheme="minorHAnsi"/>
        </w:rPr>
        <w:t xml:space="preserve">žien, čo tvorí </w:t>
      </w:r>
      <w:r w:rsidR="00373E7A" w:rsidRPr="00B014BC">
        <w:rPr>
          <w:rFonts w:cstheme="minorHAnsi"/>
        </w:rPr>
        <w:t xml:space="preserve">ich </w:t>
      </w:r>
      <w:r w:rsidRPr="00B014BC">
        <w:rPr>
          <w:rFonts w:cstheme="minorHAnsi"/>
        </w:rPr>
        <w:t>35 %-</w:t>
      </w:r>
      <w:proofErr w:type="spellStart"/>
      <w:r w:rsidRPr="00B014BC">
        <w:rPr>
          <w:rFonts w:cstheme="minorHAnsi"/>
        </w:rPr>
        <w:t>né</w:t>
      </w:r>
      <w:proofErr w:type="spellEnd"/>
      <w:r w:rsidRPr="00B014BC">
        <w:rPr>
          <w:rFonts w:cstheme="minorHAnsi"/>
        </w:rPr>
        <w:t xml:space="preserve"> zastúpenie. Tento pomer vyjadruje rovnoprávne, plnohodnotné postavenie žien na manažérskych pozíciách. </w:t>
      </w:r>
    </w:p>
    <w:p w14:paraId="11BB0C77" w14:textId="77777777" w:rsidR="00981D2E" w:rsidRPr="00B014BC" w:rsidRDefault="00981D2E" w:rsidP="004518BB">
      <w:pPr>
        <w:spacing w:after="0" w:line="240" w:lineRule="auto"/>
        <w:outlineLvl w:val="0"/>
        <w:rPr>
          <w:rFonts w:cstheme="minorHAnsi"/>
          <w:b/>
        </w:rPr>
      </w:pPr>
    </w:p>
    <w:p w14:paraId="4FD9ED8C" w14:textId="52D1F434" w:rsidR="00EC40C9" w:rsidRPr="00B014BC" w:rsidRDefault="001E16D6" w:rsidP="004518BB">
      <w:pPr>
        <w:spacing w:after="0" w:line="240" w:lineRule="auto"/>
        <w:outlineLvl w:val="0"/>
        <w:rPr>
          <w:rFonts w:cstheme="minorHAnsi"/>
          <w:b/>
        </w:rPr>
      </w:pPr>
      <w:r w:rsidRPr="00B014BC">
        <w:rPr>
          <w:noProof/>
          <w:lang w:val="en-US"/>
        </w:rPr>
        <w:drawing>
          <wp:inline distT="0" distB="0" distL="0" distR="0" wp14:anchorId="5B9261C1" wp14:editId="35A7A1C8">
            <wp:extent cx="6011545" cy="2140373"/>
            <wp:effectExtent l="0" t="0" r="8255" b="19050"/>
            <wp:docPr id="6"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67AF62A" w14:textId="5712E87A" w:rsidR="000B6906" w:rsidRPr="00B014BC" w:rsidRDefault="000B6906" w:rsidP="004518BB">
      <w:pPr>
        <w:spacing w:after="0" w:line="240" w:lineRule="auto"/>
        <w:outlineLvl w:val="0"/>
        <w:rPr>
          <w:rFonts w:cstheme="minorHAnsi"/>
          <w:i/>
        </w:rPr>
      </w:pPr>
      <w:r w:rsidRPr="00B014BC">
        <w:rPr>
          <w:rFonts w:cstheme="minorHAnsi"/>
          <w:i/>
        </w:rPr>
        <w:t>Veková štruk</w:t>
      </w:r>
      <w:r w:rsidR="001E16D6" w:rsidRPr="00B014BC">
        <w:rPr>
          <w:rFonts w:cstheme="minorHAnsi"/>
          <w:i/>
        </w:rPr>
        <w:t>túra zamestnancov k 31. 12. 2015</w:t>
      </w:r>
    </w:p>
    <w:p w14:paraId="66428F15" w14:textId="77777777" w:rsidR="00EC40C9" w:rsidRPr="00B014BC" w:rsidRDefault="00EC40C9" w:rsidP="004518BB">
      <w:pPr>
        <w:spacing w:after="0" w:line="240" w:lineRule="auto"/>
        <w:rPr>
          <w:rFonts w:cstheme="minorHAnsi"/>
          <w:i/>
        </w:rPr>
      </w:pPr>
    </w:p>
    <w:p w14:paraId="22781324" w14:textId="47451F57" w:rsidR="00EC40C9" w:rsidRPr="00B014BC" w:rsidRDefault="001E16D6" w:rsidP="004518BB">
      <w:pPr>
        <w:spacing w:after="0" w:line="240" w:lineRule="auto"/>
        <w:rPr>
          <w:rFonts w:cstheme="minorHAnsi"/>
          <w:b/>
        </w:rPr>
      </w:pPr>
      <w:r w:rsidRPr="00B014BC">
        <w:rPr>
          <w:noProof/>
          <w:lang w:val="en-US"/>
        </w:rPr>
        <w:drawing>
          <wp:inline distT="0" distB="0" distL="0" distR="0" wp14:anchorId="41D03056" wp14:editId="4B4AB0D7">
            <wp:extent cx="5897245" cy="1920240"/>
            <wp:effectExtent l="0" t="0" r="20955" b="1016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382FEE0" w14:textId="7DCB0E07" w:rsidR="00577E04" w:rsidRPr="00B014BC" w:rsidRDefault="000B6906" w:rsidP="004518BB">
      <w:pPr>
        <w:spacing w:after="0" w:line="240" w:lineRule="auto"/>
        <w:rPr>
          <w:rFonts w:cstheme="minorHAnsi"/>
          <w:b/>
        </w:rPr>
      </w:pPr>
      <w:r w:rsidRPr="00B014BC">
        <w:rPr>
          <w:rFonts w:cstheme="minorHAnsi"/>
          <w:i/>
        </w:rPr>
        <w:t>Vzdelanostná štruktúra zamestnancov k 31. 12. 201</w:t>
      </w:r>
      <w:r w:rsidR="001E16D6" w:rsidRPr="00B014BC">
        <w:rPr>
          <w:rFonts w:cstheme="minorHAnsi"/>
          <w:i/>
        </w:rPr>
        <w:t>5</w:t>
      </w:r>
    </w:p>
    <w:p w14:paraId="0378DD6D" w14:textId="77777777" w:rsidR="000B6906" w:rsidRPr="00B014BC" w:rsidRDefault="000B6906" w:rsidP="004518BB">
      <w:pPr>
        <w:spacing w:after="0" w:line="240" w:lineRule="auto"/>
        <w:rPr>
          <w:rFonts w:cstheme="minorHAnsi"/>
          <w:b/>
        </w:rPr>
      </w:pPr>
    </w:p>
    <w:p w14:paraId="4ED3506D" w14:textId="77777777" w:rsidR="00EC40C9" w:rsidRPr="00B014BC" w:rsidRDefault="00EC40C9" w:rsidP="004518BB">
      <w:pPr>
        <w:spacing w:after="0" w:line="240" w:lineRule="auto"/>
        <w:rPr>
          <w:rFonts w:cstheme="minorHAnsi"/>
          <w:b/>
        </w:rPr>
      </w:pPr>
      <w:r w:rsidRPr="00B014BC">
        <w:rPr>
          <w:rFonts w:cstheme="minorHAnsi"/>
          <w:b/>
        </w:rPr>
        <w:t>Zamestnanecké  benefity</w:t>
      </w:r>
    </w:p>
    <w:p w14:paraId="1BC1376C" w14:textId="77777777" w:rsidR="00EC40C9" w:rsidRPr="00B014BC" w:rsidRDefault="00EC40C9" w:rsidP="004518BB">
      <w:pPr>
        <w:spacing w:after="0" w:line="240" w:lineRule="auto"/>
        <w:rPr>
          <w:rFonts w:cstheme="minorHAnsi"/>
        </w:rPr>
      </w:pPr>
      <w:r w:rsidRPr="00B014BC">
        <w:rPr>
          <w:rFonts w:cstheme="minorHAnsi"/>
        </w:rPr>
        <w:t xml:space="preserve">Poskytovanie zamestnaneckých benefitov je jednou zo zložiek motivácie zamestnancov. KOMUNÁLNA poisťovňa každoročne tvorí sociálny fond nad rámec stanovený zákonnými povinnosťami.  </w:t>
      </w:r>
    </w:p>
    <w:p w14:paraId="5E77EB32" w14:textId="32C2E968" w:rsidR="00EC40C9" w:rsidRPr="00B014BC" w:rsidRDefault="00EC40C9" w:rsidP="004518BB">
      <w:pPr>
        <w:spacing w:after="0" w:line="240" w:lineRule="auto"/>
        <w:rPr>
          <w:rFonts w:cstheme="minorHAnsi"/>
        </w:rPr>
      </w:pPr>
      <w:r w:rsidRPr="00B014BC">
        <w:rPr>
          <w:rFonts w:cstheme="minorHAnsi"/>
        </w:rPr>
        <w:t>V roku 201</w:t>
      </w:r>
      <w:r w:rsidR="001E16D6" w:rsidRPr="00B014BC">
        <w:rPr>
          <w:rFonts w:cstheme="minorHAnsi"/>
        </w:rPr>
        <w:t>5</w:t>
      </w:r>
      <w:r w:rsidRPr="00B014BC">
        <w:rPr>
          <w:rFonts w:cstheme="minorHAnsi"/>
        </w:rPr>
        <w:t xml:space="preserve"> boli prostriedky zo sociálneho fondu využité na podporu formou príspevku na stravovanie</w:t>
      </w:r>
      <w:r w:rsidR="004B3DC5" w:rsidRPr="00B014BC">
        <w:rPr>
          <w:rFonts w:cstheme="minorHAnsi"/>
        </w:rPr>
        <w:t xml:space="preserve"> a poskytovanie finančných odmien pri životných jubileách zamestnancov</w:t>
      </w:r>
      <w:r w:rsidRPr="00B014BC">
        <w:rPr>
          <w:rFonts w:cstheme="minorHAnsi"/>
        </w:rPr>
        <w:t>.</w:t>
      </w:r>
    </w:p>
    <w:p w14:paraId="3986C983" w14:textId="77777777" w:rsidR="00EC40C9" w:rsidRPr="00B014BC" w:rsidRDefault="00EC40C9" w:rsidP="004518BB">
      <w:pPr>
        <w:spacing w:after="0" w:line="240" w:lineRule="auto"/>
        <w:rPr>
          <w:rFonts w:cstheme="minorHAnsi"/>
        </w:rPr>
      </w:pPr>
      <w:r w:rsidRPr="00B014BC">
        <w:rPr>
          <w:rFonts w:cstheme="minorHAnsi"/>
        </w:rPr>
        <w:t xml:space="preserve">KOMUNÁLNA poisťovňa  poskytuje  možnosť využitia ďalších foriem zamestnaneckých výhod vo forme finančných, aj nefinančných benefitov:  </w:t>
      </w:r>
    </w:p>
    <w:p w14:paraId="02ED7318" w14:textId="6412DD94" w:rsidR="00EC40C9" w:rsidRPr="00B014BC" w:rsidRDefault="00373E7A" w:rsidP="004518BB">
      <w:pPr>
        <w:pStyle w:val="ListParagraph"/>
        <w:numPr>
          <w:ilvl w:val="0"/>
          <w:numId w:val="22"/>
        </w:numPr>
        <w:spacing w:after="0" w:line="240" w:lineRule="auto"/>
        <w:rPr>
          <w:rFonts w:cstheme="minorHAnsi"/>
        </w:rPr>
      </w:pPr>
      <w:r w:rsidRPr="00B014BC">
        <w:rPr>
          <w:rFonts w:cstheme="minorHAnsi"/>
        </w:rPr>
        <w:t>d</w:t>
      </w:r>
      <w:r w:rsidR="00EC40C9" w:rsidRPr="00B014BC">
        <w:rPr>
          <w:rFonts w:cstheme="minorHAnsi"/>
        </w:rPr>
        <w:t>oplnkové dôchodkové sporenie</w:t>
      </w:r>
    </w:p>
    <w:p w14:paraId="453BF8B5" w14:textId="10107741" w:rsidR="00EC40C9" w:rsidRPr="00B014BC" w:rsidRDefault="00373E7A" w:rsidP="004518BB">
      <w:pPr>
        <w:pStyle w:val="ListParagraph"/>
        <w:numPr>
          <w:ilvl w:val="0"/>
          <w:numId w:val="22"/>
        </w:numPr>
        <w:spacing w:after="0" w:line="240" w:lineRule="auto"/>
        <w:rPr>
          <w:rFonts w:cstheme="minorHAnsi"/>
        </w:rPr>
      </w:pPr>
      <w:r w:rsidRPr="00B014BC">
        <w:rPr>
          <w:rFonts w:cstheme="minorHAnsi"/>
        </w:rPr>
        <w:t>p</w:t>
      </w:r>
      <w:r w:rsidR="00EC40C9" w:rsidRPr="00B014BC">
        <w:rPr>
          <w:rFonts w:cstheme="minorHAnsi"/>
        </w:rPr>
        <w:t>latené voľno vybraným skupinám zamestnancov nad povinný nárok</w:t>
      </w:r>
    </w:p>
    <w:p w14:paraId="28C100A9" w14:textId="5788E036" w:rsidR="00EC40C9" w:rsidRPr="00B014BC" w:rsidRDefault="00373E7A" w:rsidP="004518BB">
      <w:pPr>
        <w:pStyle w:val="ListParagraph"/>
        <w:numPr>
          <w:ilvl w:val="0"/>
          <w:numId w:val="22"/>
        </w:numPr>
        <w:spacing w:after="0" w:line="240" w:lineRule="auto"/>
        <w:rPr>
          <w:rFonts w:cstheme="minorHAnsi"/>
        </w:rPr>
      </w:pPr>
      <w:r w:rsidRPr="00B014BC">
        <w:rPr>
          <w:rFonts w:cstheme="minorHAnsi"/>
        </w:rPr>
        <w:t>p</w:t>
      </w:r>
      <w:r w:rsidR="00EC40C9" w:rsidRPr="00B014BC">
        <w:rPr>
          <w:rFonts w:cstheme="minorHAnsi"/>
        </w:rPr>
        <w:t>odpora pri krátkodobej práceneschopnosti a odchode do dôchodku</w:t>
      </w:r>
    </w:p>
    <w:p w14:paraId="1DA719EE" w14:textId="77777777" w:rsidR="00EC40C9" w:rsidRPr="00B014BC" w:rsidRDefault="00EC40C9" w:rsidP="004518BB">
      <w:pPr>
        <w:spacing w:after="0" w:line="240" w:lineRule="auto"/>
        <w:rPr>
          <w:rFonts w:cstheme="minorHAnsi"/>
        </w:rPr>
      </w:pPr>
      <w:r w:rsidRPr="00B014BC">
        <w:rPr>
          <w:rFonts w:cstheme="minorHAnsi"/>
        </w:rPr>
        <w:t xml:space="preserve">Realizáciou jednotlivých druhov zamestnaneckých benefitov prispieva spoločnosť k  zlepšovaniu </w:t>
      </w:r>
      <w:proofErr w:type="spellStart"/>
      <w:r w:rsidRPr="00B014BC">
        <w:rPr>
          <w:rFonts w:cstheme="minorHAnsi"/>
        </w:rPr>
        <w:t>vnútrofiremnej</w:t>
      </w:r>
      <w:proofErr w:type="spellEnd"/>
      <w:r w:rsidRPr="00B014BC">
        <w:rPr>
          <w:rFonts w:cstheme="minorHAnsi"/>
        </w:rPr>
        <w:t xml:space="preserve"> komunikácie, podpore lojality zamestnancov a k rozvíjaniu produktívnych vzťahov v pracovnom procese. </w:t>
      </w:r>
    </w:p>
    <w:p w14:paraId="149D8F70" w14:textId="77777777" w:rsidR="003E1675" w:rsidRPr="00B014BC" w:rsidRDefault="003E1675" w:rsidP="004518BB">
      <w:pPr>
        <w:spacing w:after="0" w:line="240" w:lineRule="auto"/>
        <w:rPr>
          <w:rFonts w:cstheme="minorHAnsi"/>
        </w:rPr>
      </w:pPr>
    </w:p>
    <w:p w14:paraId="0B6EF536" w14:textId="77777777" w:rsidR="00442A8A" w:rsidRPr="00B014BC" w:rsidRDefault="00442A8A" w:rsidP="004518BB">
      <w:pPr>
        <w:spacing w:after="0" w:line="240" w:lineRule="auto"/>
        <w:rPr>
          <w:rFonts w:cstheme="minorHAnsi"/>
        </w:rPr>
      </w:pPr>
    </w:p>
    <w:p w14:paraId="2E9A85BF"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lastRenderedPageBreak/>
        <w:t>5.7 Marketingová komunikácia</w:t>
      </w:r>
    </w:p>
    <w:p w14:paraId="7909B265" w14:textId="77777777" w:rsidR="003271A4" w:rsidRPr="00B014BC" w:rsidRDefault="003271A4" w:rsidP="004518BB">
      <w:pPr>
        <w:spacing w:after="0" w:line="240" w:lineRule="auto"/>
        <w:rPr>
          <w:rFonts w:cstheme="minorHAnsi"/>
          <w:b/>
        </w:rPr>
      </w:pPr>
    </w:p>
    <w:p w14:paraId="06FAD71E" w14:textId="376A9D83" w:rsidR="009517C0" w:rsidRPr="00B014BC" w:rsidRDefault="009517C0" w:rsidP="005E7D20">
      <w:pPr>
        <w:spacing w:after="0" w:line="240" w:lineRule="auto"/>
        <w:rPr>
          <w:rFonts w:ascii="Calibri" w:hAnsi="Calibri" w:cstheme="minorHAnsi"/>
        </w:rPr>
      </w:pPr>
      <w:r w:rsidRPr="00B014BC">
        <w:rPr>
          <w:rFonts w:cstheme="minorHAnsi"/>
        </w:rPr>
        <w:t>Rok 2015 nadviazal na viaceré rozpracované marketingové projekty. Jedným z nich bola už tradičná jesenná reklamná kampaň. Tentokrát sme zopakovali úspešný komunikačný koncept z roku 2014, ktorý sme pripravili v</w:t>
      </w:r>
      <w:r w:rsidRPr="00B014BC">
        <w:t xml:space="preserve"> spolupráci s reklamnou agentúrou MUW </w:t>
      </w:r>
      <w:proofErr w:type="spellStart"/>
      <w:r w:rsidRPr="00B014BC">
        <w:t>Saatchi&amp;Saatchi</w:t>
      </w:r>
      <w:proofErr w:type="spellEnd"/>
      <w:r w:rsidRPr="00B014BC">
        <w:t xml:space="preserve">. Išlo o zábavný TV spot našej poisťovne, ktorý zachytáva </w:t>
      </w:r>
      <w:r w:rsidR="005E7D20" w:rsidRPr="00B014BC">
        <w:t>bežnú</w:t>
      </w:r>
      <w:r w:rsidRPr="00B014BC">
        <w:t xml:space="preserve"> situáciu v slovenských uliciach, len do úst </w:t>
      </w:r>
      <w:r w:rsidR="005E7D20" w:rsidRPr="00B014BC">
        <w:t xml:space="preserve">aktérov </w:t>
      </w:r>
      <w:r w:rsidRPr="00B014BC">
        <w:t xml:space="preserve">by realita vložila celkom iné vety. </w:t>
      </w:r>
      <w:r w:rsidRPr="00B014BC">
        <w:rPr>
          <w:rFonts w:cstheme="minorHAnsi"/>
        </w:rPr>
        <w:t xml:space="preserve">Stavili sme na druhý najsilnejšie zastúpený segment v našom portfóliu, </w:t>
      </w:r>
      <w:r w:rsidRPr="00B014BC">
        <w:rPr>
          <w:rFonts w:ascii="Calibri" w:hAnsi="Calibri" w:cstheme="minorHAnsi"/>
        </w:rPr>
        <w:t xml:space="preserve">a to poistenie motorových vozidiel. Zámerom bolo posilniť vedomie o výhodnom produkte k havarijnému poisteniu, ale tiež sa pripomenúť aj povinným zmluvným poistením, ktoré predovšetkým v mesiaci november intenzívne rezonovalo v médiách.    </w:t>
      </w:r>
    </w:p>
    <w:p w14:paraId="601B4821" w14:textId="1F3F49D8" w:rsidR="009517C0" w:rsidRPr="00B014BC" w:rsidRDefault="008D6C37" w:rsidP="004518BB">
      <w:pPr>
        <w:pStyle w:val="NormalWeb"/>
        <w:spacing w:before="0" w:beforeAutospacing="0" w:after="0" w:afterAutospacing="0"/>
        <w:rPr>
          <w:rFonts w:ascii="Calibri" w:hAnsi="Calibri" w:cstheme="minorHAnsi"/>
          <w:sz w:val="22"/>
          <w:szCs w:val="22"/>
        </w:rPr>
      </w:pPr>
      <w:r w:rsidRPr="00B014BC">
        <w:rPr>
          <w:rFonts w:ascii="Calibri" w:hAnsi="Calibri" w:cstheme="minorHAnsi"/>
          <w:sz w:val="22"/>
          <w:szCs w:val="22"/>
        </w:rPr>
        <w:t>Počas celého roku sme pokračovali vo vydávaní nášho interného časopisu Kompas. Za uplynulé obdobie sme publikovali tri čísla s odstupom troch mesiacov.</w:t>
      </w:r>
    </w:p>
    <w:p w14:paraId="5A009705" w14:textId="77777777" w:rsidR="008D6C37" w:rsidRPr="00B014BC" w:rsidRDefault="008D6C37" w:rsidP="004518BB">
      <w:pPr>
        <w:pStyle w:val="NormalWeb"/>
        <w:spacing w:before="0" w:beforeAutospacing="0" w:after="0" w:afterAutospacing="0"/>
        <w:rPr>
          <w:rFonts w:ascii="Calibri" w:hAnsi="Calibri"/>
          <w:b/>
          <w:sz w:val="22"/>
          <w:szCs w:val="22"/>
        </w:rPr>
      </w:pPr>
    </w:p>
    <w:p w14:paraId="11AAF69A" w14:textId="77777777" w:rsidR="009517C0" w:rsidRPr="00B014BC" w:rsidRDefault="009517C0" w:rsidP="004518BB">
      <w:pPr>
        <w:spacing w:after="0" w:line="240" w:lineRule="auto"/>
        <w:rPr>
          <w:rFonts w:cstheme="minorHAnsi"/>
          <w:b/>
        </w:rPr>
      </w:pPr>
      <w:r w:rsidRPr="00B014BC">
        <w:rPr>
          <w:rFonts w:cstheme="minorHAnsi"/>
          <w:b/>
        </w:rPr>
        <w:t>Spolupráca so ZMOS</w:t>
      </w:r>
    </w:p>
    <w:p w14:paraId="66C338E6" w14:textId="23BEC227" w:rsidR="009517C0" w:rsidRPr="00B014BC" w:rsidRDefault="009517C0" w:rsidP="004518BB">
      <w:pPr>
        <w:pStyle w:val="NormalWeb"/>
        <w:shd w:val="clear" w:color="auto" w:fill="FFFFFF"/>
        <w:spacing w:before="0" w:beforeAutospacing="0" w:after="0" w:afterAutospacing="0"/>
        <w:rPr>
          <w:rFonts w:ascii="Calibri" w:hAnsi="Calibri" w:cs="Arial"/>
          <w:bCs/>
          <w:sz w:val="22"/>
          <w:szCs w:val="22"/>
        </w:rPr>
      </w:pPr>
      <w:r w:rsidRPr="00B014BC">
        <w:rPr>
          <w:rFonts w:ascii="Calibri" w:hAnsi="Calibri" w:cs="Arial"/>
          <w:sz w:val="22"/>
          <w:szCs w:val="22"/>
        </w:rPr>
        <w:t xml:space="preserve">KOMUNÁLNA poisťovňa je už dlhé roky hrdým partnerom Združenia miest a obcí Slovenska. </w:t>
      </w:r>
      <w:r w:rsidRPr="00B014BC">
        <w:rPr>
          <w:rStyle w:val="Strong"/>
          <w:rFonts w:ascii="Calibri" w:hAnsi="Calibri" w:cs="Arial"/>
          <w:b w:val="0"/>
          <w:sz w:val="22"/>
          <w:szCs w:val="22"/>
        </w:rPr>
        <w:t xml:space="preserve">A práve toto dlhoročné a obojstranne prospešné partnerstvo bolo v roku 2015 ocenené zo strany vedenia ZMOS. Pri príležitosti osláv 25. výročia založenia ZMOS odovzdal jeho </w:t>
      </w:r>
      <w:r w:rsidRPr="00B014BC">
        <w:rPr>
          <w:rFonts w:ascii="Calibri" w:hAnsi="Calibri" w:cs="Arial"/>
          <w:sz w:val="22"/>
          <w:szCs w:val="22"/>
        </w:rPr>
        <w:t xml:space="preserve">predseda Michal Sýkora predsedovi predstavenstva a generálnemu riaditeľovi KOMUNÁLNEJ poisťovne Vladimírovi </w:t>
      </w:r>
      <w:proofErr w:type="spellStart"/>
      <w:r w:rsidRPr="00B014BC">
        <w:rPr>
          <w:rFonts w:ascii="Calibri" w:hAnsi="Calibri" w:cs="Arial"/>
          <w:sz w:val="22"/>
          <w:szCs w:val="22"/>
        </w:rPr>
        <w:t>Bakešovi</w:t>
      </w:r>
      <w:proofErr w:type="spellEnd"/>
      <w:r w:rsidRPr="00B014BC">
        <w:rPr>
          <w:rFonts w:ascii="Calibri" w:hAnsi="Calibri" w:cs="Arial"/>
          <w:sz w:val="22"/>
          <w:szCs w:val="22"/>
        </w:rPr>
        <w:t xml:space="preserve"> ocenenie za dlhoročnú spoluprácu a zároveň spoločne predĺžili zmluvu o strat</w:t>
      </w:r>
      <w:r w:rsidR="005E7D20" w:rsidRPr="00B014BC">
        <w:rPr>
          <w:rFonts w:ascii="Calibri" w:hAnsi="Calibri" w:cs="Arial"/>
          <w:sz w:val="22"/>
          <w:szCs w:val="22"/>
        </w:rPr>
        <w:t>egickom partnerstve na ďalších päť</w:t>
      </w:r>
      <w:r w:rsidRPr="00B014BC">
        <w:rPr>
          <w:rFonts w:ascii="Calibri" w:hAnsi="Calibri" w:cs="Arial"/>
          <w:sz w:val="22"/>
          <w:szCs w:val="22"/>
        </w:rPr>
        <w:t xml:space="preserve"> rokov.</w:t>
      </w:r>
    </w:p>
    <w:p w14:paraId="6A6AD047" w14:textId="7DF94E11" w:rsidR="009517C0" w:rsidRPr="00B014BC" w:rsidRDefault="009517C0" w:rsidP="004518BB">
      <w:pPr>
        <w:spacing w:after="0" w:line="240" w:lineRule="auto"/>
        <w:rPr>
          <w:rFonts w:ascii="Calibri" w:hAnsi="Calibri" w:cs="Arial"/>
        </w:rPr>
      </w:pPr>
      <w:r w:rsidRPr="00B014BC">
        <w:rPr>
          <w:rFonts w:ascii="Calibri" w:hAnsi="Calibri" w:cs="Arial"/>
        </w:rPr>
        <w:t xml:space="preserve">Obe inštitúcie majú na zreteli predovšetkým blaho a prospech slovenských regiónov, čo sa následne pozitívne odrazí na kvalite života samotného občana. </w:t>
      </w:r>
      <w:r w:rsidRPr="00B014BC">
        <w:rPr>
          <w:rFonts w:ascii="Calibri" w:hAnsi="Calibri" w:cstheme="minorHAnsi"/>
          <w:color w:val="222222"/>
        </w:rPr>
        <w:t xml:space="preserve">Aj v roku 2015 sa KOMUNÁLNA poisťovňa významnou mierou angažovala </w:t>
      </w:r>
      <w:r w:rsidR="005E7D20" w:rsidRPr="00B014BC">
        <w:rPr>
          <w:rFonts w:ascii="Calibri" w:hAnsi="Calibri" w:cstheme="minorHAnsi"/>
          <w:color w:val="222222"/>
        </w:rPr>
        <w:t>v podpore</w:t>
      </w:r>
      <w:r w:rsidRPr="00B014BC">
        <w:rPr>
          <w:rFonts w:ascii="Calibri" w:hAnsi="Calibri" w:cstheme="minorHAnsi"/>
          <w:color w:val="222222"/>
        </w:rPr>
        <w:t xml:space="preserve"> kultúrnych</w:t>
      </w:r>
      <w:r w:rsidR="005E7D20" w:rsidRPr="00B014BC">
        <w:rPr>
          <w:rFonts w:ascii="Calibri" w:hAnsi="Calibri" w:cstheme="minorHAnsi"/>
          <w:color w:val="222222"/>
        </w:rPr>
        <w:t>, športových</w:t>
      </w:r>
      <w:r w:rsidRPr="00B014BC">
        <w:rPr>
          <w:rFonts w:ascii="Calibri" w:hAnsi="Calibri" w:cstheme="minorHAnsi"/>
          <w:color w:val="222222"/>
        </w:rPr>
        <w:t xml:space="preserve"> a spoločenský</w:t>
      </w:r>
      <w:r w:rsidR="005E7D20" w:rsidRPr="00B014BC">
        <w:rPr>
          <w:rFonts w:ascii="Calibri" w:hAnsi="Calibri" w:cstheme="minorHAnsi"/>
          <w:color w:val="222222"/>
        </w:rPr>
        <w:t xml:space="preserve">ch aktivít v mestách a obciach, </w:t>
      </w:r>
      <w:r w:rsidRPr="00B014BC">
        <w:rPr>
          <w:rFonts w:ascii="Calibri" w:hAnsi="Calibri" w:cstheme="minorHAnsi"/>
          <w:color w:val="222222"/>
        </w:rPr>
        <w:t>ktoré sa uskutočnili aj vďaka nášmu sponzorskému príspevku</w:t>
      </w:r>
      <w:r w:rsidRPr="00B014BC">
        <w:rPr>
          <w:rFonts w:ascii="Calibri" w:hAnsi="Calibri" w:cstheme="minorHAnsi"/>
        </w:rPr>
        <w:t>. So Združením miest a obci Slovenska sme aj tento rok spolupracovali na projekte</w:t>
      </w:r>
      <w:r w:rsidR="005F7071" w:rsidRPr="00B014BC">
        <w:rPr>
          <w:rFonts w:ascii="Calibri" w:hAnsi="Calibri" w:cstheme="minorHAnsi"/>
        </w:rPr>
        <w:t xml:space="preserve"> uľahčujúcom a skvalitňujúcom</w:t>
      </w:r>
      <w:r w:rsidRPr="00B014BC">
        <w:rPr>
          <w:rFonts w:ascii="Calibri" w:hAnsi="Calibri" w:cstheme="minorHAnsi"/>
        </w:rPr>
        <w:t xml:space="preserve"> život občanom, ktorí sa de</w:t>
      </w:r>
      <w:r w:rsidR="005F7071" w:rsidRPr="00B014BC">
        <w:rPr>
          <w:rFonts w:ascii="Calibri" w:hAnsi="Calibri" w:cstheme="minorHAnsi"/>
        </w:rPr>
        <w:t xml:space="preserve">nne </w:t>
      </w:r>
      <w:proofErr w:type="spellStart"/>
      <w:r w:rsidR="005F7071" w:rsidRPr="00B014BC">
        <w:rPr>
          <w:rFonts w:ascii="Calibri" w:hAnsi="Calibri" w:cstheme="minorHAnsi"/>
        </w:rPr>
        <w:t>potý</w:t>
      </w:r>
      <w:r w:rsidRPr="00B014BC">
        <w:rPr>
          <w:rFonts w:ascii="Calibri" w:hAnsi="Calibri" w:cstheme="minorHAnsi"/>
        </w:rPr>
        <w:t>kajú</w:t>
      </w:r>
      <w:proofErr w:type="spellEnd"/>
      <w:r w:rsidRPr="00B014BC">
        <w:rPr>
          <w:rFonts w:ascii="Calibri" w:hAnsi="Calibri" w:cstheme="minorHAnsi"/>
        </w:rPr>
        <w:t xml:space="preserve"> s nepriazňou osudu. </w:t>
      </w:r>
      <w:r w:rsidRPr="00B014BC">
        <w:rPr>
          <w:rFonts w:ascii="Calibri" w:hAnsi="Calibri" w:cstheme="minorHAnsi"/>
          <w:i/>
        </w:rPr>
        <w:t>Oskar bez bariér</w:t>
      </w:r>
      <w:r w:rsidRPr="00B014BC">
        <w:rPr>
          <w:rFonts w:ascii="Calibri" w:hAnsi="Calibri" w:cstheme="minorHAnsi"/>
        </w:rPr>
        <w:t xml:space="preserve"> účinne rúca zábrany, ktoré znemožňujú hendikepovaným ľuďom viesť plnohodnotný život, aký si zaslúžia a na aký majú nárok. </w:t>
      </w:r>
    </w:p>
    <w:p w14:paraId="1EC5363F" w14:textId="77777777" w:rsidR="009517C0" w:rsidRPr="00B014BC" w:rsidRDefault="009517C0" w:rsidP="004518BB">
      <w:pPr>
        <w:pStyle w:val="NormalWeb"/>
        <w:shd w:val="clear" w:color="auto" w:fill="FFFFFF"/>
        <w:spacing w:before="0" w:beforeAutospacing="0" w:after="0" w:afterAutospacing="0"/>
        <w:rPr>
          <w:rFonts w:ascii="Arial" w:hAnsi="Arial" w:cs="Arial"/>
        </w:rPr>
      </w:pPr>
    </w:p>
    <w:p w14:paraId="0EBECB6F" w14:textId="77777777" w:rsidR="009517C0" w:rsidRPr="00B014BC" w:rsidRDefault="009517C0" w:rsidP="004518BB">
      <w:pPr>
        <w:spacing w:after="0" w:line="240" w:lineRule="auto"/>
        <w:rPr>
          <w:rFonts w:cstheme="minorHAnsi"/>
          <w:b/>
        </w:rPr>
      </w:pPr>
      <w:r w:rsidRPr="00B014BC">
        <w:rPr>
          <w:rFonts w:cstheme="minorHAnsi"/>
          <w:b/>
        </w:rPr>
        <w:t>Spoločenská zodpovednosť</w:t>
      </w:r>
    </w:p>
    <w:p w14:paraId="488F0BCF" w14:textId="77777777" w:rsidR="009517C0" w:rsidRPr="00B014BC" w:rsidRDefault="009517C0" w:rsidP="004518BB">
      <w:pPr>
        <w:spacing w:after="0" w:line="240" w:lineRule="auto"/>
        <w:rPr>
          <w:rFonts w:cstheme="minorHAnsi"/>
        </w:rPr>
      </w:pPr>
      <w:r w:rsidRPr="00B014BC">
        <w:rPr>
          <w:rFonts w:cstheme="minorHAnsi"/>
        </w:rPr>
        <w:t xml:space="preserve">Spoločenská zodpovednosť by mala byť ako nepísané pravidlo prítomná v stanovách každej väčšej spoločnosti. Pre nás zodpovedné podnikanie znamená spôsob, akým dosahujeme zisk, a tiež etický a transparentný prístup vo všetkých pracovných oblastiach, k obchodným partnerom, klientom a zamestnancom. A ak máme možnosť urobiť niečo navyše, tak potom vo vzťahu k budúcej generácii, ktorá tvorí spoločnosť. Rozhodli sme sa pre deti. </w:t>
      </w:r>
    </w:p>
    <w:p w14:paraId="32C4DDAA" w14:textId="77777777" w:rsidR="009517C0" w:rsidRPr="00B014BC" w:rsidRDefault="009517C0" w:rsidP="004518BB">
      <w:pPr>
        <w:spacing w:after="0" w:line="240" w:lineRule="auto"/>
        <w:rPr>
          <w:rFonts w:cs="Times New Roman"/>
        </w:rPr>
      </w:pPr>
      <w:r w:rsidRPr="00B014BC">
        <w:rPr>
          <w:rFonts w:cstheme="minorHAnsi"/>
        </w:rPr>
        <w:t xml:space="preserve">V roku 2015 sme spolu so Združením miest a obcí Slovenska podporili nadačný fond spravovaný Nadáciou pre deti Slovenska s názvom </w:t>
      </w:r>
      <w:r w:rsidRPr="00B014BC">
        <w:rPr>
          <w:rFonts w:cs="Times New Roman"/>
          <w:i/>
        </w:rPr>
        <w:t>Komunita priateľská deťom,</w:t>
      </w:r>
      <w:r w:rsidRPr="00B014BC">
        <w:rPr>
          <w:rFonts w:cs="Times New Roman"/>
        </w:rPr>
        <w:t xml:space="preserve"> pričom cieľom je motivovať mestá a obce, aby systematicky a udržateľne na úrovni svojich politík, stratégií, plánov, financovania a najmä reálnych aktivít vytvárali pre deti a mladých ľudí prostredie, v ktorom sa cítia bezpečne, majú v ňom naplnené svoje potreby a sú rovnocennými a rešpektovanými partnermi dospelých. </w:t>
      </w:r>
    </w:p>
    <w:p w14:paraId="457897F4" w14:textId="3418E0D2" w:rsidR="009517C0" w:rsidRPr="00B014BC" w:rsidRDefault="009517C0" w:rsidP="004518BB">
      <w:pPr>
        <w:spacing w:after="0" w:line="240" w:lineRule="auto"/>
        <w:rPr>
          <w:rFonts w:cs="Times New Roman"/>
        </w:rPr>
      </w:pPr>
      <w:r w:rsidRPr="00B014BC">
        <w:rPr>
          <w:rFonts w:cs="Times New Roman"/>
        </w:rPr>
        <w:t>Ľ</w:t>
      </w:r>
      <w:r w:rsidRPr="00B014BC">
        <w:rPr>
          <w:rFonts w:eastAsia="Times New Roman" w:cstheme="minorHAnsi"/>
          <w:kern w:val="36"/>
          <w:lang w:eastAsia="sk-SK"/>
        </w:rPr>
        <w:t xml:space="preserve">uďom v núdzi sme pomáhali aj v spolupráci s Nadáciou TA3 a jej správcom </w:t>
      </w:r>
      <w:r w:rsidRPr="00B014BC">
        <w:rPr>
          <w:rFonts w:cstheme="minorHAnsi"/>
        </w:rPr>
        <w:t xml:space="preserve">Petrom Káčerom, ktorý sa do SMS zbierky na pomoc hendikepovaným spoluobčanom zapojil svojou jazdou naprieč Slovenskom. </w:t>
      </w:r>
      <w:r w:rsidRPr="00B014BC">
        <w:rPr>
          <w:rFonts w:eastAsia="Times New Roman" w:cstheme="minorHAnsi"/>
          <w:lang w:eastAsia="sk-SK"/>
        </w:rPr>
        <w:t xml:space="preserve">Sám tak už druhýkrát prispel nielen k publicite zbierky, ale aj zvýšeniu povedomia o možnostiach liečby. Na špeciálne upravenom bicykli prešiel stovky kilometrov z Bratislavy do Vysokých Tatier, pretože chcel vliať nádej ľuďom, ktorí majú </w:t>
      </w:r>
      <w:r w:rsidR="005F7071" w:rsidRPr="00B014BC">
        <w:rPr>
          <w:rFonts w:eastAsia="Times New Roman" w:cstheme="minorHAnsi"/>
          <w:lang w:eastAsia="sk-SK"/>
        </w:rPr>
        <w:t>hendikep tak</w:t>
      </w:r>
      <w:r w:rsidRPr="00B014BC">
        <w:rPr>
          <w:rFonts w:eastAsia="Times New Roman" w:cstheme="minorHAnsi"/>
          <w:lang w:eastAsia="sk-SK"/>
        </w:rPr>
        <w:t xml:space="preserve"> ako on a nemôžu si dovoliť nákladnú liečbu.</w:t>
      </w:r>
      <w:r w:rsidRPr="00B014BC">
        <w:rPr>
          <w:rFonts w:cs="Times New Roman"/>
        </w:rPr>
        <w:t xml:space="preserve"> </w:t>
      </w:r>
      <w:r w:rsidRPr="00B014BC">
        <w:rPr>
          <w:rFonts w:cstheme="minorHAnsi"/>
        </w:rPr>
        <w:t xml:space="preserve">Jedna etapa akcie </w:t>
      </w:r>
      <w:r w:rsidRPr="00B014BC">
        <w:rPr>
          <w:rFonts w:cstheme="minorHAnsi"/>
          <w:i/>
        </w:rPr>
        <w:t>Káčer na bicykli 2015</w:t>
      </w:r>
      <w:r w:rsidRPr="00B014BC">
        <w:rPr>
          <w:rFonts w:cstheme="minorHAnsi"/>
        </w:rPr>
        <w:t xml:space="preserve"> </w:t>
      </w:r>
      <w:r w:rsidRPr="00B014BC">
        <w:rPr>
          <w:rFonts w:cstheme="minorHAnsi"/>
          <w:bCs/>
        </w:rPr>
        <w:t>z Považskej Bystrice do Terchovej (cca 43 km)</w:t>
      </w:r>
      <w:r w:rsidRPr="00B014BC">
        <w:rPr>
          <w:rFonts w:cstheme="minorHAnsi"/>
          <w:b/>
          <w:bCs/>
        </w:rPr>
        <w:t xml:space="preserve"> </w:t>
      </w:r>
      <w:r w:rsidRPr="00B014BC">
        <w:rPr>
          <w:rFonts w:cstheme="minorHAnsi"/>
        </w:rPr>
        <w:t xml:space="preserve">bola venovaná našej poisťovni a zúčastnili sa jej dve naše cyklistky Mária </w:t>
      </w:r>
      <w:proofErr w:type="spellStart"/>
      <w:r w:rsidRPr="00B014BC">
        <w:rPr>
          <w:rFonts w:cstheme="minorHAnsi"/>
        </w:rPr>
        <w:t>Adámková</w:t>
      </w:r>
      <w:proofErr w:type="spellEnd"/>
      <w:r w:rsidRPr="00B014BC">
        <w:rPr>
          <w:rFonts w:cstheme="minorHAnsi"/>
        </w:rPr>
        <w:t xml:space="preserve"> a Jana Gáliková za výraznej podpory ďalších kolegov z KOMUNÁLNEJ poisťovne, ktorí si podujatie nenechali ujsť. </w:t>
      </w:r>
    </w:p>
    <w:p w14:paraId="26A64418" w14:textId="6092DE94" w:rsidR="00FD409B" w:rsidRPr="00B014BC" w:rsidRDefault="009517C0" w:rsidP="00E2292D">
      <w:pPr>
        <w:spacing w:after="0" w:line="240" w:lineRule="auto"/>
        <w:rPr>
          <w:rFonts w:cstheme="minorHAnsi"/>
        </w:rPr>
      </w:pPr>
      <w:r w:rsidRPr="00B014BC">
        <w:rPr>
          <w:rFonts w:cstheme="minorHAnsi"/>
        </w:rPr>
        <w:t>Aj v roku 2015 sme pokračovali v tradícii, ktorú sme založili pred niekoľkými rokmi - každoročne v rámci tzv. Dní sociálnych aktivít navštívia naši zamestnanci viac ako 1 000 obyvateľov v detských domovoch a domovoch sociálnych služieb. Organizujeme to zvyčajne v predvianočnom období, kedy potešíme deti a seniorov programom a darčekmi.</w:t>
      </w:r>
      <w:r w:rsidR="002B6AE0" w:rsidRPr="00B014BC">
        <w:rPr>
          <w:rFonts w:cstheme="minorHAnsi"/>
        </w:rPr>
        <w:t xml:space="preserve"> </w:t>
      </w:r>
    </w:p>
    <w:p w14:paraId="16CC7C01"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lastRenderedPageBreak/>
        <w:t>5.8 Informačné technológie</w:t>
      </w:r>
    </w:p>
    <w:p w14:paraId="3DBDE40B" w14:textId="77777777" w:rsidR="003271A4" w:rsidRPr="00B014BC" w:rsidRDefault="003271A4" w:rsidP="004518BB">
      <w:pPr>
        <w:spacing w:after="0" w:line="240" w:lineRule="auto"/>
        <w:rPr>
          <w:rFonts w:cstheme="minorHAnsi"/>
          <w:b/>
        </w:rPr>
      </w:pPr>
    </w:p>
    <w:p w14:paraId="38E23DE2" w14:textId="620CC2CB" w:rsidR="00EC40C9" w:rsidRPr="00B014BC" w:rsidRDefault="00EC40C9" w:rsidP="004518BB">
      <w:pPr>
        <w:spacing w:after="0" w:line="240" w:lineRule="auto"/>
        <w:rPr>
          <w:rFonts w:eastAsia="Calibri" w:cstheme="minorHAnsi"/>
        </w:rPr>
      </w:pPr>
      <w:r w:rsidRPr="00B014BC">
        <w:rPr>
          <w:rFonts w:eastAsia="Calibri" w:cstheme="minorHAnsi"/>
        </w:rPr>
        <w:t xml:space="preserve">V roku </w:t>
      </w:r>
      <w:r w:rsidR="00471F81" w:rsidRPr="00B014BC">
        <w:rPr>
          <w:rFonts w:eastAsia="Calibri" w:cstheme="minorHAnsi"/>
        </w:rPr>
        <w:t>2015</w:t>
      </w:r>
      <w:r w:rsidRPr="00B014BC">
        <w:rPr>
          <w:rFonts w:eastAsia="Calibri" w:cstheme="minorHAnsi"/>
        </w:rPr>
        <w:t xml:space="preserve"> pokračoval</w:t>
      </w:r>
      <w:r w:rsidR="00471F81" w:rsidRPr="00B014BC">
        <w:rPr>
          <w:rFonts w:eastAsia="Calibri" w:cstheme="minorHAnsi"/>
        </w:rPr>
        <w:t>a KOMUNÁLNA poisťovňa aj v oblasti informačných technológií</w:t>
      </w:r>
      <w:r w:rsidRPr="00B014BC">
        <w:rPr>
          <w:rFonts w:eastAsia="Calibri" w:cstheme="minorHAnsi"/>
        </w:rPr>
        <w:t xml:space="preserve"> v napĺňaní strategických cieľov spoločnosti zintenzívňovaním podpory obchodných činností a vnútropodnikových procesov so zameraním sa na zvyšovanie kvality poskytovaných služieb a komfortu zákazníkov. </w:t>
      </w:r>
    </w:p>
    <w:p w14:paraId="5A6CD04E" w14:textId="3C4893F7" w:rsidR="0069194A" w:rsidRPr="00B014BC" w:rsidRDefault="00EC40C9" w:rsidP="004518BB">
      <w:pPr>
        <w:autoSpaceDE w:val="0"/>
        <w:autoSpaceDN w:val="0"/>
        <w:adjustRightInd w:val="0"/>
        <w:spacing w:after="0" w:line="240" w:lineRule="auto"/>
        <w:rPr>
          <w:rFonts w:eastAsia="Calibri" w:cstheme="minorHAnsi"/>
        </w:rPr>
      </w:pPr>
      <w:r w:rsidRPr="00B014BC">
        <w:rPr>
          <w:rFonts w:eastAsia="Calibri" w:cstheme="minorHAnsi"/>
        </w:rPr>
        <w:t xml:space="preserve">V oblasti  informačných technológií poisťovní skupiny </w:t>
      </w:r>
      <w:proofErr w:type="spellStart"/>
      <w:r w:rsidRPr="00B014BC">
        <w:rPr>
          <w:rFonts w:eastAsia="Calibri" w:cstheme="minorHAnsi"/>
        </w:rPr>
        <w:t>Vienna</w:t>
      </w:r>
      <w:proofErr w:type="spellEnd"/>
      <w:r w:rsidRPr="00B014BC">
        <w:rPr>
          <w:rFonts w:eastAsia="Calibri" w:cstheme="minorHAnsi"/>
        </w:rPr>
        <w:t xml:space="preserve"> </w:t>
      </w:r>
      <w:proofErr w:type="spellStart"/>
      <w:r w:rsidRPr="00B014BC">
        <w:rPr>
          <w:rFonts w:eastAsia="Calibri" w:cstheme="minorHAnsi"/>
        </w:rPr>
        <w:t>Insurance</w:t>
      </w:r>
      <w:proofErr w:type="spellEnd"/>
      <w:r w:rsidRPr="00B014BC">
        <w:rPr>
          <w:rFonts w:eastAsia="Calibri" w:cstheme="minorHAnsi"/>
        </w:rPr>
        <w:t xml:space="preserve"> Group na Slovensku </w:t>
      </w:r>
      <w:r w:rsidR="00471F81" w:rsidRPr="00B014BC">
        <w:rPr>
          <w:rFonts w:eastAsia="Calibri" w:cstheme="minorHAnsi"/>
        </w:rPr>
        <w:t>sa</w:t>
      </w:r>
      <w:r w:rsidR="00A8116E" w:rsidRPr="00B014BC">
        <w:rPr>
          <w:rFonts w:eastAsia="Calibri" w:cstheme="minorHAnsi"/>
        </w:rPr>
        <w:t xml:space="preserve"> naďalej </w:t>
      </w:r>
      <w:r w:rsidR="00471F81" w:rsidRPr="00B014BC">
        <w:rPr>
          <w:rFonts w:eastAsia="Calibri" w:cstheme="minorHAnsi"/>
        </w:rPr>
        <w:t>pokračuje vo funkčnom spoločnom</w:t>
      </w:r>
      <w:r w:rsidR="00A8116E" w:rsidRPr="00B014BC">
        <w:rPr>
          <w:rFonts w:eastAsia="Calibri" w:cstheme="minorHAnsi"/>
        </w:rPr>
        <w:t xml:space="preserve"> </w:t>
      </w:r>
      <w:proofErr w:type="spellStart"/>
      <w:r w:rsidR="00A8116E" w:rsidRPr="00B014BC">
        <w:rPr>
          <w:rFonts w:eastAsia="Calibri" w:cstheme="minorHAnsi"/>
        </w:rPr>
        <w:t>back-office</w:t>
      </w:r>
      <w:proofErr w:type="spellEnd"/>
      <w:r w:rsidR="00A8116E" w:rsidRPr="00B014BC">
        <w:rPr>
          <w:rFonts w:eastAsia="Calibri" w:cstheme="minorHAnsi"/>
        </w:rPr>
        <w:t xml:space="preserve"> </w:t>
      </w:r>
      <w:r w:rsidRPr="00B014BC">
        <w:rPr>
          <w:rFonts w:eastAsia="Calibri" w:cstheme="minorHAnsi"/>
        </w:rPr>
        <w:t>spoločností KOOPERATIVA a KOMUNÁLNA poisťovňa. Ob</w:t>
      </w:r>
      <w:r w:rsidR="00E67862" w:rsidRPr="00B014BC">
        <w:rPr>
          <w:rFonts w:eastAsia="Calibri" w:cstheme="minorHAnsi"/>
        </w:rPr>
        <w:t>idv</w:t>
      </w:r>
      <w:r w:rsidRPr="00B014BC">
        <w:rPr>
          <w:rFonts w:eastAsia="Calibri" w:cstheme="minorHAnsi"/>
        </w:rPr>
        <w:t xml:space="preserve">e poisťovne využívajú služby jedného dátového centra a využívajú </w:t>
      </w:r>
      <w:r w:rsidR="00471F81" w:rsidRPr="00B014BC">
        <w:rPr>
          <w:rFonts w:eastAsia="Calibri" w:cstheme="minorHAnsi"/>
        </w:rPr>
        <w:t xml:space="preserve">poistno-technický systém centrálne udržiavaný a vyvíjaný </w:t>
      </w:r>
      <w:r w:rsidRPr="00B014BC">
        <w:rPr>
          <w:rFonts w:eastAsia="Calibri" w:cstheme="minorHAnsi"/>
        </w:rPr>
        <w:t>v poisťovni KOOPERATIVA jedným tímom pracovníkov</w:t>
      </w:r>
      <w:r w:rsidR="00471F81" w:rsidRPr="00B014BC">
        <w:rPr>
          <w:rFonts w:eastAsia="Calibri" w:cstheme="minorHAnsi"/>
        </w:rPr>
        <w:t xml:space="preserve">, </w:t>
      </w:r>
      <w:r w:rsidR="00471F81" w:rsidRPr="00B014BC">
        <w:rPr>
          <w:szCs w:val="24"/>
        </w:rPr>
        <w:t>čo poskytuje synergické efekty pri implementácii nových funkčností</w:t>
      </w:r>
      <w:r w:rsidRPr="00B014BC">
        <w:rPr>
          <w:rFonts w:eastAsia="Calibri" w:cstheme="minorHAnsi"/>
        </w:rPr>
        <w:t>.</w:t>
      </w:r>
    </w:p>
    <w:p w14:paraId="1B802BEF" w14:textId="7059CF06" w:rsidR="0069194A" w:rsidRPr="00B014BC" w:rsidRDefault="0069194A" w:rsidP="004518BB">
      <w:pPr>
        <w:autoSpaceDE w:val="0"/>
        <w:autoSpaceDN w:val="0"/>
        <w:adjustRightInd w:val="0"/>
        <w:spacing w:after="0" w:line="240" w:lineRule="auto"/>
        <w:rPr>
          <w:rFonts w:eastAsia="Calibri" w:cstheme="minorHAnsi"/>
        </w:rPr>
      </w:pPr>
      <w:r w:rsidRPr="00B014BC">
        <w:t xml:space="preserve">V oblasti hardvéru </w:t>
      </w:r>
      <w:r w:rsidR="005F7071" w:rsidRPr="00B014BC">
        <w:t>sme</w:t>
      </w:r>
      <w:r w:rsidRPr="00B014BC">
        <w:t xml:space="preserve"> realizoval</w:t>
      </w:r>
      <w:r w:rsidR="00E67862" w:rsidRPr="00B014BC">
        <w:t>i</w:t>
      </w:r>
      <w:r w:rsidRPr="00B014BC">
        <w:t xml:space="preserve"> investíci</w:t>
      </w:r>
      <w:r w:rsidR="00E67862" w:rsidRPr="00B014BC">
        <w:t>u</w:t>
      </w:r>
      <w:r w:rsidRPr="00B014BC">
        <w:t xml:space="preserve"> do modernizácie dátového centra spoločnosti a modernizácie klientskych staníc na jednotlivých pobočkách a obchodných miestach. To má priamy vplyv na bezpečnosť a rýchlosť spracovania dát, ako aj na dostupnosť dát pre pracovníkov odborných útvarov a obchodnej služby.</w:t>
      </w:r>
    </w:p>
    <w:p w14:paraId="5FCCCD2A" w14:textId="33D7C2CC" w:rsidR="00471F81" w:rsidRPr="00B014BC" w:rsidRDefault="00471F81" w:rsidP="004518BB">
      <w:pPr>
        <w:pStyle w:val="Odsekzoznamu1"/>
        <w:ind w:left="0"/>
        <w:rPr>
          <w:rFonts w:asciiTheme="minorHAnsi" w:eastAsiaTheme="minorHAnsi" w:hAnsiTheme="minorHAnsi" w:cstheme="minorBidi"/>
          <w:bCs/>
          <w:sz w:val="22"/>
          <w:szCs w:val="22"/>
          <w:lang w:val="sk-SK" w:eastAsia="en-US"/>
        </w:rPr>
      </w:pPr>
      <w:r w:rsidRPr="00B014BC">
        <w:rPr>
          <w:rFonts w:asciiTheme="minorHAnsi" w:eastAsiaTheme="minorHAnsi" w:hAnsiTheme="minorHAnsi" w:cstheme="minorBidi"/>
          <w:bCs/>
          <w:sz w:val="22"/>
          <w:szCs w:val="22"/>
          <w:lang w:val="sk-SK" w:eastAsia="en-US"/>
        </w:rPr>
        <w:t xml:space="preserve">Pre lepšiu aplikačnú podporu a vyššiu efektivitu interných procesov </w:t>
      </w:r>
      <w:r w:rsidR="005F7071" w:rsidRPr="00B014BC">
        <w:rPr>
          <w:rFonts w:asciiTheme="minorHAnsi" w:eastAsiaTheme="minorHAnsi" w:hAnsiTheme="minorHAnsi" w:cstheme="minorBidi"/>
          <w:bCs/>
          <w:sz w:val="22"/>
          <w:szCs w:val="22"/>
          <w:lang w:val="sk-SK" w:eastAsia="en-US"/>
        </w:rPr>
        <w:t>sme pripravili</w:t>
      </w:r>
      <w:r w:rsidRPr="00B014BC">
        <w:rPr>
          <w:rFonts w:asciiTheme="minorHAnsi" w:eastAsiaTheme="minorHAnsi" w:hAnsiTheme="minorHAnsi" w:cstheme="minorBidi"/>
          <w:bCs/>
          <w:sz w:val="22"/>
          <w:szCs w:val="22"/>
          <w:lang w:val="sk-SK" w:eastAsia="en-US"/>
        </w:rPr>
        <w:t xml:space="preserve"> a </w:t>
      </w:r>
      <w:r w:rsidR="005F7071" w:rsidRPr="00B014BC">
        <w:rPr>
          <w:rFonts w:asciiTheme="minorHAnsi" w:eastAsiaTheme="minorHAnsi" w:hAnsiTheme="minorHAnsi" w:cstheme="minorBidi"/>
          <w:bCs/>
          <w:sz w:val="22"/>
          <w:szCs w:val="22"/>
          <w:lang w:val="sk-SK" w:eastAsia="en-US"/>
        </w:rPr>
        <w:t>dali do pilotnej prevádzky mobilnú aplikáciu</w:t>
      </w:r>
      <w:r w:rsidRPr="00B014BC">
        <w:rPr>
          <w:rFonts w:asciiTheme="minorHAnsi" w:eastAsiaTheme="minorHAnsi" w:hAnsiTheme="minorHAnsi" w:cstheme="minorBidi"/>
          <w:bCs/>
          <w:sz w:val="22"/>
          <w:szCs w:val="22"/>
          <w:lang w:val="sk-SK" w:eastAsia="en-US"/>
        </w:rPr>
        <w:t xml:space="preserve"> pre majetkovú likvidáciu s mo</w:t>
      </w:r>
      <w:r w:rsidR="005F7071" w:rsidRPr="00B014BC">
        <w:rPr>
          <w:rFonts w:asciiTheme="minorHAnsi" w:eastAsiaTheme="minorHAnsi" w:hAnsiTheme="minorHAnsi" w:cstheme="minorBidi"/>
          <w:bCs/>
          <w:sz w:val="22"/>
          <w:szCs w:val="22"/>
          <w:lang w:val="sk-SK" w:eastAsia="en-US"/>
        </w:rPr>
        <w:t>žnosťou online práce v teréne. P</w:t>
      </w:r>
      <w:r w:rsidRPr="00B014BC">
        <w:rPr>
          <w:rFonts w:asciiTheme="minorHAnsi" w:eastAsiaTheme="minorHAnsi" w:hAnsiTheme="minorHAnsi" w:cstheme="minorBidi"/>
          <w:bCs/>
          <w:sz w:val="22"/>
          <w:szCs w:val="22"/>
          <w:lang w:val="sk-SK" w:eastAsia="en-US"/>
        </w:rPr>
        <w:t xml:space="preserve">re zlepšenie manažérskej informovanosti a rozhodovania </w:t>
      </w:r>
      <w:r w:rsidR="005F7071" w:rsidRPr="00B014BC">
        <w:rPr>
          <w:rFonts w:asciiTheme="minorHAnsi" w:eastAsiaTheme="minorHAnsi" w:hAnsiTheme="minorHAnsi" w:cstheme="minorBidi"/>
          <w:bCs/>
          <w:sz w:val="22"/>
          <w:szCs w:val="22"/>
          <w:lang w:val="sk-SK" w:eastAsia="en-US"/>
        </w:rPr>
        <w:t>sme začali projekt</w:t>
      </w:r>
      <w:r w:rsidRPr="00B014BC">
        <w:rPr>
          <w:rFonts w:asciiTheme="minorHAnsi" w:eastAsiaTheme="minorHAnsi" w:hAnsiTheme="minorHAnsi" w:cstheme="minorBidi"/>
          <w:bCs/>
          <w:sz w:val="22"/>
          <w:szCs w:val="22"/>
          <w:lang w:val="sk-SK" w:eastAsia="en-US"/>
        </w:rPr>
        <w:t> reimplementácie Manažérskeho informačného systé</w:t>
      </w:r>
      <w:r w:rsidR="005F7071" w:rsidRPr="00B014BC">
        <w:rPr>
          <w:rFonts w:asciiTheme="minorHAnsi" w:eastAsiaTheme="minorHAnsi" w:hAnsiTheme="minorHAnsi" w:cstheme="minorBidi"/>
          <w:bCs/>
          <w:sz w:val="22"/>
          <w:szCs w:val="22"/>
          <w:lang w:val="sk-SK" w:eastAsia="en-US"/>
        </w:rPr>
        <w:t xml:space="preserve">mu s cieľom </w:t>
      </w:r>
      <w:r w:rsidRPr="00B014BC">
        <w:rPr>
          <w:rFonts w:asciiTheme="minorHAnsi" w:eastAsiaTheme="minorHAnsi" w:hAnsiTheme="minorHAnsi" w:cstheme="minorBidi"/>
          <w:bCs/>
          <w:sz w:val="22"/>
          <w:szCs w:val="22"/>
          <w:lang w:val="sk-SK" w:eastAsia="en-US"/>
        </w:rPr>
        <w:t>priniesť modern</w:t>
      </w:r>
      <w:r w:rsidR="00FD409B" w:rsidRPr="00B014BC">
        <w:rPr>
          <w:rFonts w:asciiTheme="minorHAnsi" w:eastAsiaTheme="minorHAnsi" w:hAnsiTheme="minorHAnsi" w:cstheme="minorBidi"/>
          <w:bCs/>
          <w:sz w:val="22"/>
          <w:szCs w:val="22"/>
          <w:lang w:val="sk-SK" w:eastAsia="en-US"/>
        </w:rPr>
        <w:t>é</w:t>
      </w:r>
      <w:r w:rsidRPr="00B014BC">
        <w:rPr>
          <w:rFonts w:asciiTheme="minorHAnsi" w:eastAsiaTheme="minorHAnsi" w:hAnsiTheme="minorHAnsi" w:cstheme="minorBidi"/>
          <w:bCs/>
          <w:sz w:val="22"/>
          <w:szCs w:val="22"/>
          <w:lang w:val="sk-SK" w:eastAsia="en-US"/>
        </w:rPr>
        <w:t xml:space="preserve"> a detailné možnosti dátových analýz</w:t>
      </w:r>
      <w:r w:rsidR="005F7071" w:rsidRPr="00B014BC">
        <w:rPr>
          <w:rFonts w:asciiTheme="minorHAnsi" w:eastAsiaTheme="minorHAnsi" w:hAnsiTheme="minorHAnsi" w:cstheme="minorBidi"/>
          <w:bCs/>
          <w:sz w:val="22"/>
          <w:szCs w:val="22"/>
          <w:lang w:val="sk-SK" w:eastAsia="en-US"/>
        </w:rPr>
        <w:t xml:space="preserve">, </w:t>
      </w:r>
      <w:proofErr w:type="spellStart"/>
      <w:r w:rsidR="005F7071" w:rsidRPr="00B014BC">
        <w:rPr>
          <w:rFonts w:asciiTheme="minorHAnsi" w:eastAsiaTheme="minorHAnsi" w:hAnsiTheme="minorHAnsi" w:cstheme="minorBidi"/>
          <w:bCs/>
          <w:sz w:val="22"/>
          <w:szCs w:val="22"/>
          <w:lang w:val="sk-SK" w:eastAsia="en-US"/>
        </w:rPr>
        <w:t>data</w:t>
      </w:r>
      <w:proofErr w:type="spellEnd"/>
      <w:r w:rsidR="005F7071" w:rsidRPr="00B014BC">
        <w:rPr>
          <w:rFonts w:asciiTheme="minorHAnsi" w:eastAsiaTheme="minorHAnsi" w:hAnsiTheme="minorHAnsi" w:cstheme="minorBidi"/>
          <w:bCs/>
          <w:sz w:val="22"/>
          <w:szCs w:val="22"/>
          <w:lang w:val="sk-SK" w:eastAsia="en-US"/>
        </w:rPr>
        <w:t xml:space="preserve"> </w:t>
      </w:r>
      <w:proofErr w:type="spellStart"/>
      <w:r w:rsidR="005F7071" w:rsidRPr="00B014BC">
        <w:rPr>
          <w:rFonts w:asciiTheme="minorHAnsi" w:eastAsiaTheme="minorHAnsi" w:hAnsiTheme="minorHAnsi" w:cstheme="minorBidi"/>
          <w:bCs/>
          <w:sz w:val="22"/>
          <w:szCs w:val="22"/>
          <w:lang w:val="sk-SK" w:eastAsia="en-US"/>
        </w:rPr>
        <w:t>miningu</w:t>
      </w:r>
      <w:proofErr w:type="spellEnd"/>
      <w:r w:rsidR="005F7071" w:rsidRPr="00B014BC">
        <w:rPr>
          <w:rFonts w:asciiTheme="minorHAnsi" w:eastAsiaTheme="minorHAnsi" w:hAnsiTheme="minorHAnsi" w:cstheme="minorBidi"/>
          <w:bCs/>
          <w:sz w:val="22"/>
          <w:szCs w:val="22"/>
          <w:lang w:val="sk-SK" w:eastAsia="en-US"/>
        </w:rPr>
        <w:t xml:space="preserve"> a štandardizovan</w:t>
      </w:r>
      <w:r w:rsidRPr="00B014BC">
        <w:rPr>
          <w:rFonts w:asciiTheme="minorHAnsi" w:eastAsiaTheme="minorHAnsi" w:hAnsiTheme="minorHAnsi" w:cstheme="minorBidi"/>
          <w:bCs/>
          <w:sz w:val="22"/>
          <w:szCs w:val="22"/>
          <w:lang w:val="sk-SK" w:eastAsia="en-US"/>
        </w:rPr>
        <w:t xml:space="preserve">ého </w:t>
      </w:r>
      <w:proofErr w:type="spellStart"/>
      <w:r w:rsidRPr="00B014BC">
        <w:rPr>
          <w:rFonts w:asciiTheme="minorHAnsi" w:eastAsiaTheme="minorHAnsi" w:hAnsiTheme="minorHAnsi" w:cstheme="minorBidi"/>
          <w:bCs/>
          <w:sz w:val="22"/>
          <w:szCs w:val="22"/>
          <w:lang w:val="sk-SK" w:eastAsia="en-US"/>
        </w:rPr>
        <w:t>reportingu</w:t>
      </w:r>
      <w:proofErr w:type="spellEnd"/>
      <w:r w:rsidRPr="00B014BC">
        <w:rPr>
          <w:rFonts w:asciiTheme="minorHAnsi" w:eastAsiaTheme="minorHAnsi" w:hAnsiTheme="minorHAnsi" w:cstheme="minorBidi"/>
          <w:bCs/>
          <w:sz w:val="22"/>
          <w:szCs w:val="22"/>
          <w:lang w:val="sk-SK" w:eastAsia="en-US"/>
        </w:rPr>
        <w:t>.</w:t>
      </w:r>
    </w:p>
    <w:p w14:paraId="1F22435F" w14:textId="2C44D650" w:rsidR="0069194A" w:rsidRPr="00B014BC" w:rsidRDefault="0069194A" w:rsidP="004518BB">
      <w:pPr>
        <w:autoSpaceDE w:val="0"/>
        <w:autoSpaceDN w:val="0"/>
        <w:adjustRightInd w:val="0"/>
        <w:spacing w:after="0" w:line="240" w:lineRule="auto"/>
      </w:pPr>
      <w:r w:rsidRPr="00B014BC">
        <w:t>V súvislosti s optimalizáciou pracovných podmienok a ná</w:t>
      </w:r>
      <w:r w:rsidR="00471F81" w:rsidRPr="00B014BC">
        <w:t xml:space="preserve">kladov bol v priebehu roku 2015 </w:t>
      </w:r>
      <w:r w:rsidRPr="00B014BC">
        <w:t xml:space="preserve">implementovaný </w:t>
      </w:r>
      <w:proofErr w:type="spellStart"/>
      <w:r w:rsidR="00471F81" w:rsidRPr="00B014BC">
        <w:t>Document</w:t>
      </w:r>
      <w:proofErr w:type="spellEnd"/>
      <w:r w:rsidR="00471F81" w:rsidRPr="00B014BC">
        <w:t xml:space="preserve"> management </w:t>
      </w:r>
      <w:proofErr w:type="spellStart"/>
      <w:r w:rsidR="00471F81" w:rsidRPr="00B014BC">
        <w:t>system</w:t>
      </w:r>
      <w:proofErr w:type="spellEnd"/>
      <w:r w:rsidR="00471F81" w:rsidRPr="00B014BC">
        <w:t xml:space="preserve"> a automatizované procesy pre digitalizáciu poistno-technickej dokumentácie</w:t>
      </w:r>
      <w:r w:rsidRPr="00B014BC">
        <w:t xml:space="preserve">. </w:t>
      </w:r>
    </w:p>
    <w:p w14:paraId="67DE792D" w14:textId="5CC6E11B" w:rsidR="00471F81" w:rsidRPr="00B014BC" w:rsidRDefault="00471F81" w:rsidP="004518BB">
      <w:pPr>
        <w:autoSpaceDE w:val="0"/>
        <w:autoSpaceDN w:val="0"/>
        <w:adjustRightInd w:val="0"/>
        <w:spacing w:after="0" w:line="240" w:lineRule="auto"/>
      </w:pPr>
      <w:r w:rsidRPr="00B014BC">
        <w:rPr>
          <w:rFonts w:eastAsia="Calibri" w:cstheme="minorHAnsi"/>
        </w:rPr>
        <w:t>Intenzívne sme pracovali na zlepšovaní poistnej kalkulačky KOWA, ktorá výrazným spôsobom uľahčuje prenos dát a spracovanie nových poistných zmlúv.</w:t>
      </w:r>
    </w:p>
    <w:p w14:paraId="5BBC3CE1" w14:textId="77777777" w:rsidR="00B87971" w:rsidRPr="00B014BC" w:rsidRDefault="00B87971" w:rsidP="004518BB">
      <w:pPr>
        <w:spacing w:after="0" w:line="240" w:lineRule="auto"/>
        <w:rPr>
          <w:rFonts w:eastAsia="Calibri" w:cstheme="minorHAnsi"/>
        </w:rPr>
      </w:pPr>
    </w:p>
    <w:p w14:paraId="5F786C90" w14:textId="77777777" w:rsidR="003E053E" w:rsidRPr="00B014BC" w:rsidRDefault="003E053E" w:rsidP="004518BB">
      <w:pPr>
        <w:spacing w:after="0" w:line="240" w:lineRule="auto"/>
        <w:rPr>
          <w:rFonts w:cstheme="minorHAnsi"/>
          <w:b/>
          <w:sz w:val="24"/>
          <w:szCs w:val="24"/>
        </w:rPr>
      </w:pPr>
      <w:r w:rsidRPr="00B014BC">
        <w:rPr>
          <w:rFonts w:cstheme="minorHAnsi"/>
          <w:b/>
          <w:sz w:val="24"/>
          <w:szCs w:val="24"/>
        </w:rPr>
        <w:t>5.9 Prevádzka poistenia</w:t>
      </w:r>
    </w:p>
    <w:p w14:paraId="29E9AE93" w14:textId="77777777" w:rsidR="003271A4" w:rsidRPr="00B014BC" w:rsidRDefault="003271A4" w:rsidP="004518BB">
      <w:pPr>
        <w:spacing w:after="0" w:line="240" w:lineRule="auto"/>
        <w:rPr>
          <w:rFonts w:cstheme="minorHAnsi"/>
          <w:b/>
        </w:rPr>
      </w:pPr>
    </w:p>
    <w:p w14:paraId="38B03F8A" w14:textId="763BB7BA" w:rsidR="0053451C" w:rsidRPr="00B014BC" w:rsidRDefault="0053451C" w:rsidP="004518BB">
      <w:pPr>
        <w:spacing w:after="0" w:line="240" w:lineRule="auto"/>
        <w:rPr>
          <w:rFonts w:ascii="Calibri" w:hAnsi="Calibri"/>
        </w:rPr>
      </w:pPr>
      <w:r w:rsidRPr="00B014BC">
        <w:rPr>
          <w:rFonts w:ascii="Calibri" w:hAnsi="Calibri"/>
        </w:rPr>
        <w:t>V roku 2015 bol odštartovaný pilotný projekt digitalizácie registratúrnych dokladov v oblasti neživotných poistných zmlúv v spolupráci s externými spoločnosťami ATOS, s.</w:t>
      </w:r>
      <w:r w:rsidR="005F7071" w:rsidRPr="00B014BC">
        <w:rPr>
          <w:rFonts w:ascii="Calibri" w:hAnsi="Calibri"/>
        </w:rPr>
        <w:t xml:space="preserve"> </w:t>
      </w:r>
      <w:r w:rsidRPr="00B014BC">
        <w:rPr>
          <w:rFonts w:ascii="Calibri" w:hAnsi="Calibri"/>
        </w:rPr>
        <w:t>r.</w:t>
      </w:r>
      <w:r w:rsidR="005F7071" w:rsidRPr="00B014BC">
        <w:rPr>
          <w:rFonts w:ascii="Calibri" w:hAnsi="Calibri"/>
        </w:rPr>
        <w:t xml:space="preserve"> </w:t>
      </w:r>
      <w:r w:rsidRPr="00B014BC">
        <w:rPr>
          <w:rFonts w:ascii="Calibri" w:hAnsi="Calibri"/>
        </w:rPr>
        <w:t>o. a SWISS POST SOLUTIONS, s.</w:t>
      </w:r>
      <w:r w:rsidR="005F7071" w:rsidRPr="00B014BC">
        <w:rPr>
          <w:rFonts w:ascii="Calibri" w:hAnsi="Calibri"/>
        </w:rPr>
        <w:t xml:space="preserve"> </w:t>
      </w:r>
      <w:r w:rsidRPr="00B014BC">
        <w:rPr>
          <w:rFonts w:ascii="Calibri" w:hAnsi="Calibri"/>
        </w:rPr>
        <w:t>r.</w:t>
      </w:r>
      <w:r w:rsidR="005F7071" w:rsidRPr="00B014BC">
        <w:rPr>
          <w:rFonts w:ascii="Calibri" w:hAnsi="Calibri"/>
        </w:rPr>
        <w:t xml:space="preserve"> </w:t>
      </w:r>
      <w:r w:rsidRPr="00B014BC">
        <w:rPr>
          <w:rFonts w:ascii="Calibri" w:hAnsi="Calibri"/>
        </w:rPr>
        <w:t>o., čo značne prispelo k zlepšeniu prístupu k elektronickým dátam v rámci procesov celej spoločnosti. V ďalšom období plánuje</w:t>
      </w:r>
      <w:r w:rsidR="005F7071" w:rsidRPr="00B014BC">
        <w:rPr>
          <w:rFonts w:ascii="Calibri" w:hAnsi="Calibri"/>
        </w:rPr>
        <w:t>me</w:t>
      </w:r>
      <w:r w:rsidRPr="00B014BC">
        <w:rPr>
          <w:rFonts w:ascii="Calibri" w:hAnsi="Calibri"/>
        </w:rPr>
        <w:t xml:space="preserve"> rozšíriť tento projekt aj na ostatné odvetvia a produkty v rámci digitálnej archivácie dokladov, čo zabezpečí rýchlejšie a komfortnejšie vybavenie požiadaviek zo strany klientov vrátane zmien vyplývajúcich z poistných vzťahov, ako aj vybavovanie poistných udalostí. Zabezpečenie a zavedenie jednotlivých procesov a zmien do praxe si vyžadovalo značnú aktivitu pracovníkov úseku prevádzky a koordináciu činnosti aj s ostatnými odbornými úsekmi poisťovne.</w:t>
      </w:r>
    </w:p>
    <w:p w14:paraId="5C825F22" w14:textId="348F8E34" w:rsidR="0053451C" w:rsidRPr="00B014BC" w:rsidRDefault="005F7071" w:rsidP="004518BB">
      <w:pPr>
        <w:spacing w:after="0" w:line="240" w:lineRule="auto"/>
        <w:rPr>
          <w:rFonts w:ascii="Calibri" w:hAnsi="Calibri"/>
        </w:rPr>
      </w:pPr>
      <w:r w:rsidRPr="00B014BC">
        <w:rPr>
          <w:rFonts w:ascii="Calibri" w:hAnsi="Calibri"/>
        </w:rPr>
        <w:t>Medzi dlhodobé ciele a</w:t>
      </w:r>
      <w:r w:rsidR="0053451C" w:rsidRPr="00B014BC">
        <w:rPr>
          <w:rFonts w:ascii="Calibri" w:hAnsi="Calibri"/>
        </w:rPr>
        <w:t xml:space="preserve"> priority v uplynulom roku môžeme zaradiť aktivity smerujúce k priblíženiu sa ku klientovi a to tým, že včas zabezpečíme požadované zmeny a spracujeme zánik poistenia v súlade s legislatívou upravujúcou zánik poistenia. Práve uvedené skutočnosti  predstavovali dôležitú súčasť pracovných prevádzkových postupov v uplynulom roku. V nadväznosti na spracovanie zániku poistenia naďalej medzi priority môžeme zaradiť aj automatizáciu korešpondencie, čím zvyšujeme komfort poskytovaných služieb s cieľom rozšíriť rady spokojných klientov. Za pozitívny výsledok prevádzkových aktivít považujeme pokles negatívnych podnetov od klientov v porovnaní s </w:t>
      </w:r>
      <w:r w:rsidRPr="00B014BC">
        <w:rPr>
          <w:rFonts w:ascii="Calibri" w:hAnsi="Calibri"/>
        </w:rPr>
        <w:t xml:space="preserve">predchádzajúcimi rokmi a našim úsilím je </w:t>
      </w:r>
      <w:r w:rsidR="0053451C" w:rsidRPr="00B014BC">
        <w:rPr>
          <w:rFonts w:ascii="Calibri" w:hAnsi="Calibri"/>
        </w:rPr>
        <w:t>naďalej pokračovať v nastavenom trende. V neposlednom rade bola činnosť úseku prevádzky zameraná na podporu výsledných aktivít obchodnej siete spoločnosti ako aj podporu v budovaní dôvery klientov a obchodných partnerov.</w:t>
      </w:r>
    </w:p>
    <w:p w14:paraId="10887891" w14:textId="577966E9" w:rsidR="0053451C" w:rsidRPr="00B014BC" w:rsidRDefault="0053451C" w:rsidP="004518BB">
      <w:pPr>
        <w:spacing w:after="0" w:line="240" w:lineRule="auto"/>
        <w:rPr>
          <w:rFonts w:ascii="Calibri" w:hAnsi="Calibri"/>
        </w:rPr>
      </w:pPr>
      <w:r w:rsidRPr="00B014BC">
        <w:rPr>
          <w:rFonts w:ascii="Calibri" w:hAnsi="Calibri"/>
        </w:rPr>
        <w:t xml:space="preserve">Nemôžeme </w:t>
      </w:r>
      <w:r w:rsidR="005F7071" w:rsidRPr="00B014BC">
        <w:rPr>
          <w:rFonts w:ascii="Calibri" w:hAnsi="Calibri"/>
        </w:rPr>
        <w:t>vynechať</w:t>
      </w:r>
      <w:r w:rsidRPr="00B014BC">
        <w:rPr>
          <w:rFonts w:ascii="Calibri" w:hAnsi="Calibri"/>
        </w:rPr>
        <w:t xml:space="preserve"> zásadnú zmenu v legislatíve v roku 2015, v dôsledku </w:t>
      </w:r>
      <w:r w:rsidR="005F7071" w:rsidRPr="00B014BC">
        <w:rPr>
          <w:rFonts w:ascii="Calibri" w:hAnsi="Calibri"/>
        </w:rPr>
        <w:t>ktorej</w:t>
      </w:r>
      <w:r w:rsidRPr="00B014BC">
        <w:rPr>
          <w:rFonts w:ascii="Calibri" w:hAnsi="Calibri"/>
        </w:rPr>
        <w:t xml:space="preserve"> bolo potrebné prevádzkové činnosti nastaviť tak, aby prechod na používanie čísla účtu vo formáte IBAN a jeho použitie v platobnom styku bol v informačnom systéme správne a včas zabezpečený. </w:t>
      </w:r>
    </w:p>
    <w:p w14:paraId="5E8604A7" w14:textId="7A72F940" w:rsidR="0053451C" w:rsidRPr="00B014BC" w:rsidRDefault="0053451C" w:rsidP="004518BB">
      <w:pPr>
        <w:spacing w:after="0" w:line="240" w:lineRule="auto"/>
        <w:rPr>
          <w:rFonts w:ascii="Calibri" w:hAnsi="Calibri"/>
        </w:rPr>
      </w:pPr>
      <w:r w:rsidRPr="00B014BC">
        <w:rPr>
          <w:rFonts w:ascii="Calibri" w:hAnsi="Calibri"/>
        </w:rPr>
        <w:lastRenderedPageBreak/>
        <w:t>Úspešné zavedenie legislatívnyc</w:t>
      </w:r>
      <w:r w:rsidR="005F7071" w:rsidRPr="00B014BC">
        <w:rPr>
          <w:rFonts w:ascii="Calibri" w:hAnsi="Calibri"/>
        </w:rPr>
        <w:t>h, koncepčných i</w:t>
      </w:r>
      <w:r w:rsidRPr="00B014BC">
        <w:rPr>
          <w:rFonts w:ascii="Calibri" w:hAnsi="Calibri"/>
        </w:rPr>
        <w:t> projektových zmien si vyžadoval dlhodobé a koncepčné plánovanie všetkých aktivít úseku prevádzky, za čo patrí vďaka všetkých zúčastneným zamestnancom, ktorí participovali na úspešnom zavŕšení procesov v roku 2015.</w:t>
      </w:r>
    </w:p>
    <w:p w14:paraId="0AA1ED23" w14:textId="77777777" w:rsidR="00B87971" w:rsidRPr="00B014BC" w:rsidRDefault="00B87971" w:rsidP="004518BB">
      <w:pPr>
        <w:spacing w:after="0" w:line="240" w:lineRule="auto"/>
        <w:rPr>
          <w:rFonts w:cstheme="minorHAnsi"/>
          <w:b/>
        </w:rPr>
      </w:pPr>
    </w:p>
    <w:p w14:paraId="011320ED" w14:textId="77777777" w:rsidR="00C51961" w:rsidRPr="00B014BC" w:rsidRDefault="00C51961" w:rsidP="004518BB">
      <w:pPr>
        <w:spacing w:after="0" w:line="240" w:lineRule="auto"/>
        <w:rPr>
          <w:rFonts w:cstheme="minorHAnsi"/>
          <w:b/>
          <w:sz w:val="24"/>
          <w:szCs w:val="24"/>
        </w:rPr>
      </w:pPr>
      <w:r w:rsidRPr="00B014BC">
        <w:rPr>
          <w:rFonts w:cstheme="minorHAnsi"/>
          <w:b/>
          <w:sz w:val="24"/>
          <w:szCs w:val="24"/>
        </w:rPr>
        <w:t>5.10 Kontrolná činnosť</w:t>
      </w:r>
    </w:p>
    <w:p w14:paraId="55E2C2F8" w14:textId="77777777" w:rsidR="00C51961" w:rsidRPr="00B014BC" w:rsidRDefault="00C51961" w:rsidP="004518BB">
      <w:pPr>
        <w:spacing w:after="0" w:line="240" w:lineRule="auto"/>
        <w:rPr>
          <w:rFonts w:cstheme="minorHAnsi"/>
          <w:b/>
        </w:rPr>
      </w:pPr>
    </w:p>
    <w:p w14:paraId="775E77A3" w14:textId="77777777" w:rsidR="00D052EA" w:rsidRPr="00B014BC" w:rsidRDefault="00D052EA" w:rsidP="004518BB">
      <w:pPr>
        <w:pStyle w:val="Header"/>
        <w:tabs>
          <w:tab w:val="clear" w:pos="4536"/>
          <w:tab w:val="clear" w:pos="9072"/>
        </w:tabs>
        <w:ind w:right="448"/>
        <w:rPr>
          <w:rFonts w:asciiTheme="minorHAnsi" w:hAnsiTheme="minorHAnsi"/>
          <w:sz w:val="22"/>
          <w:szCs w:val="22"/>
        </w:rPr>
      </w:pPr>
      <w:r w:rsidRPr="00B014BC">
        <w:rPr>
          <w:rFonts w:asciiTheme="minorHAnsi" w:hAnsiTheme="minorHAnsi"/>
          <w:sz w:val="22"/>
          <w:szCs w:val="22"/>
        </w:rPr>
        <w:t xml:space="preserve">Útvar vnútorného auditu vykonáva svoju činnosť v súlade so Zákonom č. 8/2008 </w:t>
      </w:r>
      <w:proofErr w:type="spellStart"/>
      <w:r w:rsidRPr="00B014BC">
        <w:rPr>
          <w:rFonts w:asciiTheme="minorHAnsi" w:hAnsiTheme="minorHAnsi"/>
          <w:sz w:val="22"/>
          <w:szCs w:val="22"/>
        </w:rPr>
        <w:t>Z.z</w:t>
      </w:r>
      <w:proofErr w:type="spellEnd"/>
      <w:r w:rsidRPr="00B014BC">
        <w:rPr>
          <w:rFonts w:asciiTheme="minorHAnsi" w:hAnsiTheme="minorHAnsi"/>
          <w:sz w:val="22"/>
          <w:szCs w:val="22"/>
        </w:rPr>
        <w:t>. o poisťovníctve a o zmene a doplnení niektorých zákonov v znení neskorších predpisov, stanovami spoločnosti a Opatrením Národnej banky Slovenska č. 5/2010.</w:t>
      </w:r>
    </w:p>
    <w:p w14:paraId="7E20A1D2" w14:textId="23AB57C7" w:rsidR="00D052EA" w:rsidRPr="00B014BC" w:rsidRDefault="00D052EA" w:rsidP="004518BB">
      <w:pPr>
        <w:pStyle w:val="ListParagraph"/>
        <w:spacing w:after="0" w:line="240" w:lineRule="auto"/>
        <w:ind w:left="0" w:right="448"/>
        <w:rPr>
          <w:color w:val="000000"/>
        </w:rPr>
      </w:pPr>
      <w:r w:rsidRPr="00B014BC">
        <w:rPr>
          <w:lang w:eastAsia="de-DE"/>
        </w:rPr>
        <w:t>Činnosť útvaru vnútorného auditu predstavuje nezávislú, objektívnu a  konzultačnú činnosť, zameranú na pridanie kvalitatívnej hodnoty a z</w:t>
      </w:r>
      <w:r w:rsidR="005F7071" w:rsidRPr="00B014BC">
        <w:rPr>
          <w:lang w:eastAsia="de-DE"/>
        </w:rPr>
        <w:t>lepšenie procesov v spoločnosti, aby boli splnené ciele</w:t>
      </w:r>
      <w:r w:rsidRPr="00B014BC">
        <w:rPr>
          <w:lang w:eastAsia="de-DE"/>
        </w:rPr>
        <w:t xml:space="preserve"> poisťovne prostredníctvom systematického metodického prístupu k hodnoteniu a zlepšovaniu efektívnosti rizikového manažmentu, kontrolných a riadiacich procesov.</w:t>
      </w:r>
    </w:p>
    <w:p w14:paraId="44ECEE00" w14:textId="77777777" w:rsidR="00D052EA" w:rsidRPr="00B014BC" w:rsidRDefault="00D052EA" w:rsidP="004518BB">
      <w:pPr>
        <w:pStyle w:val="Header"/>
        <w:tabs>
          <w:tab w:val="clear" w:pos="4536"/>
          <w:tab w:val="clear" w:pos="9072"/>
        </w:tabs>
        <w:ind w:right="448"/>
        <w:rPr>
          <w:rFonts w:asciiTheme="minorHAnsi" w:hAnsiTheme="minorHAnsi"/>
          <w:sz w:val="22"/>
          <w:szCs w:val="22"/>
        </w:rPr>
      </w:pPr>
      <w:r w:rsidRPr="00B014BC">
        <w:rPr>
          <w:rFonts w:asciiTheme="minorHAnsi" w:hAnsiTheme="minorHAnsi" w:cstheme="minorHAnsi"/>
          <w:sz w:val="22"/>
          <w:szCs w:val="22"/>
        </w:rPr>
        <w:t xml:space="preserve">Útvar vnútorného auditu </w:t>
      </w:r>
      <w:r w:rsidRPr="00B014BC">
        <w:rPr>
          <w:rFonts w:asciiTheme="minorHAnsi" w:hAnsiTheme="minorHAnsi"/>
          <w:bCs/>
          <w:iCs/>
          <w:sz w:val="22"/>
          <w:szCs w:val="22"/>
        </w:rPr>
        <w:t>vykonáva svoju činnosť na základe a v súlade s Plánom činnosti útvaru vnútorného auditu na daný rok</w:t>
      </w:r>
      <w:r w:rsidRPr="00B014BC">
        <w:rPr>
          <w:rFonts w:asciiTheme="minorHAnsi" w:hAnsiTheme="minorHAnsi"/>
          <w:sz w:val="22"/>
          <w:szCs w:val="22"/>
        </w:rPr>
        <w:t xml:space="preserve">, ktorý je každoročne vopred schválený predstavenstvom spoločnosti a následne predkladaný do Národnej banky Slovenska. </w:t>
      </w:r>
    </w:p>
    <w:p w14:paraId="4A0EB996" w14:textId="77777777" w:rsidR="00255FBB" w:rsidRPr="00B014BC" w:rsidRDefault="00D052EA" w:rsidP="004518BB">
      <w:pPr>
        <w:spacing w:after="0" w:line="240" w:lineRule="auto"/>
        <w:ind w:right="448"/>
        <w:rPr>
          <w:rFonts w:cstheme="minorHAnsi"/>
        </w:rPr>
      </w:pPr>
      <w:r w:rsidRPr="00B014BC">
        <w:rPr>
          <w:rFonts w:cstheme="minorHAnsi"/>
        </w:rPr>
        <w:t>V pri</w:t>
      </w:r>
      <w:r w:rsidR="00255FBB" w:rsidRPr="00B014BC">
        <w:rPr>
          <w:rFonts w:cstheme="minorHAnsi"/>
        </w:rPr>
        <w:t>ebehu roka 2015</w:t>
      </w:r>
      <w:r w:rsidRPr="00B014BC">
        <w:rPr>
          <w:rFonts w:cstheme="minorHAnsi"/>
        </w:rPr>
        <w:t xml:space="preserve"> vy</w:t>
      </w:r>
      <w:r w:rsidR="00255FBB" w:rsidRPr="00B014BC">
        <w:rPr>
          <w:rFonts w:cstheme="minorHAnsi"/>
        </w:rPr>
        <w:t>konal útvar vnútorného auditu 11</w:t>
      </w:r>
      <w:r w:rsidRPr="00B014BC">
        <w:rPr>
          <w:rFonts w:cstheme="minorHAnsi"/>
        </w:rPr>
        <w:t xml:space="preserve"> kontrol podľa schváleného obsahového a časového plánu. Audity boli zamerané na </w:t>
      </w:r>
      <w:r w:rsidRPr="00B014BC">
        <w:t xml:space="preserve">procesy v kľúčových oblastiach fungovania poisťovne, najmä v oblasti </w:t>
      </w:r>
      <w:r w:rsidR="00255FBB" w:rsidRPr="00B014BC">
        <w:t xml:space="preserve">likvidácie poistných udalostí v neživotnom poistení, v oblasti upisovania rizík </w:t>
      </w:r>
      <w:r w:rsidRPr="00B014BC">
        <w:t xml:space="preserve">a na potvrdenie súladu činnosti jednotlivých útvarov poisťovne s platnou legislatívou v poisťovníctve. </w:t>
      </w:r>
      <w:r w:rsidRPr="00B014BC">
        <w:rPr>
          <w:rFonts w:cstheme="minorHAnsi"/>
        </w:rPr>
        <w:t xml:space="preserve">Na základe týchto kontrol boli navrhnuté a uvedené do praxe viaceré opatrenia. </w:t>
      </w:r>
    </w:p>
    <w:p w14:paraId="06F6D7C2" w14:textId="31F29F36" w:rsidR="00255FBB" w:rsidRPr="00B014BC" w:rsidRDefault="00255FBB" w:rsidP="004518BB">
      <w:pPr>
        <w:spacing w:after="0" w:line="240" w:lineRule="auto"/>
        <w:ind w:right="448"/>
        <w:rPr>
          <w:rFonts w:cstheme="minorHAnsi"/>
        </w:rPr>
      </w:pPr>
      <w:r w:rsidRPr="00B014BC">
        <w:t xml:space="preserve">V rámci svojej činnosti útvar vnútorného auditu zároveň </w:t>
      </w:r>
      <w:r w:rsidRPr="00B014BC">
        <w:rPr>
          <w:rFonts w:ascii="Calibri" w:hAnsi="Calibri"/>
        </w:rPr>
        <w:t>dohliada aj na proces prešetrovania podozrení na interné a externé podvody a inú nezákonnú činnosť a posudzuje procesy poisťovne, ktoré sú zamerané na prevenciu a odhaľovanie podvodov a inej nezákonnej činnosti.</w:t>
      </w:r>
    </w:p>
    <w:p w14:paraId="70765657" w14:textId="77777777" w:rsidR="00432E66" w:rsidRPr="00B014BC" w:rsidRDefault="00432E66" w:rsidP="004518BB">
      <w:pPr>
        <w:spacing w:after="0" w:line="240" w:lineRule="auto"/>
        <w:rPr>
          <w:rFonts w:cstheme="minorHAnsi"/>
          <w:b/>
          <w:sz w:val="24"/>
          <w:szCs w:val="24"/>
        </w:rPr>
      </w:pPr>
    </w:p>
    <w:p w14:paraId="6891CEB0" w14:textId="225964D0" w:rsidR="00432E66" w:rsidRPr="00B014BC" w:rsidRDefault="00432E66" w:rsidP="004518BB">
      <w:pPr>
        <w:spacing w:after="0" w:line="240" w:lineRule="auto"/>
        <w:rPr>
          <w:rFonts w:cstheme="minorHAnsi"/>
          <w:b/>
          <w:sz w:val="24"/>
          <w:szCs w:val="24"/>
        </w:rPr>
      </w:pPr>
      <w:r w:rsidRPr="00B014BC">
        <w:rPr>
          <w:rFonts w:cstheme="minorHAnsi"/>
          <w:b/>
          <w:sz w:val="24"/>
          <w:szCs w:val="24"/>
        </w:rPr>
        <w:t xml:space="preserve">5.11 </w:t>
      </w:r>
      <w:proofErr w:type="spellStart"/>
      <w:r w:rsidRPr="00B014BC">
        <w:rPr>
          <w:rFonts w:cstheme="minorHAnsi"/>
          <w:b/>
          <w:sz w:val="24"/>
          <w:szCs w:val="24"/>
        </w:rPr>
        <w:t>Riskmanažment</w:t>
      </w:r>
      <w:proofErr w:type="spellEnd"/>
      <w:r w:rsidRPr="00B014BC">
        <w:rPr>
          <w:rFonts w:cstheme="minorHAnsi"/>
          <w:b/>
          <w:sz w:val="24"/>
          <w:szCs w:val="24"/>
        </w:rPr>
        <w:t xml:space="preserve"> a </w:t>
      </w:r>
      <w:proofErr w:type="spellStart"/>
      <w:r w:rsidRPr="00B014BC">
        <w:rPr>
          <w:rFonts w:cstheme="minorHAnsi"/>
          <w:b/>
          <w:sz w:val="24"/>
          <w:szCs w:val="24"/>
        </w:rPr>
        <w:t>compliance</w:t>
      </w:r>
      <w:proofErr w:type="spellEnd"/>
      <w:r w:rsidRPr="00B014BC">
        <w:rPr>
          <w:rFonts w:cstheme="minorHAnsi"/>
          <w:b/>
          <w:sz w:val="24"/>
          <w:szCs w:val="24"/>
        </w:rPr>
        <w:t xml:space="preserve"> </w:t>
      </w:r>
      <w:proofErr w:type="spellStart"/>
      <w:r w:rsidRPr="00B014BC">
        <w:rPr>
          <w:rFonts w:cstheme="minorHAnsi"/>
          <w:b/>
          <w:sz w:val="24"/>
          <w:szCs w:val="24"/>
        </w:rPr>
        <w:t>officer</w:t>
      </w:r>
      <w:proofErr w:type="spellEnd"/>
    </w:p>
    <w:p w14:paraId="3CB32043" w14:textId="77777777" w:rsidR="00432E66" w:rsidRPr="00B014BC" w:rsidRDefault="00432E66" w:rsidP="004518BB">
      <w:pPr>
        <w:spacing w:after="0" w:line="240" w:lineRule="auto"/>
        <w:rPr>
          <w:rFonts w:cstheme="minorHAnsi"/>
          <w:b/>
        </w:rPr>
      </w:pPr>
    </w:p>
    <w:p w14:paraId="3EE97A83" w14:textId="77777777" w:rsidR="00432E66" w:rsidRPr="00B014BC" w:rsidRDefault="00432E66" w:rsidP="004518BB">
      <w:pPr>
        <w:spacing w:after="0" w:line="240" w:lineRule="auto"/>
        <w:rPr>
          <w:rFonts w:cstheme="minorHAnsi"/>
        </w:rPr>
      </w:pPr>
      <w:r w:rsidRPr="00B014BC">
        <w:rPr>
          <w:rFonts w:cstheme="minorHAnsi"/>
        </w:rPr>
        <w:t>Funkcia risk manažéra a </w:t>
      </w:r>
      <w:proofErr w:type="spellStart"/>
      <w:r w:rsidRPr="00B014BC">
        <w:rPr>
          <w:rFonts w:cstheme="minorHAnsi"/>
        </w:rPr>
        <w:t>compliance</w:t>
      </w:r>
      <w:proofErr w:type="spellEnd"/>
      <w:r w:rsidRPr="00B014BC">
        <w:rPr>
          <w:rFonts w:cstheme="minorHAnsi"/>
        </w:rPr>
        <w:t xml:space="preserve"> </w:t>
      </w:r>
      <w:proofErr w:type="spellStart"/>
      <w:r w:rsidRPr="00B014BC">
        <w:rPr>
          <w:rFonts w:cstheme="minorHAnsi"/>
        </w:rPr>
        <w:t>officera</w:t>
      </w:r>
      <w:proofErr w:type="spellEnd"/>
      <w:r w:rsidRPr="00B014BC">
        <w:rPr>
          <w:rFonts w:cstheme="minorHAnsi"/>
        </w:rPr>
        <w:t xml:space="preserve"> vyplýva z novej smernice o solventnosti II.</w:t>
      </w:r>
    </w:p>
    <w:p w14:paraId="1E0DDB11" w14:textId="77777777" w:rsidR="00432E66" w:rsidRPr="00B014BC" w:rsidRDefault="00432E66" w:rsidP="004518BB">
      <w:pPr>
        <w:spacing w:after="0" w:line="240" w:lineRule="auto"/>
        <w:rPr>
          <w:rFonts w:cstheme="minorHAnsi"/>
          <w:b/>
          <w:u w:val="single"/>
        </w:rPr>
      </w:pPr>
      <w:r w:rsidRPr="00B014BC">
        <w:rPr>
          <w:rFonts w:cstheme="minorHAnsi"/>
        </w:rPr>
        <w:t>Risk manažér má za úlohu v prvom rade zriadiť účinný systém riadenia rizík zahrňujúci stratégie, procesy a postupy oznamovania potrebné na účely neustáleho zisťovania, merania, monitorovania, riadenia a oznamovania rizík, ktorým je poisťovňa  vystavená, ako aj vzájomnej závislosti týchto rizík, a to na individuálnej, ako aj na súhrnnej úrovni. Zabezpečuje aj samotné posúdenie rizika a solventnosti, schopnosti znášať riziká, interné a externé reportovanie rizík a systém internej kontroly.</w:t>
      </w:r>
    </w:p>
    <w:p w14:paraId="1499EF19" w14:textId="77777777" w:rsidR="00432E66" w:rsidRPr="00B014BC" w:rsidRDefault="00432E66" w:rsidP="004518BB">
      <w:pPr>
        <w:spacing w:after="0" w:line="240" w:lineRule="auto"/>
        <w:rPr>
          <w:rFonts w:cstheme="minorHAnsi"/>
        </w:rPr>
      </w:pPr>
      <w:proofErr w:type="spellStart"/>
      <w:r w:rsidRPr="00B014BC">
        <w:rPr>
          <w:rFonts w:cstheme="minorHAnsi"/>
        </w:rPr>
        <w:t>Compliance</w:t>
      </w:r>
      <w:proofErr w:type="spellEnd"/>
      <w:r w:rsidRPr="00B014BC">
        <w:rPr>
          <w:rFonts w:cstheme="minorHAnsi"/>
        </w:rPr>
        <w:t xml:space="preserve"> </w:t>
      </w:r>
      <w:proofErr w:type="spellStart"/>
      <w:r w:rsidRPr="00B014BC">
        <w:rPr>
          <w:rFonts w:cstheme="minorHAnsi"/>
        </w:rPr>
        <w:t>officer</w:t>
      </w:r>
      <w:proofErr w:type="spellEnd"/>
      <w:r w:rsidRPr="00B014BC">
        <w:rPr>
          <w:rFonts w:cstheme="minorHAnsi"/>
        </w:rPr>
        <w:t xml:space="preserve"> zodpovedá za implementáciu a monitorovanie politiky bezúhonnosti a vykonávanie kontroly jej dodržiavania. Venuje sa najmä predchádzaniu rizikám vzniku právnej alebo regulačnej sankcie, materiálnej finančnej straty alebo poškodenia reputácie spoločnosti, ktoré môžu spoločnosť postihnúť v dôsledku nedodržania zákonov, nariadení a správnych opatrení, ktoré sa viažu na jej činnosť. Zabezpečuje súlad s platnými právnymi predpismi vo všetkých oblastiach činnosti poisťovne.</w:t>
      </w:r>
    </w:p>
    <w:p w14:paraId="67C69BF1" w14:textId="77777777" w:rsidR="00B87971" w:rsidRPr="00B014BC" w:rsidRDefault="00B87971" w:rsidP="004518BB">
      <w:pPr>
        <w:spacing w:after="0" w:line="240" w:lineRule="auto"/>
        <w:rPr>
          <w:rFonts w:cstheme="minorHAnsi"/>
          <w:b/>
        </w:rPr>
      </w:pPr>
    </w:p>
    <w:p w14:paraId="49595740" w14:textId="1188E7E2" w:rsidR="003E053E" w:rsidRPr="00B014BC" w:rsidRDefault="00432E66" w:rsidP="004518BB">
      <w:pPr>
        <w:spacing w:after="0" w:line="240" w:lineRule="auto"/>
        <w:rPr>
          <w:rFonts w:cstheme="minorHAnsi"/>
          <w:b/>
          <w:sz w:val="24"/>
          <w:szCs w:val="24"/>
        </w:rPr>
      </w:pPr>
      <w:r w:rsidRPr="00B014BC">
        <w:rPr>
          <w:rFonts w:cstheme="minorHAnsi"/>
          <w:b/>
          <w:sz w:val="24"/>
          <w:szCs w:val="24"/>
        </w:rPr>
        <w:t>5.12</w:t>
      </w:r>
      <w:r w:rsidR="003E053E" w:rsidRPr="00B014BC">
        <w:rPr>
          <w:rFonts w:cstheme="minorHAnsi"/>
          <w:b/>
          <w:sz w:val="24"/>
          <w:szCs w:val="24"/>
        </w:rPr>
        <w:t xml:space="preserve"> Finančné umiestnenie</w:t>
      </w:r>
    </w:p>
    <w:p w14:paraId="0374FEE8" w14:textId="77777777" w:rsidR="003271A4" w:rsidRPr="00B014BC" w:rsidRDefault="003271A4" w:rsidP="004518BB">
      <w:pPr>
        <w:spacing w:after="0" w:line="240" w:lineRule="auto"/>
        <w:rPr>
          <w:rFonts w:cstheme="minorHAnsi"/>
          <w:b/>
        </w:rPr>
      </w:pPr>
    </w:p>
    <w:p w14:paraId="3A63B6CA" w14:textId="3727C8AF" w:rsidR="005554D6" w:rsidRPr="00B014BC" w:rsidRDefault="005554D6" w:rsidP="004518BB">
      <w:pPr>
        <w:spacing w:after="0" w:line="240" w:lineRule="auto"/>
        <w:rPr>
          <w:rFonts w:cstheme="minorHAnsi"/>
        </w:rPr>
      </w:pPr>
      <w:r w:rsidRPr="00B014BC">
        <w:rPr>
          <w:rFonts w:cstheme="minorHAnsi"/>
        </w:rPr>
        <w:t xml:space="preserve">Finančné aktíva </w:t>
      </w:r>
      <w:r w:rsidR="0040293C" w:rsidRPr="00B014BC">
        <w:rPr>
          <w:rFonts w:cstheme="minorHAnsi"/>
        </w:rPr>
        <w:t>(bez aktív v</w:t>
      </w:r>
      <w:r w:rsidR="005C7E59" w:rsidRPr="00B014BC">
        <w:rPr>
          <w:rFonts w:cstheme="minorHAnsi"/>
        </w:rPr>
        <w:t> investičnom životnom poistení</w:t>
      </w:r>
      <w:r w:rsidR="0040293C" w:rsidRPr="00B014BC">
        <w:rPr>
          <w:rFonts w:cstheme="minorHAnsi"/>
        </w:rPr>
        <w:t xml:space="preserve">) </w:t>
      </w:r>
      <w:r w:rsidRPr="00B014BC">
        <w:rPr>
          <w:rFonts w:cstheme="minorHAnsi"/>
        </w:rPr>
        <w:t>v roku 201</w:t>
      </w:r>
      <w:r w:rsidR="00B02719" w:rsidRPr="00B014BC">
        <w:rPr>
          <w:rFonts w:cstheme="minorHAnsi"/>
        </w:rPr>
        <w:t>5</w:t>
      </w:r>
      <w:r w:rsidRPr="00B014BC">
        <w:rPr>
          <w:rFonts w:cstheme="minorHAnsi"/>
        </w:rPr>
        <w:t xml:space="preserve"> zaznamenali mierny </w:t>
      </w:r>
      <w:r w:rsidR="00A97E1B" w:rsidRPr="00B014BC">
        <w:rPr>
          <w:rFonts w:cstheme="minorHAnsi"/>
        </w:rPr>
        <w:t>pokles</w:t>
      </w:r>
      <w:r w:rsidRPr="00B014BC">
        <w:rPr>
          <w:rFonts w:cstheme="minorHAnsi"/>
        </w:rPr>
        <w:t xml:space="preserve"> v porovnaní s predchádzajúcim obdobím </w:t>
      </w:r>
      <w:r w:rsidR="0040293C" w:rsidRPr="00B014BC">
        <w:rPr>
          <w:rFonts w:cstheme="minorHAnsi"/>
        </w:rPr>
        <w:t>o</w:t>
      </w:r>
      <w:r w:rsidR="00B02719" w:rsidRPr="00B014BC">
        <w:rPr>
          <w:rFonts w:cstheme="minorHAnsi"/>
        </w:rPr>
        <w:t> 0,</w:t>
      </w:r>
      <w:r w:rsidR="00A97E1B" w:rsidRPr="00B014BC">
        <w:rPr>
          <w:rFonts w:cstheme="minorHAnsi"/>
        </w:rPr>
        <w:t>67</w:t>
      </w:r>
      <w:r w:rsidR="0040293C" w:rsidRPr="00B014BC">
        <w:rPr>
          <w:rFonts w:cstheme="minorHAnsi"/>
        </w:rPr>
        <w:t xml:space="preserve"> % </w:t>
      </w:r>
      <w:r w:rsidRPr="00B014BC">
        <w:rPr>
          <w:rFonts w:cstheme="minorHAnsi"/>
        </w:rPr>
        <w:t xml:space="preserve">a dosiahli </w:t>
      </w:r>
      <w:r w:rsidR="00A97E1B" w:rsidRPr="00B014BC">
        <w:rPr>
          <w:rFonts w:cstheme="minorHAnsi"/>
        </w:rPr>
        <w:t>úroveň 205 105 tis</w:t>
      </w:r>
      <w:r w:rsidRPr="00B014BC">
        <w:rPr>
          <w:rFonts w:cstheme="minorHAnsi"/>
        </w:rPr>
        <w:t xml:space="preserve">. </w:t>
      </w:r>
      <w:r w:rsidR="005F7071" w:rsidRPr="00B014BC">
        <w:rPr>
          <w:rFonts w:cstheme="minorHAnsi"/>
        </w:rPr>
        <w:t>eur</w:t>
      </w:r>
      <w:r w:rsidRPr="00B014BC">
        <w:rPr>
          <w:rFonts w:cstheme="minorHAnsi"/>
        </w:rPr>
        <w:t>. Najvyšší podiel na finančných aktívach majú tradične d</w:t>
      </w:r>
      <w:r w:rsidR="00B02719" w:rsidRPr="00B014BC">
        <w:rPr>
          <w:rFonts w:cstheme="minorHAnsi"/>
        </w:rPr>
        <w:t>lhové cenné papiere. V súlade s</w:t>
      </w:r>
      <w:r w:rsidRPr="00B014BC">
        <w:rPr>
          <w:rFonts w:cstheme="minorHAnsi"/>
        </w:rPr>
        <w:t xml:space="preserve"> investičnou politikou spoločnosť zvýšila podiel podnikových dlhopisov na celkovom objeme cenných papierov, avšak naďalej investuje aj do štátnych dlhopisov a hypotekárnych záložných listov.</w:t>
      </w:r>
    </w:p>
    <w:p w14:paraId="1E68392E" w14:textId="77777777" w:rsidR="005554D6" w:rsidRPr="00B014BC" w:rsidRDefault="005554D6" w:rsidP="004518BB">
      <w:pPr>
        <w:spacing w:after="0" w:line="240" w:lineRule="auto"/>
        <w:rPr>
          <w:rFonts w:cstheme="minorHAnsi"/>
          <w:b/>
          <w:bCs/>
        </w:rPr>
      </w:pPr>
      <w:r w:rsidRPr="00B014BC">
        <w:rPr>
          <w:rFonts w:cstheme="minorHAnsi"/>
        </w:rPr>
        <w:t xml:space="preserve">Podrobnejšie informácie sú uvedené v poznámkach k účtovnej závierke (poznámka č. </w:t>
      </w:r>
      <w:r w:rsidR="00EE24C8" w:rsidRPr="00B014BC">
        <w:rPr>
          <w:rFonts w:cstheme="minorHAnsi"/>
        </w:rPr>
        <w:t>11</w:t>
      </w:r>
      <w:r w:rsidRPr="00B014BC">
        <w:rPr>
          <w:rFonts w:cstheme="minorHAnsi"/>
        </w:rPr>
        <w:t>).</w:t>
      </w:r>
    </w:p>
    <w:p w14:paraId="1F664C5D" w14:textId="77777777" w:rsidR="005554D6" w:rsidRPr="00B014BC" w:rsidRDefault="005554D6" w:rsidP="004518BB">
      <w:pPr>
        <w:spacing w:after="0" w:line="240" w:lineRule="auto"/>
        <w:rPr>
          <w:rFonts w:cstheme="minorHAnsi"/>
          <w:b/>
          <w:bCs/>
        </w:rPr>
      </w:pPr>
    </w:p>
    <w:p w14:paraId="328C5D88" w14:textId="77777777" w:rsidR="005554D6" w:rsidRPr="00B014BC" w:rsidRDefault="005554D6" w:rsidP="004518BB">
      <w:pPr>
        <w:spacing w:after="0" w:line="240" w:lineRule="auto"/>
        <w:rPr>
          <w:rFonts w:cstheme="minorHAnsi"/>
          <w:b/>
          <w:bCs/>
        </w:rPr>
      </w:pPr>
      <w:r w:rsidRPr="00B014BC">
        <w:rPr>
          <w:rFonts w:cstheme="minorHAnsi"/>
          <w:b/>
          <w:bCs/>
        </w:rPr>
        <w:lastRenderedPageBreak/>
        <w:t>Výnosy z finančných aktív a aktív kryjúcich rezervy</w:t>
      </w:r>
    </w:p>
    <w:p w14:paraId="4DED0AC3" w14:textId="261C5030" w:rsidR="005554D6" w:rsidRPr="00B014BC" w:rsidRDefault="005554D6" w:rsidP="004518BB">
      <w:pPr>
        <w:spacing w:after="0" w:line="240" w:lineRule="auto"/>
        <w:rPr>
          <w:rFonts w:cstheme="minorHAnsi"/>
        </w:rPr>
      </w:pPr>
      <w:r w:rsidRPr="00B014BC">
        <w:rPr>
          <w:rFonts w:cstheme="minorHAnsi"/>
        </w:rPr>
        <w:t>Spoločnosť v roku 201</w:t>
      </w:r>
      <w:r w:rsidR="00B02719" w:rsidRPr="00B014BC">
        <w:rPr>
          <w:rFonts w:cstheme="minorHAnsi"/>
        </w:rPr>
        <w:t>5</w:t>
      </w:r>
      <w:r w:rsidRPr="00B014BC">
        <w:rPr>
          <w:rFonts w:cstheme="minorHAnsi"/>
        </w:rPr>
        <w:t xml:space="preserve"> dosiahla výnosy z finančných aktív na úrovni </w:t>
      </w:r>
      <w:r w:rsidR="009623ED" w:rsidRPr="00B014BC">
        <w:rPr>
          <w:rFonts w:cstheme="minorHAnsi"/>
        </w:rPr>
        <w:t>7,289</w:t>
      </w:r>
      <w:r w:rsidRPr="00B014BC">
        <w:rPr>
          <w:rFonts w:cstheme="minorHAnsi"/>
        </w:rPr>
        <w:t xml:space="preserve"> mil. </w:t>
      </w:r>
      <w:r w:rsidR="005F7071" w:rsidRPr="00B014BC">
        <w:rPr>
          <w:rFonts w:cstheme="minorHAnsi"/>
        </w:rPr>
        <w:t>eur</w:t>
      </w:r>
      <w:r w:rsidRPr="00B014BC">
        <w:rPr>
          <w:rFonts w:cstheme="minorHAnsi"/>
        </w:rPr>
        <w:t>, a to najmä z dlhových cenných papierov.</w:t>
      </w:r>
    </w:p>
    <w:p w14:paraId="19C2CB4F" w14:textId="77777777" w:rsidR="005554D6" w:rsidRPr="00B014BC" w:rsidRDefault="005554D6" w:rsidP="004518BB">
      <w:pPr>
        <w:spacing w:after="0" w:line="240" w:lineRule="auto"/>
        <w:rPr>
          <w:rFonts w:cstheme="minorHAnsi"/>
          <w:b/>
          <w:bCs/>
        </w:rPr>
      </w:pPr>
      <w:r w:rsidRPr="00B014BC">
        <w:rPr>
          <w:rFonts w:cstheme="minorHAnsi"/>
        </w:rPr>
        <w:t xml:space="preserve">Podrobnejšie informácie sú uvedené v poznámkach k účtovnej závierke (poznámka č. </w:t>
      </w:r>
      <w:r w:rsidR="00EE24C8" w:rsidRPr="00B014BC">
        <w:rPr>
          <w:rFonts w:cstheme="minorHAnsi"/>
        </w:rPr>
        <w:t>21</w:t>
      </w:r>
      <w:r w:rsidRPr="00B014BC">
        <w:rPr>
          <w:rFonts w:cstheme="minorHAnsi"/>
        </w:rPr>
        <w:t>).</w:t>
      </w:r>
    </w:p>
    <w:p w14:paraId="60FE61D3" w14:textId="77777777" w:rsidR="0040293C" w:rsidRPr="00B014BC" w:rsidRDefault="0040293C" w:rsidP="004518BB">
      <w:pPr>
        <w:spacing w:after="0" w:line="240" w:lineRule="auto"/>
        <w:rPr>
          <w:rFonts w:cstheme="minorHAnsi"/>
          <w:b/>
        </w:rPr>
      </w:pPr>
    </w:p>
    <w:p w14:paraId="6F49D2F6" w14:textId="77777777" w:rsidR="003E053E" w:rsidRPr="00B014BC" w:rsidRDefault="00C51961" w:rsidP="004518BB">
      <w:pPr>
        <w:spacing w:after="0" w:line="240" w:lineRule="auto"/>
        <w:rPr>
          <w:rFonts w:cstheme="minorHAnsi"/>
          <w:b/>
          <w:sz w:val="24"/>
          <w:szCs w:val="24"/>
        </w:rPr>
      </w:pPr>
      <w:r w:rsidRPr="00B014BC">
        <w:rPr>
          <w:rFonts w:cstheme="minorHAnsi"/>
          <w:b/>
          <w:sz w:val="24"/>
          <w:szCs w:val="24"/>
        </w:rPr>
        <w:t>5.1</w:t>
      </w:r>
      <w:r w:rsidR="00B87971" w:rsidRPr="00B014BC">
        <w:rPr>
          <w:rFonts w:cstheme="minorHAnsi"/>
          <w:b/>
          <w:sz w:val="24"/>
          <w:szCs w:val="24"/>
        </w:rPr>
        <w:t>3</w:t>
      </w:r>
      <w:r w:rsidR="003E053E" w:rsidRPr="00B014BC">
        <w:rPr>
          <w:rFonts w:cstheme="minorHAnsi"/>
          <w:b/>
          <w:sz w:val="24"/>
          <w:szCs w:val="24"/>
        </w:rPr>
        <w:t xml:space="preserve"> Návrh na rozdelenie zisku</w:t>
      </w:r>
    </w:p>
    <w:p w14:paraId="7E2F2877" w14:textId="77777777" w:rsidR="002D6BD8" w:rsidRPr="00B014BC" w:rsidRDefault="002D6BD8" w:rsidP="004518BB">
      <w:pPr>
        <w:spacing w:after="0" w:line="240" w:lineRule="auto"/>
        <w:rPr>
          <w:rFonts w:cstheme="minorHAnsi"/>
        </w:rPr>
      </w:pPr>
    </w:p>
    <w:p w14:paraId="72305C3B" w14:textId="4A5A31D3" w:rsidR="002D6BD8" w:rsidRPr="00B014BC" w:rsidRDefault="002D6BD8" w:rsidP="004518BB">
      <w:pPr>
        <w:spacing w:after="0" w:line="240" w:lineRule="auto"/>
        <w:rPr>
          <w:rFonts w:cstheme="minorHAnsi"/>
        </w:rPr>
      </w:pPr>
      <w:r w:rsidRPr="00B014BC">
        <w:rPr>
          <w:rFonts w:cstheme="minorHAnsi"/>
        </w:rPr>
        <w:t xml:space="preserve">Spoločnosť KOMUNÁLNA poisťovňa, </w:t>
      </w:r>
      <w:proofErr w:type="spellStart"/>
      <w:r w:rsidRPr="00B014BC">
        <w:rPr>
          <w:rFonts w:cstheme="minorHAnsi"/>
        </w:rPr>
        <w:t>a.s</w:t>
      </w:r>
      <w:proofErr w:type="spellEnd"/>
      <w:r w:rsidRPr="00B014BC">
        <w:rPr>
          <w:rFonts w:cstheme="minorHAnsi"/>
        </w:rPr>
        <w:t xml:space="preserve">. </w:t>
      </w:r>
      <w:proofErr w:type="spellStart"/>
      <w:r w:rsidRPr="00B014BC">
        <w:rPr>
          <w:rFonts w:cstheme="minorHAnsi"/>
        </w:rPr>
        <w:t>Vienna</w:t>
      </w:r>
      <w:proofErr w:type="spellEnd"/>
      <w:r w:rsidRPr="00B014BC">
        <w:rPr>
          <w:rFonts w:cstheme="minorHAnsi"/>
        </w:rPr>
        <w:t xml:space="preserve"> </w:t>
      </w:r>
      <w:proofErr w:type="spellStart"/>
      <w:r w:rsidRPr="00B014BC">
        <w:rPr>
          <w:rFonts w:cstheme="minorHAnsi"/>
        </w:rPr>
        <w:t>Insurance</w:t>
      </w:r>
      <w:proofErr w:type="spellEnd"/>
      <w:r w:rsidRPr="00B014BC">
        <w:rPr>
          <w:rFonts w:cstheme="minorHAnsi"/>
        </w:rPr>
        <w:t xml:space="preserve"> Group dosiahla v roku 201</w:t>
      </w:r>
      <w:r w:rsidR="00893D36" w:rsidRPr="00B014BC">
        <w:rPr>
          <w:rFonts w:cstheme="minorHAnsi"/>
        </w:rPr>
        <w:t>5</w:t>
      </w:r>
      <w:r w:rsidRPr="00B014BC">
        <w:rPr>
          <w:rFonts w:cstheme="minorHAnsi"/>
        </w:rPr>
        <w:t xml:space="preserve"> hospodársky výsledok po zdanení vo výške </w:t>
      </w:r>
      <w:r w:rsidR="00893D36" w:rsidRPr="00B014BC">
        <w:rPr>
          <w:rFonts w:cstheme="minorHAnsi"/>
        </w:rPr>
        <w:t>7 081</w:t>
      </w:r>
      <w:r w:rsidRPr="00B014BC">
        <w:rPr>
          <w:rFonts w:cstheme="minorHAnsi"/>
        </w:rPr>
        <w:t xml:space="preserve"> tis. </w:t>
      </w:r>
      <w:r w:rsidR="005F7071" w:rsidRPr="00B014BC">
        <w:rPr>
          <w:rFonts w:cstheme="minorHAnsi"/>
        </w:rPr>
        <w:t>eur</w:t>
      </w:r>
      <w:r w:rsidRPr="00B014BC">
        <w:rPr>
          <w:rFonts w:cstheme="minorHAnsi"/>
        </w:rPr>
        <w:t>.</w:t>
      </w:r>
    </w:p>
    <w:p w14:paraId="444F3F24" w14:textId="77777777" w:rsidR="002D6BD8" w:rsidRPr="00B014BC" w:rsidRDefault="002D6BD8" w:rsidP="004518BB">
      <w:pPr>
        <w:spacing w:after="0" w:line="240" w:lineRule="auto"/>
        <w:rPr>
          <w:rFonts w:cstheme="minorHAnsi"/>
        </w:rPr>
      </w:pPr>
      <w:r w:rsidRPr="00B014BC">
        <w:rPr>
          <w:rFonts w:cstheme="minorHAnsi"/>
        </w:rPr>
        <w:t>Predstavenstvo spoločnosti navrhuje Valnému zhromaždeniu hospodársky výsledok rozdeliť nasledovne:</w:t>
      </w:r>
    </w:p>
    <w:p w14:paraId="2F361DB9" w14:textId="1D423FD9" w:rsidR="002D6BD8" w:rsidRPr="00B014BC" w:rsidRDefault="002D6BD8" w:rsidP="004518BB">
      <w:pPr>
        <w:spacing w:after="0" w:line="240" w:lineRule="auto"/>
        <w:rPr>
          <w:rFonts w:cstheme="minorHAnsi"/>
        </w:rPr>
      </w:pPr>
      <w:r w:rsidRPr="00B014BC">
        <w:rPr>
          <w:rFonts w:cstheme="minorHAnsi"/>
        </w:rPr>
        <w:t>Hospodársky výsledok po zdanení</w:t>
      </w:r>
      <w:r w:rsidRPr="00B014BC">
        <w:rPr>
          <w:rFonts w:cstheme="minorHAnsi"/>
        </w:rPr>
        <w:tab/>
        <w:t xml:space="preserve">        </w:t>
      </w:r>
      <w:r w:rsidRPr="00B014BC">
        <w:rPr>
          <w:rFonts w:cstheme="minorHAnsi"/>
        </w:rPr>
        <w:tab/>
      </w:r>
      <w:r w:rsidRPr="00B014BC">
        <w:rPr>
          <w:rFonts w:cstheme="minorHAnsi"/>
        </w:rPr>
        <w:tab/>
      </w:r>
      <w:r w:rsidR="004D5E6A" w:rsidRPr="00B014BC">
        <w:rPr>
          <w:rFonts w:cstheme="minorHAnsi"/>
        </w:rPr>
        <w:t>7 081 056,24</w:t>
      </w:r>
      <w:r w:rsidR="00FF341A" w:rsidRPr="00B014BC">
        <w:rPr>
          <w:rFonts w:cstheme="minorHAnsi"/>
        </w:rPr>
        <w:t xml:space="preserve"> </w:t>
      </w:r>
      <w:r w:rsidR="005F7071" w:rsidRPr="00B014BC">
        <w:rPr>
          <w:rFonts w:cstheme="minorHAnsi"/>
        </w:rPr>
        <w:t>eur</w:t>
      </w:r>
      <w:r w:rsidRPr="00B014BC">
        <w:rPr>
          <w:rFonts w:cstheme="minorHAnsi"/>
        </w:rPr>
        <w:tab/>
      </w:r>
    </w:p>
    <w:p w14:paraId="4A1F0D49" w14:textId="16BDBBF3" w:rsidR="002D6BD8" w:rsidRPr="00B014BC" w:rsidRDefault="002D6BD8" w:rsidP="004518BB">
      <w:pPr>
        <w:spacing w:after="0" w:line="240" w:lineRule="auto"/>
        <w:rPr>
          <w:rFonts w:cstheme="minorHAnsi"/>
        </w:rPr>
      </w:pPr>
      <w:r w:rsidRPr="00B014BC">
        <w:rPr>
          <w:rFonts w:cstheme="minorHAnsi"/>
        </w:rPr>
        <w:t xml:space="preserve">Prídel do zákonného rezervného fondu  </w:t>
      </w:r>
      <w:r w:rsidRPr="00B014BC">
        <w:rPr>
          <w:rFonts w:cstheme="minorHAnsi"/>
        </w:rPr>
        <w:tab/>
        <w:t xml:space="preserve">  </w:t>
      </w:r>
      <w:r w:rsidRPr="00B014BC">
        <w:rPr>
          <w:rFonts w:cstheme="minorHAnsi"/>
        </w:rPr>
        <w:tab/>
        <w:t xml:space="preserve">   </w:t>
      </w:r>
      <w:r w:rsidR="004D5E6A" w:rsidRPr="00B014BC">
        <w:rPr>
          <w:rFonts w:cstheme="minorHAnsi"/>
        </w:rPr>
        <w:tab/>
      </w:r>
      <w:r w:rsidR="00FF341A" w:rsidRPr="00B014BC">
        <w:rPr>
          <w:rFonts w:cstheme="minorHAnsi"/>
        </w:rPr>
        <w:t xml:space="preserve">       </w:t>
      </w:r>
      <w:r w:rsidR="004D5E6A" w:rsidRPr="00B014BC">
        <w:rPr>
          <w:rFonts w:cstheme="minorHAnsi"/>
        </w:rPr>
        <w:t>0</w:t>
      </w:r>
      <w:r w:rsidRPr="00B014BC">
        <w:rPr>
          <w:rFonts w:cstheme="minorHAnsi"/>
        </w:rPr>
        <w:t xml:space="preserve"> </w:t>
      </w:r>
      <w:r w:rsidR="005F7071" w:rsidRPr="00B014BC">
        <w:rPr>
          <w:rFonts w:cstheme="minorHAnsi"/>
        </w:rPr>
        <w:t>eur</w:t>
      </w:r>
    </w:p>
    <w:p w14:paraId="244D8383" w14:textId="398B4765" w:rsidR="002D6BD8" w:rsidRPr="00B014BC" w:rsidRDefault="002D6BD8" w:rsidP="004518BB">
      <w:pPr>
        <w:spacing w:after="0" w:line="240" w:lineRule="auto"/>
        <w:rPr>
          <w:rFonts w:cstheme="minorHAnsi"/>
        </w:rPr>
      </w:pPr>
      <w:r w:rsidRPr="00B014BC">
        <w:rPr>
          <w:rFonts w:cstheme="minorHAnsi"/>
        </w:rPr>
        <w:t xml:space="preserve">Dividendy                                                                </w:t>
      </w:r>
      <w:r w:rsidRPr="00B014BC">
        <w:rPr>
          <w:rFonts w:cstheme="minorHAnsi"/>
        </w:rPr>
        <w:tab/>
      </w:r>
      <w:r w:rsidRPr="00B014BC">
        <w:rPr>
          <w:rFonts w:cstheme="minorHAnsi"/>
        </w:rPr>
        <w:tab/>
      </w:r>
      <w:r w:rsidR="004D5E6A" w:rsidRPr="00B014BC">
        <w:rPr>
          <w:rFonts w:cstheme="minorHAnsi"/>
        </w:rPr>
        <w:t>6 018</w:t>
      </w:r>
      <w:r w:rsidRPr="00B014BC">
        <w:rPr>
          <w:rFonts w:cstheme="minorHAnsi"/>
        </w:rPr>
        <w:t xml:space="preserve"> </w:t>
      </w:r>
      <w:r w:rsidR="008906A1" w:rsidRPr="00B014BC">
        <w:rPr>
          <w:rFonts w:cstheme="minorHAnsi"/>
        </w:rPr>
        <w:t>6</w:t>
      </w:r>
      <w:r w:rsidRPr="00B014BC">
        <w:rPr>
          <w:rFonts w:cstheme="minorHAnsi"/>
        </w:rPr>
        <w:t xml:space="preserve">00,00 </w:t>
      </w:r>
      <w:r w:rsidR="005F7071" w:rsidRPr="00B014BC">
        <w:rPr>
          <w:rFonts w:cstheme="minorHAnsi"/>
        </w:rPr>
        <w:t>eur</w:t>
      </w:r>
    </w:p>
    <w:p w14:paraId="0DD108CD" w14:textId="139B0F16" w:rsidR="00FD409B" w:rsidRPr="00B014BC" w:rsidRDefault="002D6BD8" w:rsidP="004518BB">
      <w:pPr>
        <w:spacing w:after="0" w:line="240" w:lineRule="auto"/>
        <w:rPr>
          <w:rFonts w:ascii="Calibri" w:eastAsia="Times New Roman" w:hAnsi="Calibri" w:cs="Arial"/>
        </w:rPr>
      </w:pPr>
      <w:r w:rsidRPr="00B014BC">
        <w:rPr>
          <w:rFonts w:ascii="Calibri" w:hAnsi="Calibri" w:cstheme="minorHAnsi"/>
        </w:rPr>
        <w:t xml:space="preserve">Nerozdelený zisk                                                       </w:t>
      </w:r>
      <w:r w:rsidRPr="00B014BC">
        <w:rPr>
          <w:rFonts w:ascii="Calibri" w:hAnsi="Calibri" w:cstheme="minorHAnsi"/>
        </w:rPr>
        <w:tab/>
      </w:r>
      <w:r w:rsidRPr="00B014BC">
        <w:rPr>
          <w:rFonts w:ascii="Calibri" w:hAnsi="Calibri" w:cstheme="minorHAnsi"/>
        </w:rPr>
        <w:tab/>
      </w:r>
      <w:r w:rsidR="004D5E6A" w:rsidRPr="00B014BC">
        <w:rPr>
          <w:rFonts w:ascii="Calibri" w:eastAsia="Times New Roman" w:hAnsi="Calibri" w:cs="Arial"/>
        </w:rPr>
        <w:t>1 062 456,24</w:t>
      </w:r>
      <w:r w:rsidR="00FF341A" w:rsidRPr="00B014BC">
        <w:rPr>
          <w:rFonts w:ascii="Calibri" w:eastAsia="Times New Roman" w:hAnsi="Calibri" w:cs="Arial"/>
        </w:rPr>
        <w:t xml:space="preserve"> </w:t>
      </w:r>
      <w:r w:rsidR="005F7071" w:rsidRPr="00B014BC">
        <w:rPr>
          <w:rFonts w:cstheme="minorHAnsi"/>
        </w:rPr>
        <w:t>eur</w:t>
      </w:r>
    </w:p>
    <w:p w14:paraId="3ADC6FE4" w14:textId="274B50E1" w:rsidR="002D6BD8" w:rsidRPr="00B014BC" w:rsidRDefault="002D6BD8" w:rsidP="004518BB">
      <w:pPr>
        <w:spacing w:after="0" w:line="240" w:lineRule="auto"/>
        <w:rPr>
          <w:rFonts w:ascii="Calibri" w:eastAsia="Times New Roman" w:hAnsi="Calibri" w:cs="Arial"/>
        </w:rPr>
      </w:pPr>
      <w:r w:rsidRPr="00B014BC">
        <w:rPr>
          <w:rFonts w:cstheme="minorHAnsi"/>
        </w:rPr>
        <w:t xml:space="preserve">Rozdelenie zisku bude schválené Valným zhromaždením dňa </w:t>
      </w:r>
      <w:r w:rsidR="00FF341A" w:rsidRPr="00B014BC">
        <w:rPr>
          <w:rFonts w:cstheme="minorHAnsi"/>
        </w:rPr>
        <w:t>2</w:t>
      </w:r>
      <w:r w:rsidR="008906A1" w:rsidRPr="00B014BC">
        <w:rPr>
          <w:rFonts w:cstheme="minorHAnsi"/>
        </w:rPr>
        <w:t>9</w:t>
      </w:r>
      <w:r w:rsidRPr="00B014BC">
        <w:rPr>
          <w:rFonts w:cstheme="minorHAnsi"/>
        </w:rPr>
        <w:t>. marca 201</w:t>
      </w:r>
      <w:r w:rsidR="00FF341A" w:rsidRPr="00B014BC">
        <w:rPr>
          <w:rFonts w:cstheme="minorHAnsi"/>
        </w:rPr>
        <w:t>6</w:t>
      </w:r>
      <w:r w:rsidRPr="00B014BC">
        <w:rPr>
          <w:rFonts w:cstheme="minorHAnsi"/>
        </w:rPr>
        <w:t>.</w:t>
      </w:r>
    </w:p>
    <w:p w14:paraId="52C11B4C" w14:textId="77777777" w:rsidR="00FD409B" w:rsidRPr="00B014BC" w:rsidRDefault="00FD409B" w:rsidP="004518BB">
      <w:pPr>
        <w:spacing w:after="0" w:line="240" w:lineRule="auto"/>
        <w:ind w:left="360"/>
        <w:rPr>
          <w:rFonts w:cstheme="minorHAnsi"/>
        </w:rPr>
      </w:pPr>
    </w:p>
    <w:p w14:paraId="5541239A" w14:textId="77777777" w:rsidR="00FD409B" w:rsidRPr="00B014BC" w:rsidRDefault="00FD409B" w:rsidP="004518BB">
      <w:pPr>
        <w:spacing w:after="0" w:line="240" w:lineRule="auto"/>
        <w:ind w:left="360"/>
        <w:rPr>
          <w:rFonts w:cstheme="minorHAnsi"/>
        </w:rPr>
      </w:pPr>
    </w:p>
    <w:p w14:paraId="1AEAA6FE" w14:textId="77777777" w:rsidR="003E053E" w:rsidRPr="00B014BC" w:rsidRDefault="00C31E56" w:rsidP="004518BB">
      <w:pPr>
        <w:spacing w:after="0" w:line="240" w:lineRule="auto"/>
        <w:ind w:left="360"/>
        <w:rPr>
          <w:rFonts w:cstheme="minorHAnsi"/>
          <w:b/>
          <w:sz w:val="28"/>
          <w:szCs w:val="28"/>
        </w:rPr>
      </w:pPr>
      <w:r w:rsidRPr="00B014BC">
        <w:rPr>
          <w:rFonts w:cstheme="minorHAnsi"/>
          <w:b/>
          <w:sz w:val="28"/>
          <w:szCs w:val="28"/>
        </w:rPr>
        <w:t xml:space="preserve">6. </w:t>
      </w:r>
      <w:r w:rsidR="003E053E" w:rsidRPr="00B014BC">
        <w:rPr>
          <w:rFonts w:cstheme="minorHAnsi"/>
          <w:b/>
          <w:sz w:val="28"/>
          <w:szCs w:val="28"/>
        </w:rPr>
        <w:t>Správa dozornej rady</w:t>
      </w:r>
    </w:p>
    <w:p w14:paraId="37151C8A" w14:textId="77777777" w:rsidR="00EC40C9" w:rsidRPr="00B014BC" w:rsidRDefault="00EC40C9" w:rsidP="004518BB">
      <w:pPr>
        <w:spacing w:after="0" w:line="240" w:lineRule="auto"/>
        <w:ind w:left="66"/>
        <w:rPr>
          <w:rFonts w:cstheme="minorHAnsi"/>
          <w:b/>
        </w:rPr>
      </w:pPr>
    </w:p>
    <w:p w14:paraId="3FF4B1CD" w14:textId="0C08C749" w:rsidR="00EC40C9" w:rsidRPr="00B014BC" w:rsidRDefault="006E4889" w:rsidP="004518BB">
      <w:pPr>
        <w:spacing w:after="0" w:line="240" w:lineRule="auto"/>
        <w:rPr>
          <w:rFonts w:cstheme="minorHAnsi"/>
        </w:rPr>
      </w:pPr>
      <w:r w:rsidRPr="00B014BC">
        <w:rPr>
          <w:rFonts w:cstheme="minorHAnsi"/>
        </w:rPr>
        <w:t>Predstavenstvo doručilo Dozornej rade</w:t>
      </w:r>
      <w:r w:rsidR="00EC40C9" w:rsidRPr="00B014BC">
        <w:rPr>
          <w:rFonts w:cstheme="minorHAnsi"/>
        </w:rPr>
        <w:t xml:space="preserve"> riadnu ročnú účtovnú závierku k 31. 12. 201</w:t>
      </w:r>
      <w:r w:rsidR="00933DEE" w:rsidRPr="00B014BC">
        <w:rPr>
          <w:rFonts w:cstheme="minorHAnsi"/>
        </w:rPr>
        <w:t>5</w:t>
      </w:r>
      <w:r w:rsidR="00EC40C9" w:rsidRPr="00B014BC">
        <w:rPr>
          <w:rFonts w:cstheme="minorHAnsi"/>
        </w:rPr>
        <w:t xml:space="preserve"> vrátane prílohy, návrh na rozdelenie zisku za rok 201</w:t>
      </w:r>
      <w:r w:rsidR="00933DEE" w:rsidRPr="00B014BC">
        <w:rPr>
          <w:rFonts w:cstheme="minorHAnsi"/>
        </w:rPr>
        <w:t>5</w:t>
      </w:r>
      <w:r w:rsidR="00EC40C9" w:rsidRPr="00B014BC">
        <w:rPr>
          <w:rFonts w:cstheme="minorHAnsi"/>
        </w:rPr>
        <w:t>, správu Predstavenstva o výsledkoch hospodárenia, podnikateľskej činnosti a stave majetku spoločnosti k 31. 12. 201</w:t>
      </w:r>
      <w:r w:rsidR="00933DEE" w:rsidRPr="00B014BC">
        <w:rPr>
          <w:rFonts w:cstheme="minorHAnsi"/>
        </w:rPr>
        <w:t>5</w:t>
      </w:r>
      <w:r w:rsidR="00EC40C9" w:rsidRPr="00B014BC">
        <w:rPr>
          <w:rFonts w:cstheme="minorHAnsi"/>
        </w:rPr>
        <w:t>, ako aj výročnú správu spoločnosti za rok 201</w:t>
      </w:r>
      <w:r w:rsidR="00933DEE" w:rsidRPr="00B014BC">
        <w:rPr>
          <w:rFonts w:cstheme="minorHAnsi"/>
        </w:rPr>
        <w:t>5</w:t>
      </w:r>
      <w:r w:rsidR="00EC40C9" w:rsidRPr="00B014BC">
        <w:rPr>
          <w:rFonts w:cstheme="minorHAnsi"/>
        </w:rPr>
        <w:t>, ktoré preštudovala a dôsledne preskúmala.</w:t>
      </w:r>
    </w:p>
    <w:p w14:paraId="2955CCE2" w14:textId="15E12DC6" w:rsidR="00EC40C9" w:rsidRPr="00B014BC" w:rsidRDefault="00EC40C9" w:rsidP="004518BB">
      <w:pPr>
        <w:spacing w:after="0" w:line="240" w:lineRule="auto"/>
        <w:rPr>
          <w:rFonts w:cstheme="minorHAnsi"/>
        </w:rPr>
      </w:pPr>
      <w:r w:rsidRPr="00B014BC">
        <w:rPr>
          <w:rFonts w:cstheme="minorHAnsi"/>
        </w:rPr>
        <w:t xml:space="preserve">Ako výsledok tejto kontroly prijala Dozorná rada </w:t>
      </w:r>
      <w:r w:rsidR="006E4889" w:rsidRPr="00B014BC">
        <w:rPr>
          <w:rFonts w:cstheme="minorHAnsi"/>
        </w:rPr>
        <w:t>jednomyseľne</w:t>
      </w:r>
      <w:r w:rsidRPr="00B014BC">
        <w:rPr>
          <w:rFonts w:cstheme="minorHAnsi"/>
        </w:rPr>
        <w:t xml:space="preserve"> uznesenie, v ktorom bola odsúhlasená Predstavenstvom zostavená riadna individuálna účtovná závierka k 31. 12. 201</w:t>
      </w:r>
      <w:r w:rsidR="00933DEE" w:rsidRPr="00B014BC">
        <w:rPr>
          <w:rFonts w:cstheme="minorHAnsi"/>
        </w:rPr>
        <w:t>5</w:t>
      </w:r>
      <w:r w:rsidRPr="00B014BC">
        <w:rPr>
          <w:rFonts w:cstheme="minorHAnsi"/>
        </w:rPr>
        <w:t xml:space="preserve"> vrátane prílohy, návrh na rozdelenie zisku za obchodný rok 201</w:t>
      </w:r>
      <w:r w:rsidR="00933DEE" w:rsidRPr="00B014BC">
        <w:rPr>
          <w:rFonts w:cstheme="minorHAnsi"/>
        </w:rPr>
        <w:t>5</w:t>
      </w:r>
      <w:r w:rsidRPr="00B014BC">
        <w:rPr>
          <w:rFonts w:cstheme="minorHAnsi"/>
        </w:rPr>
        <w:t>, správa Predstavenstva o výsledkoch hospodárenia, podnikateľskej činnosti a stave majetku spoločnosti k 31. 12. 201</w:t>
      </w:r>
      <w:r w:rsidR="00933DEE" w:rsidRPr="00B014BC">
        <w:rPr>
          <w:rFonts w:cstheme="minorHAnsi"/>
        </w:rPr>
        <w:t>5</w:t>
      </w:r>
      <w:r w:rsidRPr="00B014BC">
        <w:rPr>
          <w:rFonts w:cstheme="minorHAnsi"/>
        </w:rPr>
        <w:t>, ako aj výročná správa spoločnosti za rok 201</w:t>
      </w:r>
      <w:r w:rsidR="00933DEE" w:rsidRPr="00B014BC">
        <w:rPr>
          <w:rFonts w:cstheme="minorHAnsi"/>
        </w:rPr>
        <w:t>5</w:t>
      </w:r>
      <w:r w:rsidRPr="00B014BC">
        <w:rPr>
          <w:rFonts w:cstheme="minorHAnsi"/>
        </w:rPr>
        <w:t>.</w:t>
      </w:r>
    </w:p>
    <w:p w14:paraId="5BA1B18C" w14:textId="77777777" w:rsidR="00EC40C9" w:rsidRPr="00B014BC" w:rsidRDefault="00EC40C9" w:rsidP="004518BB">
      <w:pPr>
        <w:spacing w:after="0" w:line="240" w:lineRule="auto"/>
        <w:rPr>
          <w:rFonts w:cstheme="minorHAnsi"/>
        </w:rPr>
      </w:pPr>
      <w:r w:rsidRPr="00B014BC">
        <w:rPr>
          <w:rFonts w:cstheme="minorHAnsi"/>
        </w:rPr>
        <w:t xml:space="preserve">Dozorná rada konštatuje, že využila možnosť, či už ako celok alebo čiastočne prostredníctvom predsedu a podpredsedu Dozornej rady priebežne, počas celého roka, kontrolovať činnosť Predstavenstva spoločnosti. Uskutočnili sa konzultácie s jednotlivými členmi Predstavenstva, ktorí na základe účtovných kníh a dokumentov poskytovali odpovede a vysvetlenia týkajúce sa vedenia obchodných záležitostí spoločnosti. </w:t>
      </w:r>
    </w:p>
    <w:p w14:paraId="65253195" w14:textId="5EBF95BA" w:rsidR="00EC40C9" w:rsidRPr="00B014BC" w:rsidRDefault="00EC40C9" w:rsidP="004518BB">
      <w:pPr>
        <w:spacing w:after="0" w:line="240" w:lineRule="auto"/>
        <w:rPr>
          <w:rFonts w:cstheme="minorHAnsi"/>
        </w:rPr>
      </w:pPr>
      <w:r w:rsidRPr="00B014BC">
        <w:rPr>
          <w:rFonts w:cstheme="minorHAnsi"/>
        </w:rPr>
        <w:t>V roku 201</w:t>
      </w:r>
      <w:r w:rsidR="00933DEE" w:rsidRPr="00B014BC">
        <w:rPr>
          <w:rFonts w:cstheme="minorHAnsi"/>
        </w:rPr>
        <w:t>5</w:t>
      </w:r>
      <w:r w:rsidRPr="00B014BC">
        <w:rPr>
          <w:rFonts w:cstheme="minorHAnsi"/>
        </w:rPr>
        <w:t xml:space="preserve"> sa konalo jedno riadne Valné zhromaždenie</w:t>
      </w:r>
      <w:r w:rsidR="003E1675" w:rsidRPr="00B014BC">
        <w:rPr>
          <w:rFonts w:cstheme="minorHAnsi"/>
        </w:rPr>
        <w:t>, jedno mimoriadne Valné zhromaždenie</w:t>
      </w:r>
      <w:r w:rsidRPr="00B014BC">
        <w:rPr>
          <w:rFonts w:cstheme="minorHAnsi"/>
        </w:rPr>
        <w:t xml:space="preserve"> a </w:t>
      </w:r>
      <w:r w:rsidR="006E4889" w:rsidRPr="00B014BC">
        <w:rPr>
          <w:rFonts w:cstheme="minorHAnsi"/>
        </w:rPr>
        <w:t>štyri</w:t>
      </w:r>
      <w:r w:rsidR="003E1675" w:rsidRPr="00B014BC">
        <w:rPr>
          <w:rFonts w:cstheme="minorHAnsi"/>
        </w:rPr>
        <w:t xml:space="preserve"> zasadnutia </w:t>
      </w:r>
      <w:r w:rsidRPr="00B014BC">
        <w:rPr>
          <w:rFonts w:cstheme="minorHAnsi"/>
        </w:rPr>
        <w:t xml:space="preserve">Dozornej rady. </w:t>
      </w:r>
    </w:p>
    <w:p w14:paraId="5EEC0648" w14:textId="357B23FE" w:rsidR="00EC40C9" w:rsidRPr="00B014BC" w:rsidRDefault="00EC40C9" w:rsidP="004518BB">
      <w:pPr>
        <w:spacing w:after="0" w:line="240" w:lineRule="auto"/>
        <w:rPr>
          <w:rFonts w:cstheme="minorHAnsi"/>
        </w:rPr>
      </w:pPr>
      <w:r w:rsidRPr="00B014BC">
        <w:rPr>
          <w:rFonts w:cstheme="minorHAnsi"/>
        </w:rPr>
        <w:t>Dozorná rada oznamuje Valnému zhromaždeniu, že riadna účtovná závierka k 31. 12. 201</w:t>
      </w:r>
      <w:r w:rsidR="00933DEE" w:rsidRPr="00B014BC">
        <w:rPr>
          <w:rFonts w:cstheme="minorHAnsi"/>
        </w:rPr>
        <w:t>5</w:t>
      </w:r>
      <w:r w:rsidR="006E4889" w:rsidRPr="00B014BC">
        <w:rPr>
          <w:rFonts w:cstheme="minorHAnsi"/>
        </w:rPr>
        <w:t xml:space="preserve"> bola overená audítorom </w:t>
      </w:r>
      <w:proofErr w:type="spellStart"/>
      <w:r w:rsidRPr="00B014BC">
        <w:rPr>
          <w:rFonts w:cstheme="minorHAnsi"/>
        </w:rPr>
        <w:t>PricewaterhouseCoopers</w:t>
      </w:r>
      <w:proofErr w:type="spellEnd"/>
      <w:r w:rsidRPr="00B014BC">
        <w:rPr>
          <w:rFonts w:cstheme="minorHAnsi"/>
        </w:rPr>
        <w:t xml:space="preserve"> Slovensko, </w:t>
      </w:r>
      <w:proofErr w:type="spellStart"/>
      <w:r w:rsidRPr="00B014BC">
        <w:rPr>
          <w:rFonts w:cstheme="minorHAnsi"/>
        </w:rPr>
        <w:t>s.r.o</w:t>
      </w:r>
      <w:proofErr w:type="spellEnd"/>
      <w:r w:rsidRPr="00B014BC">
        <w:rPr>
          <w:rFonts w:cstheme="minorHAnsi"/>
        </w:rPr>
        <w:t xml:space="preserve">., že Dozorná rada dostala audítorskú správu, ktorú preštudovala a prerokovala a berie na vedomie, že tento audit nedáva v konečnom dôsledku dôvod na námietky. </w:t>
      </w:r>
      <w:r w:rsidRPr="00B014BC">
        <w:rPr>
          <w:rFonts w:cstheme="minorHAnsi"/>
        </w:rPr>
        <w:tab/>
      </w:r>
    </w:p>
    <w:p w14:paraId="1FB9DA3D" w14:textId="77777777" w:rsidR="00EC40C9" w:rsidRPr="00B014BC" w:rsidRDefault="00EC40C9" w:rsidP="004518BB">
      <w:pPr>
        <w:spacing w:after="0" w:line="240" w:lineRule="auto"/>
        <w:rPr>
          <w:rFonts w:cstheme="minorHAnsi"/>
        </w:rPr>
      </w:pPr>
      <w:r w:rsidRPr="00B014BC">
        <w:rPr>
          <w:rFonts w:cstheme="minorHAnsi"/>
        </w:rPr>
        <w:t xml:space="preserve">Dozorná rada zo svojho pohľadu vyhlasuje, že k audítorskej správe nemá čo dodať. </w:t>
      </w:r>
    </w:p>
    <w:p w14:paraId="37F62715" w14:textId="77777777" w:rsidR="00EC40C9" w:rsidRPr="00B014BC" w:rsidRDefault="00EC40C9" w:rsidP="004518BB">
      <w:pPr>
        <w:spacing w:after="0" w:line="240" w:lineRule="auto"/>
        <w:rPr>
          <w:rFonts w:cstheme="minorHAnsi"/>
        </w:rPr>
      </w:pPr>
      <w:r w:rsidRPr="00B014BC">
        <w:rPr>
          <w:rFonts w:cstheme="minorHAnsi"/>
        </w:rPr>
        <w:t>Dozorná rada ďalej informuje, že podľa § 18, ods. 3) písmeno m) stanov spadá do kompetencie Valného zhromaždenia udeľovanie súhlasu na uzatváranie zmlúv podľa § 196a Obchodného zákonníka. Aby bol zabezpečený praktický postup, splnomocnilo Valné zhromaždenie Dozornú radu udeľovať súhlas na uzatváranie zmlúv podľa § 196a Obchodného zákonníka.</w:t>
      </w:r>
    </w:p>
    <w:p w14:paraId="7946310F" w14:textId="031D0B05" w:rsidR="00EC40C9" w:rsidRPr="00B014BC" w:rsidRDefault="00933DEE" w:rsidP="004518BB">
      <w:pPr>
        <w:spacing w:after="0" w:line="240" w:lineRule="auto"/>
        <w:rPr>
          <w:rFonts w:cstheme="minorHAnsi"/>
        </w:rPr>
      </w:pPr>
      <w:r w:rsidRPr="00B014BC">
        <w:rPr>
          <w:rFonts w:cstheme="minorHAnsi"/>
        </w:rPr>
        <w:t>V obchodnom roku 2015</w:t>
      </w:r>
      <w:r w:rsidR="00EC40C9" w:rsidRPr="00B014BC">
        <w:rPr>
          <w:rFonts w:cstheme="minorHAnsi"/>
        </w:rPr>
        <w:t xml:space="preserve"> Dozorná rada spoločnosti neudelila žiadne povolenie k uzatváraniu zmlúv podľa § 196a Obchodného zákonníka.</w:t>
      </w:r>
    </w:p>
    <w:p w14:paraId="14D503E3" w14:textId="77777777" w:rsidR="00EC40C9" w:rsidRPr="00B014BC" w:rsidRDefault="00EC40C9" w:rsidP="004518BB">
      <w:pPr>
        <w:spacing w:after="0" w:line="240" w:lineRule="auto"/>
        <w:rPr>
          <w:rFonts w:cstheme="minorHAnsi"/>
        </w:rPr>
      </w:pPr>
    </w:p>
    <w:p w14:paraId="4B02E39F" w14:textId="77777777" w:rsidR="00EC40C9" w:rsidRPr="00B014BC" w:rsidRDefault="00EC40C9" w:rsidP="004518BB">
      <w:pPr>
        <w:spacing w:after="0" w:line="240" w:lineRule="auto"/>
        <w:rPr>
          <w:rFonts w:cstheme="minorHAnsi"/>
          <w:b/>
        </w:rPr>
      </w:pPr>
      <w:r w:rsidRPr="00B014BC">
        <w:rPr>
          <w:rFonts w:cstheme="minorHAnsi"/>
          <w:b/>
        </w:rPr>
        <w:t xml:space="preserve">Ing. Juraj </w:t>
      </w:r>
      <w:proofErr w:type="spellStart"/>
      <w:r w:rsidRPr="00B014BC">
        <w:rPr>
          <w:rFonts w:cstheme="minorHAnsi"/>
          <w:b/>
        </w:rPr>
        <w:t>Lelkes</w:t>
      </w:r>
      <w:proofErr w:type="spellEnd"/>
    </w:p>
    <w:p w14:paraId="48E32187" w14:textId="77777777" w:rsidR="00EC40C9" w:rsidRPr="00B014BC" w:rsidRDefault="00EC40C9" w:rsidP="004518BB">
      <w:pPr>
        <w:spacing w:after="0" w:line="240" w:lineRule="auto"/>
        <w:rPr>
          <w:rFonts w:cstheme="minorHAnsi"/>
          <w:b/>
        </w:rPr>
      </w:pPr>
      <w:r w:rsidRPr="00B014BC">
        <w:rPr>
          <w:rFonts w:cstheme="minorHAnsi"/>
          <w:b/>
        </w:rPr>
        <w:t>predseda dozornej rady</w:t>
      </w:r>
    </w:p>
    <w:p w14:paraId="08D1386A" w14:textId="7AC00915" w:rsidR="003E053E" w:rsidRPr="00B014BC" w:rsidRDefault="00933DEE" w:rsidP="004518BB">
      <w:pPr>
        <w:spacing w:after="0" w:line="240" w:lineRule="auto"/>
        <w:rPr>
          <w:rFonts w:cstheme="minorHAnsi"/>
        </w:rPr>
      </w:pPr>
      <w:r w:rsidRPr="00B014BC">
        <w:rPr>
          <w:rFonts w:cstheme="minorHAnsi"/>
        </w:rPr>
        <w:t>Bratislava, marec 2016</w:t>
      </w:r>
    </w:p>
    <w:sectPr w:rsidR="003E053E" w:rsidRPr="00B014BC" w:rsidSect="00612559">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42C2C9" w14:textId="77777777" w:rsidR="007E1083" w:rsidRDefault="007E1083" w:rsidP="00DE08AC">
      <w:pPr>
        <w:spacing w:after="0" w:line="240" w:lineRule="auto"/>
      </w:pPr>
      <w:r>
        <w:separator/>
      </w:r>
    </w:p>
  </w:endnote>
  <w:endnote w:type="continuationSeparator" w:id="0">
    <w:p w14:paraId="6C807C20" w14:textId="77777777" w:rsidR="007E1083" w:rsidRDefault="007E1083" w:rsidP="00DE08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Roboto-Regular-webfont">
    <w:altName w:val="Times New Roman"/>
    <w:charset w:val="00"/>
    <w:family w:val="auto"/>
    <w:pitch w:val="default"/>
  </w:font>
  <w:font w:name="MingLiU">
    <w:panose1 w:val="02020509000000000000"/>
    <w:charset w:val="88"/>
    <w:family w:val="auto"/>
    <w:pitch w:val="variable"/>
    <w:sig w:usb0="A00002FF" w:usb1="28CFFCFA" w:usb2="00000016" w:usb3="00000000" w:csb0="001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0826830"/>
      <w:docPartObj>
        <w:docPartGallery w:val="Page Numbers (Bottom of Page)"/>
        <w:docPartUnique/>
      </w:docPartObj>
    </w:sdtPr>
    <w:sdtEndPr/>
    <w:sdtContent>
      <w:p w14:paraId="4FDCB77D" w14:textId="77777777" w:rsidR="008C4396" w:rsidRDefault="008C4396">
        <w:pPr>
          <w:pStyle w:val="Footer"/>
          <w:jc w:val="right"/>
        </w:pPr>
        <w:r>
          <w:fldChar w:fldCharType="begin"/>
        </w:r>
        <w:r>
          <w:instrText>PAGE   \* MERGEFORMAT</w:instrText>
        </w:r>
        <w:r>
          <w:fldChar w:fldCharType="separate"/>
        </w:r>
        <w:r w:rsidR="0064092F">
          <w:rPr>
            <w:noProof/>
          </w:rPr>
          <w:t>11</w:t>
        </w:r>
        <w:r>
          <w:fldChar w:fldCharType="end"/>
        </w:r>
      </w:p>
    </w:sdtContent>
  </w:sdt>
  <w:p w14:paraId="61781245" w14:textId="77777777" w:rsidR="008C4396" w:rsidRDefault="008C439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5D7395" w14:textId="77777777" w:rsidR="007E1083" w:rsidRDefault="007E1083" w:rsidP="00DE08AC">
      <w:pPr>
        <w:spacing w:after="0" w:line="240" w:lineRule="auto"/>
      </w:pPr>
      <w:r>
        <w:separator/>
      </w:r>
    </w:p>
  </w:footnote>
  <w:footnote w:type="continuationSeparator" w:id="0">
    <w:p w14:paraId="6210753B" w14:textId="77777777" w:rsidR="007E1083" w:rsidRDefault="007E1083" w:rsidP="00DE08A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2001C"/>
    <w:multiLevelType w:val="hybridMultilevel"/>
    <w:tmpl w:val="CDB2D9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282943"/>
    <w:multiLevelType w:val="hybridMultilevel"/>
    <w:tmpl w:val="10340A34"/>
    <w:lvl w:ilvl="0" w:tplc="9058F01C">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058E498F"/>
    <w:multiLevelType w:val="hybridMultilevel"/>
    <w:tmpl w:val="8370FF48"/>
    <w:lvl w:ilvl="0" w:tplc="7E620054">
      <w:numFmt w:val="bullet"/>
      <w:lvlText w:val=""/>
      <w:lvlJc w:val="left"/>
      <w:pPr>
        <w:tabs>
          <w:tab w:val="num" w:pos="720"/>
        </w:tabs>
        <w:ind w:left="720" w:hanging="360"/>
      </w:pPr>
      <w:rPr>
        <w:rFonts w:ascii="Symbol" w:hAnsi="Symbol" w:hint="default"/>
        <w:b w:val="0"/>
        <w:color w:val="FF0000"/>
        <w:sz w:val="28"/>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0BA03313"/>
    <w:multiLevelType w:val="hybridMultilevel"/>
    <w:tmpl w:val="5EC893DE"/>
    <w:lvl w:ilvl="0" w:tplc="041B000F">
      <w:start w:val="9"/>
      <w:numFmt w:val="decimal"/>
      <w:lvlText w:val="%1."/>
      <w:lvlJc w:val="left"/>
      <w:pPr>
        <w:tabs>
          <w:tab w:val="num" w:pos="720"/>
        </w:tabs>
        <w:ind w:left="720" w:hanging="360"/>
      </w:pPr>
      <w:rPr>
        <w:rFonts w:hint="default"/>
      </w:rPr>
    </w:lvl>
    <w:lvl w:ilvl="1" w:tplc="4BAC930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0FC6507F"/>
    <w:multiLevelType w:val="hybridMultilevel"/>
    <w:tmpl w:val="49B410C6"/>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15674962"/>
    <w:multiLevelType w:val="hybridMultilevel"/>
    <w:tmpl w:val="D7DE0600"/>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nsid w:val="17F25561"/>
    <w:multiLevelType w:val="hybridMultilevel"/>
    <w:tmpl w:val="4126BE0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B523D60"/>
    <w:multiLevelType w:val="hybridMultilevel"/>
    <w:tmpl w:val="88EEB25E"/>
    <w:lvl w:ilvl="0" w:tplc="7E620054">
      <w:numFmt w:val="bullet"/>
      <w:lvlText w:val=""/>
      <w:lvlJc w:val="left"/>
      <w:pPr>
        <w:ind w:left="720" w:hanging="360"/>
      </w:pPr>
      <w:rPr>
        <w:rFonts w:ascii="Symbol" w:hAnsi="Symbol" w:hint="default"/>
        <w:b w:val="0"/>
        <w:color w:val="FF0000"/>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381D8C"/>
    <w:multiLevelType w:val="hybridMultilevel"/>
    <w:tmpl w:val="8AC8A50E"/>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nsid w:val="1F0423E0"/>
    <w:multiLevelType w:val="hybridMultilevel"/>
    <w:tmpl w:val="9BCC51E8"/>
    <w:lvl w:ilvl="0" w:tplc="041B000B">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nsid w:val="1FEA023A"/>
    <w:multiLevelType w:val="hybridMultilevel"/>
    <w:tmpl w:val="8EC4A040"/>
    <w:lvl w:ilvl="0" w:tplc="3076AF86">
      <w:start w:val="1"/>
      <w:numFmt w:val="bullet"/>
      <w:lvlText w:val=""/>
      <w:lvlJc w:val="left"/>
      <w:pPr>
        <w:tabs>
          <w:tab w:val="num" w:pos="567"/>
        </w:tabs>
        <w:ind w:left="567" w:hanging="283"/>
      </w:pPr>
      <w:rPr>
        <w:rFonts w:ascii="Symbol" w:hAnsi="Symbol" w:hint="default"/>
        <w:color w:val="auto"/>
      </w:rPr>
    </w:lvl>
    <w:lvl w:ilvl="1" w:tplc="3D1EFC44">
      <w:start w:val="1"/>
      <w:numFmt w:val="lowerLetter"/>
      <w:lvlText w:val="%2)"/>
      <w:lvlJc w:val="left"/>
      <w:pPr>
        <w:tabs>
          <w:tab w:val="num" w:pos="1440"/>
        </w:tabs>
        <w:ind w:left="1440" w:hanging="360"/>
      </w:pPr>
      <w:rPr>
        <w:rFonts w:hint="default"/>
        <w:color w:val="auto"/>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4183F11"/>
    <w:multiLevelType w:val="hybridMultilevel"/>
    <w:tmpl w:val="4F783B2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00D0083"/>
    <w:multiLevelType w:val="hybridMultilevel"/>
    <w:tmpl w:val="1CDA39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0EA0284"/>
    <w:multiLevelType w:val="hybridMultilevel"/>
    <w:tmpl w:val="685AC3E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3">
      <w:start w:val="1"/>
      <w:numFmt w:val="bullet"/>
      <w:lvlText w:val="o"/>
      <w:lvlJc w:val="left"/>
      <w:pPr>
        <w:tabs>
          <w:tab w:val="num" w:pos="2160"/>
        </w:tabs>
        <w:ind w:left="2160" w:hanging="360"/>
      </w:pPr>
      <w:rPr>
        <w:rFonts w:ascii="Courier New" w:hAnsi="Courier New"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491B4DA3"/>
    <w:multiLevelType w:val="hybridMultilevel"/>
    <w:tmpl w:val="567E7B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A740134"/>
    <w:multiLevelType w:val="hybridMultilevel"/>
    <w:tmpl w:val="3D16E2F8"/>
    <w:lvl w:ilvl="0" w:tplc="041B000F">
      <w:start w:val="1"/>
      <w:numFmt w:val="decimal"/>
      <w:lvlText w:val="%1."/>
      <w:lvlJc w:val="left"/>
      <w:pPr>
        <w:ind w:left="720" w:hanging="360"/>
      </w:pPr>
      <w:rPr>
        <w:rFonts w:hint="default"/>
      </w:r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ABB30D6"/>
    <w:multiLevelType w:val="hybridMultilevel"/>
    <w:tmpl w:val="685AC3E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4D4D4362"/>
    <w:multiLevelType w:val="hybridMultilevel"/>
    <w:tmpl w:val="AF9097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09B0360"/>
    <w:multiLevelType w:val="hybridMultilevel"/>
    <w:tmpl w:val="77047A1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5D0B47C5"/>
    <w:multiLevelType w:val="hybridMultilevel"/>
    <w:tmpl w:val="B086B5A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5DF53869"/>
    <w:multiLevelType w:val="hybridMultilevel"/>
    <w:tmpl w:val="AE72B7C2"/>
    <w:lvl w:ilvl="0" w:tplc="041B0001">
      <w:start w:val="1"/>
      <w:numFmt w:val="bullet"/>
      <w:lvlText w:val=""/>
      <w:lvlJc w:val="left"/>
      <w:pPr>
        <w:ind w:left="1080" w:hanging="360"/>
      </w:pPr>
      <w:rPr>
        <w:rFonts w:ascii="Symbol" w:hAnsi="Symbo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1">
    <w:nsid w:val="60531E1D"/>
    <w:multiLevelType w:val="hybridMultilevel"/>
    <w:tmpl w:val="D512A714"/>
    <w:lvl w:ilvl="0" w:tplc="041B000F">
      <w:start w:val="1"/>
      <w:numFmt w:val="decimal"/>
      <w:lvlText w:val="%1."/>
      <w:lvlJc w:val="left"/>
      <w:pPr>
        <w:tabs>
          <w:tab w:val="num" w:pos="720"/>
        </w:tabs>
        <w:ind w:left="720" w:hanging="360"/>
      </w:pPr>
      <w:rPr>
        <w:rFonts w:hint="default"/>
      </w:rPr>
    </w:lvl>
    <w:lvl w:ilvl="1" w:tplc="2710E97E">
      <w:start w:val="1"/>
      <w:numFmt w:val="lowerLetter"/>
      <w:lvlText w:val="%2)"/>
      <w:lvlJc w:val="left"/>
      <w:pPr>
        <w:tabs>
          <w:tab w:val="num" w:pos="1440"/>
        </w:tabs>
        <w:ind w:left="1440" w:hanging="360"/>
      </w:pPr>
      <w:rPr>
        <w:rFonts w:hint="default"/>
      </w:rPr>
    </w:lvl>
    <w:lvl w:ilvl="2" w:tplc="14403AE8">
      <w:start w:val="3"/>
      <w:numFmt w:val="decimal"/>
      <w:lvlText w:val="%3"/>
      <w:lvlJc w:val="left"/>
      <w:pPr>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679D4D69"/>
    <w:multiLevelType w:val="hybridMultilevel"/>
    <w:tmpl w:val="BD40B54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6D4245A8"/>
    <w:multiLevelType w:val="hybridMultilevel"/>
    <w:tmpl w:val="FC6A3B72"/>
    <w:lvl w:ilvl="0" w:tplc="041B000B">
      <w:start w:val="1"/>
      <w:numFmt w:val="bullet"/>
      <w:lvlText w:val=""/>
      <w:lvlJc w:val="left"/>
      <w:pPr>
        <w:tabs>
          <w:tab w:val="num" w:pos="1440"/>
        </w:tabs>
        <w:ind w:left="1440" w:hanging="360"/>
      </w:pPr>
      <w:rPr>
        <w:rFonts w:ascii="Wingdings" w:hAnsi="Wingdings" w:hint="default"/>
      </w:rPr>
    </w:lvl>
    <w:lvl w:ilvl="1" w:tplc="041B0003">
      <w:start w:val="1"/>
      <w:numFmt w:val="bullet"/>
      <w:lvlText w:val="o"/>
      <w:lvlJc w:val="left"/>
      <w:pPr>
        <w:tabs>
          <w:tab w:val="num" w:pos="2160"/>
        </w:tabs>
        <w:ind w:left="2160" w:hanging="360"/>
      </w:pPr>
      <w:rPr>
        <w:rFonts w:ascii="Courier New" w:hAnsi="Courier New" w:cs="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cs="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cs="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24">
    <w:nsid w:val="6EEF0E5C"/>
    <w:multiLevelType w:val="hybridMultilevel"/>
    <w:tmpl w:val="85C8C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05418DB"/>
    <w:multiLevelType w:val="hybridMultilevel"/>
    <w:tmpl w:val="954867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3CC2431"/>
    <w:multiLevelType w:val="hybridMultilevel"/>
    <w:tmpl w:val="3D16E2F8"/>
    <w:lvl w:ilvl="0" w:tplc="041B000F">
      <w:start w:val="1"/>
      <w:numFmt w:val="decimal"/>
      <w:lvlText w:val="%1."/>
      <w:lvlJc w:val="left"/>
      <w:pPr>
        <w:ind w:left="720" w:hanging="360"/>
      </w:pPr>
      <w:rPr>
        <w:rFonts w:hint="default"/>
      </w:r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BAE1CB8"/>
    <w:multiLevelType w:val="hybridMultilevel"/>
    <w:tmpl w:val="B950B02C"/>
    <w:lvl w:ilvl="0" w:tplc="874C1932">
      <w:start w:val="1"/>
      <w:numFmt w:val="bullet"/>
      <w:lvlText w:val=""/>
      <w:lvlJc w:val="left"/>
      <w:pPr>
        <w:tabs>
          <w:tab w:val="num" w:pos="624"/>
        </w:tabs>
        <w:ind w:left="567" w:hanging="227"/>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7E85049F"/>
    <w:multiLevelType w:val="hybridMultilevel"/>
    <w:tmpl w:val="4D1A31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5"/>
  </w:num>
  <w:num w:numId="2">
    <w:abstractNumId w:val="26"/>
  </w:num>
  <w:num w:numId="3">
    <w:abstractNumId w:val="4"/>
  </w:num>
  <w:num w:numId="4">
    <w:abstractNumId w:val="21"/>
  </w:num>
  <w:num w:numId="5">
    <w:abstractNumId w:val="3"/>
  </w:num>
  <w:num w:numId="6">
    <w:abstractNumId w:val="6"/>
  </w:num>
  <w:num w:numId="7">
    <w:abstractNumId w:val="22"/>
  </w:num>
  <w:num w:numId="8">
    <w:abstractNumId w:val="23"/>
  </w:num>
  <w:num w:numId="9">
    <w:abstractNumId w:val="9"/>
  </w:num>
  <w:num w:numId="10">
    <w:abstractNumId w:val="14"/>
  </w:num>
  <w:num w:numId="11">
    <w:abstractNumId w:val="24"/>
  </w:num>
  <w:num w:numId="12">
    <w:abstractNumId w:val="28"/>
  </w:num>
  <w:num w:numId="13">
    <w:abstractNumId w:val="20"/>
  </w:num>
  <w:num w:numId="14">
    <w:abstractNumId w:val="17"/>
  </w:num>
  <w:num w:numId="15">
    <w:abstractNumId w:val="16"/>
  </w:num>
  <w:num w:numId="16">
    <w:abstractNumId w:val="13"/>
  </w:num>
  <w:num w:numId="17">
    <w:abstractNumId w:val="2"/>
  </w:num>
  <w:num w:numId="18">
    <w:abstractNumId w:val="27"/>
  </w:num>
  <w:num w:numId="19">
    <w:abstractNumId w:val="7"/>
  </w:num>
  <w:num w:numId="20">
    <w:abstractNumId w:val="5"/>
  </w:num>
  <w:num w:numId="21">
    <w:abstractNumId w:val="18"/>
  </w:num>
  <w:num w:numId="22">
    <w:abstractNumId w:val="25"/>
  </w:num>
  <w:num w:numId="23">
    <w:abstractNumId w:val="12"/>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num>
  <w:num w:numId="27">
    <w:abstractNumId w:val="10"/>
  </w:num>
  <w:num w:numId="28">
    <w:abstractNumId w:val="11"/>
  </w:num>
  <w:num w:numId="29">
    <w:abstractNumId w:val="0"/>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58B"/>
    <w:rsid w:val="00002ED1"/>
    <w:rsid w:val="00010BAC"/>
    <w:rsid w:val="00015A12"/>
    <w:rsid w:val="00016195"/>
    <w:rsid w:val="00022061"/>
    <w:rsid w:val="00025586"/>
    <w:rsid w:val="000319B2"/>
    <w:rsid w:val="0003220E"/>
    <w:rsid w:val="00033A1A"/>
    <w:rsid w:val="00033A27"/>
    <w:rsid w:val="000545E1"/>
    <w:rsid w:val="000600A1"/>
    <w:rsid w:val="000617D3"/>
    <w:rsid w:val="00085287"/>
    <w:rsid w:val="00085D2B"/>
    <w:rsid w:val="00095826"/>
    <w:rsid w:val="00096894"/>
    <w:rsid w:val="000A6322"/>
    <w:rsid w:val="000B6906"/>
    <w:rsid w:val="000B7414"/>
    <w:rsid w:val="000D1FA5"/>
    <w:rsid w:val="000D6816"/>
    <w:rsid w:val="000E1B1A"/>
    <w:rsid w:val="0012257C"/>
    <w:rsid w:val="00174481"/>
    <w:rsid w:val="00175BD5"/>
    <w:rsid w:val="00176EAF"/>
    <w:rsid w:val="001778A0"/>
    <w:rsid w:val="001C4D4F"/>
    <w:rsid w:val="001D5C0F"/>
    <w:rsid w:val="001E16D6"/>
    <w:rsid w:val="001F67CD"/>
    <w:rsid w:val="00212810"/>
    <w:rsid w:val="002353E7"/>
    <w:rsid w:val="00255BC4"/>
    <w:rsid w:val="00255FBB"/>
    <w:rsid w:val="00283CD3"/>
    <w:rsid w:val="002A300B"/>
    <w:rsid w:val="002B21DA"/>
    <w:rsid w:val="002B5698"/>
    <w:rsid w:val="002B6AE0"/>
    <w:rsid w:val="002C5DAC"/>
    <w:rsid w:val="002D6BD8"/>
    <w:rsid w:val="002E7EFC"/>
    <w:rsid w:val="003023E8"/>
    <w:rsid w:val="00316E3B"/>
    <w:rsid w:val="003271A4"/>
    <w:rsid w:val="00333A44"/>
    <w:rsid w:val="003405E4"/>
    <w:rsid w:val="00344C26"/>
    <w:rsid w:val="003552D6"/>
    <w:rsid w:val="00373E7A"/>
    <w:rsid w:val="003837E9"/>
    <w:rsid w:val="0038552B"/>
    <w:rsid w:val="0038616B"/>
    <w:rsid w:val="003929D1"/>
    <w:rsid w:val="003946CC"/>
    <w:rsid w:val="003D554A"/>
    <w:rsid w:val="003E053E"/>
    <w:rsid w:val="003E1675"/>
    <w:rsid w:val="003F719A"/>
    <w:rsid w:val="0040293C"/>
    <w:rsid w:val="004205E2"/>
    <w:rsid w:val="00422C66"/>
    <w:rsid w:val="00424DDA"/>
    <w:rsid w:val="00432E66"/>
    <w:rsid w:val="00434D53"/>
    <w:rsid w:val="00442A8A"/>
    <w:rsid w:val="004518BB"/>
    <w:rsid w:val="004602D0"/>
    <w:rsid w:val="00471F81"/>
    <w:rsid w:val="0047621A"/>
    <w:rsid w:val="00485EDF"/>
    <w:rsid w:val="0048775C"/>
    <w:rsid w:val="00491C9B"/>
    <w:rsid w:val="00496204"/>
    <w:rsid w:val="004A22A3"/>
    <w:rsid w:val="004A3835"/>
    <w:rsid w:val="004B3DC5"/>
    <w:rsid w:val="004D5E6A"/>
    <w:rsid w:val="004E3DDE"/>
    <w:rsid w:val="004F6993"/>
    <w:rsid w:val="004F7F15"/>
    <w:rsid w:val="005152D8"/>
    <w:rsid w:val="0053451C"/>
    <w:rsid w:val="0054735E"/>
    <w:rsid w:val="005554D6"/>
    <w:rsid w:val="00561A3D"/>
    <w:rsid w:val="005737D4"/>
    <w:rsid w:val="00577E04"/>
    <w:rsid w:val="00581708"/>
    <w:rsid w:val="0058525D"/>
    <w:rsid w:val="0058750D"/>
    <w:rsid w:val="00596B77"/>
    <w:rsid w:val="005B34E2"/>
    <w:rsid w:val="005C629C"/>
    <w:rsid w:val="005C7E59"/>
    <w:rsid w:val="005D24C5"/>
    <w:rsid w:val="005D3E49"/>
    <w:rsid w:val="005E0EA0"/>
    <w:rsid w:val="005E7D20"/>
    <w:rsid w:val="005F414D"/>
    <w:rsid w:val="005F7071"/>
    <w:rsid w:val="005F7692"/>
    <w:rsid w:val="005F7AF4"/>
    <w:rsid w:val="006014A6"/>
    <w:rsid w:val="00612559"/>
    <w:rsid w:val="00614AE6"/>
    <w:rsid w:val="00616C12"/>
    <w:rsid w:val="00625380"/>
    <w:rsid w:val="0063400E"/>
    <w:rsid w:val="0064092F"/>
    <w:rsid w:val="006454BA"/>
    <w:rsid w:val="00656F30"/>
    <w:rsid w:val="006638F8"/>
    <w:rsid w:val="00673B0A"/>
    <w:rsid w:val="00681148"/>
    <w:rsid w:val="006824E5"/>
    <w:rsid w:val="0069194A"/>
    <w:rsid w:val="00691D83"/>
    <w:rsid w:val="00694D53"/>
    <w:rsid w:val="006C1472"/>
    <w:rsid w:val="006C6A68"/>
    <w:rsid w:val="006C73FF"/>
    <w:rsid w:val="006D2840"/>
    <w:rsid w:val="006E03F9"/>
    <w:rsid w:val="006E4257"/>
    <w:rsid w:val="006E4889"/>
    <w:rsid w:val="006F214D"/>
    <w:rsid w:val="00703B31"/>
    <w:rsid w:val="00770EA5"/>
    <w:rsid w:val="0078387C"/>
    <w:rsid w:val="0079294F"/>
    <w:rsid w:val="007B20F0"/>
    <w:rsid w:val="007C00DB"/>
    <w:rsid w:val="007C40C1"/>
    <w:rsid w:val="007E1083"/>
    <w:rsid w:val="00804E9C"/>
    <w:rsid w:val="0081012F"/>
    <w:rsid w:val="00814E4F"/>
    <w:rsid w:val="00834CB1"/>
    <w:rsid w:val="00844A65"/>
    <w:rsid w:val="008570DA"/>
    <w:rsid w:val="00863B1F"/>
    <w:rsid w:val="008706A8"/>
    <w:rsid w:val="00876401"/>
    <w:rsid w:val="00886AF8"/>
    <w:rsid w:val="008906A1"/>
    <w:rsid w:val="008939D6"/>
    <w:rsid w:val="00893D36"/>
    <w:rsid w:val="00896BB1"/>
    <w:rsid w:val="008B5883"/>
    <w:rsid w:val="008C4396"/>
    <w:rsid w:val="008D659B"/>
    <w:rsid w:val="008D6C37"/>
    <w:rsid w:val="008E2505"/>
    <w:rsid w:val="00903C9D"/>
    <w:rsid w:val="009160B2"/>
    <w:rsid w:val="00933DEE"/>
    <w:rsid w:val="00935DE9"/>
    <w:rsid w:val="00942A39"/>
    <w:rsid w:val="009517C0"/>
    <w:rsid w:val="00952353"/>
    <w:rsid w:val="009610F0"/>
    <w:rsid w:val="009623ED"/>
    <w:rsid w:val="0096599E"/>
    <w:rsid w:val="0096623A"/>
    <w:rsid w:val="00981D2E"/>
    <w:rsid w:val="009A009D"/>
    <w:rsid w:val="009D5950"/>
    <w:rsid w:val="009E3FE8"/>
    <w:rsid w:val="009F7FD9"/>
    <w:rsid w:val="00A00FA2"/>
    <w:rsid w:val="00A5210D"/>
    <w:rsid w:val="00A65813"/>
    <w:rsid w:val="00A707FB"/>
    <w:rsid w:val="00A8116E"/>
    <w:rsid w:val="00A84459"/>
    <w:rsid w:val="00A96B87"/>
    <w:rsid w:val="00A97E1B"/>
    <w:rsid w:val="00AC6C9A"/>
    <w:rsid w:val="00AE1676"/>
    <w:rsid w:val="00AF6512"/>
    <w:rsid w:val="00AF7555"/>
    <w:rsid w:val="00B014BC"/>
    <w:rsid w:val="00B02719"/>
    <w:rsid w:val="00B07585"/>
    <w:rsid w:val="00B305AE"/>
    <w:rsid w:val="00B322E2"/>
    <w:rsid w:val="00B47CC8"/>
    <w:rsid w:val="00B671C9"/>
    <w:rsid w:val="00B72388"/>
    <w:rsid w:val="00B87971"/>
    <w:rsid w:val="00B9458B"/>
    <w:rsid w:val="00B97DF0"/>
    <w:rsid w:val="00BA5157"/>
    <w:rsid w:val="00BA629A"/>
    <w:rsid w:val="00BA7EB5"/>
    <w:rsid w:val="00BC1A62"/>
    <w:rsid w:val="00BC20B3"/>
    <w:rsid w:val="00BD50E7"/>
    <w:rsid w:val="00BF5B22"/>
    <w:rsid w:val="00C24CFB"/>
    <w:rsid w:val="00C27172"/>
    <w:rsid w:val="00C277A7"/>
    <w:rsid w:val="00C31E56"/>
    <w:rsid w:val="00C51961"/>
    <w:rsid w:val="00C53975"/>
    <w:rsid w:val="00C718A3"/>
    <w:rsid w:val="00C74D3A"/>
    <w:rsid w:val="00C803ED"/>
    <w:rsid w:val="00C838BE"/>
    <w:rsid w:val="00C83989"/>
    <w:rsid w:val="00C91535"/>
    <w:rsid w:val="00CA09BB"/>
    <w:rsid w:val="00CB6BA1"/>
    <w:rsid w:val="00CB6E8E"/>
    <w:rsid w:val="00CC1456"/>
    <w:rsid w:val="00CC1664"/>
    <w:rsid w:val="00CD02B5"/>
    <w:rsid w:val="00CD327D"/>
    <w:rsid w:val="00D052EA"/>
    <w:rsid w:val="00D0533A"/>
    <w:rsid w:val="00D124AC"/>
    <w:rsid w:val="00D301DB"/>
    <w:rsid w:val="00D35D76"/>
    <w:rsid w:val="00D550D7"/>
    <w:rsid w:val="00D739A1"/>
    <w:rsid w:val="00D97BD8"/>
    <w:rsid w:val="00DA2953"/>
    <w:rsid w:val="00DB57C0"/>
    <w:rsid w:val="00DC0927"/>
    <w:rsid w:val="00DE08AC"/>
    <w:rsid w:val="00E1003B"/>
    <w:rsid w:val="00E14AC9"/>
    <w:rsid w:val="00E14D54"/>
    <w:rsid w:val="00E2282C"/>
    <w:rsid w:val="00E2292D"/>
    <w:rsid w:val="00E30D71"/>
    <w:rsid w:val="00E31EBC"/>
    <w:rsid w:val="00E36CEE"/>
    <w:rsid w:val="00E40250"/>
    <w:rsid w:val="00E40DFD"/>
    <w:rsid w:val="00E415F3"/>
    <w:rsid w:val="00E53237"/>
    <w:rsid w:val="00E6419C"/>
    <w:rsid w:val="00E67862"/>
    <w:rsid w:val="00E67EFE"/>
    <w:rsid w:val="00E932B5"/>
    <w:rsid w:val="00EA77AD"/>
    <w:rsid w:val="00EB5F1F"/>
    <w:rsid w:val="00EC40C9"/>
    <w:rsid w:val="00EE24C8"/>
    <w:rsid w:val="00F134E3"/>
    <w:rsid w:val="00F2232E"/>
    <w:rsid w:val="00F25277"/>
    <w:rsid w:val="00F31711"/>
    <w:rsid w:val="00F371C4"/>
    <w:rsid w:val="00F57A29"/>
    <w:rsid w:val="00F61D11"/>
    <w:rsid w:val="00F625BB"/>
    <w:rsid w:val="00F62C0C"/>
    <w:rsid w:val="00F64F50"/>
    <w:rsid w:val="00F905A7"/>
    <w:rsid w:val="00FA1989"/>
    <w:rsid w:val="00FA6631"/>
    <w:rsid w:val="00FC63D7"/>
    <w:rsid w:val="00FC6A31"/>
    <w:rsid w:val="00FD1A5C"/>
    <w:rsid w:val="00FD409B"/>
    <w:rsid w:val="00FD6128"/>
    <w:rsid w:val="00FE524A"/>
    <w:rsid w:val="00FF34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75CC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8570DA"/>
    <w:pPr>
      <w:keepNext/>
      <w:tabs>
        <w:tab w:val="left" w:pos="3544"/>
      </w:tabs>
      <w:spacing w:after="0" w:line="240" w:lineRule="auto"/>
      <w:jc w:val="both"/>
      <w:outlineLvl w:val="0"/>
    </w:pPr>
    <w:rPr>
      <w:rFonts w:ascii="Times New Roman" w:eastAsia="Times New Roman" w:hAnsi="Times New Roman" w:cs="Times New Roman"/>
      <w:b/>
      <w:bCs/>
      <w:sz w:val="24"/>
      <w:szCs w:val="24"/>
      <w:lang w:eastAsia="sk-SK"/>
    </w:rPr>
  </w:style>
  <w:style w:type="paragraph" w:styleId="Heading4">
    <w:name w:val="heading 4"/>
    <w:basedOn w:val="Normal"/>
    <w:next w:val="Normal"/>
    <w:link w:val="Heading4Char"/>
    <w:uiPriority w:val="9"/>
    <w:semiHidden/>
    <w:unhideWhenUsed/>
    <w:qFormat/>
    <w:rsid w:val="004F699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673B0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7DF0"/>
    <w:pPr>
      <w:ind w:left="720"/>
      <w:contextualSpacing/>
    </w:pPr>
  </w:style>
  <w:style w:type="character" w:styleId="Hyperlink">
    <w:name w:val="Hyperlink"/>
    <w:basedOn w:val="DefaultParagraphFont"/>
    <w:uiPriority w:val="99"/>
    <w:semiHidden/>
    <w:unhideWhenUsed/>
    <w:rsid w:val="003E053E"/>
    <w:rPr>
      <w:color w:val="0000FF" w:themeColor="hyperlink"/>
      <w:u w:val="single"/>
    </w:rPr>
  </w:style>
  <w:style w:type="paragraph" w:styleId="Header">
    <w:name w:val="header"/>
    <w:basedOn w:val="Normal"/>
    <w:link w:val="HeaderChar"/>
    <w:uiPriority w:val="99"/>
    <w:rsid w:val="003E053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eaderChar">
    <w:name w:val="Header Char"/>
    <w:basedOn w:val="DefaultParagraphFont"/>
    <w:link w:val="Header"/>
    <w:uiPriority w:val="99"/>
    <w:rsid w:val="003E053E"/>
    <w:rPr>
      <w:rFonts w:ascii="Times New Roman" w:eastAsia="Times New Roman" w:hAnsi="Times New Roman" w:cs="Times New Roman"/>
      <w:sz w:val="24"/>
      <w:szCs w:val="24"/>
      <w:lang w:eastAsia="sk-SK"/>
    </w:rPr>
  </w:style>
  <w:style w:type="character" w:customStyle="1" w:styleId="Heading1Char">
    <w:name w:val="Heading 1 Char"/>
    <w:basedOn w:val="DefaultParagraphFont"/>
    <w:link w:val="Heading1"/>
    <w:rsid w:val="008570DA"/>
    <w:rPr>
      <w:rFonts w:ascii="Times New Roman" w:eastAsia="Times New Roman" w:hAnsi="Times New Roman" w:cs="Times New Roman"/>
      <w:b/>
      <w:bCs/>
      <w:sz w:val="24"/>
      <w:szCs w:val="24"/>
      <w:lang w:eastAsia="sk-SK"/>
    </w:rPr>
  </w:style>
  <w:style w:type="paragraph" w:styleId="BodyText">
    <w:name w:val="Body Text"/>
    <w:basedOn w:val="Normal"/>
    <w:link w:val="BodyTextChar"/>
    <w:rsid w:val="008570DA"/>
    <w:pPr>
      <w:spacing w:after="0" w:line="240" w:lineRule="auto"/>
      <w:jc w:val="center"/>
    </w:pPr>
    <w:rPr>
      <w:rFonts w:ascii="Times New Roman" w:eastAsia="Times New Roman" w:hAnsi="Times New Roman" w:cs="Times New Roman"/>
      <w:b/>
      <w:bCs/>
      <w:sz w:val="24"/>
      <w:szCs w:val="24"/>
      <w:lang w:eastAsia="sk-SK"/>
    </w:rPr>
  </w:style>
  <w:style w:type="character" w:customStyle="1" w:styleId="BodyTextChar">
    <w:name w:val="Body Text Char"/>
    <w:basedOn w:val="DefaultParagraphFont"/>
    <w:link w:val="BodyText"/>
    <w:rsid w:val="008570DA"/>
    <w:rPr>
      <w:rFonts w:ascii="Times New Roman" w:eastAsia="Times New Roman" w:hAnsi="Times New Roman" w:cs="Times New Roman"/>
      <w:b/>
      <w:bCs/>
      <w:sz w:val="24"/>
      <w:szCs w:val="24"/>
      <w:lang w:eastAsia="sk-SK"/>
    </w:rPr>
  </w:style>
  <w:style w:type="paragraph" w:styleId="BalloonText">
    <w:name w:val="Balloon Text"/>
    <w:basedOn w:val="Normal"/>
    <w:link w:val="BalloonTextChar"/>
    <w:uiPriority w:val="99"/>
    <w:semiHidden/>
    <w:unhideWhenUsed/>
    <w:rsid w:val="008570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70DA"/>
    <w:rPr>
      <w:rFonts w:ascii="Tahoma" w:hAnsi="Tahoma" w:cs="Tahoma"/>
      <w:sz w:val="16"/>
      <w:szCs w:val="16"/>
    </w:rPr>
  </w:style>
  <w:style w:type="paragraph" w:styleId="NormalWeb">
    <w:name w:val="Normal (Web)"/>
    <w:basedOn w:val="Normal"/>
    <w:uiPriority w:val="99"/>
    <w:unhideWhenUsed/>
    <w:rsid w:val="00EC40C9"/>
    <w:pPr>
      <w:spacing w:before="100" w:beforeAutospacing="1" w:after="100" w:afterAutospacing="1" w:line="240" w:lineRule="auto"/>
    </w:pPr>
    <w:rPr>
      <w:rFonts w:ascii="Times New Roman" w:eastAsia="Times New Roman" w:hAnsi="Times New Roman" w:cs="Times New Roman"/>
      <w:color w:val="000000"/>
      <w:sz w:val="24"/>
      <w:szCs w:val="24"/>
      <w:lang w:eastAsia="sk-SK"/>
    </w:rPr>
  </w:style>
  <w:style w:type="character" w:styleId="Strong">
    <w:name w:val="Strong"/>
    <w:basedOn w:val="DefaultParagraphFont"/>
    <w:uiPriority w:val="22"/>
    <w:qFormat/>
    <w:rsid w:val="00EC40C9"/>
    <w:rPr>
      <w:b/>
      <w:bCs/>
    </w:rPr>
  </w:style>
  <w:style w:type="character" w:customStyle="1" w:styleId="Heading4Char">
    <w:name w:val="Heading 4 Char"/>
    <w:basedOn w:val="DefaultParagraphFont"/>
    <w:link w:val="Heading4"/>
    <w:uiPriority w:val="9"/>
    <w:semiHidden/>
    <w:rsid w:val="004F6993"/>
    <w:rPr>
      <w:rFonts w:asciiTheme="majorHAnsi" w:eastAsiaTheme="majorEastAsia" w:hAnsiTheme="majorHAnsi" w:cstheme="majorBidi"/>
      <w:b/>
      <w:bCs/>
      <w:i/>
      <w:iCs/>
      <w:color w:val="4F81BD" w:themeColor="accent1"/>
    </w:rPr>
  </w:style>
  <w:style w:type="character" w:customStyle="1" w:styleId="hps">
    <w:name w:val="hps"/>
    <w:rsid w:val="004F6993"/>
  </w:style>
  <w:style w:type="paragraph" w:styleId="PlainText">
    <w:name w:val="Plain Text"/>
    <w:basedOn w:val="Normal"/>
    <w:link w:val="PlainTextChar"/>
    <w:uiPriority w:val="99"/>
    <w:semiHidden/>
    <w:unhideWhenUsed/>
    <w:rsid w:val="00D052EA"/>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D052EA"/>
    <w:rPr>
      <w:rFonts w:ascii="Calibri" w:hAnsi="Calibri"/>
      <w:szCs w:val="21"/>
    </w:rPr>
  </w:style>
  <w:style w:type="character" w:customStyle="1" w:styleId="Heading5Char">
    <w:name w:val="Heading 5 Char"/>
    <w:basedOn w:val="DefaultParagraphFont"/>
    <w:link w:val="Heading5"/>
    <w:uiPriority w:val="9"/>
    <w:semiHidden/>
    <w:rsid w:val="00673B0A"/>
    <w:rPr>
      <w:rFonts w:asciiTheme="majorHAnsi" w:eastAsiaTheme="majorEastAsia" w:hAnsiTheme="majorHAnsi" w:cstheme="majorBidi"/>
      <w:color w:val="243F60" w:themeColor="accent1" w:themeShade="7F"/>
    </w:rPr>
  </w:style>
  <w:style w:type="paragraph" w:styleId="Footer">
    <w:name w:val="footer"/>
    <w:basedOn w:val="Normal"/>
    <w:link w:val="FooterChar"/>
    <w:uiPriority w:val="99"/>
    <w:unhideWhenUsed/>
    <w:rsid w:val="00DE08AC"/>
    <w:pPr>
      <w:tabs>
        <w:tab w:val="center" w:pos="4536"/>
        <w:tab w:val="right" w:pos="9072"/>
      </w:tabs>
      <w:spacing w:after="0" w:line="240" w:lineRule="auto"/>
    </w:pPr>
  </w:style>
  <w:style w:type="character" w:customStyle="1" w:styleId="FooterChar">
    <w:name w:val="Footer Char"/>
    <w:basedOn w:val="DefaultParagraphFont"/>
    <w:link w:val="Footer"/>
    <w:uiPriority w:val="99"/>
    <w:rsid w:val="00DE08AC"/>
  </w:style>
  <w:style w:type="paragraph" w:customStyle="1" w:styleId="Odsekzoznamu1">
    <w:name w:val="Odsek zoznamu1"/>
    <w:basedOn w:val="Normal"/>
    <w:qFormat/>
    <w:rsid w:val="00471F81"/>
    <w:pPr>
      <w:spacing w:after="0" w:line="240" w:lineRule="auto"/>
      <w:ind w:left="720"/>
      <w:contextualSpacing/>
    </w:pPr>
    <w:rPr>
      <w:rFonts w:ascii="Times New Roman" w:eastAsia="Times New Roman" w:hAnsi="Times New Roman" w:cs="Times New Roman"/>
      <w:sz w:val="24"/>
      <w:szCs w:val="24"/>
      <w:lang w:val="en-GB" w:eastAsia="en-GB"/>
    </w:rPr>
  </w:style>
  <w:style w:type="character" w:styleId="CommentReference">
    <w:name w:val="annotation reference"/>
    <w:rsid w:val="0053451C"/>
    <w:rPr>
      <w:sz w:val="16"/>
      <w:szCs w:val="16"/>
    </w:rPr>
  </w:style>
  <w:style w:type="paragraph" w:styleId="CommentText">
    <w:name w:val="annotation text"/>
    <w:basedOn w:val="Normal"/>
    <w:link w:val="CommentTextChar"/>
    <w:rsid w:val="0053451C"/>
    <w:pPr>
      <w:spacing w:after="0" w:line="240" w:lineRule="auto"/>
    </w:pPr>
    <w:rPr>
      <w:rFonts w:ascii="Times New Roman" w:eastAsia="Times New Roman" w:hAnsi="Times New Roman" w:cs="Times New Roman"/>
      <w:sz w:val="20"/>
      <w:szCs w:val="20"/>
      <w:lang w:eastAsia="sk-SK"/>
    </w:rPr>
  </w:style>
  <w:style w:type="character" w:customStyle="1" w:styleId="CommentTextChar">
    <w:name w:val="Comment Text Char"/>
    <w:basedOn w:val="DefaultParagraphFont"/>
    <w:link w:val="CommentText"/>
    <w:rsid w:val="0053451C"/>
    <w:rPr>
      <w:rFonts w:ascii="Times New Roman" w:eastAsia="Times New Roman"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27204">
      <w:bodyDiv w:val="1"/>
      <w:marLeft w:val="0"/>
      <w:marRight w:val="0"/>
      <w:marTop w:val="0"/>
      <w:marBottom w:val="0"/>
      <w:divBdr>
        <w:top w:val="none" w:sz="0" w:space="0" w:color="auto"/>
        <w:left w:val="none" w:sz="0" w:space="0" w:color="auto"/>
        <w:bottom w:val="none" w:sz="0" w:space="0" w:color="auto"/>
        <w:right w:val="none" w:sz="0" w:space="0" w:color="auto"/>
      </w:divBdr>
    </w:div>
    <w:div w:id="37052358">
      <w:bodyDiv w:val="1"/>
      <w:marLeft w:val="0"/>
      <w:marRight w:val="0"/>
      <w:marTop w:val="0"/>
      <w:marBottom w:val="0"/>
      <w:divBdr>
        <w:top w:val="none" w:sz="0" w:space="0" w:color="auto"/>
        <w:left w:val="none" w:sz="0" w:space="0" w:color="auto"/>
        <w:bottom w:val="none" w:sz="0" w:space="0" w:color="auto"/>
        <w:right w:val="none" w:sz="0" w:space="0" w:color="auto"/>
      </w:divBdr>
    </w:div>
    <w:div w:id="153879553">
      <w:bodyDiv w:val="1"/>
      <w:marLeft w:val="0"/>
      <w:marRight w:val="0"/>
      <w:marTop w:val="0"/>
      <w:marBottom w:val="0"/>
      <w:divBdr>
        <w:top w:val="none" w:sz="0" w:space="0" w:color="auto"/>
        <w:left w:val="none" w:sz="0" w:space="0" w:color="auto"/>
        <w:bottom w:val="none" w:sz="0" w:space="0" w:color="auto"/>
        <w:right w:val="none" w:sz="0" w:space="0" w:color="auto"/>
      </w:divBdr>
    </w:div>
    <w:div w:id="259996703">
      <w:bodyDiv w:val="1"/>
      <w:marLeft w:val="0"/>
      <w:marRight w:val="0"/>
      <w:marTop w:val="0"/>
      <w:marBottom w:val="0"/>
      <w:divBdr>
        <w:top w:val="none" w:sz="0" w:space="0" w:color="auto"/>
        <w:left w:val="none" w:sz="0" w:space="0" w:color="auto"/>
        <w:bottom w:val="none" w:sz="0" w:space="0" w:color="auto"/>
        <w:right w:val="none" w:sz="0" w:space="0" w:color="auto"/>
      </w:divBdr>
    </w:div>
    <w:div w:id="343675110">
      <w:bodyDiv w:val="1"/>
      <w:marLeft w:val="0"/>
      <w:marRight w:val="0"/>
      <w:marTop w:val="0"/>
      <w:marBottom w:val="0"/>
      <w:divBdr>
        <w:top w:val="none" w:sz="0" w:space="0" w:color="auto"/>
        <w:left w:val="none" w:sz="0" w:space="0" w:color="auto"/>
        <w:bottom w:val="none" w:sz="0" w:space="0" w:color="auto"/>
        <w:right w:val="none" w:sz="0" w:space="0" w:color="auto"/>
      </w:divBdr>
    </w:div>
    <w:div w:id="785347036">
      <w:bodyDiv w:val="1"/>
      <w:marLeft w:val="0"/>
      <w:marRight w:val="0"/>
      <w:marTop w:val="0"/>
      <w:marBottom w:val="0"/>
      <w:divBdr>
        <w:top w:val="none" w:sz="0" w:space="0" w:color="auto"/>
        <w:left w:val="none" w:sz="0" w:space="0" w:color="auto"/>
        <w:bottom w:val="none" w:sz="0" w:space="0" w:color="auto"/>
        <w:right w:val="none" w:sz="0" w:space="0" w:color="auto"/>
      </w:divBdr>
    </w:div>
    <w:div w:id="830634902">
      <w:bodyDiv w:val="1"/>
      <w:marLeft w:val="0"/>
      <w:marRight w:val="0"/>
      <w:marTop w:val="0"/>
      <w:marBottom w:val="0"/>
      <w:divBdr>
        <w:top w:val="none" w:sz="0" w:space="0" w:color="auto"/>
        <w:left w:val="none" w:sz="0" w:space="0" w:color="auto"/>
        <w:bottom w:val="none" w:sz="0" w:space="0" w:color="auto"/>
        <w:right w:val="none" w:sz="0" w:space="0" w:color="auto"/>
      </w:divBdr>
    </w:div>
    <w:div w:id="1157763907">
      <w:bodyDiv w:val="1"/>
      <w:marLeft w:val="0"/>
      <w:marRight w:val="0"/>
      <w:marTop w:val="0"/>
      <w:marBottom w:val="0"/>
      <w:divBdr>
        <w:top w:val="none" w:sz="0" w:space="0" w:color="auto"/>
        <w:left w:val="none" w:sz="0" w:space="0" w:color="auto"/>
        <w:bottom w:val="none" w:sz="0" w:space="0" w:color="auto"/>
        <w:right w:val="none" w:sz="0" w:space="0" w:color="auto"/>
      </w:divBdr>
    </w:div>
    <w:div w:id="1179007897">
      <w:bodyDiv w:val="1"/>
      <w:marLeft w:val="0"/>
      <w:marRight w:val="0"/>
      <w:marTop w:val="0"/>
      <w:marBottom w:val="0"/>
      <w:divBdr>
        <w:top w:val="none" w:sz="0" w:space="0" w:color="auto"/>
        <w:left w:val="none" w:sz="0" w:space="0" w:color="auto"/>
        <w:bottom w:val="none" w:sz="0" w:space="0" w:color="auto"/>
        <w:right w:val="none" w:sz="0" w:space="0" w:color="auto"/>
      </w:divBdr>
    </w:div>
    <w:div w:id="1322199085">
      <w:bodyDiv w:val="1"/>
      <w:marLeft w:val="0"/>
      <w:marRight w:val="0"/>
      <w:marTop w:val="0"/>
      <w:marBottom w:val="0"/>
      <w:divBdr>
        <w:top w:val="none" w:sz="0" w:space="0" w:color="auto"/>
        <w:left w:val="none" w:sz="0" w:space="0" w:color="auto"/>
        <w:bottom w:val="none" w:sz="0" w:space="0" w:color="auto"/>
        <w:right w:val="none" w:sz="0" w:space="0" w:color="auto"/>
      </w:divBdr>
    </w:div>
    <w:div w:id="1442535062">
      <w:bodyDiv w:val="1"/>
      <w:marLeft w:val="0"/>
      <w:marRight w:val="0"/>
      <w:marTop w:val="0"/>
      <w:marBottom w:val="0"/>
      <w:divBdr>
        <w:top w:val="none" w:sz="0" w:space="0" w:color="auto"/>
        <w:left w:val="none" w:sz="0" w:space="0" w:color="auto"/>
        <w:bottom w:val="none" w:sz="0" w:space="0" w:color="auto"/>
        <w:right w:val="none" w:sz="0" w:space="0" w:color="auto"/>
      </w:divBdr>
    </w:div>
    <w:div w:id="1618027102">
      <w:bodyDiv w:val="1"/>
      <w:marLeft w:val="0"/>
      <w:marRight w:val="0"/>
      <w:marTop w:val="0"/>
      <w:marBottom w:val="0"/>
      <w:divBdr>
        <w:top w:val="none" w:sz="0" w:space="0" w:color="auto"/>
        <w:left w:val="none" w:sz="0" w:space="0" w:color="auto"/>
        <w:bottom w:val="none" w:sz="0" w:space="0" w:color="auto"/>
        <w:right w:val="none" w:sz="0" w:space="0" w:color="auto"/>
      </w:divBdr>
    </w:div>
    <w:div w:id="1697391884">
      <w:bodyDiv w:val="1"/>
      <w:marLeft w:val="0"/>
      <w:marRight w:val="0"/>
      <w:marTop w:val="0"/>
      <w:marBottom w:val="0"/>
      <w:divBdr>
        <w:top w:val="none" w:sz="0" w:space="0" w:color="auto"/>
        <w:left w:val="none" w:sz="0" w:space="0" w:color="auto"/>
        <w:bottom w:val="none" w:sz="0" w:space="0" w:color="auto"/>
        <w:right w:val="none" w:sz="0" w:space="0" w:color="auto"/>
      </w:divBdr>
    </w:div>
    <w:div w:id="1798331886">
      <w:bodyDiv w:val="1"/>
      <w:marLeft w:val="0"/>
      <w:marRight w:val="0"/>
      <w:marTop w:val="0"/>
      <w:marBottom w:val="0"/>
      <w:divBdr>
        <w:top w:val="none" w:sz="0" w:space="0" w:color="auto"/>
        <w:left w:val="none" w:sz="0" w:space="0" w:color="auto"/>
        <w:bottom w:val="none" w:sz="0" w:space="0" w:color="auto"/>
        <w:right w:val="none" w:sz="0" w:space="0" w:color="auto"/>
      </w:divBdr>
    </w:div>
    <w:div w:id="1827747562">
      <w:bodyDiv w:val="1"/>
      <w:marLeft w:val="0"/>
      <w:marRight w:val="0"/>
      <w:marTop w:val="0"/>
      <w:marBottom w:val="0"/>
      <w:divBdr>
        <w:top w:val="none" w:sz="0" w:space="0" w:color="auto"/>
        <w:left w:val="none" w:sz="0" w:space="0" w:color="auto"/>
        <w:bottom w:val="none" w:sz="0" w:space="0" w:color="auto"/>
        <w:right w:val="none" w:sz="0" w:space="0" w:color="auto"/>
      </w:divBdr>
    </w:div>
    <w:div w:id="2057776328">
      <w:bodyDiv w:val="1"/>
      <w:marLeft w:val="0"/>
      <w:marRight w:val="0"/>
      <w:marTop w:val="0"/>
      <w:marBottom w:val="0"/>
      <w:divBdr>
        <w:top w:val="none" w:sz="0" w:space="0" w:color="auto"/>
        <w:left w:val="none" w:sz="0" w:space="0" w:color="auto"/>
        <w:bottom w:val="none" w:sz="0" w:space="0" w:color="auto"/>
        <w:right w:val="none" w:sz="0" w:space="0" w:color="auto"/>
      </w:divBdr>
    </w:div>
    <w:div w:id="2123306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20" Type="http://schemas.openxmlformats.org/officeDocument/2006/relationships/chart" Target="charts/chart12.xml"/><Relationship Id="rId21" Type="http://schemas.openxmlformats.org/officeDocument/2006/relationships/chart" Target="charts/chart13.xml"/><Relationship Id="rId22" Type="http://schemas.openxmlformats.org/officeDocument/2006/relationships/chart" Target="charts/chart14.xml"/><Relationship Id="rId23" Type="http://schemas.openxmlformats.org/officeDocument/2006/relationships/footer" Target="footer1.xm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chart" Target="charts/chart2.xml"/><Relationship Id="rId11" Type="http://schemas.openxmlformats.org/officeDocument/2006/relationships/chart" Target="charts/chart3.xml"/><Relationship Id="rId12" Type="http://schemas.openxmlformats.org/officeDocument/2006/relationships/chart" Target="charts/chart4.xml"/><Relationship Id="rId13" Type="http://schemas.openxmlformats.org/officeDocument/2006/relationships/chart" Target="charts/chart5.xml"/><Relationship Id="rId14" Type="http://schemas.openxmlformats.org/officeDocument/2006/relationships/chart" Target="charts/chart6.xml"/><Relationship Id="rId15" Type="http://schemas.openxmlformats.org/officeDocument/2006/relationships/chart" Target="charts/chart7.xml"/><Relationship Id="rId16" Type="http://schemas.openxmlformats.org/officeDocument/2006/relationships/chart" Target="charts/chart8.xml"/><Relationship Id="rId17" Type="http://schemas.openxmlformats.org/officeDocument/2006/relationships/chart" Target="charts/chart9.xml"/><Relationship Id="rId18" Type="http://schemas.openxmlformats.org/officeDocument/2006/relationships/chart" Target="charts/chart10.xml"/><Relationship Id="rId19" Type="http://schemas.openxmlformats.org/officeDocument/2006/relationships/chart" Target="charts/chart1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kpas.sk" TargetMode="External"/></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oleObject" Target="file:///\\srv-ba-file06\Likvidacia\likvidacia%20PO\&#353;tatistika\koment&#225;re\KPAS\pracovn&#233;%20grafy%20ku%20koment&#225;ru%20za%20KP%20k%2031.12.2015.xlsx" TargetMode="External"/></Relationships>
</file>

<file path=word/charts/_rels/chart10.xml.rels><?xml version="1.0" encoding="UTF-8" standalone="yes"?>
<Relationships xmlns="http://schemas.openxmlformats.org/package/2006/relationships"><Relationship Id="rId1" Type="http://schemas.openxmlformats.org/officeDocument/2006/relationships/themeOverride" Target="../theme/themeOverride10.xml"/><Relationship Id="rId2" Type="http://schemas.openxmlformats.org/officeDocument/2006/relationships/oleObject" Target="file:///C:\Users\romancikova\Documents\Podklady%20pre%20v&#253;ro&#269;n&#250;%20spr&#225;vu%202015_KPAS.xls" TargetMode="External"/></Relationships>
</file>

<file path=word/charts/_rels/chart11.xml.rels><?xml version="1.0" encoding="UTF-8" standalone="yes"?>
<Relationships xmlns="http://schemas.openxmlformats.org/package/2006/relationships"><Relationship Id="rId1" Type="http://schemas.openxmlformats.org/officeDocument/2006/relationships/themeOverride" Target="../theme/themeOverride11.xml"/><Relationship Id="rId2" Type="http://schemas.openxmlformats.org/officeDocument/2006/relationships/oleObject" Target="file:///C:\Users\romancikova\Documents\Podklady%20pre%20v&#253;ro&#269;n&#250;%20spr&#225;vu%202015_KPAS.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baserver\DATA\Personalny_usek\Riaditel_personalneho_useku\v&#253;ro&#269;n&#233;%20spr&#225;vy\2015\K&#243;pia%20-%20VS%20podklad%202015%20(2).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baserver\DATA\Personalny_usek\Riaditel_personalneho_useku\v&#253;ro&#269;n&#233;%20spr&#225;vy\2015\K&#243;pia%20-%20VS%20podklad%202015%20(2).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baserver\DATA\Personalny_usek\Riaditel_personalneho_useku\v&#253;ro&#269;n&#233;%20spr&#225;vy\2015\K&#243;pia%20-%20VS%20podklad%202015%20(2).xls" TargetMode="External"/></Relationships>
</file>

<file path=word/charts/_rels/chart2.xml.rels><?xml version="1.0" encoding="UTF-8" standalone="yes"?>
<Relationships xmlns="http://schemas.openxmlformats.org/package/2006/relationships"><Relationship Id="rId1" Type="http://schemas.openxmlformats.org/officeDocument/2006/relationships/themeOverride" Target="../theme/themeOverride2.xml"/><Relationship Id="rId2" Type="http://schemas.openxmlformats.org/officeDocument/2006/relationships/oleObject" Target="file:///\\srv-ba-file06\Likvidacia\likvidacia%20PO\&#353;tatistika\koment&#225;re\KPAS\pracovn&#233;%20grafy%20ku%20koment&#225;ru%20za%20KP%20k%2031.12.2015.xlsx" TargetMode="External"/></Relationships>
</file>

<file path=word/charts/_rels/chart3.xml.rels><?xml version="1.0" encoding="UTF-8" standalone="yes"?>
<Relationships xmlns="http://schemas.openxmlformats.org/package/2006/relationships"><Relationship Id="rId1" Type="http://schemas.openxmlformats.org/officeDocument/2006/relationships/themeOverride" Target="../theme/themeOverride3.xml"/><Relationship Id="rId2" Type="http://schemas.openxmlformats.org/officeDocument/2006/relationships/oleObject" Target="file:///C:\Users\romancikova\Documents\Podklady%20pre%20v&#253;ro&#269;n&#250;%20spr&#225;vu%202015_KPAS.xls" TargetMode="External"/></Relationships>
</file>

<file path=word/charts/_rels/chart4.xml.rels><?xml version="1.0" encoding="UTF-8" standalone="yes"?>
<Relationships xmlns="http://schemas.openxmlformats.org/package/2006/relationships"><Relationship Id="rId1" Type="http://schemas.openxmlformats.org/officeDocument/2006/relationships/themeOverride" Target="../theme/themeOverride4.xml"/><Relationship Id="rId2" Type="http://schemas.openxmlformats.org/officeDocument/2006/relationships/oleObject" Target="file:///C:\Users\romancikova\Documents\Podklady%20pre%20v&#253;ro&#269;n&#250;%20spr&#225;vu%202015_KPAS.xls" TargetMode="External"/></Relationships>
</file>

<file path=word/charts/_rels/chart5.xml.rels><?xml version="1.0" encoding="UTF-8" standalone="yes"?>
<Relationships xmlns="http://schemas.openxmlformats.org/package/2006/relationships"><Relationship Id="rId1" Type="http://schemas.openxmlformats.org/officeDocument/2006/relationships/themeOverride" Target="../theme/themeOverride5.xml"/><Relationship Id="rId2" Type="http://schemas.openxmlformats.org/officeDocument/2006/relationships/oleObject" Target="file:///C:\Users\romancikova\Documents\Podklady%20pre%20v&#253;ro&#269;n&#250;%20spr&#225;vu%202015_KPAS.xls" TargetMode="External"/></Relationships>
</file>

<file path=word/charts/_rels/chart6.xml.rels><?xml version="1.0" encoding="UTF-8" standalone="yes"?>
<Relationships xmlns="http://schemas.openxmlformats.org/package/2006/relationships"><Relationship Id="rId1" Type="http://schemas.openxmlformats.org/officeDocument/2006/relationships/themeOverride" Target="../theme/themeOverride6.xml"/><Relationship Id="rId2" Type="http://schemas.openxmlformats.org/officeDocument/2006/relationships/oleObject" Target="file:///C:\Users\romancikova\Documents\Podklady%20pre%20v&#253;ro&#269;n&#250;%20spr&#225;vu%202015_KPAS.xls" TargetMode="External"/></Relationships>
</file>

<file path=word/charts/_rels/chart7.xml.rels><?xml version="1.0" encoding="UTF-8" standalone="yes"?>
<Relationships xmlns="http://schemas.openxmlformats.org/package/2006/relationships"><Relationship Id="rId1" Type="http://schemas.openxmlformats.org/officeDocument/2006/relationships/themeOverride" Target="../theme/themeOverride7.xml"/><Relationship Id="rId2" Type="http://schemas.openxmlformats.org/officeDocument/2006/relationships/oleObject" Target="file:///C:\Users\romancikova\Documents\Podklady%20pre%20v&#253;ro&#269;n&#250;%20spr&#225;vu%202015_KPAS.xls" TargetMode="External"/></Relationships>
</file>

<file path=word/charts/_rels/chart8.xml.rels><?xml version="1.0" encoding="UTF-8" standalone="yes"?>
<Relationships xmlns="http://schemas.openxmlformats.org/package/2006/relationships"><Relationship Id="rId1" Type="http://schemas.openxmlformats.org/officeDocument/2006/relationships/themeOverride" Target="../theme/themeOverride8.xml"/><Relationship Id="rId2" Type="http://schemas.openxmlformats.org/officeDocument/2006/relationships/oleObject" Target="file:///C:\Users\romancikova\Documents\Podklady%20pre%20v&#253;ro&#269;n&#250;%20spr&#225;vu%202015_KPAS.xls" TargetMode="External"/></Relationships>
</file>

<file path=word/charts/_rels/chart9.xml.rels><?xml version="1.0" encoding="UTF-8" standalone="yes"?>
<Relationships xmlns="http://schemas.openxmlformats.org/package/2006/relationships"><Relationship Id="rId1" Type="http://schemas.openxmlformats.org/officeDocument/2006/relationships/themeOverride" Target="../theme/themeOverride9.xml"/><Relationship Id="rId2" Type="http://schemas.openxmlformats.org/officeDocument/2006/relationships/oleObject" Target="file:///C:\Users\romancikova\Documents\Podklady%20pre%20v&#253;ro&#269;n&#250;%20spr&#225;vu%202015_KPA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0986078609332712"/>
          <c:y val="0.0771125899003673"/>
          <c:w val="0.856905590663828"/>
          <c:h val="0.562499656344162"/>
        </c:manualLayout>
      </c:layout>
      <c:barChart>
        <c:barDir val="col"/>
        <c:grouping val="clustered"/>
        <c:varyColors val="0"/>
        <c:ser>
          <c:idx val="0"/>
          <c:order val="0"/>
          <c:tx>
            <c:strRef>
              <c:f>'počty PU,vybavenosť '!$A$3</c:f>
              <c:strCache>
                <c:ptCount val="1"/>
                <c:pt idx="0">
                  <c:v> počet hlásených PU v životnom poistení bez odkupov a bez pripoistení</c:v>
                </c:pt>
              </c:strCache>
            </c:strRef>
          </c:tx>
          <c:spPr>
            <a:solidFill>
              <a:srgbClr val="0070C0"/>
            </a:solidFill>
            <a:ln>
              <a:solidFill>
                <a:srgbClr val="0070C0"/>
              </a:solidFill>
            </a:ln>
          </c:spPr>
          <c:invertIfNegative val="0"/>
          <c:cat>
            <c:strRef>
              <c:f>'počty PU,vybavenosť '!$B$2:$L$2</c:f>
              <c:strCache>
                <c:ptCount val="11"/>
                <c:pt idx="0">
                  <c:v>r.2015</c:v>
                </c:pt>
                <c:pt idx="1">
                  <c:v>r.2014</c:v>
                </c:pt>
                <c:pt idx="2">
                  <c:v>r.2013</c:v>
                </c:pt>
                <c:pt idx="3">
                  <c:v>r.2012</c:v>
                </c:pt>
                <c:pt idx="4">
                  <c:v>r.2011</c:v>
                </c:pt>
                <c:pt idx="5">
                  <c:v>r.2010</c:v>
                </c:pt>
                <c:pt idx="6">
                  <c:v>r.2009</c:v>
                </c:pt>
                <c:pt idx="7">
                  <c:v>r.2008</c:v>
                </c:pt>
                <c:pt idx="8">
                  <c:v>r.2007</c:v>
                </c:pt>
                <c:pt idx="9">
                  <c:v>r.2006</c:v>
                </c:pt>
                <c:pt idx="10">
                  <c:v>r.2005</c:v>
                </c:pt>
              </c:strCache>
            </c:strRef>
          </c:cat>
          <c:val>
            <c:numRef>
              <c:f>'počty PU,vybavenosť '!$B$3:$L$3</c:f>
              <c:numCache>
                <c:formatCode>General</c:formatCode>
                <c:ptCount val="11"/>
                <c:pt idx="0">
                  <c:v>7143.0</c:v>
                </c:pt>
                <c:pt idx="1">
                  <c:v>7357.0</c:v>
                </c:pt>
                <c:pt idx="2">
                  <c:v>7505.0</c:v>
                </c:pt>
                <c:pt idx="3">
                  <c:v>6723.0</c:v>
                </c:pt>
                <c:pt idx="4">
                  <c:v>4756.0</c:v>
                </c:pt>
                <c:pt idx="5">
                  <c:v>5803.0</c:v>
                </c:pt>
                <c:pt idx="6">
                  <c:v>5476.0</c:v>
                </c:pt>
                <c:pt idx="7">
                  <c:v>4780.0</c:v>
                </c:pt>
                <c:pt idx="8">
                  <c:v>3992.0</c:v>
                </c:pt>
                <c:pt idx="9" formatCode="#,##0">
                  <c:v>3889.0</c:v>
                </c:pt>
                <c:pt idx="10" formatCode="#,##0">
                  <c:v>4015.0</c:v>
                </c:pt>
              </c:numCache>
            </c:numRef>
          </c:val>
        </c:ser>
        <c:ser>
          <c:idx val="1"/>
          <c:order val="1"/>
          <c:tx>
            <c:strRef>
              <c:f>'počty PU,vybavenosť '!$A$4</c:f>
              <c:strCache>
                <c:ptCount val="1"/>
                <c:pt idx="0">
                  <c:v> počet hlásených PU v pripoistení</c:v>
                </c:pt>
              </c:strCache>
            </c:strRef>
          </c:tx>
          <c:spPr>
            <a:solidFill>
              <a:schemeClr val="bg1">
                <a:lumMod val="50000"/>
              </a:schemeClr>
            </a:solidFill>
            <a:ln>
              <a:solidFill>
                <a:schemeClr val="bg1">
                  <a:lumMod val="50000"/>
                </a:schemeClr>
              </a:solidFill>
            </a:ln>
          </c:spPr>
          <c:invertIfNegative val="0"/>
          <c:cat>
            <c:strRef>
              <c:f>'počty PU,vybavenosť '!$B$2:$L$2</c:f>
              <c:strCache>
                <c:ptCount val="11"/>
                <c:pt idx="0">
                  <c:v>r.2015</c:v>
                </c:pt>
                <c:pt idx="1">
                  <c:v>r.2014</c:v>
                </c:pt>
                <c:pt idx="2">
                  <c:v>r.2013</c:v>
                </c:pt>
                <c:pt idx="3">
                  <c:v>r.2012</c:v>
                </c:pt>
                <c:pt idx="4">
                  <c:v>r.2011</c:v>
                </c:pt>
                <c:pt idx="5">
                  <c:v>r.2010</c:v>
                </c:pt>
                <c:pt idx="6">
                  <c:v>r.2009</c:v>
                </c:pt>
                <c:pt idx="7">
                  <c:v>r.2008</c:v>
                </c:pt>
                <c:pt idx="8">
                  <c:v>r.2007</c:v>
                </c:pt>
                <c:pt idx="9">
                  <c:v>r.2006</c:v>
                </c:pt>
                <c:pt idx="10">
                  <c:v>r.2005</c:v>
                </c:pt>
              </c:strCache>
            </c:strRef>
          </c:cat>
          <c:val>
            <c:numRef>
              <c:f>'počty PU,vybavenosť '!$B$4:$L$4</c:f>
              <c:numCache>
                <c:formatCode>General</c:formatCode>
                <c:ptCount val="11"/>
                <c:pt idx="0">
                  <c:v>5208.0</c:v>
                </c:pt>
                <c:pt idx="1">
                  <c:v>5716.0</c:v>
                </c:pt>
                <c:pt idx="2">
                  <c:v>6882.0</c:v>
                </c:pt>
                <c:pt idx="3">
                  <c:v>6998.0</c:v>
                </c:pt>
                <c:pt idx="4">
                  <c:v>6467.0</c:v>
                </c:pt>
                <c:pt idx="5">
                  <c:v>5356.0</c:v>
                </c:pt>
                <c:pt idx="6">
                  <c:v>4371.0</c:v>
                </c:pt>
                <c:pt idx="7">
                  <c:v>4579.0</c:v>
                </c:pt>
                <c:pt idx="8">
                  <c:v>3775.0</c:v>
                </c:pt>
                <c:pt idx="9" formatCode="#,##0">
                  <c:v>3798.0</c:v>
                </c:pt>
                <c:pt idx="10" formatCode="#,##0">
                  <c:v>3876.0</c:v>
                </c:pt>
              </c:numCache>
            </c:numRef>
          </c:val>
        </c:ser>
        <c:ser>
          <c:idx val="2"/>
          <c:order val="2"/>
          <c:tx>
            <c:strRef>
              <c:f>'počty PU,vybavenosť '!$A$5</c:f>
              <c:strCache>
                <c:ptCount val="1"/>
                <c:pt idx="0">
                  <c:v>počet hlásených PU v neživotnom poistení osôb </c:v>
                </c:pt>
              </c:strCache>
            </c:strRef>
          </c:tx>
          <c:spPr>
            <a:solidFill>
              <a:schemeClr val="tx1"/>
            </a:solidFill>
            <a:ln>
              <a:solidFill>
                <a:schemeClr val="tx1"/>
              </a:solidFill>
            </a:ln>
          </c:spPr>
          <c:invertIfNegative val="0"/>
          <c:cat>
            <c:strRef>
              <c:f>'počty PU,vybavenosť '!$B$2:$L$2</c:f>
              <c:strCache>
                <c:ptCount val="11"/>
                <c:pt idx="0">
                  <c:v>r.2015</c:v>
                </c:pt>
                <c:pt idx="1">
                  <c:v>r.2014</c:v>
                </c:pt>
                <c:pt idx="2">
                  <c:v>r.2013</c:v>
                </c:pt>
                <c:pt idx="3">
                  <c:v>r.2012</c:v>
                </c:pt>
                <c:pt idx="4">
                  <c:v>r.2011</c:v>
                </c:pt>
                <c:pt idx="5">
                  <c:v>r.2010</c:v>
                </c:pt>
                <c:pt idx="6">
                  <c:v>r.2009</c:v>
                </c:pt>
                <c:pt idx="7">
                  <c:v>r.2008</c:v>
                </c:pt>
                <c:pt idx="8">
                  <c:v>r.2007</c:v>
                </c:pt>
                <c:pt idx="9">
                  <c:v>r.2006</c:v>
                </c:pt>
                <c:pt idx="10">
                  <c:v>r.2005</c:v>
                </c:pt>
              </c:strCache>
            </c:strRef>
          </c:cat>
          <c:val>
            <c:numRef>
              <c:f>'počty PU,vybavenosť '!$B$5:$L$5</c:f>
              <c:numCache>
                <c:formatCode>General</c:formatCode>
                <c:ptCount val="11"/>
                <c:pt idx="0">
                  <c:v>486.0</c:v>
                </c:pt>
                <c:pt idx="1">
                  <c:v>460.0</c:v>
                </c:pt>
                <c:pt idx="2">
                  <c:v>482.0</c:v>
                </c:pt>
                <c:pt idx="3">
                  <c:v>581.0</c:v>
                </c:pt>
                <c:pt idx="4">
                  <c:v>599.0</c:v>
                </c:pt>
                <c:pt idx="5">
                  <c:v>583.0</c:v>
                </c:pt>
                <c:pt idx="6">
                  <c:v>582.0</c:v>
                </c:pt>
                <c:pt idx="7">
                  <c:v>732.0</c:v>
                </c:pt>
                <c:pt idx="8">
                  <c:v>544.0</c:v>
                </c:pt>
                <c:pt idx="9" formatCode="#,##0">
                  <c:v>908.0</c:v>
                </c:pt>
                <c:pt idx="10" formatCode="#,##0">
                  <c:v>259.0</c:v>
                </c:pt>
              </c:numCache>
            </c:numRef>
          </c:val>
        </c:ser>
        <c:dLbls>
          <c:showLegendKey val="0"/>
          <c:showVal val="0"/>
          <c:showCatName val="0"/>
          <c:showSerName val="0"/>
          <c:showPercent val="0"/>
          <c:showBubbleSize val="0"/>
        </c:dLbls>
        <c:gapWidth val="150"/>
        <c:axId val="-2108787840"/>
        <c:axId val="-2106506352"/>
      </c:barChart>
      <c:catAx>
        <c:axId val="-2108787840"/>
        <c:scaling>
          <c:orientation val="minMax"/>
        </c:scaling>
        <c:delete val="0"/>
        <c:axPos val="b"/>
        <c:numFmt formatCode="General" sourceLinked="1"/>
        <c:majorTickMark val="out"/>
        <c:minorTickMark val="none"/>
        <c:tickLblPos val="nextTo"/>
        <c:spPr>
          <a:noFill/>
        </c:spPr>
        <c:txPr>
          <a:bodyPr/>
          <a:lstStyle/>
          <a:p>
            <a:pPr>
              <a:defRPr b="1"/>
            </a:pPr>
            <a:endParaRPr lang="en-US"/>
          </a:p>
        </c:txPr>
        <c:crossAx val="-2106506352"/>
        <c:crosses val="autoZero"/>
        <c:auto val="1"/>
        <c:lblAlgn val="ctr"/>
        <c:lblOffset val="100"/>
        <c:noMultiLvlLbl val="0"/>
      </c:catAx>
      <c:valAx>
        <c:axId val="-210650635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08787840"/>
        <c:crosses val="autoZero"/>
        <c:crossBetween val="between"/>
      </c:valAx>
    </c:plotArea>
    <c:legend>
      <c:legendPos val="b"/>
      <c:layout>
        <c:manualLayout>
          <c:xMode val="edge"/>
          <c:yMode val="edge"/>
          <c:x val="0.00773853912037818"/>
          <c:y val="0.743595286141597"/>
          <c:w val="0.986430258449453"/>
          <c:h val="0.23021813897992"/>
        </c:manualLayout>
      </c:layout>
      <c:overlay val="0"/>
      <c:txPr>
        <a:bodyPr/>
        <a:lstStyle/>
        <a:p>
          <a:pPr>
            <a:defRPr b="1"/>
          </a:pPr>
          <a:endParaRPr lang="en-US"/>
        </a:p>
      </c:txPr>
    </c:legend>
    <c:plotVisOnly val="1"/>
    <c:dispBlanksAs val="gap"/>
    <c:showDLblsOverMax val="0"/>
  </c:chart>
  <c:spPr>
    <a:solidFill>
      <a:schemeClr val="bg1"/>
    </a:solidFill>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Vývoj počtu vybavených poistných udalostí podľa produktových skupín za roky 2013- 2015</a:t>
            </a:r>
          </a:p>
        </c:rich>
      </c:tx>
      <c:layout>
        <c:manualLayout>
          <c:xMode val="edge"/>
          <c:yMode val="edge"/>
          <c:x val="0.113761467889908"/>
          <c:y val="0.0383275261324042"/>
        </c:manualLayout>
      </c:layout>
      <c:overlay val="0"/>
      <c:spPr>
        <a:noFill/>
        <a:ln w="25400">
          <a:noFill/>
        </a:ln>
      </c:spPr>
    </c:title>
    <c:autoTitleDeleted val="0"/>
    <c:plotArea>
      <c:layout>
        <c:manualLayout>
          <c:layoutTarget val="inner"/>
          <c:xMode val="edge"/>
          <c:yMode val="edge"/>
          <c:x val="0.106422018348624"/>
          <c:y val="0.198606271777003"/>
          <c:w val="0.667889908256881"/>
          <c:h val="0.658536585365853"/>
        </c:manualLayout>
      </c:layout>
      <c:barChart>
        <c:barDir val="col"/>
        <c:grouping val="clustered"/>
        <c:varyColors val="0"/>
        <c:ser>
          <c:idx val="0"/>
          <c:order val="0"/>
          <c:tx>
            <c:strRef>
              <c:f>'vybavené škody'!$A$60</c:f>
              <c:strCache>
                <c:ptCount val="1"/>
                <c:pt idx="0">
                  <c:v>MTPL</c:v>
                </c:pt>
              </c:strCache>
            </c:strRef>
          </c:tx>
          <c:spPr>
            <a:gradFill rotWithShape="0">
              <a:gsLst>
                <a:gs pos="0">
                  <a:srgbClr xmlns:mc="http://schemas.openxmlformats.org/markup-compatibility/2006" xmlns:a14="http://schemas.microsoft.com/office/drawing/2010/main" val="FF0000" mc:Ignorable="a14" a14:legacySpreadsheetColorIndex="10"/>
                </a:gs>
                <a:gs pos="100000">
                  <a:srgbClr xmlns:mc="http://schemas.openxmlformats.org/markup-compatibility/2006" xmlns:a14="http://schemas.microsoft.com/office/drawing/2010/main" val="000000" mc:Ignorable="a14" a14:legacySpreadsheetColorIndex="10">
                    <a:gamma/>
                    <a:shade val="39608"/>
                    <a:invGamma/>
                  </a:srgbClr>
                </a:gs>
              </a:gsLst>
              <a:lin ang="5400000" scaled="1"/>
            </a:gradFill>
            <a:ln w="12700">
              <a:solidFill>
                <a:srgbClr val="000000"/>
              </a:solidFill>
              <a:prstDash val="solid"/>
            </a:ln>
            <a:effectLst>
              <a:outerShdw dist="35921" dir="2700000" algn="br">
                <a:srgbClr val="000000"/>
              </a:outerShdw>
            </a:effectLst>
          </c:spPr>
          <c:invertIfNegative val="0"/>
          <c:cat>
            <c:strRef>
              <c:f>'vybavené škody'!$B$59:$D$59</c:f>
              <c:strCache>
                <c:ptCount val="3"/>
                <c:pt idx="0">
                  <c:v>01-12 2013</c:v>
                </c:pt>
                <c:pt idx="1">
                  <c:v>01-12 2014</c:v>
                </c:pt>
                <c:pt idx="2">
                  <c:v>01-12 2015</c:v>
                </c:pt>
              </c:strCache>
            </c:strRef>
          </c:cat>
          <c:val>
            <c:numRef>
              <c:f>'vybavené škody'!$B$60:$D$60</c:f>
              <c:numCache>
                <c:formatCode>#,##0</c:formatCode>
                <c:ptCount val="3"/>
                <c:pt idx="0">
                  <c:v>17642.0</c:v>
                </c:pt>
                <c:pt idx="1">
                  <c:v>16967.0</c:v>
                </c:pt>
                <c:pt idx="2">
                  <c:v>18256.0</c:v>
                </c:pt>
              </c:numCache>
            </c:numRef>
          </c:val>
        </c:ser>
        <c:ser>
          <c:idx val="1"/>
          <c:order val="1"/>
          <c:tx>
            <c:strRef>
              <c:f>'vybavené škody'!$A$61</c:f>
              <c:strCache>
                <c:ptCount val="1"/>
                <c:pt idx="0">
                  <c:v>Kasko</c:v>
                </c:pt>
              </c:strCache>
            </c:strRef>
          </c:tx>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4902"/>
                    <a:invGamma/>
                  </a:srgbClr>
                </a:gs>
              </a:gsLst>
              <a:lin ang="5400000" scaled="1"/>
            </a:gradFill>
            <a:ln w="12700">
              <a:solidFill>
                <a:srgbClr val="000000"/>
              </a:solidFill>
              <a:prstDash val="solid"/>
            </a:ln>
            <a:effectLst>
              <a:outerShdw dist="35921" dir="2700000" algn="br">
                <a:srgbClr val="000000"/>
              </a:outerShdw>
            </a:effectLst>
          </c:spPr>
          <c:invertIfNegative val="0"/>
          <c:cat>
            <c:strRef>
              <c:f>'vybavené škody'!$B$59:$D$59</c:f>
              <c:strCache>
                <c:ptCount val="3"/>
                <c:pt idx="0">
                  <c:v>01-12 2013</c:v>
                </c:pt>
                <c:pt idx="1">
                  <c:v>01-12 2014</c:v>
                </c:pt>
                <c:pt idx="2">
                  <c:v>01-12 2015</c:v>
                </c:pt>
              </c:strCache>
            </c:strRef>
          </c:cat>
          <c:val>
            <c:numRef>
              <c:f>'vybavené škody'!$B$61:$D$61</c:f>
              <c:numCache>
                <c:formatCode>#,##0</c:formatCode>
                <c:ptCount val="3"/>
                <c:pt idx="0">
                  <c:v>12322.0</c:v>
                </c:pt>
                <c:pt idx="1">
                  <c:v>13271.0</c:v>
                </c:pt>
                <c:pt idx="2">
                  <c:v>16773.0</c:v>
                </c:pt>
              </c:numCache>
            </c:numRef>
          </c:val>
        </c:ser>
        <c:ser>
          <c:idx val="2"/>
          <c:order val="2"/>
          <c:tx>
            <c:strRef>
              <c:f>'vybavené škody'!$A$62</c:f>
              <c:strCache>
                <c:ptCount val="1"/>
                <c:pt idx="0">
                  <c:v>Ostatný majetok a zodpovednosť</c:v>
                </c:pt>
              </c:strCache>
            </c:strRef>
          </c:tx>
          <c:spPr>
            <a:gradFill rotWithShape="0">
              <a:gsLst>
                <a:gs pos="0">
                  <a:srgbClr xmlns:mc="http://schemas.openxmlformats.org/markup-compatibility/2006" xmlns:a14="http://schemas.microsoft.com/office/drawing/2010/main" val="000000" mc:Ignorable="a14" a14:legacySpreadsheetColorIndex="9">
                    <a:gamma/>
                    <a:shade val="34902"/>
                    <a:invGamma/>
                  </a:srgbClr>
                </a:gs>
                <a:gs pos="100000">
                  <a:srgbClr xmlns:mc="http://schemas.openxmlformats.org/markup-compatibility/2006" xmlns:a14="http://schemas.microsoft.com/office/drawing/2010/main" val="FFFFFF" mc:Ignorable="a14" a14:legacySpreadsheetColorIndex="9"/>
                </a:gs>
              </a:gsLst>
              <a:lin ang="5400000" scaled="1"/>
            </a:gradFill>
            <a:ln w="12700">
              <a:solidFill>
                <a:srgbClr val="000000"/>
              </a:solidFill>
              <a:prstDash val="solid"/>
            </a:ln>
            <a:effectLst>
              <a:outerShdw dist="35921" dir="2700000" algn="br">
                <a:srgbClr val="000000"/>
              </a:outerShdw>
            </a:effectLst>
          </c:spPr>
          <c:invertIfNegative val="0"/>
          <c:cat>
            <c:strRef>
              <c:f>'vybavené škody'!$B$59:$D$59</c:f>
              <c:strCache>
                <c:ptCount val="3"/>
                <c:pt idx="0">
                  <c:v>01-12 2013</c:v>
                </c:pt>
                <c:pt idx="1">
                  <c:v>01-12 2014</c:v>
                </c:pt>
                <c:pt idx="2">
                  <c:v>01-12 2015</c:v>
                </c:pt>
              </c:strCache>
            </c:strRef>
          </c:cat>
          <c:val>
            <c:numRef>
              <c:f>'vybavené škody'!$B$62:$D$62</c:f>
              <c:numCache>
                <c:formatCode>#,##0</c:formatCode>
                <c:ptCount val="3"/>
                <c:pt idx="0">
                  <c:v>5204.0</c:v>
                </c:pt>
                <c:pt idx="1">
                  <c:v>4992.0</c:v>
                </c:pt>
                <c:pt idx="2">
                  <c:v>4975.0</c:v>
                </c:pt>
              </c:numCache>
            </c:numRef>
          </c:val>
        </c:ser>
        <c:dLbls>
          <c:showLegendKey val="0"/>
          <c:showVal val="0"/>
          <c:showCatName val="0"/>
          <c:showSerName val="0"/>
          <c:showPercent val="0"/>
          <c:showBubbleSize val="0"/>
        </c:dLbls>
        <c:gapWidth val="250"/>
        <c:axId val="-2052809184"/>
        <c:axId val="-2053141872"/>
      </c:barChart>
      <c:catAx>
        <c:axId val="-205280918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053141872"/>
        <c:crosses val="autoZero"/>
        <c:auto val="1"/>
        <c:lblAlgn val="ctr"/>
        <c:lblOffset val="100"/>
        <c:tickLblSkip val="1"/>
        <c:tickMarkSkip val="1"/>
        <c:noMultiLvlLbl val="0"/>
      </c:catAx>
      <c:valAx>
        <c:axId val="-2053141872"/>
        <c:scaling>
          <c:orientation val="minMax"/>
          <c:max val="20000.0"/>
          <c:min val="0.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052809184"/>
        <c:crosses val="autoZero"/>
        <c:crossBetween val="between"/>
        <c:majorUnit val="2000.0"/>
      </c:valAx>
      <c:spPr>
        <a:solidFill>
          <a:srgbClr val="FFFFFF"/>
        </a:solidFill>
        <a:ln w="12700">
          <a:solidFill>
            <a:srgbClr val="808080"/>
          </a:solidFill>
          <a:prstDash val="solid"/>
        </a:ln>
      </c:spPr>
    </c:plotArea>
    <c:legend>
      <c:legendPos val="r"/>
      <c:legendEntry>
        <c:idx val="0"/>
        <c:txPr>
          <a:bodyPr/>
          <a:lstStyle/>
          <a:p>
            <a:pPr>
              <a:defRPr sz="735" b="0" i="0" u="none" strike="noStrike" baseline="0">
                <a:solidFill>
                  <a:srgbClr val="000000"/>
                </a:solidFill>
                <a:latin typeface="Arial"/>
                <a:ea typeface="Arial"/>
                <a:cs typeface="Arial"/>
              </a:defRPr>
            </a:pPr>
            <a:endParaRPr lang="en-US"/>
          </a:p>
        </c:txPr>
      </c:legendEntry>
      <c:legendEntry>
        <c:idx val="1"/>
        <c:txPr>
          <a:bodyPr/>
          <a:lstStyle/>
          <a:p>
            <a:pPr>
              <a:defRPr sz="735" b="0" i="0" u="none" strike="noStrike" baseline="0">
                <a:solidFill>
                  <a:srgbClr val="000000"/>
                </a:solidFill>
                <a:latin typeface="Arial"/>
                <a:ea typeface="Arial"/>
                <a:cs typeface="Arial"/>
              </a:defRPr>
            </a:pPr>
            <a:endParaRPr lang="en-US"/>
          </a:p>
        </c:txPr>
      </c:legendEntry>
      <c:legendEntry>
        <c:idx val="2"/>
        <c:txPr>
          <a:bodyPr/>
          <a:lstStyle/>
          <a:p>
            <a:pPr>
              <a:defRPr sz="735" b="0" i="0" u="none" strike="noStrike" baseline="0">
                <a:solidFill>
                  <a:srgbClr val="000000"/>
                </a:solidFill>
                <a:latin typeface="Arial"/>
                <a:ea typeface="Arial"/>
                <a:cs typeface="Arial"/>
              </a:defRPr>
            </a:pPr>
            <a:endParaRPr lang="en-US"/>
          </a:p>
        </c:txPr>
      </c:legendEntry>
      <c:layout>
        <c:manualLayout>
          <c:xMode val="edge"/>
          <c:yMode val="edge"/>
          <c:x val="0.794495412844037"/>
          <c:y val="0.247386759581882"/>
          <c:w val="0.190825688073395"/>
          <c:h val="0.560975609756098"/>
        </c:manualLayout>
      </c:layout>
      <c:overlay val="0"/>
      <c:spPr>
        <a:solidFill>
          <a:srgbClr val="FFFFFF"/>
        </a:solidFill>
        <a:ln w="25400">
          <a:noFill/>
        </a:ln>
      </c:spPr>
      <c:txPr>
        <a:bodyPr/>
        <a:lstStyle/>
        <a:p>
          <a:pPr>
            <a:defRPr sz="940" b="0" i="0" u="none" strike="noStrike" baseline="0">
              <a:solidFill>
                <a:srgbClr val="000000"/>
              </a:solidFill>
              <a:latin typeface="Arial"/>
              <a:ea typeface="Arial"/>
              <a:cs typeface="Arial"/>
            </a:defRPr>
          </a:pPr>
          <a:endParaRPr lang="en-US"/>
        </a:p>
      </c:txPr>
    </c:legend>
    <c:plotVisOnly val="1"/>
    <c:dispBlanksAs val="gap"/>
    <c:showDLblsOverMax val="0"/>
  </c:chart>
  <c:spPr>
    <a:solidFill>
      <a:srgbClr val="FFFFFF"/>
    </a:solidFill>
    <a:ln w="3175">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Počet hlásených zahraničných poistných udalostí z PZP za roky 2013 - 2015</a:t>
            </a:r>
          </a:p>
        </c:rich>
      </c:tx>
      <c:layout>
        <c:manualLayout>
          <c:xMode val="edge"/>
          <c:yMode val="edge"/>
          <c:x val="0.103142076502732"/>
          <c:y val="0.0357142857142857"/>
        </c:manualLayout>
      </c:layout>
      <c:overlay val="0"/>
      <c:spPr>
        <a:noFill/>
        <a:ln w="25400">
          <a:noFill/>
        </a:ln>
      </c:spPr>
    </c:title>
    <c:autoTitleDeleted val="0"/>
    <c:plotArea>
      <c:layout>
        <c:manualLayout>
          <c:layoutTarget val="inner"/>
          <c:xMode val="edge"/>
          <c:yMode val="edge"/>
          <c:x val="0.10655737704918"/>
          <c:y val="0.18928604437438"/>
          <c:w val="0.864754098360656"/>
          <c:h val="0.664286872710088"/>
        </c:manualLayout>
      </c:layout>
      <c:barChart>
        <c:barDir val="col"/>
        <c:grouping val="clustered"/>
        <c:varyColors val="0"/>
        <c:ser>
          <c:idx val="1"/>
          <c:order val="0"/>
          <c:tx>
            <c:strRef>
              <c:f>'zahraničné škody'!$B$2</c:f>
              <c:strCache>
                <c:ptCount val="1"/>
                <c:pt idx="0">
                  <c:v>počet hlásených zahraničných PU </c:v>
                </c:pt>
              </c:strCache>
            </c:strRef>
          </c:tx>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7255"/>
                    <a:invGamma/>
                  </a:srgbClr>
                </a:gs>
              </a:gsLst>
              <a:lin ang="5400000" scaled="1"/>
            </a:gradFill>
            <a:ln w="12700">
              <a:solidFill>
                <a:srgbClr val="000000"/>
              </a:solidFill>
              <a:prstDash val="solid"/>
            </a:ln>
            <a:effectLst>
              <a:outerShdw dist="35921" dir="2700000" algn="br">
                <a:srgbClr val="000000"/>
              </a:outerShdw>
            </a:effectLst>
          </c:spPr>
          <c:invertIfNegative val="0"/>
          <c:cat>
            <c:numRef>
              <c:f>'zahraničné škody'!$A$3:$A$5</c:f>
              <c:numCache>
                <c:formatCode>General</c:formatCode>
                <c:ptCount val="3"/>
                <c:pt idx="0">
                  <c:v>2013.0</c:v>
                </c:pt>
                <c:pt idx="1">
                  <c:v>2014.0</c:v>
                </c:pt>
                <c:pt idx="2">
                  <c:v>2015.0</c:v>
                </c:pt>
              </c:numCache>
            </c:numRef>
          </c:cat>
          <c:val>
            <c:numRef>
              <c:f>'zahraničné škody'!$B$3:$B$5</c:f>
              <c:numCache>
                <c:formatCode>#,##0</c:formatCode>
                <c:ptCount val="3"/>
                <c:pt idx="0">
                  <c:v>2183.0</c:v>
                </c:pt>
                <c:pt idx="1">
                  <c:v>2350.0</c:v>
                </c:pt>
                <c:pt idx="2">
                  <c:v>2925.0</c:v>
                </c:pt>
              </c:numCache>
            </c:numRef>
          </c:val>
        </c:ser>
        <c:dLbls>
          <c:showLegendKey val="0"/>
          <c:showVal val="0"/>
          <c:showCatName val="0"/>
          <c:showSerName val="0"/>
          <c:showPercent val="0"/>
          <c:showBubbleSize val="0"/>
        </c:dLbls>
        <c:gapWidth val="250"/>
        <c:axId val="-2050499184"/>
        <c:axId val="-2074811552"/>
      </c:barChart>
      <c:catAx>
        <c:axId val="-205049918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074811552"/>
        <c:crosses val="autoZero"/>
        <c:auto val="1"/>
        <c:lblAlgn val="ctr"/>
        <c:lblOffset val="100"/>
        <c:tickLblSkip val="1"/>
        <c:tickMarkSkip val="1"/>
        <c:noMultiLvlLbl val="0"/>
      </c:catAx>
      <c:valAx>
        <c:axId val="-2074811552"/>
        <c:scaling>
          <c:orientation val="minMax"/>
          <c:max val="3000.0"/>
          <c:min val="0.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050499184"/>
        <c:crosses val="autoZero"/>
        <c:crossBetween val="between"/>
        <c:majorUnit val="250.0"/>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nové!$A$2</c:f>
              <c:strCache>
                <c:ptCount val="1"/>
                <c:pt idx="0">
                  <c:v>celkový stav zamestnancov</c:v>
                </c:pt>
              </c:strCache>
            </c:strRef>
          </c:tx>
          <c:invertIfNegative val="0"/>
          <c:cat>
            <c:numRef>
              <c:f>nové!$B$1:$H$1</c:f>
              <c:numCache>
                <c:formatCode>General</c:formatCode>
                <c:ptCount val="7"/>
                <c:pt idx="0">
                  <c:v>2009.0</c:v>
                </c:pt>
                <c:pt idx="1">
                  <c:v>2010.0</c:v>
                </c:pt>
                <c:pt idx="2">
                  <c:v>2011.0</c:v>
                </c:pt>
                <c:pt idx="3">
                  <c:v>2012.0</c:v>
                </c:pt>
                <c:pt idx="4">
                  <c:v>2013.0</c:v>
                </c:pt>
                <c:pt idx="5">
                  <c:v>2014.0</c:v>
                </c:pt>
                <c:pt idx="6">
                  <c:v>2015.0</c:v>
                </c:pt>
              </c:numCache>
            </c:numRef>
          </c:cat>
          <c:val>
            <c:numRef>
              <c:f>nové!$B$2:$H$2</c:f>
              <c:numCache>
                <c:formatCode>General</c:formatCode>
                <c:ptCount val="7"/>
                <c:pt idx="0">
                  <c:v>334.0</c:v>
                </c:pt>
                <c:pt idx="1">
                  <c:v>347.0</c:v>
                </c:pt>
                <c:pt idx="2">
                  <c:v>360.0</c:v>
                </c:pt>
                <c:pt idx="3">
                  <c:v>337.0</c:v>
                </c:pt>
                <c:pt idx="4">
                  <c:v>328.0</c:v>
                </c:pt>
                <c:pt idx="5">
                  <c:v>381.0</c:v>
                </c:pt>
                <c:pt idx="6">
                  <c:v>407.0</c:v>
                </c:pt>
              </c:numCache>
            </c:numRef>
          </c:val>
        </c:ser>
        <c:ser>
          <c:idx val="1"/>
          <c:order val="1"/>
          <c:tx>
            <c:strRef>
              <c:f>nové!$A$3</c:f>
              <c:strCache>
                <c:ptCount val="1"/>
                <c:pt idx="0">
                  <c:v>z toho obchodní zástupcovia</c:v>
                </c:pt>
              </c:strCache>
            </c:strRef>
          </c:tx>
          <c:invertIfNegative val="0"/>
          <c:cat>
            <c:numRef>
              <c:f>nové!$B$1:$H$1</c:f>
              <c:numCache>
                <c:formatCode>General</c:formatCode>
                <c:ptCount val="7"/>
                <c:pt idx="0">
                  <c:v>2009.0</c:v>
                </c:pt>
                <c:pt idx="1">
                  <c:v>2010.0</c:v>
                </c:pt>
                <c:pt idx="2">
                  <c:v>2011.0</c:v>
                </c:pt>
                <c:pt idx="3">
                  <c:v>2012.0</c:v>
                </c:pt>
                <c:pt idx="4">
                  <c:v>2013.0</c:v>
                </c:pt>
                <c:pt idx="5">
                  <c:v>2014.0</c:v>
                </c:pt>
                <c:pt idx="6">
                  <c:v>2015.0</c:v>
                </c:pt>
              </c:numCache>
            </c:numRef>
          </c:cat>
          <c:val>
            <c:numRef>
              <c:f>nové!$B$3:$H$3</c:f>
              <c:numCache>
                <c:formatCode>General</c:formatCode>
                <c:ptCount val="7"/>
                <c:pt idx="0">
                  <c:v>198.0</c:v>
                </c:pt>
                <c:pt idx="1">
                  <c:v>178.0</c:v>
                </c:pt>
                <c:pt idx="2">
                  <c:v>190.0</c:v>
                </c:pt>
                <c:pt idx="3">
                  <c:v>166.0</c:v>
                </c:pt>
                <c:pt idx="4">
                  <c:v>153.0</c:v>
                </c:pt>
                <c:pt idx="5">
                  <c:v>200.0</c:v>
                </c:pt>
                <c:pt idx="6">
                  <c:v>213.0</c:v>
                </c:pt>
              </c:numCache>
            </c:numRef>
          </c:val>
        </c:ser>
        <c:dLbls>
          <c:showLegendKey val="0"/>
          <c:showVal val="0"/>
          <c:showCatName val="0"/>
          <c:showSerName val="0"/>
          <c:showPercent val="0"/>
          <c:showBubbleSize val="0"/>
        </c:dLbls>
        <c:gapWidth val="150"/>
        <c:axId val="-1969285872"/>
        <c:axId val="-1969282992"/>
      </c:barChart>
      <c:catAx>
        <c:axId val="-1969285872"/>
        <c:scaling>
          <c:orientation val="minMax"/>
        </c:scaling>
        <c:delete val="0"/>
        <c:axPos val="b"/>
        <c:numFmt formatCode="General" sourceLinked="1"/>
        <c:majorTickMark val="out"/>
        <c:minorTickMark val="none"/>
        <c:tickLblPos val="nextTo"/>
        <c:crossAx val="-1969282992"/>
        <c:crosses val="autoZero"/>
        <c:auto val="1"/>
        <c:lblAlgn val="ctr"/>
        <c:lblOffset val="100"/>
        <c:noMultiLvlLbl val="0"/>
      </c:catAx>
      <c:valAx>
        <c:axId val="-1969282992"/>
        <c:scaling>
          <c:orientation val="minMax"/>
        </c:scaling>
        <c:delete val="0"/>
        <c:axPos val="l"/>
        <c:majorGridlines/>
        <c:numFmt formatCode="General" sourceLinked="1"/>
        <c:majorTickMark val="out"/>
        <c:minorTickMark val="none"/>
        <c:tickLblPos val="nextTo"/>
        <c:crossAx val="-1969285872"/>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a:t>Veková štruktúra zamestnancov k 31.12.2015</a:t>
            </a:r>
          </a:p>
        </c:rich>
      </c:tx>
      <c:layout>
        <c:manualLayout>
          <c:xMode val="edge"/>
          <c:yMode val="edge"/>
          <c:x val="0.175060772770635"/>
          <c:y val="0.0469069103588329"/>
        </c:manualLayout>
      </c:layout>
      <c:overlay val="0"/>
      <c:spPr>
        <a:no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55102195374477"/>
          <c:y val="0.379182156133829"/>
          <c:w val="0.536735228730099"/>
          <c:h val="0.390334572490706"/>
        </c:manualLayout>
      </c:layout>
      <c:pie3DChart>
        <c:varyColors val="1"/>
        <c:ser>
          <c:idx val="0"/>
          <c:order val="0"/>
          <c:spPr>
            <a:solidFill>
              <a:srgbClr val="9999FF"/>
            </a:solidFill>
            <a:ln w="12700">
              <a:solidFill>
                <a:srgbClr val="000000"/>
              </a:solidFill>
              <a:prstDash val="solid"/>
            </a:ln>
          </c:spPr>
          <c:explosion val="25"/>
          <c:dPt>
            <c:idx val="0"/>
            <c:bubble3D val="0"/>
          </c:dPt>
          <c:dPt>
            <c:idx val="1"/>
            <c:bubble3D val="0"/>
            <c:spPr>
              <a:solidFill>
                <a:srgbClr val="FF0000"/>
              </a:solidFill>
              <a:ln w="12700">
                <a:solidFill>
                  <a:srgbClr val="000000"/>
                </a:solidFill>
                <a:prstDash val="solid"/>
              </a:ln>
            </c:spPr>
          </c:dPt>
          <c:dPt>
            <c:idx val="2"/>
            <c:bubble3D val="0"/>
            <c:spPr>
              <a:solidFill>
                <a:srgbClr val="FFFF00"/>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Lbls>
            <c:numFmt formatCode="0%" sourceLinked="0"/>
            <c:spPr>
              <a:noFill/>
              <a:ln w="25400">
                <a:noFill/>
              </a:ln>
            </c:spPr>
            <c:txPr>
              <a:bodyPr/>
              <a:lstStyle/>
              <a:p>
                <a:pPr>
                  <a:defRPr sz="10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'graf VEK 2015'!$A$1:$A$5</c:f>
              <c:strCache>
                <c:ptCount val="5"/>
                <c:pt idx="0">
                  <c:v>18 - 30</c:v>
                </c:pt>
                <c:pt idx="1">
                  <c:v>31 - 40</c:v>
                </c:pt>
                <c:pt idx="2">
                  <c:v>41 - 50</c:v>
                </c:pt>
                <c:pt idx="3">
                  <c:v>51 - 60</c:v>
                </c:pt>
                <c:pt idx="4">
                  <c:v>61 a viac</c:v>
                </c:pt>
              </c:strCache>
            </c:strRef>
          </c:cat>
          <c:val>
            <c:numRef>
              <c:f>'graf VEK 2015'!$B$1:$B$5</c:f>
              <c:numCache>
                <c:formatCode>General</c:formatCode>
                <c:ptCount val="5"/>
                <c:pt idx="0">
                  <c:v>91.0</c:v>
                </c:pt>
                <c:pt idx="1">
                  <c:v>126.0</c:v>
                </c:pt>
                <c:pt idx="2">
                  <c:v>123.0</c:v>
                </c:pt>
                <c:pt idx="3">
                  <c:v>94.0</c:v>
                </c:pt>
                <c:pt idx="4">
                  <c:v>9.0</c:v>
                </c:pt>
              </c:numCache>
            </c:numRef>
          </c:val>
        </c:ser>
        <c:dLbls>
          <c:showLegendKey val="0"/>
          <c:showVal val="0"/>
          <c:showCatName val="0"/>
          <c:showSerName val="0"/>
          <c:showPercent val="0"/>
          <c:showBubbleSize val="0"/>
          <c:showLeaderLines val="1"/>
        </c:dLbls>
      </c:pie3DChart>
      <c:spPr>
        <a:noFill/>
        <a:ln w="25400">
          <a:noFill/>
        </a:ln>
      </c:spPr>
    </c:plotArea>
    <c:legend>
      <c:legendPos val="r"/>
      <c:layout>
        <c:manualLayout>
          <c:xMode val="edge"/>
          <c:yMode val="edge"/>
          <c:x val="0.838776339398253"/>
          <c:y val="0.379182328486311"/>
          <c:w val="0.144898102426462"/>
          <c:h val="0.394052148590915"/>
        </c:manualLayout>
      </c:layout>
      <c:overlay val="0"/>
      <c:spPr>
        <a:solidFill>
          <a:srgbClr val="FFFFFF"/>
        </a:solidFill>
        <a:ln w="3175">
          <a:solidFill>
            <a:srgbClr val="000000"/>
          </a:solidFill>
          <a:prstDash val="solid"/>
        </a:ln>
      </c:spPr>
      <c:txPr>
        <a:bodyPr/>
        <a:lstStyle/>
        <a:p>
          <a:pPr>
            <a:defRPr sz="775" b="0" i="0" u="none" strike="noStrike" baseline="0">
              <a:solidFill>
                <a:srgbClr val="000000"/>
              </a:solidFill>
              <a:latin typeface="Arial"/>
              <a:ea typeface="Arial"/>
              <a:cs typeface="Arial"/>
            </a:defRPr>
          </a:pPr>
          <a:endParaRPr lang="en-US"/>
        </a:p>
      </c:txPr>
    </c:legend>
    <c:plotVisOnly val="1"/>
    <c:dispBlanksAs val="zero"/>
    <c:showDLblsOverMax val="0"/>
  </c:chart>
  <c:spPr>
    <a:gradFill rotWithShape="0">
      <a:gsLst>
        <a:gs pos="50000">
          <a:schemeClr val="bg1">
            <a:lumMod val="75000"/>
          </a:schemeClr>
        </a:gs>
        <a:gs pos="100000">
          <a:srgbClr xmlns:mc="http://schemas.openxmlformats.org/markup-compatibility/2006" xmlns:a14="http://schemas.microsoft.com/office/drawing/2010/main" val="FFFFFF" mc:Ignorable="a14" a14:legacySpreadsheetColorIndex="65"/>
        </a:gs>
      </a:gsLst>
      <a:lin ang="5400000" scaled="1"/>
    </a:gra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a:t>Štruktúra vzdelania zamestnancov k 31.12.2015</a:t>
            </a:r>
          </a:p>
        </c:rich>
      </c:tx>
      <c:layout>
        <c:manualLayout>
          <c:xMode val="edge"/>
          <c:yMode val="edge"/>
          <c:x val="0.156525073834461"/>
          <c:y val="0.0522680363879246"/>
        </c:manualLayout>
      </c:layout>
      <c:overlay val="0"/>
      <c:spPr>
        <a:no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48677676982882"/>
          <c:y val="0.327586206896552"/>
          <c:w val="0.502646368369654"/>
          <c:h val="0.389655172413793"/>
        </c:manualLayout>
      </c:layout>
      <c:pie3DChart>
        <c:varyColors val="1"/>
        <c:ser>
          <c:idx val="0"/>
          <c:order val="0"/>
          <c:spPr>
            <a:ln w="12700">
              <a:solidFill>
                <a:srgbClr val="000000"/>
              </a:solidFill>
              <a:prstDash val="solid"/>
            </a:ln>
          </c:spPr>
          <c:explosion val="25"/>
          <c:dPt>
            <c:idx val="0"/>
            <c:bubble3D val="0"/>
            <c:spPr>
              <a:solidFill>
                <a:srgbClr val="CCFFFF"/>
              </a:solidFill>
              <a:ln w="12700">
                <a:solidFill>
                  <a:srgbClr val="000000"/>
                </a:solidFill>
                <a:prstDash val="solid"/>
              </a:ln>
            </c:spPr>
          </c:dPt>
          <c:dPt>
            <c:idx val="1"/>
            <c:bubble3D val="0"/>
            <c:spPr>
              <a:solidFill>
                <a:srgbClr val="FF0000"/>
              </a:solidFill>
              <a:ln w="12700">
                <a:solidFill>
                  <a:srgbClr val="000000"/>
                </a:solidFill>
                <a:prstDash val="solid"/>
              </a:ln>
            </c:spPr>
          </c:dPt>
          <c:dPt>
            <c:idx val="2"/>
            <c:bubble3D val="0"/>
            <c:spPr>
              <a:solidFill>
                <a:srgbClr val="9999FF"/>
              </a:solidFill>
              <a:ln w="12700">
                <a:solidFill>
                  <a:srgbClr val="000000"/>
                </a:solidFill>
                <a:prstDash val="solid"/>
              </a:ln>
            </c:spPr>
          </c:dPt>
          <c:dLbls>
            <c:numFmt formatCode="0%" sourceLinked="0"/>
            <c:spPr>
              <a:noFill/>
              <a:ln w="25400">
                <a:noFill/>
              </a:ln>
            </c:spPr>
            <c:txPr>
              <a:bodyPr/>
              <a:lstStyle/>
              <a:p>
                <a:pPr>
                  <a:defRPr sz="115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'graf VZDELANIE 2015'!$A$1:$A$3</c:f>
              <c:strCache>
                <c:ptCount val="3"/>
                <c:pt idx="0">
                  <c:v>SŠ bez maturity</c:v>
                </c:pt>
                <c:pt idx="1">
                  <c:v>SŠ s maturitou</c:v>
                </c:pt>
                <c:pt idx="2">
                  <c:v>VŠ </c:v>
                </c:pt>
              </c:strCache>
            </c:strRef>
          </c:cat>
          <c:val>
            <c:numRef>
              <c:f>'graf VZDELANIE 2015'!$B$1:$B$3</c:f>
              <c:numCache>
                <c:formatCode>General</c:formatCode>
                <c:ptCount val="3"/>
                <c:pt idx="0">
                  <c:v>6.0</c:v>
                </c:pt>
                <c:pt idx="1">
                  <c:v>212.0</c:v>
                </c:pt>
                <c:pt idx="2">
                  <c:v>225.0</c:v>
                </c:pt>
              </c:numCache>
            </c:numRef>
          </c:val>
        </c:ser>
        <c:dLbls>
          <c:showLegendKey val="0"/>
          <c:showVal val="0"/>
          <c:showCatName val="0"/>
          <c:showSerName val="0"/>
          <c:showPercent val="0"/>
          <c:showBubbleSize val="0"/>
          <c:showLeaderLines val="1"/>
        </c:dLbls>
      </c:pie3DChart>
      <c:spPr>
        <a:noFill/>
        <a:ln w="25400">
          <a:noFill/>
        </a:ln>
      </c:spPr>
    </c:plotArea>
    <c:legend>
      <c:legendPos val="b"/>
      <c:layout>
        <c:manualLayout>
          <c:xMode val="edge"/>
          <c:yMode val="edge"/>
          <c:x val="0.139329936699089"/>
          <c:y val="0.893103415836461"/>
          <c:w val="0.796474074516776"/>
          <c:h val="0.0827586336654155"/>
        </c:manualLayout>
      </c:layout>
      <c:overlay val="0"/>
      <c:spPr>
        <a:gradFill rotWithShape="0">
          <a:gsLst>
            <a:gs pos="0">
              <a:srgbClr xmlns:mc="http://schemas.openxmlformats.org/markup-compatibility/2006" xmlns:a14="http://schemas.microsoft.com/office/drawing/2010/main" val="000000" mc:Ignorable="a14" a14:legacySpreadsheetColorIndex="9">
                <a:gamma/>
                <a:shade val="46275"/>
                <a:invGamma/>
              </a:srgbClr>
            </a:gs>
            <a:gs pos="5000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000000" mc:Ignorable="a14" a14:legacySpreadsheetColorIndex="9">
                <a:gamma/>
                <a:shade val="46275"/>
                <a:invGamma/>
              </a:srgbClr>
            </a:gs>
          </a:gsLst>
          <a:lin ang="5400000" scaled="1"/>
        </a:gradFill>
        <a:ln w="3175">
          <a:solidFill>
            <a:srgbClr val="000000"/>
          </a:solidFill>
          <a:prstDash val="solid"/>
        </a:ln>
      </c:spPr>
      <c:txPr>
        <a:bodyPr/>
        <a:lstStyle/>
        <a:p>
          <a:pPr>
            <a:defRPr sz="775" b="0" i="0" u="none" strike="noStrike" baseline="0">
              <a:solidFill>
                <a:srgbClr val="000000"/>
              </a:solidFill>
              <a:latin typeface="Arial"/>
              <a:ea typeface="Arial"/>
              <a:cs typeface="Arial"/>
            </a:defRPr>
          </a:pPr>
          <a:endParaRPr lang="en-US"/>
        </a:p>
      </c:txPr>
    </c:legend>
    <c:plotVisOnly val="1"/>
    <c:dispBlanksAs val="zero"/>
    <c:showDLblsOverMax val="0"/>
  </c:chart>
  <c:spPr>
    <a:gradFill rotWithShape="0">
      <a:gsLst>
        <a:gs pos="87500">
          <a:srgbClr val="C0C0C0"/>
        </a:gs>
        <a:gs pos="50000">
          <a:srgbClr val="C0C0C0"/>
        </a:gs>
        <a:gs pos="0">
          <a:schemeClr val="bg1">
            <a:lumMod val="75000"/>
          </a:schemeClr>
        </a:gs>
        <a:gs pos="100000">
          <a:srgbClr xmlns:mc="http://schemas.openxmlformats.org/markup-compatibility/2006" xmlns:a14="http://schemas.microsoft.com/office/drawing/2010/main" val="C0C0C0" mc:Ignorable="a14" a14:legacySpreadsheetColorIndex="22"/>
        </a:gs>
      </a:gsLst>
      <a:lin ang="5400000" scaled="1"/>
    </a:gradFill>
    <a:ln w="3175">
      <a:solidFill>
        <a:srgbClr val="000000"/>
      </a:solidFill>
      <a:prstDash val="solid"/>
    </a:ln>
  </c:spPr>
  <c:txPr>
    <a:bodyPr/>
    <a:lstStyle/>
    <a:p>
      <a:pPr>
        <a:defRPr sz="1150" b="0" i="0" u="none" strike="noStrike" baseline="0">
          <a:solidFill>
            <a:srgbClr val="000000"/>
          </a:solidFill>
          <a:latin typeface="Arial"/>
          <a:ea typeface="Arial"/>
          <a:cs typeface="Arial"/>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0"/>
      <c:rotY val="0"/>
      <c:rAngAx val="0"/>
      <c:perspective val="50"/>
    </c:view3D>
    <c:floor>
      <c:thickness val="0"/>
    </c:floor>
    <c:sideWall>
      <c:thickness val="0"/>
    </c:sideWall>
    <c:backWall>
      <c:thickness val="0"/>
    </c:backWall>
    <c:plotArea>
      <c:layout/>
      <c:bar3DChart>
        <c:barDir val="col"/>
        <c:grouping val="clustered"/>
        <c:varyColors val="0"/>
        <c:ser>
          <c:idx val="0"/>
          <c:order val="0"/>
          <c:tx>
            <c:strRef>
              <c:f>'V EUR plnenia od 2002'!$R$3</c:f>
              <c:strCache>
                <c:ptCount val="1"/>
                <c:pt idx="0">
                  <c:v>vyplatené plnenie za dožitia a dôchodky bez odkupov</c:v>
                </c:pt>
              </c:strCache>
            </c:strRef>
          </c:tx>
          <c:spPr>
            <a:solidFill>
              <a:srgbClr val="0070C0"/>
            </a:solidFill>
            <a:ln>
              <a:solidFill>
                <a:srgbClr val="0070C0"/>
              </a:solidFill>
            </a:ln>
          </c:spPr>
          <c:invertIfNegative val="0"/>
          <c:cat>
            <c:strRef>
              <c:f>'V EUR plnenia od 2002'!$S$2:$AC$2</c:f>
              <c:strCache>
                <c:ptCount val="11"/>
                <c:pt idx="0">
                  <c:v>rok 2015</c:v>
                </c:pt>
                <c:pt idx="1">
                  <c:v>rok 2014</c:v>
                </c:pt>
                <c:pt idx="2">
                  <c:v>rok 2013</c:v>
                </c:pt>
                <c:pt idx="3">
                  <c:v>rok 2012</c:v>
                </c:pt>
                <c:pt idx="4">
                  <c:v>rok 2011</c:v>
                </c:pt>
                <c:pt idx="5">
                  <c:v>rok 2010</c:v>
                </c:pt>
                <c:pt idx="6">
                  <c:v>rok 2009</c:v>
                </c:pt>
                <c:pt idx="7">
                  <c:v>rok 2008</c:v>
                </c:pt>
                <c:pt idx="8">
                  <c:v>rok 2007</c:v>
                </c:pt>
                <c:pt idx="9">
                  <c:v>rok 2006</c:v>
                </c:pt>
                <c:pt idx="10">
                  <c:v>rok 2005</c:v>
                </c:pt>
              </c:strCache>
            </c:strRef>
          </c:cat>
          <c:val>
            <c:numRef>
              <c:f>'V EUR plnenia od 2002'!$S$3:$AC$3</c:f>
              <c:numCache>
                <c:formatCode>_("€"* #,##0.00_);_("€"* \(#,##0.00\);_("€"* "-"??_);_(@_)</c:formatCode>
                <c:ptCount val="11"/>
                <c:pt idx="0" formatCode="#,##0.00\ &quot;€&quot;">
                  <c:v>1.083932142E7</c:v>
                </c:pt>
                <c:pt idx="1">
                  <c:v>1.110533511E7</c:v>
                </c:pt>
                <c:pt idx="2">
                  <c:v>9.50553763E6</c:v>
                </c:pt>
                <c:pt idx="3">
                  <c:v>6.67729966E6</c:v>
                </c:pt>
                <c:pt idx="4" formatCode="#,##0.00\ &quot;€&quot;">
                  <c:v>5.89091443E6</c:v>
                </c:pt>
                <c:pt idx="5" formatCode="#,##0.00\ &quot;€&quot;">
                  <c:v>7.74665542E6</c:v>
                </c:pt>
                <c:pt idx="6" formatCode="#,##0.00\ &quot;€&quot;">
                  <c:v>5.66912488E6</c:v>
                </c:pt>
                <c:pt idx="7" formatCode="#,##0.00\ &quot;€&quot;">
                  <c:v>5.65037234E6</c:v>
                </c:pt>
                <c:pt idx="8" formatCode="#,##0.00\ &quot;€&quot;">
                  <c:v>4.24453149E6</c:v>
                </c:pt>
                <c:pt idx="9" formatCode="#,##0.00\ &quot;€&quot;">
                  <c:v>2.80816002E6</c:v>
                </c:pt>
                <c:pt idx="10" formatCode="#,##0.00\ &quot;€&quot;">
                  <c:v>2.66806698E6</c:v>
                </c:pt>
              </c:numCache>
            </c:numRef>
          </c:val>
        </c:ser>
        <c:ser>
          <c:idx val="1"/>
          <c:order val="1"/>
          <c:tx>
            <c:strRef>
              <c:f>'V EUR plnenia od 2002'!$R$4</c:f>
              <c:strCache>
                <c:ptCount val="1"/>
                <c:pt idx="0">
                  <c:v>vyplatené plnenie za ostatné v živote bez odkupov</c:v>
                </c:pt>
              </c:strCache>
            </c:strRef>
          </c:tx>
          <c:spPr>
            <a:solidFill>
              <a:srgbClr val="FF0000"/>
            </a:solidFill>
            <a:ln>
              <a:solidFill>
                <a:srgbClr val="FF0000"/>
              </a:solidFill>
            </a:ln>
          </c:spPr>
          <c:invertIfNegative val="0"/>
          <c:cat>
            <c:strRef>
              <c:f>'V EUR plnenia od 2002'!$S$2:$AC$2</c:f>
              <c:strCache>
                <c:ptCount val="11"/>
                <c:pt idx="0">
                  <c:v>rok 2015</c:v>
                </c:pt>
                <c:pt idx="1">
                  <c:v>rok 2014</c:v>
                </c:pt>
                <c:pt idx="2">
                  <c:v>rok 2013</c:v>
                </c:pt>
                <c:pt idx="3">
                  <c:v>rok 2012</c:v>
                </c:pt>
                <c:pt idx="4">
                  <c:v>rok 2011</c:v>
                </c:pt>
                <c:pt idx="5">
                  <c:v>rok 2010</c:v>
                </c:pt>
                <c:pt idx="6">
                  <c:v>rok 2009</c:v>
                </c:pt>
                <c:pt idx="7">
                  <c:v>rok 2008</c:v>
                </c:pt>
                <c:pt idx="8">
                  <c:v>rok 2007</c:v>
                </c:pt>
                <c:pt idx="9">
                  <c:v>rok 2006</c:v>
                </c:pt>
                <c:pt idx="10">
                  <c:v>rok 2005</c:v>
                </c:pt>
              </c:strCache>
            </c:strRef>
          </c:cat>
          <c:val>
            <c:numRef>
              <c:f>'V EUR plnenia od 2002'!$S$4:$AC$4</c:f>
              <c:numCache>
                <c:formatCode>_("€"* #,##0.00_);_("€"* \(#,##0.00\);_("€"* "-"??_);_(@_)</c:formatCode>
                <c:ptCount val="11"/>
                <c:pt idx="0" formatCode="#,##0.00\ &quot;€&quot;">
                  <c:v>859449.74</c:v>
                </c:pt>
                <c:pt idx="1">
                  <c:v>715713.3399999993</c:v>
                </c:pt>
                <c:pt idx="2">
                  <c:v>543681.9100000001</c:v>
                </c:pt>
                <c:pt idx="3">
                  <c:v>916210.6</c:v>
                </c:pt>
                <c:pt idx="4" formatCode="#,##0.00\ &quot;€&quot;">
                  <c:v>768715.0699999993</c:v>
                </c:pt>
                <c:pt idx="5" formatCode="#,##0.00\ &quot;€&quot;">
                  <c:v>678507.7299999913</c:v>
                </c:pt>
                <c:pt idx="6" formatCode="#,##0.00\ &quot;€&quot;">
                  <c:v>662274.460000001</c:v>
                </c:pt>
                <c:pt idx="7" formatCode="#,##0.00\ &quot;€&quot;">
                  <c:v>779487.6999999922</c:v>
                </c:pt>
                <c:pt idx="8" formatCode="#,##0.00\ &quot;€&quot;">
                  <c:v>566913.0199999989</c:v>
                </c:pt>
                <c:pt idx="9" formatCode="#,##0.00\ &quot;€&quot;">
                  <c:v>474656.1700000018</c:v>
                </c:pt>
                <c:pt idx="10" formatCode="#,##0.00\ &quot;€&quot;">
                  <c:v>385792.4500000002</c:v>
                </c:pt>
              </c:numCache>
            </c:numRef>
          </c:val>
        </c:ser>
        <c:ser>
          <c:idx val="2"/>
          <c:order val="2"/>
          <c:tx>
            <c:strRef>
              <c:f>'V EUR plnenia od 2002'!$R$5</c:f>
              <c:strCache>
                <c:ptCount val="1"/>
                <c:pt idx="0">
                  <c:v>vyplatené plnenie za pripoistenia</c:v>
                </c:pt>
              </c:strCache>
            </c:strRef>
          </c:tx>
          <c:spPr>
            <a:solidFill>
              <a:schemeClr val="bg1">
                <a:lumMod val="50000"/>
              </a:schemeClr>
            </a:solidFill>
            <a:ln>
              <a:solidFill>
                <a:schemeClr val="bg1">
                  <a:lumMod val="50000"/>
                </a:schemeClr>
              </a:solidFill>
            </a:ln>
          </c:spPr>
          <c:invertIfNegative val="0"/>
          <c:cat>
            <c:strRef>
              <c:f>'V EUR plnenia od 2002'!$S$2:$AC$2</c:f>
              <c:strCache>
                <c:ptCount val="11"/>
                <c:pt idx="0">
                  <c:v>rok 2015</c:v>
                </c:pt>
                <c:pt idx="1">
                  <c:v>rok 2014</c:v>
                </c:pt>
                <c:pt idx="2">
                  <c:v>rok 2013</c:v>
                </c:pt>
                <c:pt idx="3">
                  <c:v>rok 2012</c:v>
                </c:pt>
                <c:pt idx="4">
                  <c:v>rok 2011</c:v>
                </c:pt>
                <c:pt idx="5">
                  <c:v>rok 2010</c:v>
                </c:pt>
                <c:pt idx="6">
                  <c:v>rok 2009</c:v>
                </c:pt>
                <c:pt idx="7">
                  <c:v>rok 2008</c:v>
                </c:pt>
                <c:pt idx="8">
                  <c:v>rok 2007</c:v>
                </c:pt>
                <c:pt idx="9">
                  <c:v>rok 2006</c:v>
                </c:pt>
                <c:pt idx="10">
                  <c:v>rok 2005</c:v>
                </c:pt>
              </c:strCache>
            </c:strRef>
          </c:cat>
          <c:val>
            <c:numRef>
              <c:f>'V EUR plnenia od 2002'!$S$5:$AC$5</c:f>
              <c:numCache>
                <c:formatCode>_("€"* #,##0.00_);_("€"* \(#,##0.00\);_("€"* "-"??_);_(@_)</c:formatCode>
                <c:ptCount val="11"/>
                <c:pt idx="0" formatCode="#,##0.00\ &quot;€&quot;">
                  <c:v>1.57240749E6</c:v>
                </c:pt>
                <c:pt idx="1">
                  <c:v>1.27817361E6</c:v>
                </c:pt>
                <c:pt idx="2">
                  <c:v>1.94761966E6</c:v>
                </c:pt>
                <c:pt idx="3">
                  <c:v>1.76208416E6</c:v>
                </c:pt>
                <c:pt idx="4" formatCode="#,##0.00\ &quot;€&quot;">
                  <c:v>1.63544049E6</c:v>
                </c:pt>
                <c:pt idx="5" formatCode="#,##0.00\ &quot;€&quot;">
                  <c:v>1.37266618E6</c:v>
                </c:pt>
                <c:pt idx="6" formatCode="#,##0.00\ &quot;€&quot;">
                  <c:v>1.10348964E6</c:v>
                </c:pt>
                <c:pt idx="7" formatCode="#,##0.00\ &quot;€&quot;">
                  <c:v>1.20335341E6</c:v>
                </c:pt>
                <c:pt idx="8" formatCode="#,##0.00\ &quot;€&quot;">
                  <c:v>779768.4300000002</c:v>
                </c:pt>
                <c:pt idx="9" formatCode="#,##0.00\ &quot;€&quot;">
                  <c:v>938201.9999999983</c:v>
                </c:pt>
                <c:pt idx="10" formatCode="#,##0.00\ &quot;€&quot;">
                  <c:v>941964.9300000004</c:v>
                </c:pt>
              </c:numCache>
            </c:numRef>
          </c:val>
        </c:ser>
        <c:ser>
          <c:idx val="3"/>
          <c:order val="3"/>
          <c:tx>
            <c:strRef>
              <c:f>'V EUR plnenia od 2002'!$R$6</c:f>
              <c:strCache>
                <c:ptCount val="1"/>
                <c:pt idx="0">
                  <c:v>vyplatené plnenie za neživot v poistení osôb</c:v>
                </c:pt>
              </c:strCache>
            </c:strRef>
          </c:tx>
          <c:spPr>
            <a:solidFill>
              <a:schemeClr val="tx1"/>
            </a:solidFill>
            <a:ln>
              <a:solidFill>
                <a:schemeClr val="tx1"/>
              </a:solidFill>
            </a:ln>
          </c:spPr>
          <c:invertIfNegative val="0"/>
          <c:cat>
            <c:strRef>
              <c:f>'V EUR plnenia od 2002'!$S$2:$AC$2</c:f>
              <c:strCache>
                <c:ptCount val="11"/>
                <c:pt idx="0">
                  <c:v>rok 2015</c:v>
                </c:pt>
                <c:pt idx="1">
                  <c:v>rok 2014</c:v>
                </c:pt>
                <c:pt idx="2">
                  <c:v>rok 2013</c:v>
                </c:pt>
                <c:pt idx="3">
                  <c:v>rok 2012</c:v>
                </c:pt>
                <c:pt idx="4">
                  <c:v>rok 2011</c:v>
                </c:pt>
                <c:pt idx="5">
                  <c:v>rok 2010</c:v>
                </c:pt>
                <c:pt idx="6">
                  <c:v>rok 2009</c:v>
                </c:pt>
                <c:pt idx="7">
                  <c:v>rok 2008</c:v>
                </c:pt>
                <c:pt idx="8">
                  <c:v>rok 2007</c:v>
                </c:pt>
                <c:pt idx="9">
                  <c:v>rok 2006</c:v>
                </c:pt>
                <c:pt idx="10">
                  <c:v>rok 2005</c:v>
                </c:pt>
              </c:strCache>
            </c:strRef>
          </c:cat>
          <c:val>
            <c:numRef>
              <c:f>'V EUR plnenia od 2002'!$S$6:$AC$6</c:f>
              <c:numCache>
                <c:formatCode>_("€"* #,##0.00_);_("€"* \(#,##0.00\);_("€"* "-"??_);_(@_)</c:formatCode>
                <c:ptCount val="11"/>
                <c:pt idx="0" formatCode="#,##0.00\ &quot;€&quot;">
                  <c:v>81509.49</c:v>
                </c:pt>
                <c:pt idx="1">
                  <c:v>69004.03</c:v>
                </c:pt>
                <c:pt idx="2">
                  <c:v>91216.40000000001</c:v>
                </c:pt>
                <c:pt idx="3">
                  <c:v>64214.7</c:v>
                </c:pt>
                <c:pt idx="4" formatCode="#,##0.00\ &quot;€&quot;">
                  <c:v>133253.99</c:v>
                </c:pt>
                <c:pt idx="5" formatCode="#,##0.00\ &quot;€&quot;">
                  <c:v>138323.71</c:v>
                </c:pt>
                <c:pt idx="6" formatCode="#,##0.00\ &quot;€&quot;">
                  <c:v>96271.40000000001</c:v>
                </c:pt>
                <c:pt idx="7" formatCode="#,##0.00\ &quot;€&quot;">
                  <c:v>140858.1</c:v>
                </c:pt>
                <c:pt idx="8" formatCode="#,##0.00\ &quot;€&quot;">
                  <c:v>126987.33</c:v>
                </c:pt>
                <c:pt idx="9" formatCode="#,##0.00\ &quot;€&quot;">
                  <c:v>115046.75</c:v>
                </c:pt>
                <c:pt idx="10" formatCode="#,##0.00\ &quot;€&quot;">
                  <c:v>108936.77</c:v>
                </c:pt>
              </c:numCache>
            </c:numRef>
          </c:val>
        </c:ser>
        <c:dLbls>
          <c:showLegendKey val="0"/>
          <c:showVal val="0"/>
          <c:showCatName val="0"/>
          <c:showSerName val="0"/>
          <c:showPercent val="0"/>
          <c:showBubbleSize val="0"/>
        </c:dLbls>
        <c:gapWidth val="150"/>
        <c:shape val="box"/>
        <c:axId val="-2052801792"/>
        <c:axId val="-2106315216"/>
        <c:axId val="0"/>
      </c:bar3DChart>
      <c:catAx>
        <c:axId val="-2052801792"/>
        <c:scaling>
          <c:orientation val="minMax"/>
        </c:scaling>
        <c:delete val="0"/>
        <c:axPos val="b"/>
        <c:numFmt formatCode="General" sourceLinked="1"/>
        <c:majorTickMark val="out"/>
        <c:minorTickMark val="none"/>
        <c:tickLblPos val="nextTo"/>
        <c:crossAx val="-2106315216"/>
        <c:crosses val="autoZero"/>
        <c:auto val="1"/>
        <c:lblAlgn val="ctr"/>
        <c:lblOffset val="100"/>
        <c:noMultiLvlLbl val="0"/>
      </c:catAx>
      <c:valAx>
        <c:axId val="-2106315216"/>
        <c:scaling>
          <c:orientation val="minMax"/>
        </c:scaling>
        <c:delete val="0"/>
        <c:axPos val="l"/>
        <c:majorGridlines/>
        <c:numFmt formatCode="#,##0.00\ &quot;€&quot;" sourceLinked="1"/>
        <c:majorTickMark val="out"/>
        <c:minorTickMark val="none"/>
        <c:tickLblPos val="nextTo"/>
        <c:crossAx val="-2052801792"/>
        <c:crosses val="autoZero"/>
        <c:crossBetween val="between"/>
      </c:valAx>
    </c:plotArea>
    <c:legend>
      <c:legendPos val="b"/>
      <c:layout>
        <c:manualLayout>
          <c:xMode val="edge"/>
          <c:yMode val="edge"/>
          <c:x val="0.0201693441570578"/>
          <c:y val="0.773858215306117"/>
          <c:w val="0.924573429869254"/>
          <c:h val="0.208481736450896"/>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Vývoj počtu hlásených poistných udalostí v rokoch 2013 - 2015</a:t>
            </a:r>
          </a:p>
        </c:rich>
      </c:tx>
      <c:layout>
        <c:manualLayout>
          <c:xMode val="edge"/>
          <c:yMode val="edge"/>
          <c:x val="0.137931247437884"/>
          <c:y val="0.03584229390681"/>
        </c:manualLayout>
      </c:layout>
      <c:overlay val="0"/>
      <c:spPr>
        <a:noFill/>
        <a:ln w="25400">
          <a:noFill/>
        </a:ln>
      </c:spPr>
    </c:title>
    <c:autoTitleDeleted val="0"/>
    <c:plotArea>
      <c:layout>
        <c:manualLayout>
          <c:layoutTarget val="inner"/>
          <c:xMode val="edge"/>
          <c:yMode val="edge"/>
          <c:x val="0.117647175344645"/>
          <c:y val="0.189964822625527"/>
          <c:w val="0.853956221036128"/>
          <c:h val="0.673837484030172"/>
        </c:manualLayout>
      </c:layout>
      <c:barChart>
        <c:barDir val="col"/>
        <c:grouping val="clustered"/>
        <c:varyColors val="0"/>
        <c:ser>
          <c:idx val="1"/>
          <c:order val="0"/>
          <c:tx>
            <c:strRef>
              <c:f>'hlásené škôd'!$B$2</c:f>
              <c:strCache>
                <c:ptCount val="1"/>
                <c:pt idx="0">
                  <c:v>počet hlásených PU</c:v>
                </c:pt>
              </c:strCache>
            </c:strRef>
          </c:tx>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46275"/>
                    <a:invGamma/>
                  </a:srgbClr>
                </a:gs>
              </a:gsLst>
              <a:lin ang="5400000" scaled="1"/>
            </a:gradFill>
            <a:ln w="12700">
              <a:solidFill>
                <a:srgbClr val="000000"/>
              </a:solidFill>
              <a:prstDash val="solid"/>
            </a:ln>
            <a:effectLst>
              <a:outerShdw dist="35921" dir="2700000" algn="br">
                <a:srgbClr val="000000"/>
              </a:outerShdw>
            </a:effectLst>
          </c:spPr>
          <c:invertIfNegative val="0"/>
          <c:cat>
            <c:numRef>
              <c:f>'hlásené škôd'!$A$3:$A$5</c:f>
              <c:numCache>
                <c:formatCode>General</c:formatCode>
                <c:ptCount val="3"/>
                <c:pt idx="0">
                  <c:v>2013.0</c:v>
                </c:pt>
                <c:pt idx="1">
                  <c:v>2014.0</c:v>
                </c:pt>
                <c:pt idx="2">
                  <c:v>2015.0</c:v>
                </c:pt>
              </c:numCache>
            </c:numRef>
          </c:cat>
          <c:val>
            <c:numRef>
              <c:f>'hlásené škôd'!$B$3:$B$5</c:f>
              <c:numCache>
                <c:formatCode>#,##0</c:formatCode>
                <c:ptCount val="3"/>
                <c:pt idx="0">
                  <c:v>36040.0</c:v>
                </c:pt>
                <c:pt idx="1">
                  <c:v>36013.0</c:v>
                </c:pt>
                <c:pt idx="2">
                  <c:v>42027.0</c:v>
                </c:pt>
              </c:numCache>
            </c:numRef>
          </c:val>
        </c:ser>
        <c:dLbls>
          <c:showLegendKey val="0"/>
          <c:showVal val="0"/>
          <c:showCatName val="0"/>
          <c:showSerName val="0"/>
          <c:showPercent val="0"/>
          <c:showBubbleSize val="0"/>
        </c:dLbls>
        <c:gapWidth val="250"/>
        <c:axId val="-2045705776"/>
        <c:axId val="-2112526128"/>
      </c:barChart>
      <c:catAx>
        <c:axId val="-204570577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Tahoma"/>
                <a:ea typeface="Tahoma"/>
                <a:cs typeface="Tahoma"/>
              </a:defRPr>
            </a:pPr>
            <a:endParaRPr lang="en-US"/>
          </a:p>
        </c:txPr>
        <c:crossAx val="-2112526128"/>
        <c:crosses val="autoZero"/>
        <c:auto val="1"/>
        <c:lblAlgn val="ctr"/>
        <c:lblOffset val="100"/>
        <c:tickLblSkip val="1"/>
        <c:tickMarkSkip val="1"/>
        <c:noMultiLvlLbl val="0"/>
      </c:catAx>
      <c:valAx>
        <c:axId val="-2112526128"/>
        <c:scaling>
          <c:orientation val="minMax"/>
          <c:max val="45000.0"/>
          <c:min val="0.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Tahoma"/>
                <a:ea typeface="Tahoma"/>
                <a:cs typeface="Tahoma"/>
              </a:defRPr>
            </a:pPr>
            <a:endParaRPr lang="en-US"/>
          </a:p>
        </c:txPr>
        <c:crossAx val="-2045705776"/>
        <c:crosses val="autoZero"/>
        <c:crossBetween val="between"/>
        <c:majorUnit val="5000.0"/>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Podiel produktových skupín na počte hlásených poistných udalostí roku 2015</a:t>
            </a:r>
          </a:p>
        </c:rich>
      </c:tx>
      <c:layout>
        <c:manualLayout>
          <c:xMode val="edge"/>
          <c:yMode val="edge"/>
          <c:x val="0.11831015489261"/>
          <c:y val="0.0354609929078014"/>
        </c:manualLayout>
      </c:layout>
      <c:overlay val="0"/>
      <c:spPr>
        <a:noFill/>
        <a:ln w="25400">
          <a:noFill/>
        </a:ln>
      </c:spPr>
    </c:title>
    <c:autoTitleDeleted val="0"/>
    <c:view3D>
      <c:rotX val="25"/>
      <c:rotY val="30"/>
      <c:rAngAx val="0"/>
      <c:perspective val="0"/>
    </c:view3D>
    <c:floor>
      <c:thickness val="0"/>
    </c:floor>
    <c:sideWall>
      <c:thickness val="0"/>
    </c:sideWall>
    <c:backWall>
      <c:thickness val="0"/>
    </c:backWall>
    <c:plotArea>
      <c:layout>
        <c:manualLayout>
          <c:layoutTarget val="inner"/>
          <c:xMode val="edge"/>
          <c:yMode val="edge"/>
          <c:x val="0.152112885278506"/>
          <c:y val="0.361703380233891"/>
          <c:w val="0.670423457338602"/>
          <c:h val="0.468086727361506"/>
        </c:manualLayout>
      </c:layout>
      <c:pie3DChart>
        <c:varyColors val="1"/>
        <c:ser>
          <c:idx val="0"/>
          <c:order val="0"/>
          <c:tx>
            <c:strRef>
              <c:f>'hlásené škôd'!$A$27</c:f>
              <c:strCache>
                <c:ptCount val="1"/>
                <c:pt idx="0">
                  <c:v>produktová skupina</c:v>
                </c:pt>
              </c:strCache>
            </c:strRef>
          </c:tx>
          <c:spPr>
            <a:solidFill>
              <a:srgbClr val="9999FF"/>
            </a:solidFill>
            <a:ln w="12700">
              <a:solidFill>
                <a:srgbClr val="000000"/>
              </a:solidFill>
              <a:prstDash val="solid"/>
            </a:ln>
          </c:spPr>
          <c:dPt>
            <c:idx val="0"/>
            <c:bubble3D val="0"/>
            <c:spPr>
              <a:gradFill rotWithShape="0">
                <a:gsLst>
                  <a:gs pos="0">
                    <a:srgbClr xmlns:mc="http://schemas.openxmlformats.org/markup-compatibility/2006" xmlns:a14="http://schemas.microsoft.com/office/drawing/2010/main" val="000000" mc:Ignorable="a14" a14:legacySpreadsheetColorIndex="9">
                      <a:gamma/>
                      <a:shade val="46275"/>
                      <a:invGamma/>
                    </a:srgbClr>
                  </a:gs>
                  <a:gs pos="100000">
                    <a:srgbClr xmlns:mc="http://schemas.openxmlformats.org/markup-compatibility/2006" xmlns:a14="http://schemas.microsoft.com/office/drawing/2010/main" val="FFFFFF" mc:Ignorable="a14" a14:legacySpreadsheetColorIndex="9"/>
                  </a:gs>
                </a:gsLst>
                <a:lin ang="5400000" scaled="1"/>
              </a:gradFill>
              <a:ln w="12700">
                <a:solidFill>
                  <a:srgbClr val="000000"/>
                </a:solidFill>
                <a:prstDash val="solid"/>
              </a:ln>
            </c:spPr>
          </c:dPt>
          <c:dPt>
            <c:idx val="1"/>
            <c:bubble3D val="0"/>
            <c:spPr>
              <a:gradFill rotWithShape="0">
                <a:gsLst>
                  <a:gs pos="0">
                    <a:srgbClr xmlns:mc="http://schemas.openxmlformats.org/markup-compatibility/2006" xmlns:a14="http://schemas.microsoft.com/office/drawing/2010/main" val="000000" mc:Ignorable="a14" a14:legacySpreadsheetColorIndex="10">
                      <a:gamma/>
                      <a:shade val="34902"/>
                      <a:invGamma/>
                    </a:srgbClr>
                  </a:gs>
                  <a:gs pos="100000">
                    <a:srgbClr xmlns:mc="http://schemas.openxmlformats.org/markup-compatibility/2006" xmlns:a14="http://schemas.microsoft.com/office/drawing/2010/main" val="FF0000" mc:Ignorable="a14" a14:legacySpreadsheetColorIndex="10"/>
                  </a:gs>
                </a:gsLst>
                <a:lin ang="5400000" scaled="1"/>
              </a:gradFill>
              <a:ln w="12700">
                <a:solidFill>
                  <a:srgbClr val="000000"/>
                </a:solidFill>
                <a:prstDash val="solid"/>
              </a:ln>
            </c:spPr>
          </c:dPt>
          <c:dPt>
            <c:idx val="2"/>
            <c:bubble3D val="0"/>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0196"/>
                      <a:invGamma/>
                    </a:srgbClr>
                  </a:gs>
                </a:gsLst>
                <a:lin ang="5400000" scaled="1"/>
              </a:gradFill>
              <a:ln w="12700">
                <a:solidFill>
                  <a:srgbClr val="000000"/>
                </a:solidFill>
                <a:prstDash val="solid"/>
              </a:ln>
            </c:spPr>
          </c:dPt>
          <c:dLbls>
            <c:dLbl>
              <c:idx val="0"/>
              <c:layout>
                <c:manualLayout>
                  <c:x val="0.00590248377978688"/>
                  <c:y val="-0.141306174383076"/>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00563185659271264"/>
                  <c:y val="0.0249990943809047"/>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0183854679030089"/>
                  <c:y val="-0.0674513471622007"/>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0"/>
            <c:extLst>
              <c:ext xmlns:c15="http://schemas.microsoft.com/office/drawing/2012/chart" uri="{CE6537A1-D6FC-4f65-9D91-7224C49458BB}"/>
            </c:extLst>
          </c:dLbls>
          <c:cat>
            <c:strRef>
              <c:f>'hlásené škôd'!$A$28:$A$30</c:f>
              <c:strCache>
                <c:ptCount val="3"/>
                <c:pt idx="0">
                  <c:v>Ostatný majetok a zodp.</c:v>
                </c:pt>
                <c:pt idx="1">
                  <c:v>MTPL</c:v>
                </c:pt>
                <c:pt idx="2">
                  <c:v>Kasko</c:v>
                </c:pt>
              </c:strCache>
            </c:strRef>
          </c:cat>
          <c:val>
            <c:numRef>
              <c:f>'hlásené škôd'!$B$28:$B$30</c:f>
              <c:numCache>
                <c:formatCode>#,##0</c:formatCode>
                <c:ptCount val="3"/>
                <c:pt idx="0">
                  <c:v>4945.0</c:v>
                </c:pt>
                <c:pt idx="1">
                  <c:v>19763.0</c:v>
                </c:pt>
                <c:pt idx="2">
                  <c:v>17319.0</c:v>
                </c:pt>
              </c:numCache>
            </c:numRef>
          </c:val>
        </c:ser>
        <c:dLbls>
          <c:showLegendKey val="0"/>
          <c:showVal val="0"/>
          <c:showCatName val="0"/>
          <c:showSerName val="0"/>
          <c:showPercent val="0"/>
          <c:showBubbleSize val="0"/>
          <c:showLeaderLines val="0"/>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Vývoj počtu hlásených poistných udalostí za obdobie 2013 - 2015</a:t>
            </a:r>
          </a:p>
        </c:rich>
      </c:tx>
      <c:layout>
        <c:manualLayout>
          <c:xMode val="edge"/>
          <c:yMode val="edge"/>
          <c:x val="0.142045653384236"/>
          <c:y val="0.041958041958042"/>
        </c:manualLayout>
      </c:layout>
      <c:overlay val="0"/>
      <c:spPr>
        <a:noFill/>
        <a:ln w="25400">
          <a:noFill/>
        </a:ln>
      </c:spPr>
    </c:title>
    <c:autoTitleDeleted val="0"/>
    <c:plotArea>
      <c:layout>
        <c:manualLayout>
          <c:layoutTarget val="inner"/>
          <c:xMode val="edge"/>
          <c:yMode val="edge"/>
          <c:x val="0.109848688019147"/>
          <c:y val="0.185315001698744"/>
          <c:w val="0.647728470733589"/>
          <c:h val="0.660840289076652"/>
        </c:manualLayout>
      </c:layout>
      <c:barChart>
        <c:barDir val="col"/>
        <c:grouping val="clustered"/>
        <c:varyColors val="0"/>
        <c:ser>
          <c:idx val="0"/>
          <c:order val="0"/>
          <c:tx>
            <c:strRef>
              <c:f>'hlásené škôd'!$A$54</c:f>
              <c:strCache>
                <c:ptCount val="1"/>
                <c:pt idx="0">
                  <c:v>MTPL</c:v>
                </c:pt>
              </c:strCache>
            </c:strRef>
          </c:tx>
          <c:spPr>
            <a:gradFill rotWithShape="0">
              <a:gsLst>
                <a:gs pos="0">
                  <a:srgbClr xmlns:mc="http://schemas.openxmlformats.org/markup-compatibility/2006" xmlns:a14="http://schemas.microsoft.com/office/drawing/2010/main" val="FF0000" mc:Ignorable="a14" a14:legacySpreadsheetColorIndex="10"/>
                </a:gs>
                <a:gs pos="100000">
                  <a:srgbClr xmlns:mc="http://schemas.openxmlformats.org/markup-compatibility/2006" xmlns:a14="http://schemas.microsoft.com/office/drawing/2010/main" val="000000" mc:Ignorable="a14" a14:legacySpreadsheetColorIndex="10">
                    <a:gamma/>
                    <a:shade val="46275"/>
                    <a:invGamma/>
                  </a:srgbClr>
                </a:gs>
              </a:gsLst>
              <a:lin ang="5400000" scaled="1"/>
            </a:gradFill>
            <a:ln w="12700">
              <a:solidFill>
                <a:srgbClr val="000000"/>
              </a:solidFill>
              <a:prstDash val="solid"/>
            </a:ln>
            <a:effectLst>
              <a:outerShdw dist="35921" dir="2700000" algn="br">
                <a:srgbClr val="000000"/>
              </a:outerShdw>
            </a:effectLst>
          </c:spPr>
          <c:invertIfNegative val="0"/>
          <c:cat>
            <c:strRef>
              <c:f>'hlásené škôd'!$B$53:$D$53</c:f>
              <c:strCache>
                <c:ptCount val="3"/>
                <c:pt idx="0">
                  <c:v>01-12 2013</c:v>
                </c:pt>
                <c:pt idx="1">
                  <c:v>01-12 2014</c:v>
                </c:pt>
                <c:pt idx="2">
                  <c:v>01-12 2015</c:v>
                </c:pt>
              </c:strCache>
            </c:strRef>
          </c:cat>
          <c:val>
            <c:numRef>
              <c:f>'hlásené škôd'!$B$54:$D$54</c:f>
              <c:numCache>
                <c:formatCode>#,##0</c:formatCode>
                <c:ptCount val="3"/>
                <c:pt idx="0">
                  <c:v>17974.0</c:v>
                </c:pt>
                <c:pt idx="1">
                  <c:v>17029.0</c:v>
                </c:pt>
                <c:pt idx="2">
                  <c:v>19763.0</c:v>
                </c:pt>
              </c:numCache>
            </c:numRef>
          </c:val>
        </c:ser>
        <c:ser>
          <c:idx val="1"/>
          <c:order val="1"/>
          <c:tx>
            <c:strRef>
              <c:f>'hlásené škôd'!$A$55</c:f>
              <c:strCache>
                <c:ptCount val="1"/>
                <c:pt idx="0">
                  <c:v>Kasko</c:v>
                </c:pt>
              </c:strCache>
            </c:strRef>
          </c:tx>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4902"/>
                    <a:invGamma/>
                  </a:srgbClr>
                </a:gs>
              </a:gsLst>
              <a:lin ang="5400000" scaled="1"/>
            </a:gradFill>
            <a:ln w="12700">
              <a:solidFill>
                <a:srgbClr val="000000"/>
              </a:solidFill>
              <a:prstDash val="solid"/>
            </a:ln>
            <a:effectLst>
              <a:outerShdw dist="35921" dir="2700000" algn="br">
                <a:srgbClr val="000000"/>
              </a:outerShdw>
            </a:effectLst>
          </c:spPr>
          <c:invertIfNegative val="0"/>
          <c:cat>
            <c:strRef>
              <c:f>'hlásené škôd'!$B$53:$D$53</c:f>
              <c:strCache>
                <c:ptCount val="3"/>
                <c:pt idx="0">
                  <c:v>01-12 2013</c:v>
                </c:pt>
                <c:pt idx="1">
                  <c:v>01-12 2014</c:v>
                </c:pt>
                <c:pt idx="2">
                  <c:v>01-12 2015</c:v>
                </c:pt>
              </c:strCache>
            </c:strRef>
          </c:cat>
          <c:val>
            <c:numRef>
              <c:f>'hlásené škôd'!$B$55:$D$55</c:f>
              <c:numCache>
                <c:formatCode>#,##0</c:formatCode>
                <c:ptCount val="3"/>
                <c:pt idx="0">
                  <c:v>13030.0</c:v>
                </c:pt>
                <c:pt idx="1">
                  <c:v>13621.0</c:v>
                </c:pt>
                <c:pt idx="2">
                  <c:v>17319.0</c:v>
                </c:pt>
              </c:numCache>
            </c:numRef>
          </c:val>
        </c:ser>
        <c:ser>
          <c:idx val="2"/>
          <c:order val="2"/>
          <c:tx>
            <c:strRef>
              <c:f>'hlásené škôd'!$A$56</c:f>
              <c:strCache>
                <c:ptCount val="1"/>
                <c:pt idx="0">
                  <c:v>Ostatný majetok a zodpovednosť</c:v>
                </c:pt>
              </c:strCache>
            </c:strRef>
          </c:tx>
          <c:spPr>
            <a:gradFill rotWithShape="0">
              <a:gsLst>
                <a:gs pos="0">
                  <a:srgbClr xmlns:mc="http://schemas.openxmlformats.org/markup-compatibility/2006" xmlns:a14="http://schemas.microsoft.com/office/drawing/2010/main" val="000000" mc:Ignorable="a14" a14:legacySpreadsheetColorIndex="9">
                    <a:gamma/>
                    <a:shade val="37255"/>
                    <a:invGamma/>
                  </a:srgbClr>
                </a:gs>
                <a:gs pos="100000">
                  <a:srgbClr xmlns:mc="http://schemas.openxmlformats.org/markup-compatibility/2006" xmlns:a14="http://schemas.microsoft.com/office/drawing/2010/main" val="FFFFFF" mc:Ignorable="a14" a14:legacySpreadsheetColorIndex="9"/>
                </a:gs>
              </a:gsLst>
              <a:lin ang="5400000" scaled="1"/>
            </a:gradFill>
            <a:ln w="12700">
              <a:solidFill>
                <a:srgbClr val="000000"/>
              </a:solidFill>
              <a:prstDash val="solid"/>
            </a:ln>
            <a:effectLst>
              <a:outerShdw dist="35921" dir="2700000" algn="br">
                <a:srgbClr val="000000"/>
              </a:outerShdw>
            </a:effectLst>
          </c:spPr>
          <c:invertIfNegative val="0"/>
          <c:cat>
            <c:strRef>
              <c:f>'hlásené škôd'!$B$53:$D$53</c:f>
              <c:strCache>
                <c:ptCount val="3"/>
                <c:pt idx="0">
                  <c:v>01-12 2013</c:v>
                </c:pt>
                <c:pt idx="1">
                  <c:v>01-12 2014</c:v>
                </c:pt>
                <c:pt idx="2">
                  <c:v>01-12 2015</c:v>
                </c:pt>
              </c:strCache>
            </c:strRef>
          </c:cat>
          <c:val>
            <c:numRef>
              <c:f>'hlásené škôd'!$B$56:$D$56</c:f>
              <c:numCache>
                <c:formatCode>#,##0</c:formatCode>
                <c:ptCount val="3"/>
                <c:pt idx="0">
                  <c:v>5036.0</c:v>
                </c:pt>
                <c:pt idx="1">
                  <c:v>5363.0</c:v>
                </c:pt>
                <c:pt idx="2">
                  <c:v>4945.0</c:v>
                </c:pt>
              </c:numCache>
            </c:numRef>
          </c:val>
        </c:ser>
        <c:dLbls>
          <c:showLegendKey val="0"/>
          <c:showVal val="0"/>
          <c:showCatName val="0"/>
          <c:showSerName val="0"/>
          <c:showPercent val="0"/>
          <c:showBubbleSize val="0"/>
        </c:dLbls>
        <c:gapWidth val="250"/>
        <c:axId val="-1973718256"/>
        <c:axId val="-2047049840"/>
      </c:barChart>
      <c:catAx>
        <c:axId val="-197371825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047049840"/>
        <c:crosses val="autoZero"/>
        <c:auto val="1"/>
        <c:lblAlgn val="ctr"/>
        <c:lblOffset val="100"/>
        <c:tickLblSkip val="1"/>
        <c:tickMarkSkip val="1"/>
        <c:noMultiLvlLbl val="0"/>
      </c:catAx>
      <c:valAx>
        <c:axId val="-2047049840"/>
        <c:scaling>
          <c:orientation val="minMax"/>
          <c:max val="20000.0"/>
          <c:min val="0.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973718256"/>
        <c:crosses val="autoZero"/>
        <c:crossBetween val="between"/>
        <c:majorUnit val="2500.0"/>
      </c:valAx>
      <c:spPr>
        <a:solidFill>
          <a:srgbClr val="FFFFFF"/>
        </a:solidFill>
        <a:ln w="12700">
          <a:solidFill>
            <a:srgbClr val="808080"/>
          </a:solidFill>
          <a:prstDash val="solid"/>
        </a:ln>
      </c:spPr>
    </c:plotArea>
    <c:legend>
      <c:legendPos val="r"/>
      <c:layout>
        <c:manualLayout>
          <c:xMode val="edge"/>
          <c:yMode val="edge"/>
          <c:x val="0.774622603992683"/>
          <c:y val="0.255245122331736"/>
          <c:w val="0.212121609798775"/>
          <c:h val="0.475525209698438"/>
        </c:manualLayout>
      </c:layout>
      <c:overlay val="0"/>
      <c:spPr>
        <a:solidFill>
          <a:srgbClr val="FFFFFF"/>
        </a:solidFill>
        <a:ln w="25400">
          <a:noFill/>
        </a:ln>
      </c:spPr>
      <c:txPr>
        <a:bodyPr/>
        <a:lstStyle/>
        <a:p>
          <a:pPr>
            <a:defRPr sz="735" b="0" i="0" u="none" strike="noStrike" baseline="0">
              <a:solidFill>
                <a:srgbClr val="000000"/>
              </a:solidFill>
              <a:latin typeface="Arial"/>
              <a:ea typeface="Arial"/>
              <a:cs typeface="Arial"/>
            </a:defRPr>
          </a:pPr>
          <a:endParaRPr lang="en-US"/>
        </a:p>
      </c:txPr>
    </c:legend>
    <c:plotVisOnly val="1"/>
    <c:dispBlanksAs val="gap"/>
    <c:showDLblsOverMax val="0"/>
  </c:chart>
  <c:spPr>
    <a:solidFill>
      <a:srgbClr val="FFFFFF"/>
    </a:solidFill>
    <a:ln w="3175">
      <a:solidFill>
        <a:srgbClr val="000000"/>
      </a:solidFill>
      <a:prstDash val="solid"/>
    </a:ln>
  </c:spPr>
  <c:txPr>
    <a:bodyPr/>
    <a:lstStyle/>
    <a:p>
      <a:pPr>
        <a:defRPr sz="1025" b="0" i="0" u="none" strike="noStrike" baseline="0">
          <a:solidFill>
            <a:srgbClr val="000000"/>
          </a:solidFill>
          <a:latin typeface="Arial"/>
          <a:ea typeface="Arial"/>
          <a:cs typeface="Arial"/>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Podiel produktových skupín na vyplatených poistných plneniach roku 2015</a:t>
            </a:r>
          </a:p>
        </c:rich>
      </c:tx>
      <c:layout>
        <c:manualLayout>
          <c:xMode val="edge"/>
          <c:yMode val="edge"/>
          <c:x val="0.149296070385568"/>
          <c:y val="0.0354609929078014"/>
        </c:manualLayout>
      </c:layout>
      <c:overlay val="0"/>
      <c:spPr>
        <a:noFill/>
        <a:ln w="25400">
          <a:noFill/>
        </a:ln>
      </c:spPr>
    </c:title>
    <c:autoTitleDeleted val="0"/>
    <c:view3D>
      <c:rotX val="25"/>
      <c:rotY val="50"/>
      <c:rAngAx val="0"/>
      <c:perspective val="0"/>
    </c:view3D>
    <c:floor>
      <c:thickness val="0"/>
    </c:floor>
    <c:sideWall>
      <c:thickness val="0"/>
    </c:sideWall>
    <c:backWall>
      <c:thickness val="0"/>
    </c:backWall>
    <c:plotArea>
      <c:layout>
        <c:manualLayout>
          <c:layoutTarget val="inner"/>
          <c:xMode val="edge"/>
          <c:yMode val="edge"/>
          <c:x val="0.154929790561442"/>
          <c:y val="0.397164495943096"/>
          <c:w val="0.673240362621538"/>
          <c:h val="0.468086727361506"/>
        </c:manualLayout>
      </c:layout>
      <c:pie3DChart>
        <c:varyColors val="1"/>
        <c:ser>
          <c:idx val="0"/>
          <c:order val="0"/>
          <c:tx>
            <c:strRef>
              <c:f>'plnenia a rezervy'!$B$2</c:f>
              <c:strCache>
                <c:ptCount val="1"/>
                <c:pt idx="0">
                  <c:v>vypl.pl. 2015</c:v>
                </c:pt>
              </c:strCache>
            </c:strRef>
          </c:tx>
          <c:spPr>
            <a:solidFill>
              <a:srgbClr val="9999FF"/>
            </a:solidFill>
            <a:ln w="12700">
              <a:solidFill>
                <a:srgbClr val="000000"/>
              </a:solidFill>
              <a:prstDash val="solid"/>
            </a:ln>
          </c:spPr>
          <c:dPt>
            <c:idx val="0"/>
            <c:bubble3D val="0"/>
            <c:spPr>
              <a:gradFill rotWithShape="0">
                <a:gsLst>
                  <a:gs pos="0">
                    <a:srgbClr xmlns:mc="http://schemas.openxmlformats.org/markup-compatibility/2006" xmlns:a14="http://schemas.microsoft.com/office/drawing/2010/main" val="000000" mc:Ignorable="a14" a14:legacySpreadsheetColorIndex="10">
                      <a:gamma/>
                      <a:shade val="39608"/>
                      <a:invGamma/>
                    </a:srgbClr>
                  </a:gs>
                  <a:gs pos="100000">
                    <a:srgbClr xmlns:mc="http://schemas.openxmlformats.org/markup-compatibility/2006" xmlns:a14="http://schemas.microsoft.com/office/drawing/2010/main" val="FF0000" mc:Ignorable="a14" a14:legacySpreadsheetColorIndex="10"/>
                  </a:gs>
                </a:gsLst>
                <a:lin ang="5400000" scaled="1"/>
              </a:gradFill>
              <a:ln w="12700">
                <a:solidFill>
                  <a:srgbClr val="000000"/>
                </a:solidFill>
                <a:prstDash val="solid"/>
              </a:ln>
            </c:spPr>
          </c:dPt>
          <c:dPt>
            <c:idx val="1"/>
            <c:bubble3D val="0"/>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7255"/>
                      <a:invGamma/>
                    </a:srgbClr>
                  </a:gs>
                </a:gsLst>
                <a:lin ang="5400000" scaled="1"/>
              </a:gradFill>
              <a:ln w="12700">
                <a:solidFill>
                  <a:srgbClr val="000000"/>
                </a:solidFill>
                <a:prstDash val="solid"/>
              </a:ln>
            </c:spPr>
          </c:dPt>
          <c:dPt>
            <c:idx val="2"/>
            <c:bubble3D val="0"/>
            <c:spPr>
              <a:gradFill rotWithShape="0">
                <a:gsLst>
                  <a:gs pos="0">
                    <a:srgbClr xmlns:mc="http://schemas.openxmlformats.org/markup-compatibility/2006" xmlns:a14="http://schemas.microsoft.com/office/drawing/2010/main" val="010101" mc:Ignorable="a14" a14:legacySpreadsheetColorIndex="9">
                      <a:gamma/>
                      <a:shade val="55686"/>
                      <a:invGamma/>
                    </a:srgbClr>
                  </a:gs>
                  <a:gs pos="100000">
                    <a:srgbClr xmlns:mc="http://schemas.openxmlformats.org/markup-compatibility/2006" xmlns:a14="http://schemas.microsoft.com/office/drawing/2010/main" val="FFFFFF" mc:Ignorable="a14" a14:legacySpreadsheetColorIndex="9"/>
                  </a:gs>
                </a:gsLst>
                <a:lin ang="5400000" scaled="1"/>
              </a:gradFill>
              <a:ln w="12700">
                <a:solidFill>
                  <a:srgbClr val="000000"/>
                </a:solidFill>
                <a:prstDash val="solid"/>
              </a:ln>
            </c:spPr>
          </c:dPt>
          <c:dLbls>
            <c:dLbl>
              <c:idx val="0"/>
              <c:layout>
                <c:manualLayout>
                  <c:x val="0.0320888691730435"/>
                  <c:y val="0.0421820144822323"/>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057612657572733"/>
                  <c:y val="-0.1420219281100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0122643191513082"/>
                  <c:y val="-0.0960269610789693"/>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0"/>
            <c:extLst>
              <c:ext xmlns:c15="http://schemas.microsoft.com/office/drawing/2012/chart" uri="{CE6537A1-D6FC-4f65-9D91-7224C49458BB}"/>
            </c:extLst>
          </c:dLbls>
          <c:cat>
            <c:strRef>
              <c:f>'plnenia a rezervy'!$A$3:$A$5</c:f>
              <c:strCache>
                <c:ptCount val="3"/>
                <c:pt idx="0">
                  <c:v>MTPL</c:v>
                </c:pt>
                <c:pt idx="1">
                  <c:v>Kasko</c:v>
                </c:pt>
                <c:pt idx="2">
                  <c:v>Ostatný majetok a zodp.</c:v>
                </c:pt>
              </c:strCache>
            </c:strRef>
          </c:cat>
          <c:val>
            <c:numRef>
              <c:f>'plnenia a rezervy'!$B$3:$B$5</c:f>
              <c:numCache>
                <c:formatCode>#,##0</c:formatCode>
                <c:ptCount val="3"/>
                <c:pt idx="0">
                  <c:v>1.848606507E7</c:v>
                </c:pt>
                <c:pt idx="1">
                  <c:v>1.76913994E7</c:v>
                </c:pt>
                <c:pt idx="2">
                  <c:v>2.39471939999998E6</c:v>
                </c:pt>
              </c:numCache>
            </c:numRef>
          </c:val>
        </c:ser>
        <c:dLbls>
          <c:showLegendKey val="0"/>
          <c:showVal val="0"/>
          <c:showCatName val="0"/>
          <c:showSerName val="0"/>
          <c:showPercent val="0"/>
          <c:showBubbleSize val="0"/>
          <c:showLeaderLines val="0"/>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Podiel produktových skupín na zmene RBNS rezervy k 31. 12. 2015</a:t>
            </a:r>
          </a:p>
        </c:rich>
      </c:tx>
      <c:layout>
        <c:manualLayout>
          <c:xMode val="edge"/>
          <c:yMode val="edge"/>
          <c:x val="0.148876404494382"/>
          <c:y val="0.0353356890459364"/>
        </c:manualLayout>
      </c:layout>
      <c:overlay val="0"/>
      <c:spPr>
        <a:noFill/>
        <a:ln w="25400">
          <a:noFill/>
        </a:ln>
      </c:spPr>
    </c:title>
    <c:autoTitleDeleted val="0"/>
    <c:view3D>
      <c:rotX val="25"/>
      <c:rotY val="60"/>
      <c:rAngAx val="0"/>
      <c:perspective val="0"/>
    </c:view3D>
    <c:floor>
      <c:thickness val="0"/>
    </c:floor>
    <c:sideWall>
      <c:thickness val="0"/>
    </c:sideWall>
    <c:backWall>
      <c:thickness val="0"/>
    </c:backWall>
    <c:plotArea>
      <c:layout>
        <c:manualLayout>
          <c:layoutTarget val="inner"/>
          <c:xMode val="edge"/>
          <c:yMode val="edge"/>
          <c:x val="0.137640449438202"/>
          <c:y val="0.353357500133717"/>
          <c:w val="0.685393258426966"/>
          <c:h val="0.477032625180518"/>
        </c:manualLayout>
      </c:layout>
      <c:pie3DChart>
        <c:varyColors val="1"/>
        <c:ser>
          <c:idx val="0"/>
          <c:order val="0"/>
          <c:tx>
            <c:strRef>
              <c:f>'plnenia a rezervy'!$B$29</c:f>
              <c:strCache>
                <c:ptCount val="1"/>
                <c:pt idx="0">
                  <c:v>rbns k 31.12.2015</c:v>
                </c:pt>
              </c:strCache>
            </c:strRef>
          </c:tx>
          <c:spPr>
            <a:solidFill>
              <a:srgbClr val="9999FF"/>
            </a:solidFill>
            <a:ln w="12700">
              <a:solidFill>
                <a:srgbClr val="000000"/>
              </a:solidFill>
              <a:prstDash val="solid"/>
            </a:ln>
          </c:spPr>
          <c:dPt>
            <c:idx val="0"/>
            <c:bubble3D val="0"/>
            <c:spPr>
              <a:gradFill rotWithShape="0">
                <a:gsLst>
                  <a:gs pos="0">
                    <a:srgbClr xmlns:mc="http://schemas.openxmlformats.org/markup-compatibility/2006" xmlns:a14="http://schemas.microsoft.com/office/drawing/2010/main" val="000000" mc:Ignorable="a14" a14:legacySpreadsheetColorIndex="10">
                      <a:gamma/>
                      <a:shade val="41961"/>
                      <a:invGamma/>
                    </a:srgbClr>
                  </a:gs>
                  <a:gs pos="100000">
                    <a:srgbClr xmlns:mc="http://schemas.openxmlformats.org/markup-compatibility/2006" xmlns:a14="http://schemas.microsoft.com/office/drawing/2010/main" val="FF0000" mc:Ignorable="a14" a14:legacySpreadsheetColorIndex="10"/>
                  </a:gs>
                </a:gsLst>
                <a:lin ang="5400000" scaled="1"/>
              </a:gradFill>
              <a:ln w="12700">
                <a:solidFill>
                  <a:srgbClr val="000000"/>
                </a:solidFill>
                <a:prstDash val="solid"/>
              </a:ln>
            </c:spPr>
          </c:dPt>
          <c:dPt>
            <c:idx val="1"/>
            <c:bubble3D val="0"/>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7255"/>
                      <a:invGamma/>
                    </a:srgbClr>
                  </a:gs>
                </a:gsLst>
                <a:lin ang="5400000" scaled="1"/>
              </a:gradFill>
              <a:ln w="12700">
                <a:solidFill>
                  <a:srgbClr val="000000"/>
                </a:solidFill>
                <a:prstDash val="solid"/>
              </a:ln>
            </c:spPr>
          </c:dPt>
          <c:dPt>
            <c:idx val="2"/>
            <c:bubble3D val="0"/>
            <c:spPr>
              <a:gradFill rotWithShape="0">
                <a:gsLst>
                  <a:gs pos="0">
                    <a:srgbClr xmlns:mc="http://schemas.openxmlformats.org/markup-compatibility/2006" xmlns:a14="http://schemas.microsoft.com/office/drawing/2010/main" val="010101" mc:Ignorable="a14" a14:legacySpreadsheetColorIndex="9">
                      <a:gamma/>
                      <a:shade val="55686"/>
                      <a:invGamma/>
                    </a:srgbClr>
                  </a:gs>
                  <a:gs pos="100000">
                    <a:srgbClr xmlns:mc="http://schemas.openxmlformats.org/markup-compatibility/2006" xmlns:a14="http://schemas.microsoft.com/office/drawing/2010/main" val="FFFFFF" mc:Ignorable="a14" a14:legacySpreadsheetColorIndex="9"/>
                  </a:gs>
                </a:gsLst>
                <a:lin ang="5400000" scaled="1"/>
              </a:gradFill>
              <a:ln w="12700">
                <a:solidFill>
                  <a:srgbClr val="000000"/>
                </a:solidFill>
                <a:prstDash val="solid"/>
              </a:ln>
            </c:spPr>
          </c:dPt>
          <c:dLbls>
            <c:dLbl>
              <c:idx val="0"/>
              <c:layout>
                <c:manualLayout>
                  <c:x val="0.134831460674157"/>
                  <c:y val="0.0235571260306243"/>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0224719101123595"/>
                  <c:y val="-0.056537102473498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0520369223509983"/>
                  <c:y val="-0.00217912690242342"/>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extLst>
          </c:dLbls>
          <c:cat>
            <c:strRef>
              <c:f>'plnenia a rezervy'!$A$30:$A$32</c:f>
              <c:strCache>
                <c:ptCount val="3"/>
                <c:pt idx="0">
                  <c:v>MTPL</c:v>
                </c:pt>
                <c:pt idx="1">
                  <c:v>Kasko</c:v>
                </c:pt>
                <c:pt idx="2">
                  <c:v>Ostatný majetok a zodp.</c:v>
                </c:pt>
              </c:strCache>
            </c:strRef>
          </c:cat>
          <c:val>
            <c:numRef>
              <c:f>'plnenia a rezervy'!$B$30:$B$32</c:f>
              <c:numCache>
                <c:formatCode>#,##0</c:formatCode>
                <c:ptCount val="3"/>
                <c:pt idx="0">
                  <c:v>1.672969932E7</c:v>
                </c:pt>
                <c:pt idx="1">
                  <c:v>5.10590198E6</c:v>
                </c:pt>
                <c:pt idx="2">
                  <c:v>6.90849523E6</c:v>
                </c:pt>
              </c:numCache>
            </c:numRef>
          </c:val>
        </c:ser>
        <c:dLbls>
          <c:showLegendKey val="0"/>
          <c:showVal val="0"/>
          <c:showCatName val="0"/>
          <c:showSerName val="0"/>
          <c:showPercent val="0"/>
          <c:showBubbleSize val="0"/>
          <c:showLeaderLines val="0"/>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Vývoj počtu vybavených poistných udalostí v rokoch 2013 - 2015</a:t>
            </a:r>
          </a:p>
        </c:rich>
      </c:tx>
      <c:layout>
        <c:manualLayout>
          <c:xMode val="edge"/>
          <c:yMode val="edge"/>
          <c:x val="0.136986506823633"/>
          <c:y val="0.0392857142857143"/>
        </c:manualLayout>
      </c:layout>
      <c:overlay val="0"/>
      <c:spPr>
        <a:noFill/>
        <a:ln w="25400">
          <a:noFill/>
        </a:ln>
      </c:spPr>
    </c:title>
    <c:autoTitleDeleted val="0"/>
    <c:plotArea>
      <c:layout>
        <c:manualLayout>
          <c:layoutTarget val="inner"/>
          <c:xMode val="edge"/>
          <c:yMode val="edge"/>
          <c:x val="0.113503043877511"/>
          <c:y val="0.192857479173896"/>
          <c:w val="0.859100625210816"/>
          <c:h val="0.660715437910571"/>
        </c:manualLayout>
      </c:layout>
      <c:barChart>
        <c:barDir val="col"/>
        <c:grouping val="clustered"/>
        <c:varyColors val="0"/>
        <c:ser>
          <c:idx val="0"/>
          <c:order val="0"/>
          <c:tx>
            <c:strRef>
              <c:f>'vybavené škody'!$B$2</c:f>
              <c:strCache>
                <c:ptCount val="1"/>
                <c:pt idx="0">
                  <c:v>vybavené PU</c:v>
                </c:pt>
              </c:strCache>
            </c:strRef>
          </c:tx>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41961"/>
                    <a:invGamma/>
                  </a:srgbClr>
                </a:gs>
              </a:gsLst>
              <a:lin ang="5400000" scaled="1"/>
            </a:gradFill>
            <a:ln w="12700">
              <a:solidFill>
                <a:srgbClr val="000000"/>
              </a:solidFill>
              <a:prstDash val="solid"/>
            </a:ln>
            <a:effectLst>
              <a:outerShdw dist="35921" dir="2700000" algn="br">
                <a:srgbClr val="000000"/>
              </a:outerShdw>
            </a:effectLst>
          </c:spPr>
          <c:invertIfNegative val="0"/>
          <c:cat>
            <c:numRef>
              <c:f>'vybavené škody'!$A$3:$A$5</c:f>
              <c:numCache>
                <c:formatCode>General</c:formatCode>
                <c:ptCount val="3"/>
                <c:pt idx="0">
                  <c:v>2013.0</c:v>
                </c:pt>
                <c:pt idx="1">
                  <c:v>2014.0</c:v>
                </c:pt>
                <c:pt idx="2">
                  <c:v>2015.0</c:v>
                </c:pt>
              </c:numCache>
            </c:numRef>
          </c:cat>
          <c:val>
            <c:numRef>
              <c:f>'vybavené škody'!$B$3:$B$5</c:f>
              <c:numCache>
                <c:formatCode>#,##0</c:formatCode>
                <c:ptCount val="3"/>
                <c:pt idx="0">
                  <c:v>35168.0</c:v>
                </c:pt>
                <c:pt idx="1">
                  <c:v>35230.0</c:v>
                </c:pt>
                <c:pt idx="2">
                  <c:v>40004.0</c:v>
                </c:pt>
              </c:numCache>
            </c:numRef>
          </c:val>
        </c:ser>
        <c:dLbls>
          <c:showLegendKey val="0"/>
          <c:showVal val="0"/>
          <c:showCatName val="0"/>
          <c:showSerName val="0"/>
          <c:showPercent val="0"/>
          <c:showBubbleSize val="0"/>
        </c:dLbls>
        <c:gapWidth val="250"/>
        <c:axId val="-2079930080"/>
        <c:axId val="-2110209312"/>
      </c:barChart>
      <c:catAx>
        <c:axId val="-207993008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110209312"/>
        <c:crosses val="autoZero"/>
        <c:auto val="1"/>
        <c:lblAlgn val="ctr"/>
        <c:lblOffset val="100"/>
        <c:tickLblSkip val="1"/>
        <c:tickMarkSkip val="1"/>
        <c:noMultiLvlLbl val="0"/>
      </c:catAx>
      <c:valAx>
        <c:axId val="-2110209312"/>
        <c:scaling>
          <c:orientation val="minMax"/>
          <c:max val="42000.0"/>
          <c:min val="0.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2079930080"/>
        <c:crosses val="autoZero"/>
        <c:crossBetween val="between"/>
        <c:majorUnit val="3000.0"/>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800" b="1" i="0" u="none" strike="noStrike" baseline="0">
                <a:solidFill>
                  <a:srgbClr val="000000"/>
                </a:solidFill>
                <a:latin typeface="Tahoma"/>
                <a:ea typeface="Tahoma"/>
                <a:cs typeface="Tahoma"/>
              </a:defRPr>
            </a:pPr>
            <a:r>
              <a:rPr lang="sk-SK"/>
              <a:t>Podiel produktových skupín na počte vybavených poistných udalostí roku 2015</a:t>
            </a:r>
          </a:p>
        </c:rich>
      </c:tx>
      <c:layout>
        <c:manualLayout>
          <c:xMode val="edge"/>
          <c:yMode val="edge"/>
          <c:x val="0.102347713578056"/>
          <c:y val="0.0357142857142857"/>
        </c:manualLayout>
      </c:layout>
      <c:overlay val="0"/>
      <c:spPr>
        <a:noFill/>
        <a:ln w="25400">
          <a:noFill/>
        </a:ln>
      </c:spPr>
    </c:title>
    <c:autoTitleDeleted val="0"/>
    <c:view3D>
      <c:rotX val="25"/>
      <c:rotY val="60"/>
      <c:rAngAx val="0"/>
      <c:perspective val="0"/>
    </c:view3D>
    <c:floor>
      <c:thickness val="0"/>
    </c:floor>
    <c:sideWall>
      <c:thickness val="0"/>
    </c:sideWall>
    <c:backWall>
      <c:thickness val="0"/>
    </c:backWall>
    <c:plotArea>
      <c:layout>
        <c:manualLayout>
          <c:layoutTarget val="inner"/>
          <c:xMode val="edge"/>
          <c:yMode val="edge"/>
          <c:x val="0.194366464522536"/>
          <c:y val="0.382143523548276"/>
          <c:w val="0.661972741489796"/>
          <c:h val="0.464286523937158"/>
        </c:manualLayout>
      </c:layout>
      <c:pie3DChart>
        <c:varyColors val="1"/>
        <c:ser>
          <c:idx val="0"/>
          <c:order val="0"/>
          <c:tx>
            <c:strRef>
              <c:f>'vybavené škody'!$B$32</c:f>
              <c:strCache>
                <c:ptCount val="1"/>
                <c:pt idx="0">
                  <c:v>počet vybavených PU 2015</c:v>
                </c:pt>
              </c:strCache>
            </c:strRef>
          </c:tx>
          <c:spPr>
            <a:solidFill>
              <a:srgbClr val="9999FF"/>
            </a:solidFill>
            <a:ln w="12700">
              <a:solidFill>
                <a:srgbClr val="000000"/>
              </a:solidFill>
              <a:prstDash val="solid"/>
            </a:ln>
          </c:spPr>
          <c:dPt>
            <c:idx val="0"/>
            <c:bubble3D val="0"/>
            <c:spPr>
              <a:gradFill rotWithShape="0">
                <a:gsLst>
                  <a:gs pos="0">
                    <a:srgbClr xmlns:mc="http://schemas.openxmlformats.org/markup-compatibility/2006" xmlns:a14="http://schemas.microsoft.com/office/drawing/2010/main" val="000000" mc:Ignorable="a14" a14:legacySpreadsheetColorIndex="10">
                      <a:gamma/>
                      <a:shade val="39608"/>
                      <a:invGamma/>
                    </a:srgbClr>
                  </a:gs>
                  <a:gs pos="100000">
                    <a:srgbClr xmlns:mc="http://schemas.openxmlformats.org/markup-compatibility/2006" xmlns:a14="http://schemas.microsoft.com/office/drawing/2010/main" val="FF0000" mc:Ignorable="a14" a14:legacySpreadsheetColorIndex="10"/>
                  </a:gs>
                </a:gsLst>
                <a:lin ang="5400000" scaled="1"/>
              </a:gradFill>
              <a:ln w="12700">
                <a:solidFill>
                  <a:srgbClr val="000000"/>
                </a:solidFill>
                <a:prstDash val="solid"/>
              </a:ln>
            </c:spPr>
          </c:dPt>
          <c:dPt>
            <c:idx val="1"/>
            <c:bubble3D val="0"/>
            <c:spPr>
              <a:gradFill rotWithShape="0">
                <a:gsLst>
                  <a:gs pos="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00" mc:Ignorable="a14" a14:legacySpreadsheetColorIndex="48">
                      <a:gamma/>
                      <a:shade val="37255"/>
                      <a:invGamma/>
                    </a:srgbClr>
                  </a:gs>
                </a:gsLst>
                <a:lin ang="5400000" scaled="1"/>
              </a:gradFill>
              <a:ln w="12700">
                <a:solidFill>
                  <a:srgbClr val="000000"/>
                </a:solidFill>
                <a:prstDash val="solid"/>
              </a:ln>
            </c:spPr>
          </c:dPt>
          <c:dPt>
            <c:idx val="2"/>
            <c:bubble3D val="0"/>
            <c:spPr>
              <a:gradFill rotWithShape="0">
                <a:gsLst>
                  <a:gs pos="0">
                    <a:srgbClr xmlns:mc="http://schemas.openxmlformats.org/markup-compatibility/2006" xmlns:a14="http://schemas.microsoft.com/office/drawing/2010/main" val="000000" mc:Ignorable="a14" a14:legacySpreadsheetColorIndex="9">
                      <a:gamma/>
                      <a:shade val="50980"/>
                      <a:invGamma/>
                    </a:srgbClr>
                  </a:gs>
                  <a:gs pos="100000">
                    <a:srgbClr xmlns:mc="http://schemas.openxmlformats.org/markup-compatibility/2006" xmlns:a14="http://schemas.microsoft.com/office/drawing/2010/main" val="FFFFFF" mc:Ignorable="a14" a14:legacySpreadsheetColorIndex="9"/>
                  </a:gs>
                </a:gsLst>
                <a:lin ang="5400000" scaled="1"/>
              </a:gradFill>
              <a:ln w="12700">
                <a:solidFill>
                  <a:srgbClr val="000000"/>
                </a:solidFill>
                <a:prstDash val="solid"/>
              </a:ln>
            </c:spPr>
          </c:dPt>
          <c:dLbls>
            <c:dLbl>
              <c:idx val="0"/>
              <c:layout>
                <c:manualLayout>
                  <c:x val="0.0420002218032605"/>
                  <c:y val="0.023989876265466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0215792392148165"/>
                  <c:y val="-0.095490063742032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0228653979191027"/>
                  <c:y val="-0.0889141805974987"/>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0"/>
            <c:extLst>
              <c:ext xmlns:c15="http://schemas.microsoft.com/office/drawing/2012/chart" uri="{CE6537A1-D6FC-4f65-9D91-7224C49458BB}"/>
            </c:extLst>
          </c:dLbls>
          <c:cat>
            <c:strRef>
              <c:f>'vybavené škody'!$A$33:$A$36</c:f>
              <c:strCache>
                <c:ptCount val="4"/>
                <c:pt idx="0">
                  <c:v>MTPL</c:v>
                </c:pt>
                <c:pt idx="1">
                  <c:v>Kasko</c:v>
                </c:pt>
                <c:pt idx="2">
                  <c:v>Ostatný majetok a zodp.</c:v>
                </c:pt>
                <c:pt idx="3">
                  <c:v>Spolu</c:v>
                </c:pt>
              </c:strCache>
            </c:strRef>
          </c:cat>
          <c:val>
            <c:numRef>
              <c:f>'vybavené škody'!$B$33:$B$35</c:f>
              <c:numCache>
                <c:formatCode>#,##0</c:formatCode>
                <c:ptCount val="3"/>
                <c:pt idx="0">
                  <c:v>18256.0</c:v>
                </c:pt>
                <c:pt idx="1">
                  <c:v>16773.0</c:v>
                </c:pt>
                <c:pt idx="2">
                  <c:v>4975.0</c:v>
                </c:pt>
              </c:numCache>
            </c:numRef>
          </c:val>
        </c:ser>
        <c:dLbls>
          <c:showLegendKey val="0"/>
          <c:showVal val="0"/>
          <c:showCatName val="0"/>
          <c:showSerName val="0"/>
          <c:showPercent val="0"/>
          <c:showBubbleSize val="0"/>
          <c:showLeaderLines val="0"/>
        </c:dLbls>
      </c:pie3DChart>
      <c:spPr>
        <a:noFill/>
        <a:ln w="25400">
          <a:noFill/>
        </a:ln>
      </c:spPr>
    </c:plotArea>
    <c:plotVisOnly val="1"/>
    <c:dispBlanksAs val="zero"/>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n-US"/>
    </a:p>
  </c:txPr>
  <c:externalData r:id="rId2">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2643C-8433-EE4D-BD88-3F91FCC1A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1425</TotalTime>
  <Pages>30</Pages>
  <Words>12332</Words>
  <Characters>70294</Characters>
  <Application>Microsoft Macintosh Word</Application>
  <DocSecurity>0</DocSecurity>
  <Lines>585</Lines>
  <Paragraphs>164</Paragraphs>
  <ScaleCrop>false</ScaleCrop>
  <HeadingPairs>
    <vt:vector size="2" baseType="variant">
      <vt:variant>
        <vt:lpstr>Title</vt:lpstr>
      </vt:variant>
      <vt:variant>
        <vt:i4>1</vt:i4>
      </vt:variant>
    </vt:vector>
  </HeadingPairs>
  <TitlesOfParts>
    <vt:vector size="1" baseType="lpstr">
      <vt:lpstr/>
    </vt:vector>
  </TitlesOfParts>
  <Company>Kooperativa</Company>
  <LinksUpToDate>false</LinksUpToDate>
  <CharactersWithSpaces>82462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Michaličová Daniela</dc:creator>
  <cp:keywords/>
  <dc:description/>
  <cp:lastModifiedBy>Patrik Benko</cp:lastModifiedBy>
  <cp:revision>163</cp:revision>
  <cp:lastPrinted>2014-02-18T11:28:00Z</cp:lastPrinted>
  <dcterms:created xsi:type="dcterms:W3CDTF">2014-02-07T13:48:00Z</dcterms:created>
  <dcterms:modified xsi:type="dcterms:W3CDTF">2016-03-17T16:42:00Z</dcterms:modified>
</cp:coreProperties>
</file>