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ackground w:color="FFFFFF"/>
  <w:body>
    <w:p>
      <w:pPr>
        <w:pStyle w:val="Normal"/>
        <w:jc w:val="center"/>
        <w:rPr>
          <w:lang w:val="cs-CZ"/>
        </w:rPr>
      </w:pPr>
      <w:r>
        <w:rPr>
          <w:lang w:val="cs-CZ"/>
        </w:rPr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Normal"/>
        <w:jc w:val="center"/>
        <w:rPr>
          <w:rFonts w:cs="Calibri" w:ascii="Calibri" w:hAnsi="Calibri"/>
          <w:b/>
          <w:sz w:val="36"/>
          <w:szCs w:val="36"/>
          <w:shd w:fill="FFCC99" w:val="clear"/>
        </w:rPr>
      </w:pPr>
      <w:r>
        <w:rPr>
          <w:rFonts w:cs="Calibri"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cs="Calibri" w:ascii="Calibri" w:hAnsi="Calibri"/>
          <w:b/>
          <w:sz w:val="36"/>
          <w:szCs w:val="36"/>
          <w:shd w:fill="FFCC99" w:val="clear"/>
        </w:rPr>
        <w:t>Rodinné centrum SLUNCE n.o</w:t>
      </w:r>
      <w:r>
        <w:rPr>
          <w:rFonts w:cs="Calibri" w:ascii="Calibri" w:hAnsi="Calibri"/>
          <w:b/>
          <w:sz w:val="36"/>
          <w:szCs w:val="36"/>
        </w:rPr>
        <w:t xml:space="preserve">,  za rok </w:t>
      </w:r>
      <w:r>
        <w:rPr>
          <w:rFonts w:cs="Calibri" w:ascii="Calibri" w:hAnsi="Calibri"/>
          <w:b/>
          <w:sz w:val="36"/>
          <w:szCs w:val="36"/>
          <w:shd w:fill="FFCC99" w:val="clear"/>
        </w:rPr>
        <w:t>2015</w:t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center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rPr>
          <w:rFonts w:cs="Calibri" w:ascii="Calibri" w:hAnsi="Calibri"/>
          <w:sz w:val="32"/>
          <w:szCs w:val="32"/>
          <w:shd w:fill="FFCC99" w:val="clear"/>
        </w:rPr>
      </w:pPr>
      <w:r>
        <w:rPr>
          <w:rFonts w:cs="Calibri" w:ascii="Calibri" w:hAnsi="Calibri"/>
          <w:sz w:val="32"/>
          <w:szCs w:val="32"/>
        </w:rPr>
        <w:t xml:space="preserve">V </w:t>
      </w:r>
      <w:r>
        <w:rPr>
          <w:rFonts w:cs="Calibri" w:ascii="Calibri" w:hAnsi="Calibri"/>
          <w:sz w:val="32"/>
          <w:szCs w:val="32"/>
          <w:shd w:fill="FFCC99" w:val="clear"/>
        </w:rPr>
        <w:t>Komárne</w:t>
      </w:r>
      <w:r>
        <w:rPr>
          <w:rFonts w:cs="Calibri" w:ascii="Calibri" w:hAnsi="Calibri"/>
          <w:sz w:val="32"/>
          <w:szCs w:val="32"/>
        </w:rPr>
        <w:t>, 17</w:t>
      </w:r>
      <w:r>
        <w:rPr>
          <w:rFonts w:cs="Calibri" w:ascii="Calibri" w:hAnsi="Calibri"/>
          <w:sz w:val="32"/>
          <w:szCs w:val="32"/>
          <w:shd w:fill="FFCC99" w:val="clear"/>
        </w:rPr>
        <w:t>.3.2016</w:t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b/>
          <w:sz w:val="32"/>
          <w:szCs w:val="32"/>
          <w:u w:val="single"/>
        </w:rPr>
      </w:pPr>
      <w:r>
        <w:rPr>
          <w:rFonts w:cs="Calibri" w:ascii="Calibri" w:hAnsi="Calibri"/>
          <w:b/>
          <w:sz w:val="32"/>
          <w:szCs w:val="32"/>
          <w:u w:val="single"/>
        </w:rPr>
        <w:t>OBSAH:</w:t>
      </w:r>
    </w:p>
    <w:p>
      <w:pPr>
        <w:pStyle w:val="Normal"/>
        <w:jc w:val="both"/>
        <w:rPr>
          <w:rFonts w:cs="Calibri" w:ascii="Calibri" w:hAnsi="Calibri"/>
          <w:sz w:val="28"/>
          <w:szCs w:val="28"/>
        </w:rPr>
      </w:pPr>
      <w:r>
        <w:rPr>
          <w:rFonts w:cs="Calibri" w:ascii="Calibri" w:hAnsi="Calibri"/>
          <w:sz w:val="28"/>
          <w:szCs w:val="28"/>
        </w:rPr>
      </w:r>
    </w:p>
    <w:p>
      <w:pPr>
        <w:pStyle w:val="Obsah1"/>
        <w:tabs>
          <w:tab w:val="right" w:pos="9072" w:leader="dot"/>
        </w:tabs>
        <w:rPr>
          <w:rStyle w:val="Odkaznaregister"/>
        </w:rPr>
      </w:pPr>
      <w:r>
        <w:fldChar w:fldCharType="begin"/>
      </w:r>
      <w:r>
        <w:instrText> TOC </w:instrText>
      </w:r>
      <w:r>
        <w:fldChar w:fldCharType="separate"/>
      </w:r>
      <w:hyperlink w:anchor="__RefHeading__225_101042941">
        <w:r>
          <w:rPr>
            <w:rStyle w:val="Odkaznaregister"/>
          </w:rPr>
          <w:t>Rodinné centrum SLUNCE , n. o., so sídlom: Vážského brehu 152/17 Komárno, IČO: 45735484</w:t>
          <w:tab/>
          <w:t>1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36">
        <w:r>
          <w:rPr>
            <w:rStyle w:val="Odkaznaregister"/>
          </w:rPr>
          <w:t>1. ÚVOD</w:t>
          <w:tab/>
          <w:t>4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37">
        <w:r>
          <w:rPr>
            <w:rStyle w:val="Odkaznaregister"/>
          </w:rPr>
          <w:t>2. Prehľad činností uskutočnených organizáciou za rok 2015</w:t>
          <w:tab/>
          <w:t>5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38">
        <w:r>
          <w:rPr>
            <w:rStyle w:val="Odkaznaregister"/>
          </w:rPr>
          <w:t>3. Ročná účtovná závierka a zhodnotenie základných údajov v nej obsiahnutých</w:t>
          <w:tab/>
          <w:t>5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39">
        <w:r>
          <w:rPr>
            <w:rStyle w:val="Odkaznaregister"/>
          </w:rPr>
          <w:t>4. Výrok audítora k ročnej účtovnej závierke</w:t>
          <w:tab/>
          <w:t>6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40">
        <w:r>
          <w:rPr>
            <w:rStyle w:val="Odkaznaregister"/>
          </w:rPr>
          <w:t>5. Prehľad o peňažných príjmoch a výdavkov</w:t>
          <w:tab/>
          <w:t>6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41">
        <w:r>
          <w:rPr>
            <w:rStyle w:val="Odkaznaregister"/>
          </w:rPr>
          <w:t>6. Stav a pohyb majetku a záväzkov organizácie</w:t>
          <w:tab/>
          <w:t>6</w:t>
        </w:r>
      </w:hyperlink>
    </w:p>
    <w:p>
      <w:pPr>
        <w:pStyle w:val="Obsah1"/>
        <w:tabs>
          <w:tab w:val="right" w:pos="9072" w:leader="dot"/>
        </w:tabs>
        <w:rPr>
          <w:rStyle w:val="Odkaznaregister"/>
        </w:rPr>
      </w:pPr>
      <w:hyperlink w:anchor="__RefHeading___Toc276040642">
        <w:r>
          <w:rPr>
            <w:rStyle w:val="Odkaznaregister"/>
          </w:rPr>
          <w:t>7. Zmeny a nové zloženie organizácie</w:t>
          <w:tab/>
          <w:t>7</w:t>
        </w:r>
      </w:hyperlink>
    </w:p>
    <w:p>
      <w:pPr>
        <w:pStyle w:val="Obsah2"/>
        <w:tabs>
          <w:tab w:val="right" w:pos="9072" w:leader="dot"/>
        </w:tabs>
        <w:rPr>
          <w:rStyle w:val="Odkaznaregister"/>
        </w:rPr>
      </w:pPr>
      <w:hyperlink w:anchor="__RefHeading__227_101042941">
        <w:r>
          <w:rPr>
            <w:rStyle w:val="Odkaznaregister"/>
          </w:rPr>
          <w:t>.Silvie Téglasová......(meno a priezvisko)</w:t>
          <w:tab/>
          <w:t>8</w:t>
        </w:r>
      </w:hyperlink>
    </w:p>
    <w:p>
      <w:pPr>
        <w:pStyle w:val="Obsah2"/>
        <w:tabs>
          <w:tab w:val="right" w:pos="9072" w:leader="dot"/>
        </w:tabs>
        <w:rPr>
          <w:rStyle w:val="Odkaznaregister"/>
        </w:rPr>
      </w:pPr>
      <w:hyperlink w:anchor="__RefHeading__229_101042941">
        <w:r>
          <w:rPr>
            <w:rStyle w:val="Odkaznaregister"/>
          </w:rPr>
          <w:t>Riaditeľ n.o.</w:t>
          <w:tab/>
          <w:t>8</w:t>
        </w:r>
      </w:hyperlink>
      <w:r>
        <w:fldChar w:fldCharType="end"/>
      </w:r>
    </w:p>
    <w:p>
      <w:pPr>
        <w:pStyle w:val="Normal"/>
        <w:jc w:val="both"/>
        <w:rPr/>
      </w:pPr>
      <w:hyperlink w:anchor="__RefHeading___Toc276040636">
        <w:r>
          <w:rPr/>
        </w:r>
      </w:hyperlink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caps/>
          <w:sz w:val="32"/>
          <w:szCs w:val="32"/>
        </w:rPr>
      </w:pPr>
      <w:bookmarkStart w:id="0" w:name="__RefHeading___Toc276040636"/>
      <w:bookmarkEnd w:id="0"/>
      <w:r>
        <w:rPr>
          <w:rFonts w:cs="Calibri" w:ascii="Calibri" w:hAnsi="Calibri"/>
          <w:b/>
          <w:caps/>
          <w:sz w:val="32"/>
          <w:szCs w:val="32"/>
        </w:rPr>
        <w:t>1.  ÚVOD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Nezisková organizácia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Rodinné centrum SLUNCE </w:t>
      </w:r>
      <w:r>
        <w:rPr>
          <w:rFonts w:cs="Calibri" w:ascii="Calibri" w:hAnsi="Calibri"/>
          <w:sz w:val="22"/>
          <w:szCs w:val="22"/>
        </w:rPr>
        <w:t xml:space="preserve">, n.o. so sídlom: </w:t>
      </w:r>
      <w:r>
        <w:rPr>
          <w:rFonts w:cs="Calibri" w:ascii="Calibri" w:hAnsi="Calibri"/>
          <w:sz w:val="22"/>
          <w:szCs w:val="22"/>
          <w:shd w:fill="FFCC99" w:val="clear"/>
        </w:rPr>
        <w:t>Vážského brehu 152/17 Komárno</w:t>
      </w:r>
      <w:r>
        <w:rPr>
          <w:rFonts w:cs="Calibri" w:ascii="Calibri" w:hAnsi="Calibri"/>
          <w:sz w:val="22"/>
          <w:szCs w:val="22"/>
        </w:rPr>
        <w:t xml:space="preserve">, IČO:45735484 vznikla dňa 23.2.2011 na základe rozhodnutia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Obvodného </w:t>
      </w:r>
      <w:r>
        <w:rPr>
          <w:rFonts w:cs="Calibri" w:ascii="Calibri" w:hAnsi="Calibri"/>
          <w:sz w:val="22"/>
          <w:szCs w:val="22"/>
        </w:rPr>
        <w:t xml:space="preserve">úradu v </w:t>
      </w:r>
      <w:r>
        <w:rPr>
          <w:rFonts w:cs="Calibri" w:ascii="Calibri" w:hAnsi="Calibri"/>
          <w:sz w:val="22"/>
          <w:szCs w:val="22"/>
          <w:shd w:fill="FFCC99" w:val="clear"/>
        </w:rPr>
        <w:t>Nitre</w:t>
      </w:r>
      <w:r>
        <w:rPr>
          <w:rFonts w:cs="Calibri" w:ascii="Calibri" w:hAnsi="Calibri"/>
          <w:sz w:val="22"/>
          <w:szCs w:val="22"/>
        </w:rPr>
        <w:t xml:space="preserve"> podľa ustanovenia § 9 ods. 1 zákona č. 213/1997 Z . z. o neziskových organizáciách poskytujúcich všeobecne prospešné služby v platnom znení (ďalej len „</w:t>
      </w:r>
      <w:r>
        <w:rPr>
          <w:rFonts w:cs="Calibri" w:ascii="Calibri" w:hAnsi="Calibri"/>
          <w:b/>
          <w:sz w:val="22"/>
          <w:szCs w:val="22"/>
        </w:rPr>
        <w:t>Zákon</w:t>
      </w:r>
      <w:r>
        <w:rPr>
          <w:rFonts w:cs="Calibri" w:ascii="Calibri" w:hAnsi="Calibri"/>
          <w:sz w:val="22"/>
          <w:szCs w:val="22"/>
        </w:rPr>
        <w:t>“).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  <w:shd w:fill="FFCC99" w:val="clear"/>
        </w:rPr>
        <w:t>..Rodinné centrum SLUNCE</w:t>
      </w:r>
      <w:r>
        <w:rPr>
          <w:rFonts w:cs="Calibri" w:ascii="Calibri" w:hAnsi="Calibri"/>
          <w:sz w:val="22"/>
          <w:szCs w:val="22"/>
        </w:rPr>
        <w:t>, n. o poskytuje nasledovné všeobecne prospešné služby: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  <w:shd w:fill="FFCC99" w:val="clear"/>
        </w:rPr>
        <w:t>Poskytovanie sociálnej a humanitárnej pomoci.......</w:t>
      </w:r>
      <w:r>
        <w:rPr>
          <w:rFonts w:cs="Calibri" w:ascii="Calibri" w:hAnsi="Calibri"/>
          <w:sz w:val="22"/>
          <w:szCs w:val="22"/>
        </w:rPr>
        <w:t>;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Tvorba,rozvoj,ochrana, obnova a prezentácia duchovných hodnôt.,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Tvorba a ochrana životného prostredia,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Ochrana ľudských práv a hodnôt,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Výroba tradičných výrobkov/ z prútia, aranžovanie/</w:t>
      </w:r>
    </w:p>
    <w:p>
      <w:pPr>
        <w:pStyle w:val="Normal"/>
        <w:numPr>
          <w:ilvl w:val="0"/>
          <w:numId w:val="6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  <w:shd w:fill="FFCC99" w:val="clear"/>
        </w:rPr>
        <w:t>Vedenie mládeže k poľnohospodárskej a živočíšnej výrobe................</w:t>
      </w:r>
      <w:r>
        <w:rPr>
          <w:rFonts w:cs="Calibri" w:ascii="Calibri" w:hAnsi="Calibri"/>
          <w:sz w:val="22"/>
          <w:szCs w:val="22"/>
        </w:rPr>
        <w:t>.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</w:rPr>
        <w:t xml:space="preserve">Hlavným cieľom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Rodinného centra SLUNCE </w:t>
      </w:r>
      <w:r>
        <w:rPr>
          <w:rFonts w:cs="Calibri" w:ascii="Calibri" w:hAnsi="Calibri"/>
          <w:sz w:val="22"/>
          <w:szCs w:val="22"/>
        </w:rPr>
        <w:t xml:space="preserve">, n.o. je najmä: </w:t>
      </w:r>
      <w:r>
        <w:rPr>
          <w:rFonts w:cs="Calibri" w:ascii="Calibri" w:hAnsi="Calibri"/>
          <w:sz w:val="22"/>
          <w:szCs w:val="22"/>
          <w:shd w:fill="FFCC99" w:val="clear"/>
        </w:rPr>
        <w:t>pomoc ZŤP a sociálne slabým rodinám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Orgánmi neziskovej organizácie sú:</w:t>
      </w:r>
    </w:p>
    <w:p>
      <w:pPr>
        <w:pStyle w:val="Normal"/>
        <w:numPr>
          <w:ilvl w:val="0"/>
          <w:numId w:val="2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  <w:shd w:fill="FFCC99" w:val="clear"/>
        </w:rPr>
        <w:t>Riaditel</w:t>
      </w:r>
      <w:r>
        <w:rPr>
          <w:rFonts w:cs="Calibri" w:ascii="Calibri" w:hAnsi="Calibri"/>
          <w:sz w:val="22"/>
          <w:szCs w:val="22"/>
        </w:rPr>
        <w:t>;  Silvie Téglasová</w:t>
      </w:r>
    </w:p>
    <w:p>
      <w:pPr>
        <w:pStyle w:val="Normal"/>
        <w:numPr>
          <w:ilvl w:val="0"/>
          <w:numId w:val="2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Revizor</w:t>
      </w:r>
      <w:r>
        <w:rPr>
          <w:rFonts w:cs="Calibri" w:ascii="Calibri" w:hAnsi="Calibri"/>
          <w:sz w:val="22"/>
          <w:szCs w:val="22"/>
        </w:rPr>
        <w:t>;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    Ladislav Szabó</w:t>
      </w:r>
    </w:p>
    <w:p>
      <w:pPr>
        <w:pStyle w:val="Normal"/>
        <w:numPr>
          <w:ilvl w:val="0"/>
          <w:numId w:val="2"/>
        </w:numPr>
        <w:jc w:val="both"/>
        <w:rPr>
          <w:rFonts w:cs="Calibri" w:ascii="Calibri" w:hAnsi="Calibri"/>
          <w:sz w:val="32"/>
          <w:szCs w:val="3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správná rada</w:t>
      </w:r>
      <w:r>
        <w:rPr>
          <w:rFonts w:cs="Calibri" w:ascii="Calibri" w:hAnsi="Calibri"/>
          <w:sz w:val="32"/>
          <w:szCs w:val="32"/>
          <w:shd w:fill="FFCC99" w:val="clear"/>
        </w:rPr>
        <w:t xml:space="preserve"> 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32"/>
          <w:szCs w:val="32"/>
        </w:rPr>
      </w:pPr>
      <w:r>
        <w:rPr>
          <w:rFonts w:cs="Calibri" w:ascii="Calibri" w:hAnsi="Calibri"/>
          <w:sz w:val="32"/>
          <w:szCs w:val="3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1" w:name="__RefHeading___Toc276040637"/>
      <w:bookmarkEnd w:id="1"/>
      <w:r>
        <w:rPr>
          <w:rFonts w:cs="Calibri" w:ascii="Calibri" w:hAnsi="Calibri"/>
          <w:b/>
          <w:bCs/>
          <w:caps/>
          <w:sz w:val="32"/>
        </w:rPr>
        <w:t>2. Prehľad činností uskutočnených organizáciou za rok 2015</w:t>
      </w:r>
    </w:p>
    <w:p>
      <w:pPr>
        <w:pStyle w:val="Normal"/>
        <w:ind w:left="360" w:right="0" w:hanging="0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Počas roka 2015 Rodinné centrum SLUNCE n.o. realizovala 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otvorenie dalšej chranenej dielne;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  <w:shd w:fill="FFCC99" w:val="clear"/>
        </w:rPr>
        <w:t>dovoz humanitarnej pomoci zo Švajčiarska a následné rozdelenie tejto pomoci</w:t>
      </w:r>
      <w:r>
        <w:rPr>
          <w:rFonts w:cs="Calibri" w:ascii="Calibri" w:hAnsi="Calibri"/>
          <w:sz w:val="22"/>
          <w:szCs w:val="22"/>
        </w:rPr>
        <w:t>;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pomoc rozným socialne slabým rodinnám ,právná pomoc a zastupovanie na úradoch, organizovanie rôznych akcií.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otvorenie komunitného centra pre deti zo soc.slabých rodin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budovanie deckého parku v objektu centra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rozdavnie potravinovej pomoci potrebným</w:t>
      </w:r>
    </w:p>
    <w:p>
      <w:pPr>
        <w:pStyle w:val="Normal"/>
        <w:numPr>
          <w:ilvl w:val="0"/>
          <w:numId w:val="4"/>
        </w:numPr>
        <w:jc w:val="both"/>
        <w:rPr>
          <w:rFonts w:cs="Calibri" w:ascii="Calibri" w:hAnsi="Calibri"/>
          <w:sz w:val="22"/>
          <w:szCs w:val="22"/>
          <w:shd w:fill="FFCC99" w:val="clear"/>
        </w:rPr>
      </w:pPr>
      <w:r>
        <w:rPr>
          <w:rFonts w:cs="Calibri" w:ascii="Calibri" w:hAnsi="Calibri"/>
          <w:sz w:val="22"/>
          <w:szCs w:val="22"/>
          <w:shd w:fill="FFCC99" w:val="clear"/>
        </w:rPr>
        <w:t>budovanie hospodárského dvora pre deti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2" w:name="__RefHeading___Toc276040638"/>
      <w:bookmarkEnd w:id="2"/>
      <w:r>
        <w:rPr>
          <w:rFonts w:cs="Calibri" w:ascii="Calibri" w:hAnsi="Calibri"/>
          <w:b/>
          <w:bCs/>
          <w:caps/>
          <w:sz w:val="32"/>
        </w:rPr>
        <w:t>3. Ročná účtovná závierka a zhodnotenie základných údajov v nej obsiahnutých</w:t>
      </w:r>
    </w:p>
    <w:p>
      <w:pPr>
        <w:pStyle w:val="Normal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V súlade s § 4 ods. 2 zákona č. 431/2002 Z. z. o účtovníctve v platnom znení 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Rodinné centrum SLUNCE </w:t>
      </w:r>
      <w:r>
        <w:rPr>
          <w:rFonts w:cs="Calibri" w:ascii="Calibri" w:hAnsi="Calibri"/>
          <w:sz w:val="22"/>
          <w:szCs w:val="22"/>
        </w:rPr>
        <w:t xml:space="preserve">, n.o. účtuje v sústave podvojného účtovníctva . 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Účtovná závierka je výsledným produktom účtovnej uzávierky. Príprava a zostavenie účtovnej závierky sa skladá z 3 etáp :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1etapa: prípravné práce – sem patrí  zúčtovanie všetkých účtovných prípadov za daný rok do peňažného denníka, vykonanie inventarizácie majetku a záväzkov a zaúčtovanie uzávierkových účtovných operácií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2 etapa: uzatvorenie účtovných kníh t.j. účtovná uzávierka 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3 etapa: zostavenie účtovných výkazov t.j. účtovná závierka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Účtovná uzávierka predstavuje sústavu  výstupných informácií z bežného účtovníctva. Na základe účtovnej závierky Rodinné centrum SLUNCE , n. o. zostavuje Výkaz o majetku a záväzkoch a Výkaz o príjmoch a výdavkoch. Tieto výkazy tvoria účtovnú závierku v podvojnom účtovníctve a sú súčasťou daňového priznania dani z príjmov.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3" w:name="__RefHeading___Toc276040639"/>
      <w:bookmarkEnd w:id="3"/>
      <w:r>
        <w:rPr>
          <w:rFonts w:cs="Calibri" w:ascii="Calibri" w:hAnsi="Calibri"/>
          <w:b/>
          <w:bCs/>
          <w:caps/>
          <w:sz w:val="32"/>
        </w:rPr>
        <w:t>4. Výrok audítora k ročnej účtovnej závierke</w:t>
      </w:r>
    </w:p>
    <w:p>
      <w:pPr>
        <w:pStyle w:val="Normal"/>
        <w:ind w:left="360" w:right="0" w:hanging="0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Vzhľadom na skutočnosť, že dotácie zo štátneho rozpočtu, z rozpočtu štátneho fondu a z rozpočtu obce neprekročili v roku 2015 sumu 33 193 eur a príjmy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Rodinné centrum SLUNCE </w:t>
      </w:r>
      <w:r>
        <w:rPr>
          <w:rFonts w:cs="Calibri" w:ascii="Calibri" w:hAnsi="Calibri"/>
          <w:sz w:val="22"/>
          <w:szCs w:val="22"/>
        </w:rPr>
        <w:t>, n.o. za rok 2015 neboli vyššie ako 165 969 eur, audit v súlade s § 33 ods. 3 Zákona vykonaný nebol.-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4" w:name="__RefHeading___Toc276040640"/>
      <w:bookmarkEnd w:id="4"/>
      <w:r>
        <w:rPr>
          <w:rFonts w:cs="Calibri" w:ascii="Calibri" w:hAnsi="Calibri"/>
          <w:b/>
          <w:bCs/>
          <w:caps/>
          <w:sz w:val="32"/>
        </w:rPr>
        <w:t>5. Prehľad o peňažných príjmoch a výdavkov</w:t>
      </w:r>
    </w:p>
    <w:p>
      <w:pPr>
        <w:pStyle w:val="Normal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tbl>
      <w:tblPr>
        <w:jc w:val="left"/>
        <w:tblInd w:w="4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1834"/>
        <w:gridCol w:w="2302"/>
        <w:gridCol w:w="2302"/>
        <w:gridCol w:w="2385"/>
      </w:tblGrid>
      <w:tr>
        <w:trPr>
          <w:trHeight w:val="450" w:hRule="atLeast"/>
          <w:cantSplit w:val="false"/>
        </w:trPr>
        <w:tc>
          <w:tcPr>
            <w:tcW w:w="1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</w:r>
          </w:p>
        </w:tc>
        <w:tc>
          <w:tcPr>
            <w:tcW w:w="23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Zostatok k 31.12.2015</w:t>
            </w:r>
          </w:p>
        </w:tc>
      </w:tr>
      <w:tr>
        <w:trPr>
          <w:trHeight w:val="350" w:hRule="atLeast"/>
          <w:cantSplit w:val="false"/>
        </w:trPr>
        <w:tc>
          <w:tcPr>
            <w:tcW w:w="18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</w:rPr>
            </w:pPr>
            <w:r>
              <w:rPr>
                <w:rFonts w:cs="Calibri" w:ascii="Calibri" w:hAnsi="Calibri"/>
                <w:sz w:val="22"/>
                <w:szCs w:val="22"/>
              </w:rPr>
              <w:t>Celkom</w:t>
            </w:r>
          </w:p>
        </w:tc>
        <w:tc>
          <w:tcPr>
            <w:tcW w:w="23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  <w:shd w:fill="FFCC99" w:val="clear"/>
              </w:rPr>
            </w:pPr>
            <w:r>
              <w:rPr>
                <w:rFonts w:cs="Calibri" w:ascii="Calibri" w:hAnsi="Calibri"/>
                <w:sz w:val="22"/>
                <w:szCs w:val="22"/>
                <w:shd w:fill="FFCC99" w:val="clear"/>
              </w:rPr>
              <w:t>...79523.........</w:t>
            </w:r>
          </w:p>
        </w:tc>
        <w:tc>
          <w:tcPr>
            <w:tcW w:w="23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  <w:shd w:fill="FFCC99" w:val="clear"/>
              </w:rPr>
            </w:pPr>
            <w:r>
              <w:rPr>
                <w:rFonts w:cs="Calibri" w:ascii="Calibri" w:hAnsi="Calibri"/>
                <w:sz w:val="22"/>
                <w:szCs w:val="22"/>
                <w:shd w:fill="FFCC99" w:val="clear"/>
              </w:rPr>
              <w:t>....78875......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03" w:type="dxa"/>
            </w:tcMar>
          </w:tcPr>
          <w:p>
            <w:pPr>
              <w:pStyle w:val="Normal"/>
              <w:jc w:val="both"/>
              <w:rPr>
                <w:rFonts w:cs="Calibri" w:ascii="Calibri" w:hAnsi="Calibri"/>
                <w:sz w:val="22"/>
                <w:szCs w:val="22"/>
                <w:shd w:fill="FFCC99" w:val="clear"/>
              </w:rPr>
            </w:pPr>
            <w:r>
              <w:rPr>
                <w:rFonts w:cs="Calibri" w:ascii="Calibri" w:hAnsi="Calibri"/>
                <w:sz w:val="22"/>
                <w:szCs w:val="22"/>
                <w:shd w:fill="FFCC99" w:val="clear"/>
              </w:rPr>
              <w:t>...648.......</w:t>
            </w:r>
          </w:p>
        </w:tc>
      </w:tr>
    </w:tbl>
    <w:p>
      <w:pPr>
        <w:pStyle w:val="Normal"/>
        <w:ind w:left="360" w:right="0" w:hanging="0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5" w:name="__RefHeading___Toc276040641"/>
      <w:bookmarkEnd w:id="5"/>
      <w:r>
        <w:rPr>
          <w:rFonts w:cs="Calibri" w:ascii="Calibri" w:hAnsi="Calibri"/>
          <w:b/>
          <w:bCs/>
          <w:caps/>
          <w:sz w:val="32"/>
        </w:rPr>
        <w:t>6. Stav a pohyb majetku a záväzkov organizácie</w:t>
      </w:r>
    </w:p>
    <w:p>
      <w:pPr>
        <w:pStyle w:val="Normal"/>
        <w:ind w:left="360" w:right="0" w:hanging="0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Stav aktív a pasív k 31.12.2015 predstavuje sumu </w:t>
      </w:r>
      <w:r>
        <w:rPr>
          <w:rFonts w:cs="Calibri" w:ascii="Calibri" w:hAnsi="Calibri"/>
          <w:sz w:val="22"/>
          <w:szCs w:val="22"/>
          <w:shd w:fill="FFCC99" w:val="clear"/>
        </w:rPr>
        <w:t>.26477...</w:t>
      </w:r>
      <w:r>
        <w:rPr>
          <w:rFonts w:cs="Calibri" w:ascii="Calibri" w:hAnsi="Calibri"/>
          <w:sz w:val="22"/>
          <w:szCs w:val="22"/>
        </w:rPr>
        <w:t xml:space="preserve">EUR. Z toho majetok vo výške </w:t>
      </w:r>
      <w:r>
        <w:rPr>
          <w:rFonts w:cs="Calibri" w:ascii="Calibri" w:hAnsi="Calibri"/>
          <w:sz w:val="22"/>
          <w:szCs w:val="22"/>
          <w:shd w:fill="FFCC99" w:val="clear"/>
        </w:rPr>
        <w:t>..1650.....</w:t>
      </w:r>
      <w:r>
        <w:rPr>
          <w:rFonts w:cs="Calibri" w:ascii="Calibri" w:hAnsi="Calibri"/>
          <w:sz w:val="22"/>
          <w:szCs w:val="22"/>
        </w:rPr>
        <w:t xml:space="preserve"> EUR pozostáva z:</w:t>
      </w:r>
    </w:p>
    <w:p>
      <w:pPr>
        <w:pStyle w:val="Normal"/>
        <w:numPr>
          <w:ilvl w:val="0"/>
          <w:numId w:val="3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dlhodobého majetku: </w:t>
      </w:r>
      <w:r>
        <w:rPr>
          <w:rFonts w:cs="Calibri" w:ascii="Calibri" w:hAnsi="Calibri"/>
          <w:sz w:val="22"/>
          <w:szCs w:val="22"/>
          <w:shd w:fill="FFCC99" w:val="clear"/>
        </w:rPr>
        <w:t xml:space="preserve">.1650....... </w:t>
      </w:r>
      <w:r>
        <w:rPr>
          <w:rFonts w:cs="Calibri" w:ascii="Calibri" w:hAnsi="Calibri"/>
          <w:sz w:val="22"/>
          <w:szCs w:val="22"/>
        </w:rPr>
        <w:t>EUR</w:t>
      </w:r>
    </w:p>
    <w:p>
      <w:pPr>
        <w:pStyle w:val="Normal"/>
        <w:numPr>
          <w:ilvl w:val="0"/>
          <w:numId w:val="3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krátkodobého majetku: </w:t>
      </w:r>
      <w:r>
        <w:rPr>
          <w:rFonts w:cs="Calibri" w:ascii="Calibri" w:hAnsi="Calibri"/>
          <w:sz w:val="22"/>
          <w:szCs w:val="22"/>
          <w:shd w:fill="FFCC99" w:val="clear"/>
        </w:rPr>
        <w:t>.........</w:t>
      </w:r>
      <w:r>
        <w:rPr>
          <w:rFonts w:cs="Calibri" w:ascii="Calibri" w:hAnsi="Calibri"/>
          <w:sz w:val="22"/>
          <w:szCs w:val="22"/>
        </w:rPr>
        <w:t>EUR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>K 31.12.2015 predstavoval (i):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finančný majetok čiastku </w:t>
      </w:r>
      <w:r>
        <w:rPr>
          <w:rFonts w:cs="Calibri" w:ascii="Calibri" w:hAnsi="Calibri"/>
          <w:sz w:val="22"/>
          <w:szCs w:val="22"/>
          <w:shd w:fill="FFCC99" w:val="clear"/>
        </w:rPr>
        <w:t>.972...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obežný majetok čiastku </w:t>
      </w:r>
      <w:r>
        <w:rPr>
          <w:rFonts w:cs="Calibri" w:ascii="Calibri" w:hAnsi="Calibri"/>
          <w:sz w:val="22"/>
          <w:szCs w:val="22"/>
          <w:shd w:fill="FFCC99" w:val="clear"/>
        </w:rPr>
        <w:t>.24797...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vlastné zdroje krytia majetku čiastku </w:t>
      </w:r>
      <w:r>
        <w:rPr>
          <w:rFonts w:cs="Calibri" w:ascii="Calibri" w:hAnsi="Calibri"/>
          <w:sz w:val="22"/>
          <w:szCs w:val="22"/>
          <w:shd w:fill="FFCC99" w:val="clear"/>
        </w:rPr>
        <w:t>.-13705...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cudzie zdroje krytia majetku čiastku </w:t>
      </w:r>
      <w:r>
        <w:rPr>
          <w:rFonts w:cs="Calibri" w:ascii="Calibri" w:hAnsi="Calibri"/>
          <w:sz w:val="22"/>
          <w:szCs w:val="22"/>
          <w:shd w:fill="FFCC99" w:val="clear"/>
        </w:rPr>
        <w:t>.40028....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oprávky k dlhodobému hmotnému majetku čiastku </w:t>
      </w:r>
      <w:r>
        <w:rPr>
          <w:rFonts w:cs="Calibri" w:ascii="Calibri" w:hAnsi="Calibri"/>
          <w:sz w:val="22"/>
          <w:szCs w:val="22"/>
          <w:shd w:fill="FFCC99" w:val="clear"/>
        </w:rPr>
        <w:t>.....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oprávky k dlhodobému nehmotnému majetku čiastku </w:t>
      </w:r>
      <w:r>
        <w:rPr>
          <w:rFonts w:cs="Calibri" w:ascii="Calibri" w:hAnsi="Calibri"/>
          <w:sz w:val="22"/>
          <w:szCs w:val="22"/>
          <w:shd w:fill="FFCC99" w:val="clear"/>
        </w:rPr>
        <w:t>.....</w:t>
      </w:r>
      <w:r>
        <w:rPr>
          <w:rFonts w:cs="Calibri" w:ascii="Calibri" w:hAnsi="Calibri"/>
          <w:sz w:val="22"/>
          <w:szCs w:val="22"/>
        </w:rPr>
        <w:t xml:space="preserve"> EUR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dlhodobé záväzky čiastku </w:t>
      </w:r>
      <w:r>
        <w:rPr>
          <w:rFonts w:cs="Calibri" w:ascii="Calibri" w:hAnsi="Calibri"/>
          <w:sz w:val="22"/>
          <w:szCs w:val="22"/>
          <w:shd w:fill="FFCC99" w:val="clear"/>
        </w:rPr>
        <w:t>.....</w:t>
      </w:r>
      <w:r>
        <w:rPr>
          <w:rFonts w:cs="Calibri" w:ascii="Calibri" w:hAnsi="Calibri"/>
          <w:sz w:val="22"/>
          <w:szCs w:val="22"/>
        </w:rPr>
        <w:t xml:space="preserve"> EUR;</w:t>
      </w:r>
    </w:p>
    <w:p>
      <w:pPr>
        <w:pStyle w:val="Normal"/>
        <w:numPr>
          <w:ilvl w:val="0"/>
          <w:numId w:val="5"/>
        </w:numPr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krátkodobé záväzky čiastku </w:t>
      </w:r>
      <w:r>
        <w:rPr>
          <w:rFonts w:cs="Calibri" w:ascii="Calibri" w:hAnsi="Calibri"/>
          <w:sz w:val="22"/>
          <w:szCs w:val="22"/>
          <w:shd w:fill="FFCC99" w:val="clear"/>
        </w:rPr>
        <w:t>.8685....</w:t>
      </w:r>
      <w:r>
        <w:rPr>
          <w:rFonts w:cs="Calibri" w:ascii="Calibri" w:hAnsi="Calibri"/>
          <w:sz w:val="22"/>
          <w:szCs w:val="22"/>
        </w:rPr>
        <w:t xml:space="preserve"> EUR.</w:t>
      </w:r>
    </w:p>
    <w:p>
      <w:pPr>
        <w:pStyle w:val="Normal"/>
        <w:ind w:left="360" w:right="0" w:hanging="0"/>
        <w:jc w:val="both"/>
        <w:rPr>
          <w:rFonts w:cs="Calibri" w:ascii="Calibri" w:hAnsi="Calibri"/>
          <w:caps/>
          <w:sz w:val="32"/>
          <w:szCs w:val="32"/>
        </w:rPr>
      </w:pPr>
      <w:r>
        <w:rPr>
          <w:rFonts w:cs="Calibri" w:ascii="Calibri" w:hAnsi="Calibri"/>
          <w:caps/>
          <w:sz w:val="32"/>
          <w:szCs w:val="32"/>
        </w:rPr>
      </w:r>
    </w:p>
    <w:p>
      <w:pPr>
        <w:pStyle w:val="Nadpis1"/>
        <w:numPr>
          <w:ilvl w:val="0"/>
          <w:numId w:val="1"/>
        </w:numPr>
        <w:rPr>
          <w:rFonts w:cs="Calibri" w:ascii="Calibri" w:hAnsi="Calibri"/>
          <w:b/>
          <w:bCs/>
          <w:caps/>
          <w:sz w:val="32"/>
        </w:rPr>
      </w:pPr>
      <w:bookmarkStart w:id="6" w:name="__RefHeading___Toc276040642"/>
      <w:bookmarkEnd w:id="6"/>
      <w:r>
        <w:rPr>
          <w:rFonts w:cs="Calibri" w:ascii="Calibri" w:hAnsi="Calibri"/>
          <w:b/>
          <w:bCs/>
          <w:caps/>
          <w:sz w:val="32"/>
        </w:rPr>
        <w:t>7. Zmeny a nové zloženie organizácie</w:t>
      </w:r>
    </w:p>
    <w:p>
      <w:pPr>
        <w:pStyle w:val="Normal"/>
        <w:jc w:val="both"/>
        <w:rPr>
          <w:rFonts w:cs="Calibri" w:ascii="Calibri" w:hAnsi="Calibri"/>
          <w:b/>
          <w:caps/>
          <w:sz w:val="32"/>
          <w:szCs w:val="32"/>
          <w:u w:val="single"/>
        </w:rPr>
      </w:pPr>
      <w:r>
        <w:rPr>
          <w:rFonts w:cs="Calibri" w:ascii="Calibri" w:hAnsi="Calibri"/>
          <w:b/>
          <w:caps/>
          <w:sz w:val="32"/>
          <w:szCs w:val="32"/>
          <w:u w:val="single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  <w:t xml:space="preserve">Správna rada </w:t>
      </w:r>
      <w:r>
        <w:rPr>
          <w:rFonts w:cs="Calibri" w:ascii="Calibri" w:hAnsi="Calibri"/>
          <w:sz w:val="22"/>
          <w:szCs w:val="22"/>
          <w:shd w:fill="FFCC99" w:val="clear"/>
        </w:rPr>
        <w:t>.Rodinné centrum SLUNCE</w:t>
      </w:r>
      <w:r>
        <w:rPr>
          <w:rFonts w:cs="Calibri" w:ascii="Calibri" w:hAnsi="Calibri"/>
          <w:sz w:val="22"/>
          <w:szCs w:val="22"/>
        </w:rPr>
        <w:t>, n.o. sa neuzniesla na žiadnych zmenách v štatúte ani zložení orgánov neziskovej organizácie.</w:t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cs="Calibri" w:ascii="Calibri" w:hAnsi="Calibri"/>
          <w:sz w:val="22"/>
          <w:szCs w:val="22"/>
        </w:rPr>
      </w:pPr>
      <w:r>
        <w:rPr>
          <w:rFonts w:cs="Calibri" w:ascii="Calibri" w:hAnsi="Calibri"/>
          <w:sz w:val="22"/>
          <w:szCs w:val="22"/>
        </w:rPr>
      </w:r>
    </w:p>
    <w:p>
      <w:pPr>
        <w:pStyle w:val="Normal"/>
        <w:ind w:left="360" w:right="0" w:hanging="0"/>
        <w:jc w:val="both"/>
        <w:rPr>
          <w:rFonts w:eastAsia="Calibri" w:cs="Calibri" w:ascii="Calibri" w:hAnsi="Calibri"/>
          <w:sz w:val="22"/>
          <w:szCs w:val="22"/>
        </w:rPr>
      </w:pPr>
      <w:r>
        <w:rPr>
          <w:rFonts w:eastAsia="Calibri" w:cs="Calibri" w:ascii="Calibri" w:hAnsi="Calibri"/>
          <w:sz w:val="22"/>
          <w:szCs w:val="22"/>
        </w:rPr>
        <w:t xml:space="preserve">                                                                                                   </w:t>
      </w:r>
    </w:p>
    <w:tbl>
      <w:tblPr>
        <w:jc w:val="left"/>
        <w:tblInd w:w="6870" w:type="dxa"/>
        <w:tblBorders>
          <w:top w:val="nil"/>
          <w:left w:val="nil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53"/>
      </w:tblGrid>
      <w:tr>
        <w:trPr>
          <w:cantSplit w:val="false"/>
        </w:trPr>
        <w:tc>
          <w:tcPr>
            <w:tcW w:w="2353" w:type="dxa"/>
            <w:tcBorders>
              <w:top w:val="nil"/>
              <w:left w:val="nil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</w:tcPr>
          <w:p>
            <w:pPr>
              <w:pStyle w:val="Nadpis2"/>
              <w:numPr>
                <w:ilvl w:val="1"/>
                <w:numId w:val="1"/>
              </w:numPr>
              <w:spacing w:before="240" w:after="60"/>
              <w:rPr/>
            </w:pPr>
            <w:r>
              <w:rPr/>
            </w:r>
          </w:p>
        </w:tc>
      </w:tr>
      <w:tr>
        <w:trPr>
          <w:cantSplit w:val="false"/>
        </w:trPr>
        <w:tc>
          <w:tcPr>
            <w:tcW w:w="2353" w:type="dxa"/>
            <w:tcBorders>
              <w:top w:val="single" w:sz="4" w:space="0" w:color="000001"/>
              <w:left w:val="nil"/>
              <w:bottom w:val="nil"/>
              <w:insideH w:val="nil"/>
              <w:right w:val="nil"/>
              <w:insideV w:val="nil"/>
            </w:tcBorders>
            <w:shd w:fill="FFFFFF" w:val="clear"/>
          </w:tcPr>
          <w:p>
            <w:pPr>
              <w:pStyle w:val="Nadpis2"/>
              <w:numPr>
                <w:ilvl w:val="1"/>
                <w:numId w:val="1"/>
              </w:numPr>
              <w:spacing w:before="0" w:after="0"/>
              <w:jc w:val="center"/>
              <w:rPr>
                <w:rFonts w:cs="Calibri" w:ascii="Calibri" w:hAnsi="Calibri"/>
                <w:b w:val="false"/>
                <w:sz w:val="22"/>
                <w:szCs w:val="22"/>
              </w:rPr>
            </w:pPr>
            <w:bookmarkStart w:id="7" w:name="__RefHeading__227_101042941"/>
            <w:bookmarkEnd w:id="7"/>
            <w:r>
              <w:rPr>
                <w:rFonts w:cs="Calibri" w:ascii="Calibri" w:hAnsi="Calibri"/>
                <w:b w:val="false"/>
                <w:sz w:val="22"/>
                <w:szCs w:val="22"/>
                <w:shd w:fill="FFCC99" w:val="clear"/>
              </w:rPr>
              <w:t>.Silvie Téglasová......</w:t>
            </w:r>
            <w:r>
              <w:rPr>
                <w:rFonts w:cs="Calibri" w:ascii="Calibri" w:hAnsi="Calibri"/>
                <w:b w:val="false"/>
                <w:sz w:val="22"/>
                <w:szCs w:val="22"/>
              </w:rPr>
              <w:t>(meno a priezvisko)</w:t>
            </w:r>
          </w:p>
          <w:p>
            <w:pPr>
              <w:pStyle w:val="Nadpis2"/>
              <w:numPr>
                <w:ilvl w:val="1"/>
                <w:numId w:val="1"/>
              </w:numPr>
              <w:spacing w:before="0" w:after="0"/>
              <w:jc w:val="center"/>
              <w:rPr>
                <w:rFonts w:cs="Calibri" w:ascii="Calibri" w:hAnsi="Calibri"/>
                <w:sz w:val="22"/>
                <w:szCs w:val="22"/>
              </w:rPr>
            </w:pPr>
            <w:bookmarkStart w:id="8" w:name="__RefHeading__229_101042941"/>
            <w:bookmarkEnd w:id="8"/>
            <w:r>
              <w:rPr>
                <w:rFonts w:cs="Calibri" w:ascii="Calibri" w:hAnsi="Calibri"/>
                <w:sz w:val="22"/>
                <w:szCs w:val="22"/>
              </w:rPr>
              <w:t xml:space="preserve">Riaditeľ n.o. </w:t>
            </w:r>
          </w:p>
        </w:tc>
      </w:tr>
    </w:tbl>
    <w:p>
      <w:pPr>
        <w:pStyle w:val="Normal"/>
        <w:ind w:left="360" w:right="0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20" w:top="1417" w:footer="72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rPr/>
    </w:pPr>
    <w:r>
      <w:rPr/>
    </w:r>
    <w:r>
      <w:pict>
        <v:rect fillcolor="#FFFFFF" stroked="f" strokeweight="0pt" style="position:absolute;width:5.65pt;height:13.4pt;mso-wrap-distance-left:0pt;mso-wrap-distance-right:0pt;mso-wrap-distance-top:0pt;mso-wrap-distance-bottom:0pt;margin-top:0.05pt;margin-left:224pt">
          <v:fill opacity="0f"/>
          <v:textbox inset="0in,0in,0in,0in">
            <w:txbxContent>
              <w:p>
                <w:pPr>
                  <w:pStyle w:val="Pta"/>
                  <w:rPr>
                    <w:rStyle w:val="Pagenumber"/>
                  </w:rPr>
                </w:pPr>
                <w:r>
                  <w:rPr>
                    <w:rStyle w:val="Pagenumber"/>
                  </w:rPr>
                  <w:fldChar w:fldCharType="begin"/>
                </w:r>
                <w:r>
                  <w:instrText> PAGE </w:instrText>
                </w:r>
                <w:r>
                  <w:fldChar w:fldCharType="separate"/>
                </w:r>
                <w:r>
                  <w:t>5</w:t>
                </w:r>
                <w:r>
                  <w:fldChar w:fldCharType="end"/>
                </w:r>
              </w:p>
            </w:txbxContent>
          </v:textbox>
          <w10:wrap type="square"/>
        </v:rect>
      </w:pic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Nadpis1"/>
      <w:numPr>
        <w:ilvl w:val="0"/>
        <w:numId w:val="1"/>
      </w:numPr>
      <w:jc w:val="center"/>
      <w:rPr>
        <w:rFonts w:cs="Calibri" w:ascii="Calibri" w:hAnsi="Calibri"/>
        <w:sz w:val="22"/>
        <w:szCs w:val="22"/>
        <w:u w:val="none"/>
        <w:shd w:fill="FFCC99" w:val="clear"/>
      </w:rPr>
    </w:pPr>
    <w:bookmarkStart w:id="9" w:name="__RefHeading__225_101042941"/>
    <w:bookmarkEnd w:id="9"/>
    <w:r>
      <w:rPr>
        <w:rFonts w:cs="Calibri" w:ascii="Calibri" w:hAnsi="Calibri"/>
        <w:sz w:val="22"/>
        <w:szCs w:val="22"/>
        <w:u w:val="none"/>
        <w:shd w:fill="FFCC99" w:val="clear"/>
      </w:rPr>
      <w:t xml:space="preserve">Rodinné centrum SLUNCE </w:t>
    </w:r>
    <w:r>
      <w:rPr>
        <w:rFonts w:cs="Calibri" w:ascii="Calibri" w:hAnsi="Calibri"/>
        <w:sz w:val="22"/>
        <w:szCs w:val="22"/>
        <w:u w:val="none"/>
      </w:rPr>
      <w:t xml:space="preserve">, n.  o.,  so sídlom: </w:t>
    </w:r>
    <w:r>
      <w:rPr>
        <w:rFonts w:cs="Calibri" w:ascii="Calibri" w:hAnsi="Calibri"/>
        <w:sz w:val="22"/>
        <w:szCs w:val="22"/>
        <w:u w:val="none"/>
        <w:shd w:fill="FFCC99" w:val="clear"/>
      </w:rPr>
      <w:t>Vážského brehu 152/17 Komárno</w:t>
    </w:r>
    <w:r>
      <w:rPr>
        <w:rFonts w:cs="Calibri" w:ascii="Calibri" w:hAnsi="Calibri"/>
        <w:sz w:val="22"/>
        <w:szCs w:val="22"/>
        <w:u w:val="none"/>
      </w:rPr>
      <w:t xml:space="preserve">, IČO: </w:t>
    </w:r>
    <w:r>
      <w:rPr>
        <w:rFonts w:cs="Calibri" w:ascii="Calibri" w:hAnsi="Calibri"/>
        <w:sz w:val="22"/>
        <w:szCs w:val="22"/>
        <w:u w:val="none"/>
        <w:shd w:fill="FFCC99" w:val="clear"/>
      </w:rPr>
      <w:t>45735484</w:t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95"/>
  <w:displayBackgroundShape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count="267" w:defQFormat="0" w:defUnhideWhenUsed="1" w:defSemiHidden="1" w:defUIPriority="99" w:defLockedState="0">
    <w:lsdException w:qFormat="1" w:unhideWhenUsed="0" w:semiHidden="0" w:uiPriority="0" w:name="Normal"/>
    <w:lsdException w:qFormat="1" w:unhideWhenUsed="0" w:semiHidden="0" w:uiPriority="9" w:name="heading 1"/>
    <w:lsdException w:qFormat="1" w:unhideWhenUsed="0" w:semiHidden="0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semiHidden="0" w:uiPriority="35" w:name="caption"/>
    <w:lsdException w:qFormat="1" w:unhideWhenUsed="0" w:semiHidden="0" w:uiPriority="10" w:name="Title"/>
    <w:lsdException w:uiPriority="1" w:name="Default Paragraph Font"/>
    <w:lsdException w:qFormat="1" w:unhideWhenUsed="0" w:semiHidden="0" w:uiPriority="11" w:name="Subtitle"/>
    <w:lsdException w:qFormat="1" w:unhideWhenUsed="0" w:semiHidden="0" w:uiPriority="22" w:name="Strong"/>
    <w:lsdException w:qFormat="1" w:unhideWhenUsed="0" w:semiHidden="0" w:uiPriority="20" w:name="Emphasis"/>
    <w:lsdException w:unhideWhenUsed="0" w:semiHidden="0" w:uiPriority="59" w:name="Table Grid"/>
    <w:lsdException w:unhideWhenUsed="0" w:name="Placeholder Text"/>
    <w:lsdException w:qFormat="1" w:unhideWhenUsed="0" w:semiHidden="0" w:uiPriority="1" w:name="No Spacing"/>
    <w:lsdException w:unhideWhenUsed="0" w:semiHidden="0" w:uiPriority="60" w:name="Light Shading"/>
    <w:lsdException w:unhideWhenUsed="0" w:semiHidden="0" w:uiPriority="61" w:name="Light List"/>
    <w:lsdException w:unhideWhenUsed="0" w:semiHidden="0" w:uiPriority="62" w:name="Light Grid"/>
    <w:lsdException w:unhideWhenUsed="0" w:semiHidden="0" w:uiPriority="63" w:name="Medium Shading 1"/>
    <w:lsdException w:unhideWhenUsed="0" w:semiHidden="0" w:uiPriority="64" w:name="Medium Shading 2"/>
    <w:lsdException w:unhideWhenUsed="0" w:semiHidden="0" w:uiPriority="65" w:name="Medium List 1"/>
    <w:lsdException w:unhideWhenUsed="0" w:semiHidden="0" w:uiPriority="66" w:name="Medium List 2"/>
    <w:lsdException w:unhideWhenUsed="0" w:semiHidden="0" w:uiPriority="67" w:name="Medium Grid 1"/>
    <w:lsdException w:unhideWhenUsed="0" w:semiHidden="0" w:uiPriority="68" w:name="Medium Grid 2"/>
    <w:lsdException w:unhideWhenUsed="0" w:semiHidden="0" w:uiPriority="69" w:name="Medium Grid 3"/>
    <w:lsdException w:unhideWhenUsed="0" w:semiHidden="0" w:uiPriority="70" w:name="Dark List"/>
    <w:lsdException w:unhideWhenUsed="0" w:semiHidden="0" w:uiPriority="71" w:name="Colorful Shading"/>
    <w:lsdException w:unhideWhenUsed="0" w:semiHidden="0" w:uiPriority="72" w:name="Colorful List"/>
    <w:lsdException w:unhideWhenUsed="0" w:semiHidden="0" w:uiPriority="73" w:name="Colorful Grid"/>
    <w:lsdException w:unhideWhenUsed="0" w:semiHidden="0" w:uiPriority="60" w:name="Light Shading Accent 1"/>
    <w:lsdException w:unhideWhenUsed="0" w:semiHidden="0" w:uiPriority="61" w:name="Light List Accent 1"/>
    <w:lsdException w:unhideWhenUsed="0" w:semiHidden="0" w:uiPriority="62" w:name="Light Grid Accent 1"/>
    <w:lsdException w:unhideWhenUsed="0" w:semiHidden="0" w:uiPriority="63" w:name="Medium Shading 1 Accent 1"/>
    <w:lsdException w:unhideWhenUsed="0" w:semiHidden="0" w:uiPriority="64" w:name="Medium Shading 2 Accent 1"/>
    <w:lsdException w:unhideWhenUsed="0" w:semiHidden="0" w:uiPriority="65" w:name="Medium List 1 Accent 1"/>
    <w:lsdException w:unhideWhenUsed="0" w:name="Revision"/>
    <w:lsdException w:qFormat="1" w:unhideWhenUsed="0" w:semiHidden="0" w:uiPriority="34" w:name="List Paragraph"/>
    <w:lsdException w:qFormat="1" w:unhideWhenUsed="0" w:semiHidden="0" w:uiPriority="29" w:name="Quote"/>
    <w:lsdException w:qFormat="1" w:unhideWhenUsed="0" w:semiHidden="0" w:uiPriority="30" w:name="Intense Quote"/>
    <w:lsdException w:unhideWhenUsed="0" w:semiHidden="0" w:uiPriority="66" w:name="Medium List 2 Accent 1"/>
    <w:lsdException w:unhideWhenUsed="0" w:semiHidden="0" w:uiPriority="67" w:name="Medium Grid 1 Accent 1"/>
    <w:lsdException w:unhideWhenUsed="0" w:semiHidden="0" w:uiPriority="68" w:name="Medium Grid 2 Accent 1"/>
    <w:lsdException w:unhideWhenUsed="0" w:semiHidden="0" w:uiPriority="69" w:name="Medium Grid 3 Accent 1"/>
    <w:lsdException w:unhideWhenUsed="0" w:semiHidden="0" w:uiPriority="70" w:name="Dark List Accent 1"/>
    <w:lsdException w:unhideWhenUsed="0" w:semiHidden="0" w:uiPriority="71" w:name="Colorful Shading Accent 1"/>
    <w:lsdException w:unhideWhenUsed="0" w:semiHidden="0" w:uiPriority="72" w:name="Colorful List Accent 1"/>
    <w:lsdException w:unhideWhenUsed="0" w:semiHidden="0" w:uiPriority="73" w:name="Colorful Grid Accent 1"/>
    <w:lsdException w:unhideWhenUsed="0" w:semiHidden="0" w:uiPriority="60" w:name="Light Shading Accent 2"/>
    <w:lsdException w:unhideWhenUsed="0" w:semiHidden="0" w:uiPriority="61" w:name="Light List Accent 2"/>
    <w:lsdException w:unhideWhenUsed="0" w:semiHidden="0" w:uiPriority="62" w:name="Light Grid Accent 2"/>
    <w:lsdException w:unhideWhenUsed="0" w:semiHidden="0" w:uiPriority="63" w:name="Medium Shading 1 Accent 2"/>
    <w:lsdException w:unhideWhenUsed="0" w:semiHidden="0" w:uiPriority="64" w:name="Medium Shading 2 Accent 2"/>
    <w:lsdException w:unhideWhenUsed="0" w:semiHidden="0" w:uiPriority="65" w:name="Medium List 1 Accent 2"/>
    <w:lsdException w:unhideWhenUsed="0" w:semiHidden="0" w:uiPriority="66" w:name="Medium List 2 Accent 2"/>
    <w:lsdException w:unhideWhenUsed="0" w:semiHidden="0" w:uiPriority="67" w:name="Medium Grid 1 Accent 2"/>
    <w:lsdException w:unhideWhenUsed="0" w:semiHidden="0" w:uiPriority="68" w:name="Medium Grid 2 Accent 2"/>
    <w:lsdException w:unhideWhenUsed="0" w:semiHidden="0" w:uiPriority="69" w:name="Medium Grid 3 Accent 2"/>
    <w:lsdException w:unhideWhenUsed="0" w:semiHidden="0" w:uiPriority="70" w:name="Dark List Accent 2"/>
    <w:lsdException w:unhideWhenUsed="0" w:semiHidden="0" w:uiPriority="71" w:name="Colorful Shading Accent 2"/>
    <w:lsdException w:unhideWhenUsed="0" w:semiHidden="0" w:uiPriority="72" w:name="Colorful List Accent 2"/>
    <w:lsdException w:unhideWhenUsed="0" w:semiHidden="0" w:uiPriority="73" w:name="Colorful Grid Accent 2"/>
    <w:lsdException w:unhideWhenUsed="0" w:semiHidden="0" w:uiPriority="60" w:name="Light Shading Accent 3"/>
    <w:lsdException w:unhideWhenUsed="0" w:semiHidden="0" w:uiPriority="61" w:name="Light List Accent 3"/>
    <w:lsdException w:unhideWhenUsed="0" w:semiHidden="0" w:uiPriority="62" w:name="Light Grid Accent 3"/>
    <w:lsdException w:unhideWhenUsed="0" w:semiHidden="0" w:uiPriority="63" w:name="Medium Shading 1 Accent 3"/>
    <w:lsdException w:unhideWhenUsed="0" w:semiHidden="0" w:uiPriority="64" w:name="Medium Shading 2 Accent 3"/>
    <w:lsdException w:unhideWhenUsed="0" w:semiHidden="0" w:uiPriority="65" w:name="Medium List 1 Accent 3"/>
    <w:lsdException w:unhideWhenUsed="0" w:semiHidden="0" w:uiPriority="66" w:name="Medium List 2 Accent 3"/>
    <w:lsdException w:unhideWhenUsed="0" w:semiHidden="0" w:uiPriority="67" w:name="Medium Grid 1 Accent 3"/>
    <w:lsdException w:unhideWhenUsed="0" w:semiHidden="0" w:uiPriority="68" w:name="Medium Grid 2 Accent 3"/>
    <w:lsdException w:unhideWhenUsed="0" w:semiHidden="0" w:uiPriority="69" w:name="Medium Grid 3 Accent 3"/>
    <w:lsdException w:unhideWhenUsed="0" w:semiHidden="0" w:uiPriority="70" w:name="Dark List Accent 3"/>
    <w:lsdException w:unhideWhenUsed="0" w:semiHidden="0" w:uiPriority="71" w:name="Colorful Shading Accent 3"/>
    <w:lsdException w:unhideWhenUsed="0" w:semiHidden="0" w:uiPriority="72" w:name="Colorful List Accent 3"/>
    <w:lsdException w:unhideWhenUsed="0" w:semiHidden="0" w:uiPriority="73" w:name="Colorful Grid Accent 3"/>
    <w:lsdException w:unhideWhenUsed="0" w:semiHidden="0" w:uiPriority="60" w:name="Light Shading Accent 4"/>
    <w:lsdException w:unhideWhenUsed="0" w:semiHidden="0" w:uiPriority="61" w:name="Light List Accent 4"/>
    <w:lsdException w:unhideWhenUsed="0" w:semiHidden="0" w:uiPriority="62" w:name="Light Grid Accent 4"/>
    <w:lsdException w:unhideWhenUsed="0" w:semiHidden="0" w:uiPriority="63" w:name="Medium Shading 1 Accent 4"/>
    <w:lsdException w:unhideWhenUsed="0" w:semiHidden="0" w:uiPriority="64" w:name="Medium Shading 2 Accent 4"/>
    <w:lsdException w:unhideWhenUsed="0" w:semiHidden="0" w:uiPriority="65" w:name="Medium List 1 Accent 4"/>
    <w:lsdException w:unhideWhenUsed="0" w:semiHidden="0" w:uiPriority="66" w:name="Medium List 2 Accent 4"/>
    <w:lsdException w:unhideWhenUsed="0" w:semiHidden="0" w:uiPriority="67" w:name="Medium Grid 1 Accent 4"/>
    <w:lsdException w:unhideWhenUsed="0" w:semiHidden="0" w:uiPriority="68" w:name="Medium Grid 2 Accent 4"/>
    <w:lsdException w:unhideWhenUsed="0" w:semiHidden="0" w:uiPriority="69" w:name="Medium Grid 3 Accent 4"/>
    <w:lsdException w:unhideWhenUsed="0" w:semiHidden="0" w:uiPriority="70" w:name="Dark List Accent 4"/>
    <w:lsdException w:unhideWhenUsed="0" w:semiHidden="0" w:uiPriority="71" w:name="Colorful Shading Accent 4"/>
    <w:lsdException w:unhideWhenUsed="0" w:semiHidden="0" w:uiPriority="72" w:name="Colorful List Accent 4"/>
    <w:lsdException w:unhideWhenUsed="0" w:semiHidden="0" w:uiPriority="73" w:name="Colorful Grid Accent 4"/>
    <w:lsdException w:unhideWhenUsed="0" w:semiHidden="0" w:uiPriority="60" w:name="Light Shading Accent 5"/>
    <w:lsdException w:unhideWhenUsed="0" w:semiHidden="0" w:uiPriority="61" w:name="Light List Accent 5"/>
    <w:lsdException w:unhideWhenUsed="0" w:semiHidden="0" w:uiPriority="62" w:name="Light Grid Accent 5"/>
    <w:lsdException w:unhideWhenUsed="0" w:semiHidden="0" w:uiPriority="63" w:name="Medium Shading 1 Accent 5"/>
    <w:lsdException w:unhideWhenUsed="0" w:semiHidden="0" w:uiPriority="64" w:name="Medium Shading 2 Accent 5"/>
    <w:lsdException w:unhideWhenUsed="0" w:semiHidden="0" w:uiPriority="65" w:name="Medium List 1 Accent 5"/>
    <w:lsdException w:unhideWhenUsed="0" w:semiHidden="0" w:uiPriority="66" w:name="Medium List 2 Accent 5"/>
    <w:lsdException w:unhideWhenUsed="0" w:semiHidden="0" w:uiPriority="67" w:name="Medium Grid 1 Accent 5"/>
    <w:lsdException w:unhideWhenUsed="0" w:semiHidden="0" w:uiPriority="68" w:name="Medium Grid 2 Accent 5"/>
    <w:lsdException w:unhideWhenUsed="0" w:semiHidden="0" w:uiPriority="69" w:name="Medium Grid 3 Accent 5"/>
    <w:lsdException w:unhideWhenUsed="0" w:semiHidden="0" w:uiPriority="70" w:name="Dark List Accent 5"/>
    <w:lsdException w:unhideWhenUsed="0" w:semiHidden="0" w:uiPriority="71" w:name="Colorful Shading Accent 5"/>
    <w:lsdException w:unhideWhenUsed="0" w:semiHidden="0" w:uiPriority="72" w:name="Colorful List Accent 5"/>
    <w:lsdException w:unhideWhenUsed="0" w:semiHidden="0" w:uiPriority="73" w:name="Colorful Grid Accent 5"/>
    <w:lsdException w:unhideWhenUsed="0" w:semiHidden="0" w:uiPriority="60" w:name="Light Shading Accent 6"/>
    <w:lsdException w:unhideWhenUsed="0" w:semiHidden="0" w:uiPriority="61" w:name="Light List Accent 6"/>
    <w:lsdException w:unhideWhenUsed="0" w:semiHidden="0" w:uiPriority="62" w:name="Light Grid Accent 6"/>
    <w:lsdException w:unhideWhenUsed="0" w:semiHidden="0" w:uiPriority="63" w:name="Medium Shading 1 Accent 6"/>
    <w:lsdException w:unhideWhenUsed="0" w:semiHidden="0" w:uiPriority="64" w:name="Medium Shading 2 Accent 6"/>
    <w:lsdException w:unhideWhenUsed="0" w:semiHidden="0" w:uiPriority="65" w:name="Medium List 1 Accent 6"/>
    <w:lsdException w:unhideWhenUsed="0" w:semiHidden="0" w:uiPriority="66" w:name="Medium List 2 Accent 6"/>
    <w:lsdException w:unhideWhenUsed="0" w:semiHidden="0" w:uiPriority="67" w:name="Medium Grid 1 Accent 6"/>
    <w:lsdException w:unhideWhenUsed="0" w:semiHidden="0" w:uiPriority="68" w:name="Medium Grid 2 Accent 6"/>
    <w:lsdException w:unhideWhenUsed="0" w:semiHidden="0" w:uiPriority="69" w:name="Medium Grid 3 Accent 6"/>
    <w:lsdException w:unhideWhenUsed="0" w:semiHidden="0" w:uiPriority="70" w:name="Dark List Accent 6"/>
    <w:lsdException w:unhideWhenUsed="0" w:semiHidden="0" w:uiPriority="71" w:name="Colorful Shading Accent 6"/>
    <w:lsdException w:unhideWhenUsed="0" w:semiHidden="0" w:uiPriority="72" w:name="Colorful List Accent 6"/>
    <w:lsdException w:unhideWhenUsed="0" w:semiHidden="0" w:uiPriority="73" w:name="Colorful Grid Accent 6"/>
    <w:lsdException w:qFormat="1" w:unhideWhenUsed="0" w:semiHidden="0" w:uiPriority="19" w:name="Subtle Emphasis"/>
    <w:lsdException w:qFormat="1" w:unhideWhenUsed="0" w:semiHidden="0" w:uiPriority="21" w:name="Intense Emphasis"/>
    <w:lsdException w:qFormat="1" w:unhideWhenUsed="0" w:semiHidden="0" w:uiPriority="31" w:name="Subtle Reference"/>
    <w:lsdException w:qFormat="1" w:unhideWhenUsed="0" w:semiHidden="0" w:uiPriority="32" w:name="Intense Reference"/>
    <w:lsdException w:qFormat="1" w:unhideWhenUsed="0" w:semiHidden="0" w:uiPriority="33" w:name="Book Title"/>
    <w:lsdException w:uiPriority="37" w:name="Bibliography"/>
    <w:lsdException w:qFormat="1" w:uiPriority="39" w:name="TOC Heading"/>
  </w:latentStyles>
  <w:style w:type="paragraph" w:styleId="Normal" w:default="1">
    <w:name w:val="Normal"/>
    <w:qFormat/>
    <w:pPr>
      <w:widowControl/>
      <w:suppressAutoHyphens w:val="true"/>
      <w:bidi w:val="0"/>
      <w:jc w:val="left"/>
    </w:pPr>
    <w:rPr>
      <w:rFonts w:ascii="Times New Roman" w:hAnsi="Times New Roman" w:eastAsia="Times New Roman" w:cs="Times New Roman"/>
      <w:color w:val="auto"/>
      <w:sz w:val="24"/>
      <w:szCs w:val="24"/>
      <w:lang w:eastAsia="zh-CN" w:val="sk-SK" w:bidi="ar-SA"/>
    </w:rPr>
  </w:style>
  <w:style w:type="paragraph" w:styleId="Nadpis1">
    <w:name w:val="Nadpis 1"/>
    <w:qFormat/>
    <w:basedOn w:val="Normal"/>
    <w:next w:val="Normal"/>
    <w:pPr>
      <w:keepNext/>
      <w:jc w:val="both"/>
      <w:outlineLvl w:val="0"/>
    </w:pPr>
    <w:rPr>
      <w:szCs w:val="20"/>
      <w:u w:val="single"/>
    </w:rPr>
  </w:style>
  <w:style w:type="paragraph" w:styleId="Nadpis2">
    <w:name w:val="Nadpis 2"/>
    <w:qFormat/>
    <w:basedOn w:val="Normal"/>
    <w:next w:val="Normal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rPr/>
  </w:style>
  <w:style w:type="character" w:styleId="WW8Num1z0" w:customStyle="1">
    <w:name w:val="WW8Num1z0"/>
    <w:rPr/>
  </w:style>
  <w:style w:type="character" w:styleId="WW8Num1z1" w:customStyle="1">
    <w:name w:val="WW8Num1z1"/>
    <w:rPr/>
  </w:style>
  <w:style w:type="character" w:styleId="WW8Num1z2" w:customStyle="1">
    <w:name w:val="WW8Num1z2"/>
    <w:rPr/>
  </w:style>
  <w:style w:type="character" w:styleId="WW8Num1z3" w:customStyle="1">
    <w:name w:val="WW8Num1z3"/>
    <w:rPr/>
  </w:style>
  <w:style w:type="character" w:styleId="WW8Num1z4" w:customStyle="1">
    <w:name w:val="WW8Num1z4"/>
    <w:rPr/>
  </w:style>
  <w:style w:type="character" w:styleId="WW8Num1z5" w:customStyle="1">
    <w:name w:val="WW8Num1z5"/>
    <w:rPr/>
  </w:style>
  <w:style w:type="character" w:styleId="WW8Num1z6" w:customStyle="1">
    <w:name w:val="WW8Num1z6"/>
    <w:rPr/>
  </w:style>
  <w:style w:type="character" w:styleId="WW8Num1z7" w:customStyle="1">
    <w:name w:val="WW8Num1z7"/>
    <w:rPr/>
  </w:style>
  <w:style w:type="character" w:styleId="WW8Num1z8" w:customStyle="1">
    <w:name w:val="WW8Num1z8"/>
    <w:rPr/>
  </w:style>
  <w:style w:type="character" w:styleId="WW8Num2z0" w:customStyle="1">
    <w:name w:val="WW8Num2z0"/>
    <w:rPr>
      <w:rFonts w:cs="Calibri"/>
    </w:rPr>
  </w:style>
  <w:style w:type="character" w:styleId="WW8Num2z1" w:customStyle="1">
    <w:name w:val="WW8Num2z1"/>
    <w:rPr/>
  </w:style>
  <w:style w:type="character" w:styleId="WW8Num2z2" w:customStyle="1">
    <w:name w:val="WW8Num2z2"/>
    <w:rPr/>
  </w:style>
  <w:style w:type="character" w:styleId="WW8Num2z3" w:customStyle="1">
    <w:name w:val="WW8Num2z3"/>
    <w:rPr/>
  </w:style>
  <w:style w:type="character" w:styleId="WW8Num2z4" w:customStyle="1">
    <w:name w:val="WW8Num2z4"/>
    <w:rPr/>
  </w:style>
  <w:style w:type="character" w:styleId="WW8Num2z5" w:customStyle="1">
    <w:name w:val="WW8Num2z5"/>
    <w:rPr/>
  </w:style>
  <w:style w:type="character" w:styleId="WW8Num2z6" w:customStyle="1">
    <w:name w:val="WW8Num2z6"/>
    <w:rPr/>
  </w:style>
  <w:style w:type="character" w:styleId="WW8Num2z7" w:customStyle="1">
    <w:name w:val="WW8Num2z7"/>
    <w:rPr/>
  </w:style>
  <w:style w:type="character" w:styleId="WW8Num2z8" w:customStyle="1">
    <w:name w:val="WW8Num2z8"/>
    <w:rPr/>
  </w:style>
  <w:style w:type="character" w:styleId="WW8Num3z0" w:customStyle="1">
    <w:name w:val="WW8Num3z0"/>
    <w:rPr>
      <w:rFonts w:cs="Calibri"/>
    </w:rPr>
  </w:style>
  <w:style w:type="character" w:styleId="WW8Num4z0" w:customStyle="1">
    <w:name w:val="WW8Num4z0"/>
    <w:rPr>
      <w:rFonts w:ascii="Calibri" w:hAnsi="Calibri" w:cs="Calibri"/>
      <w:sz w:val="22"/>
      <w:szCs w:val="22"/>
    </w:rPr>
  </w:style>
  <w:style w:type="character" w:styleId="WW8Num5z0" w:customStyle="1">
    <w:name w:val="WW8Num5z0"/>
    <w:rPr>
      <w:rFonts w:ascii="Calibri" w:hAnsi="Calibri" w:cs="Calibri"/>
      <w:sz w:val="22"/>
      <w:szCs w:val="22"/>
    </w:rPr>
  </w:style>
  <w:style w:type="character" w:styleId="WW8Num6z0" w:customStyle="1">
    <w:name w:val="WW8Num6z0"/>
    <w:rPr>
      <w:rFonts w:ascii="Calibri" w:hAnsi="Calibri" w:cs="Calibri"/>
      <w:sz w:val="22"/>
      <w:szCs w:val="22"/>
    </w:rPr>
  </w:style>
  <w:style w:type="character" w:styleId="WW8Num7z0" w:customStyle="1">
    <w:name w:val="WW8Num7z0"/>
    <w:rPr>
      <w:rFonts w:ascii="Calibri" w:hAnsi="Calibri" w:cs="Calibri"/>
      <w:sz w:val="22"/>
      <w:szCs w:val="22"/>
    </w:rPr>
  </w:style>
  <w:style w:type="character" w:styleId="WW8Num3z1" w:customStyle="1">
    <w:name w:val="WW8Num3z1"/>
    <w:rPr/>
  </w:style>
  <w:style w:type="character" w:styleId="WW8Num3z2" w:customStyle="1">
    <w:name w:val="WW8Num3z2"/>
    <w:rPr/>
  </w:style>
  <w:style w:type="character" w:styleId="WW8Num3z3" w:customStyle="1">
    <w:name w:val="WW8Num3z3"/>
    <w:rPr/>
  </w:style>
  <w:style w:type="character" w:styleId="WW8Num3z4" w:customStyle="1">
    <w:name w:val="WW8Num3z4"/>
    <w:rPr/>
  </w:style>
  <w:style w:type="character" w:styleId="WW8Num3z5" w:customStyle="1">
    <w:name w:val="WW8Num3z5"/>
    <w:rPr/>
  </w:style>
  <w:style w:type="character" w:styleId="WW8Num3z6" w:customStyle="1">
    <w:name w:val="WW8Num3z6"/>
    <w:rPr/>
  </w:style>
  <w:style w:type="character" w:styleId="WW8Num3z7" w:customStyle="1">
    <w:name w:val="WW8Num3z7"/>
    <w:rPr/>
  </w:style>
  <w:style w:type="character" w:styleId="WW8Num3z8" w:customStyle="1">
    <w:name w:val="WW8Num3z8"/>
    <w:rPr/>
  </w:style>
  <w:style w:type="character" w:styleId="WW8Num4z1" w:customStyle="1">
    <w:name w:val="WW8Num4z1"/>
    <w:rPr/>
  </w:style>
  <w:style w:type="character" w:styleId="WW8Num4z2" w:customStyle="1">
    <w:name w:val="WW8Num4z2"/>
    <w:rPr/>
  </w:style>
  <w:style w:type="character" w:styleId="WW8Num4z3" w:customStyle="1">
    <w:name w:val="WW8Num4z3"/>
    <w:rPr/>
  </w:style>
  <w:style w:type="character" w:styleId="WW8Num4z4" w:customStyle="1">
    <w:name w:val="WW8Num4z4"/>
    <w:rPr/>
  </w:style>
  <w:style w:type="character" w:styleId="WW8Num4z5" w:customStyle="1">
    <w:name w:val="WW8Num4z5"/>
    <w:rPr/>
  </w:style>
  <w:style w:type="character" w:styleId="WW8Num4z6" w:customStyle="1">
    <w:name w:val="WW8Num4z6"/>
    <w:rPr/>
  </w:style>
  <w:style w:type="character" w:styleId="WW8Num4z7" w:customStyle="1">
    <w:name w:val="WW8Num4z7"/>
    <w:rPr/>
  </w:style>
  <w:style w:type="character" w:styleId="WW8Num4z8" w:customStyle="1">
    <w:name w:val="WW8Num4z8"/>
    <w:rPr/>
  </w:style>
  <w:style w:type="character" w:styleId="WW8Num5z1" w:customStyle="1">
    <w:name w:val="WW8Num5z1"/>
    <w:rPr/>
  </w:style>
  <w:style w:type="character" w:styleId="WW8Num5z2" w:customStyle="1">
    <w:name w:val="WW8Num5z2"/>
    <w:rPr/>
  </w:style>
  <w:style w:type="character" w:styleId="WW8Num5z3" w:customStyle="1">
    <w:name w:val="WW8Num5z3"/>
    <w:rPr/>
  </w:style>
  <w:style w:type="character" w:styleId="WW8Num5z4" w:customStyle="1">
    <w:name w:val="WW8Num5z4"/>
    <w:rPr/>
  </w:style>
  <w:style w:type="character" w:styleId="WW8Num5z5" w:customStyle="1">
    <w:name w:val="WW8Num5z5"/>
    <w:rPr/>
  </w:style>
  <w:style w:type="character" w:styleId="WW8Num5z6" w:customStyle="1">
    <w:name w:val="WW8Num5z6"/>
    <w:rPr/>
  </w:style>
  <w:style w:type="character" w:styleId="WW8Num5z7" w:customStyle="1">
    <w:name w:val="WW8Num5z7"/>
    <w:rPr/>
  </w:style>
  <w:style w:type="character" w:styleId="WW8Num5z8" w:customStyle="1">
    <w:name w:val="WW8Num5z8"/>
    <w:rPr/>
  </w:style>
  <w:style w:type="character" w:styleId="WW8Num6z1" w:customStyle="1">
    <w:name w:val="WW8Num6z1"/>
    <w:rPr/>
  </w:style>
  <w:style w:type="character" w:styleId="WW8Num6z2" w:customStyle="1">
    <w:name w:val="WW8Num6z2"/>
    <w:rPr/>
  </w:style>
  <w:style w:type="character" w:styleId="WW8Num6z3" w:customStyle="1">
    <w:name w:val="WW8Num6z3"/>
    <w:rPr/>
  </w:style>
  <w:style w:type="character" w:styleId="WW8Num6z4" w:customStyle="1">
    <w:name w:val="WW8Num6z4"/>
    <w:rPr/>
  </w:style>
  <w:style w:type="character" w:styleId="WW8Num6z5" w:customStyle="1">
    <w:name w:val="WW8Num6z5"/>
    <w:rPr/>
  </w:style>
  <w:style w:type="character" w:styleId="WW8Num6z6" w:customStyle="1">
    <w:name w:val="WW8Num6z6"/>
    <w:rPr/>
  </w:style>
  <w:style w:type="character" w:styleId="WW8Num6z7" w:customStyle="1">
    <w:name w:val="WW8Num6z7"/>
    <w:rPr/>
  </w:style>
  <w:style w:type="character" w:styleId="WW8Num6z8" w:customStyle="1">
    <w:name w:val="WW8Num6z8"/>
    <w:rPr/>
  </w:style>
  <w:style w:type="character" w:styleId="WW8Num7z1" w:customStyle="1">
    <w:name w:val="WW8Num7z1"/>
    <w:rPr/>
  </w:style>
  <w:style w:type="character" w:styleId="WW8Num7z2" w:customStyle="1">
    <w:name w:val="WW8Num7z2"/>
    <w:rPr/>
  </w:style>
  <w:style w:type="character" w:styleId="WW8Num7z3" w:customStyle="1">
    <w:name w:val="WW8Num7z3"/>
    <w:rPr/>
  </w:style>
  <w:style w:type="character" w:styleId="WW8Num7z4" w:customStyle="1">
    <w:name w:val="WW8Num7z4"/>
    <w:rPr/>
  </w:style>
  <w:style w:type="character" w:styleId="WW8Num7z5" w:customStyle="1">
    <w:name w:val="WW8Num7z5"/>
    <w:rPr/>
  </w:style>
  <w:style w:type="character" w:styleId="WW8Num7z6" w:customStyle="1">
    <w:name w:val="WW8Num7z6"/>
    <w:rPr/>
  </w:style>
  <w:style w:type="character" w:styleId="WW8Num7z7" w:customStyle="1">
    <w:name w:val="WW8Num7z7"/>
    <w:rPr/>
  </w:style>
  <w:style w:type="character" w:styleId="WW8Num7z8" w:customStyle="1">
    <w:name w:val="WW8Num7z8"/>
    <w:rPr/>
  </w:style>
  <w:style w:type="character" w:styleId="Standardnpsmoodstavce" w:customStyle="1">
    <w:name w:val="Standardní písmo odstavce"/>
    <w:rPr/>
  </w:style>
  <w:style w:type="character" w:styleId="Char1" w:customStyle="1">
    <w:name w:val=" Char1"/>
    <w:basedOn w:val="Standardnpsmoodstavce"/>
    <w:rPr>
      <w:sz w:val="24"/>
      <w:u w:val="single"/>
      <w:lang w:val="sk-SK" w:bidi="ar-SA"/>
    </w:rPr>
  </w:style>
  <w:style w:type="character" w:styleId="Char" w:customStyle="1">
    <w:name w:val=" Char"/>
    <w:basedOn w:val="Standardnpsmoodstavce"/>
    <w:rPr>
      <w:lang w:val="cs-CZ" w:bidi="ar-SA"/>
    </w:rPr>
  </w:style>
  <w:style w:type="character" w:styleId="Znakyprepoznmkupodiarou" w:customStyle="1">
    <w:name w:val="Znaky pre poznámku pod čiarou"/>
    <w:basedOn w:val="Standardnpsmoodstavce"/>
    <w:rPr>
      <w:vertAlign w:val="superscript"/>
    </w:rPr>
  </w:style>
  <w:style w:type="character" w:styleId="Pagenumber">
    <w:name w:val="page number"/>
    <w:basedOn w:val="Standardnpsmoodstavce"/>
    <w:rPr/>
  </w:style>
  <w:style w:type="character" w:styleId="Internetovodkaz">
    <w:name w:val="Internetový odkaz"/>
    <w:basedOn w:val="Standardnpsmoodstavce"/>
    <w:rPr>
      <w:color w:val="0000FF"/>
      <w:u w:val="single"/>
      <w:lang w:val="zxx" w:eastAsia="zxx" w:bidi="zxx"/>
    </w:rPr>
  </w:style>
  <w:style w:type="character" w:styleId="ListLabel1">
    <w:name w:val="ListLabel 1"/>
    <w:rPr>
      <w:rFonts w:cs="Calibri"/>
    </w:rPr>
  </w:style>
  <w:style w:type="character" w:styleId="ListLabel2">
    <w:name w:val="ListLabel 2"/>
    <w:rPr>
      <w:rFonts w:cs="Calibri"/>
      <w:sz w:val="22"/>
      <w:szCs w:val="22"/>
    </w:rPr>
  </w:style>
  <w:style w:type="character" w:styleId="Odkaznaregister">
    <w:name w:val="Odkaz na register"/>
    <w:rPr/>
  </w:style>
  <w:style w:type="paragraph" w:styleId="Nadpis" w:customStyle="1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 w:customStyle="1">
    <w:name w:val="Index"/>
    <w:basedOn w:val="Normal"/>
    <w:pPr>
      <w:suppressLineNumbers/>
    </w:pPr>
    <w:rPr>
      <w:rFonts w:cs="Mangal"/>
    </w:rPr>
  </w:style>
  <w:style w:type="paragraph" w:styleId="Caption">
    <w:name w:val="caption"/>
    <w:qFormat/>
    <w:basedOn w:val="Normal"/>
    <w:pPr>
      <w:suppressLineNumbers/>
      <w:spacing w:before="120" w:after="120"/>
    </w:pPr>
    <w:rPr>
      <w:rFonts w:cs="Mangal"/>
      <w:i/>
      <w:iCs/>
    </w:rPr>
  </w:style>
  <w:style w:type="paragraph" w:styleId="Hlavika">
    <w:name w:val="Hlavičk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Pta">
    <w:name w:val="Päta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Footnotetext">
    <w:name w:val="footnote text"/>
    <w:basedOn w:val="Normal"/>
    <w:pPr/>
    <w:rPr>
      <w:sz w:val="20"/>
      <w:szCs w:val="20"/>
      <w:lang w:val="cs-CZ"/>
    </w:rPr>
  </w:style>
  <w:style w:type="paragraph" w:styleId="Obsah2">
    <w:name w:val="Obsah 2"/>
    <w:basedOn w:val="Normal"/>
    <w:next w:val="Normal"/>
    <w:pPr>
      <w:ind w:left="240" w:right="0" w:hanging="0"/>
    </w:pPr>
    <w:rPr/>
  </w:style>
  <w:style w:type="paragraph" w:styleId="Obsah1">
    <w:name w:val="Obsah 1"/>
    <w:basedOn w:val="Normal"/>
    <w:next w:val="Normal"/>
    <w:pPr/>
    <w:rPr/>
  </w:style>
  <w:style w:type="paragraph" w:styleId="Obsah3">
    <w:name w:val="Obsah 3"/>
    <w:basedOn w:val="Index"/>
    <w:pPr>
      <w:tabs>
        <w:tab w:val="right" w:pos="9072" w:leader="dot"/>
      </w:tabs>
      <w:ind w:left="566" w:right="0" w:hanging="0"/>
    </w:pPr>
    <w:rPr/>
  </w:style>
  <w:style w:type="paragraph" w:styleId="Obsah4">
    <w:name w:val="Obsah 4"/>
    <w:basedOn w:val="Index"/>
    <w:pPr>
      <w:tabs>
        <w:tab w:val="right" w:pos="8789" w:leader="dot"/>
      </w:tabs>
      <w:ind w:left="849" w:right="0" w:hanging="0"/>
    </w:pPr>
    <w:rPr/>
  </w:style>
  <w:style w:type="paragraph" w:styleId="Obsah5">
    <w:name w:val="Obsah 5"/>
    <w:basedOn w:val="Index"/>
    <w:pPr>
      <w:tabs>
        <w:tab w:val="right" w:pos="8506" w:leader="dot"/>
      </w:tabs>
      <w:ind w:left="1132" w:right="0" w:hanging="0"/>
    </w:pPr>
    <w:rPr/>
  </w:style>
  <w:style w:type="paragraph" w:styleId="Obsah6">
    <w:name w:val="Obsah 6"/>
    <w:basedOn w:val="Index"/>
    <w:pPr>
      <w:tabs>
        <w:tab w:val="right" w:pos="8223" w:leader="dot"/>
      </w:tabs>
      <w:ind w:left="1415" w:right="0" w:hanging="0"/>
    </w:pPr>
    <w:rPr/>
  </w:style>
  <w:style w:type="paragraph" w:styleId="Obsah7">
    <w:name w:val="Obsah 7"/>
    <w:basedOn w:val="Index"/>
    <w:pPr>
      <w:tabs>
        <w:tab w:val="right" w:pos="7940" w:leader="dot"/>
      </w:tabs>
      <w:ind w:left="1698" w:right="0" w:hanging="0"/>
    </w:pPr>
    <w:rPr/>
  </w:style>
  <w:style w:type="paragraph" w:styleId="Obsah8">
    <w:name w:val="Obsah 8"/>
    <w:basedOn w:val="Index"/>
    <w:pPr>
      <w:tabs>
        <w:tab w:val="right" w:pos="7657" w:leader="dot"/>
      </w:tabs>
      <w:ind w:left="1981" w:right="0" w:hanging="0"/>
    </w:pPr>
    <w:rPr/>
  </w:style>
  <w:style w:type="paragraph" w:styleId="Obsah9">
    <w:name w:val="Obsah 9"/>
    <w:basedOn w:val="Index"/>
    <w:pPr>
      <w:tabs>
        <w:tab w:val="right" w:pos="7374" w:leader="dot"/>
      </w:tabs>
      <w:ind w:left="2264" w:right="0" w:hanging="0"/>
    </w:pPr>
    <w:rPr/>
  </w:style>
  <w:style w:type="paragraph" w:styleId="Obsah10" w:customStyle="1">
    <w:name w:val="Obsah 10"/>
    <w:basedOn w:val="Index"/>
    <w:pPr>
      <w:tabs>
        <w:tab w:val="right" w:pos="7091" w:leader="dot"/>
      </w:tabs>
      <w:ind w:left="2547" w:right="0" w:hanging="0"/>
    </w:pPr>
    <w:rPr/>
  </w:style>
  <w:style w:type="paragraph" w:styleId="Obsahtabuky" w:customStyle="1">
    <w:name w:val="Obsah tabuľky"/>
    <w:basedOn w:val="Normal"/>
    <w:pPr>
      <w:suppressLineNumbers/>
    </w:pPr>
    <w:rPr/>
  </w:style>
  <w:style w:type="paragraph" w:styleId="Nadpistabuky" w:customStyle="1">
    <w:name w:val="Nadpis tabuľky"/>
    <w:basedOn w:val="Obsahtabuky"/>
    <w:pPr>
      <w:jc w:val="center"/>
    </w:pPr>
    <w:rPr>
      <w:b/>
      <w:bCs/>
    </w:rPr>
  </w:style>
  <w:style w:type="paragraph" w:styleId="Obsahrmca" w:customStyle="1">
    <w:name w:val="Obsah rámc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Microsoft Office Word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2016-03-30T11:38:00Z</dcterms:created>
  <dc:creator>Uzivatel</dc:creator>
  <dc:language>sk-SK</dc:language>
  <cp:lastModifiedBy>Szilvia.Teglasova</cp:lastModifiedBy>
  <cp:lastPrinted>1601-01-01T00:00:00Z</cp:lastPrinted>
  <dcterms:modified xsi:type="dcterms:W3CDTF">2016-03-30T11:38:00Z</dcterms:modified>
  <cp:revision>2</cp:revision>
  <dc:title>Výročná správa neziskovej organizácie</dc:title>
</cp:coreProperties>
</file>