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Pr="00A60265" w:rsidR="00C81150" w:rsidP="00C81150" w:rsidRDefault="00C81150">
      <w:pPr>
        <w:rPr>
          <w:u w:val="single"/>
        </w:rPr>
      </w:pPr>
      <w:r w:rsidRPr="00A60265">
        <w:rPr>
          <w:u w:val="single"/>
        </w:rPr>
        <w:t>Poznámka:</w:t>
      </w:r>
    </w:p>
    <w:p w:rsidRPr="00A60265" w:rsidR="00C81150" w:rsidP="00C81150" w:rsidRDefault="00C81150">
      <w:pPr>
        <w:rPr>
          <w:snapToGrid w:val="0"/>
          <w:sz w:val="14"/>
          <w:szCs w:val="14"/>
          <w:lang w:eastAsia="sk-SK"/>
        </w:rPr>
      </w:pPr>
    </w:p>
    <w:p w:rsidRPr="00A60265" w:rsidR="00C81150" w:rsidP="00C81150" w:rsidRDefault="00615A60">
      <w:pPr>
        <w:rPr>
          <w:snapToGrid w:val="0"/>
          <w:sz w:val="14"/>
          <w:szCs w:val="14"/>
          <w:lang w:eastAsia="sk-SK"/>
        </w:rPr>
      </w:pPr>
      <w:r w:rsidRPr="00A60265">
        <w:rPr>
          <w:snapToGrid w:val="0"/>
          <w:lang w:eastAsia="sk-SK"/>
        </w:rPr>
        <w:t xml:space="preserve">V poznámkach sa uvádzajú informácie ustanovené </w:t>
      </w:r>
      <w:r w:rsidRPr="00A60265" w:rsidR="00F875F2">
        <w:rPr>
          <w:snapToGrid w:val="0"/>
          <w:lang w:eastAsia="sk-SK"/>
        </w:rPr>
        <w:t>opatrením o</w:t>
      </w:r>
      <w:r w:rsidRPr="00A60265" w:rsidR="004B7838">
        <w:rPr>
          <w:snapToGrid w:val="0"/>
          <w:lang w:eastAsia="sk-SK"/>
        </w:rPr>
        <w:t> </w:t>
      </w:r>
      <w:r w:rsidRPr="00A60265" w:rsidR="00F875F2">
        <w:rPr>
          <w:snapToGrid w:val="0"/>
          <w:lang w:eastAsia="sk-SK"/>
        </w:rPr>
        <w:t>obsahu</w:t>
      </w:r>
      <w:r w:rsidRPr="00A60265" w:rsidR="004B7838">
        <w:rPr>
          <w:snapToGrid w:val="0"/>
          <w:lang w:eastAsia="sk-SK"/>
        </w:rPr>
        <w:t xml:space="preserve"> poznámok k</w:t>
      </w:r>
      <w:r w:rsidRPr="00A60265" w:rsidR="00F875F2">
        <w:rPr>
          <w:snapToGrid w:val="0"/>
          <w:lang w:eastAsia="sk-SK"/>
        </w:rPr>
        <w:t xml:space="preserve"> individuáln</w:t>
      </w:r>
      <w:r w:rsidRPr="00A60265" w:rsidR="004B7838">
        <w:rPr>
          <w:snapToGrid w:val="0"/>
          <w:lang w:eastAsia="sk-SK"/>
        </w:rPr>
        <w:t>ej</w:t>
      </w:r>
      <w:r w:rsidRPr="00A60265" w:rsidR="00F875F2">
        <w:rPr>
          <w:snapToGrid w:val="0"/>
          <w:lang w:eastAsia="sk-SK"/>
        </w:rPr>
        <w:t xml:space="preserve"> účtovn</w:t>
      </w:r>
      <w:r w:rsidRPr="00A60265" w:rsidR="004B7838">
        <w:rPr>
          <w:snapToGrid w:val="0"/>
          <w:lang w:eastAsia="sk-SK"/>
        </w:rPr>
        <w:t>ej závierke</w:t>
      </w:r>
      <w:r w:rsidRPr="00A60265" w:rsidR="00F875F2">
        <w:rPr>
          <w:snapToGrid w:val="0"/>
          <w:lang w:eastAsia="sk-SK"/>
        </w:rPr>
        <w:t>, pre ktoré má účtovná jednotka obsahovú náplň</w:t>
      </w:r>
      <w:r w:rsidRPr="00A60265">
        <w:rPr>
          <w:snapToGrid w:val="0"/>
          <w:lang w:eastAsia="sk-SK"/>
        </w:rPr>
        <w:t>.</w:t>
      </w:r>
      <w:r w:rsidRPr="00A60265" w:rsidR="00F875F2">
        <w:rPr>
          <w:snapToGrid w:val="0"/>
          <w:lang w:eastAsia="sk-SK"/>
        </w:rPr>
        <w:t xml:space="preserve"> </w:t>
      </w:r>
      <w:r w:rsidRPr="00A60265" w:rsidR="00C81150">
        <w:rPr>
          <w:snapToGrid w:val="0"/>
          <w:lang w:eastAsia="sk-SK"/>
        </w:rPr>
        <w:t>Všetky údaje a informácie uvedené v týchto poznámkach vychádzajú z účtovníctva a nadväzujú na</w:t>
      </w:r>
      <w:r w:rsidRPr="00A60265" w:rsidR="004B7838">
        <w:rPr>
          <w:snapToGrid w:val="0"/>
          <w:lang w:eastAsia="sk-SK"/>
        </w:rPr>
        <w:t xml:space="preserve"> </w:t>
      </w:r>
      <w:r w:rsidRPr="00A60265" w:rsidR="002C66A7">
        <w:rPr>
          <w:snapToGrid w:val="0"/>
          <w:lang w:eastAsia="sk-SK"/>
        </w:rPr>
        <w:t>individuálne</w:t>
      </w:r>
      <w:r w:rsidRPr="00A60265" w:rsidR="00C81150">
        <w:rPr>
          <w:snapToGrid w:val="0"/>
          <w:lang w:eastAsia="sk-SK"/>
        </w:rPr>
        <w:t> účtovné výkazy. Hodnotové údaje sú uvedené v</w:t>
      </w:r>
      <w:r w:rsidRPr="00A60265" w:rsidR="00F875F2">
        <w:rPr>
          <w:snapToGrid w:val="0"/>
          <w:lang w:eastAsia="sk-SK"/>
        </w:rPr>
        <w:t xml:space="preserve"> eurocentoch alebo celých </w:t>
      </w:r>
      <w:r w:rsidRPr="00A60265" w:rsidR="00BE09FD">
        <w:rPr>
          <w:snapToGrid w:val="0"/>
          <w:lang w:eastAsia="sk-SK"/>
        </w:rPr>
        <w:t>eur</w:t>
      </w:r>
      <w:r w:rsidRPr="00A60265" w:rsidR="00950360">
        <w:rPr>
          <w:snapToGrid w:val="0"/>
          <w:lang w:eastAsia="sk-SK"/>
        </w:rPr>
        <w:t>ách</w:t>
      </w:r>
      <w:r w:rsidRPr="00A60265" w:rsidR="00C81150">
        <w:rPr>
          <w:snapToGrid w:val="0"/>
          <w:lang w:eastAsia="sk-SK"/>
        </w:rPr>
        <w:t xml:space="preserve"> (pokiaľ nie je uvedené inak). </w:t>
      </w:r>
    </w:p>
    <w:p w:rsidR="00C81150" w:rsidP="00C81150" w:rsidRDefault="00C81150">
      <w:pPr>
        <w:rPr>
          <w:sz w:val="14"/>
          <w:szCs w:val="14"/>
        </w:rPr>
      </w:pPr>
    </w:p>
    <w:p w:rsidRPr="00A60265" w:rsidR="00FD6BA4" w:rsidP="00C81150" w:rsidRDefault="00FD6BA4">
      <w:pPr>
        <w:rPr>
          <w:sz w:val="14"/>
          <w:szCs w:val="14"/>
        </w:rPr>
      </w:pPr>
    </w:p>
    <w:p w:rsidRPr="00A60265" w:rsidR="00C81150" w:rsidP="00C81150" w:rsidRDefault="00C81150">
      <w:pPr>
        <w:pStyle w:val="Heading1"/>
      </w:pPr>
      <w:r w:rsidRPr="00A60265">
        <w:t>VŠEOBECNÉ INFORMÁCIE</w:t>
      </w:r>
    </w:p>
    <w:p w:rsidRPr="00A60265" w:rsidR="00C81150" w:rsidP="00C81150" w:rsidRDefault="00C81150">
      <w:pPr>
        <w:rPr>
          <w:b/>
          <w:snapToGrid w:val="0"/>
          <w:sz w:val="14"/>
          <w:szCs w:val="14"/>
          <w:u w:val="single"/>
          <w:lang w:eastAsia="sk-SK"/>
        </w:rPr>
      </w:pPr>
    </w:p>
    <w:p w:rsidRPr="00A60265" w:rsidR="00C81150" w:rsidP="00C81150" w:rsidRDefault="00C81150">
      <w:pPr>
        <w:pStyle w:val="Heading2"/>
      </w:pPr>
      <w:r w:rsidRPr="00A60265">
        <w:t>Základné údaje o spoločnosti</w:t>
      </w:r>
    </w:p>
    <w:p w:rsidRPr="00A60265" w:rsidR="00C81150" w:rsidP="00C81150" w:rsidRDefault="00C81150">
      <w:pPr>
        <w:rPr>
          <w:b/>
          <w:snapToGrid w:val="0"/>
          <w:sz w:val="14"/>
          <w:szCs w:val="14"/>
          <w:u w:val="single"/>
          <w:lang w:eastAsia="sk-SK"/>
        </w:rPr>
      </w:pPr>
    </w:p>
    <w:tbl>
      <w:tblPr>
        <w:tblW w:w="0" w:type="auto"/>
        <w:tblInd w:w="108" w:type="dxa"/>
        <w:tblBorders>
          <w:top w:val="single" w:color="auto" w:sz="8" w:space="0"/>
          <w:bottom w:val="single" w:color="auto" w:sz="8" w:space="0"/>
        </w:tblBorders>
        <w:tblLayout w:type="fixed"/>
        <w:tblLook w:val="0000" w:firstRow="0" w:lastRow="0" w:firstColumn="0" w:lastColumn="0" w:noHBand="0" w:noVBand="0"/>
      </w:tblPr>
      <w:tblGrid>
        <w:gridCol w:w="3969"/>
        <w:gridCol w:w="5103"/>
      </w:tblGrid>
      <w:tr w:rsidRPr="00A60265" w:rsidR="00C81150" w:rsidTr="001240E4">
        <w:tc>
          <w:tcPr>
            <w:tcW w:w="3969" w:type="dxa"/>
            <w:tcBorders>
              <w:top w:val="single" w:color="auto" w:sz="8" w:space="0"/>
              <w:bottom w:val="dotted" w:color="auto" w:sz="4" w:space="0"/>
            </w:tcBorders>
          </w:tcPr>
          <w:p w:rsidRPr="00A60265" w:rsidR="00C81150" w:rsidP="001B30A4" w:rsidRDefault="00C81150">
            <w:pPr>
              <w:rPr>
                <w:b/>
                <w:sz w:val="15"/>
                <w:szCs w:val="15"/>
              </w:rPr>
            </w:pPr>
            <w:r w:rsidRPr="00A60265">
              <w:rPr>
                <w:b/>
                <w:sz w:val="15"/>
                <w:szCs w:val="15"/>
              </w:rPr>
              <w:t>Obchodné meno a sídlo</w:t>
            </w:r>
          </w:p>
        </w:tc>
        <w:tc>
          <w:tcPr>
            <w:tcW w:w="5103" w:type="dxa"/>
            <w:tcBorders>
              <w:top w:val="single" w:color="auto" w:sz="8" w:space="0"/>
              <w:bottom w:val="dotted" w:color="auto" w:sz="4" w:space="0"/>
            </w:tcBorders>
          </w:tcPr>
          <w:p w:rsidRPr="00A60265" w:rsidR="00C81150" w:rsidP="001B30A4" w:rsidRDefault="0097605D">
            <w:pPr>
              <w:rPr>
                <w:snapToGrid w:val="0"/>
                <w:sz w:val="15"/>
                <w:szCs w:val="15"/>
                <w:lang w:eastAsia="sk-SK"/>
              </w:rPr>
            </w:pPr>
            <w:r w:rsidRPr="00A60265">
              <w:rPr>
                <w:sz w:val="15"/>
                <w:szCs w:val="15"/>
              </w:rPr>
              <w:t xml:space="preserve">KVIST </w:t>
            </w:r>
            <w:proofErr w:type="spellStart"/>
            <w:r w:rsidRPr="00A60265">
              <w:rPr>
                <w:sz w:val="15"/>
                <w:szCs w:val="15"/>
              </w:rPr>
              <w:t>s.r.o</w:t>
            </w:r>
            <w:proofErr w:type="spellEnd"/>
            <w:r w:rsidRPr="00A60265">
              <w:rPr>
                <w:sz w:val="15"/>
                <w:szCs w:val="15"/>
              </w:rPr>
              <w:t>.</w:t>
            </w:r>
          </w:p>
          <w:p w:rsidRPr="00A60265" w:rsidR="00C81150" w:rsidP="001B30A4" w:rsidRDefault="0097605D">
            <w:pPr>
              <w:rPr>
                <w:sz w:val="15"/>
                <w:szCs w:val="15"/>
              </w:rPr>
            </w:pPr>
            <w:r w:rsidRPr="00A60265">
              <w:rPr>
                <w:sz w:val="15"/>
                <w:szCs w:val="15"/>
              </w:rPr>
              <w:t>Rožňavská 19</w:t>
            </w:r>
          </w:p>
          <w:p w:rsidRPr="00A60265" w:rsidR="0097605D" w:rsidP="001B30A4" w:rsidRDefault="0097605D">
            <w:pPr>
              <w:rPr>
                <w:snapToGrid w:val="0"/>
                <w:sz w:val="15"/>
                <w:szCs w:val="15"/>
                <w:lang w:eastAsia="sk-SK"/>
              </w:rPr>
            </w:pPr>
            <w:r w:rsidRPr="00A60265">
              <w:rPr>
                <w:sz w:val="15"/>
                <w:szCs w:val="15"/>
              </w:rPr>
              <w:t>Moldava nad Bodvou 045 01</w:t>
            </w:r>
          </w:p>
        </w:tc>
      </w:tr>
      <w:tr w:rsidRPr="00A60265" w:rsidR="00C81150" w:rsidTr="001240E4">
        <w:tc>
          <w:tcPr>
            <w:tcW w:w="3969" w:type="dxa"/>
            <w:tcBorders>
              <w:top w:val="dotted" w:color="auto" w:sz="4" w:space="0"/>
            </w:tcBorders>
          </w:tcPr>
          <w:p w:rsidRPr="00A60265" w:rsidR="00C81150" w:rsidP="001B30A4" w:rsidRDefault="00C81150">
            <w:pPr>
              <w:rPr>
                <w:b/>
                <w:sz w:val="15"/>
                <w:szCs w:val="15"/>
              </w:rPr>
            </w:pPr>
            <w:r w:rsidRPr="00A60265">
              <w:rPr>
                <w:b/>
                <w:sz w:val="15"/>
                <w:szCs w:val="15"/>
              </w:rPr>
              <w:t>Hospodárska činnosť</w:t>
            </w:r>
          </w:p>
        </w:tc>
        <w:tc>
          <w:tcPr>
            <w:tcW w:w="5103" w:type="dxa"/>
            <w:tcBorders>
              <w:top w:val="dotted" w:color="auto" w:sz="4" w:space="0"/>
            </w:tcBorders>
          </w:tcPr>
          <w:p w:rsidRPr="00A60265" w:rsidR="00C81150" w:rsidP="00922A86" w:rsidRDefault="003E74DB">
            <w:pPr>
              <w:numPr>
                <w:ilvl w:val="0"/>
                <w:numId w:val="2"/>
              </w:numPr>
              <w:tabs>
                <w:tab w:val="clear" w:pos="720"/>
                <w:tab w:val="num" w:pos="243"/>
              </w:tabs>
              <w:ind w:left="243" w:hanging="243"/>
              <w:jc w:val="left"/>
              <w:rPr>
                <w:snapToGrid w:val="0"/>
                <w:sz w:val="15"/>
                <w:szCs w:val="15"/>
                <w:lang w:eastAsia="sk-SK"/>
              </w:rPr>
            </w:pPr>
            <w:r w:rsidRPr="00A60265">
              <w:rPr>
                <w:snapToGrid w:val="0"/>
                <w:sz w:val="15"/>
                <w:szCs w:val="15"/>
                <w:lang w:eastAsia="sk-SK"/>
              </w:rPr>
              <w:t>Výroba jednoduchých výrobkov z</w:t>
            </w:r>
            <w:r w:rsidRPr="00A60265" w:rsidR="002C66A7">
              <w:rPr>
                <w:snapToGrid w:val="0"/>
                <w:sz w:val="15"/>
                <w:szCs w:val="15"/>
                <w:lang w:eastAsia="sk-SK"/>
              </w:rPr>
              <w:t> </w:t>
            </w:r>
            <w:r w:rsidRPr="00A60265">
              <w:rPr>
                <w:snapToGrid w:val="0"/>
                <w:sz w:val="15"/>
                <w:szCs w:val="15"/>
                <w:lang w:eastAsia="sk-SK"/>
              </w:rPr>
              <w:t>dreva</w:t>
            </w:r>
            <w:r w:rsidRPr="00A60265" w:rsidR="002C66A7">
              <w:rPr>
                <w:snapToGrid w:val="0"/>
                <w:sz w:val="15"/>
                <w:szCs w:val="15"/>
                <w:lang w:eastAsia="sk-SK"/>
              </w:rPr>
              <w:t>,</w:t>
            </w:r>
          </w:p>
          <w:p w:rsidRPr="00A60265" w:rsidR="00C81150" w:rsidP="00922A86" w:rsidRDefault="002C66A7">
            <w:pPr>
              <w:numPr>
                <w:ilvl w:val="0"/>
                <w:numId w:val="2"/>
              </w:numPr>
              <w:tabs>
                <w:tab w:val="clear" w:pos="720"/>
                <w:tab w:val="num" w:pos="243"/>
              </w:tabs>
              <w:ind w:left="243" w:hanging="243"/>
              <w:jc w:val="left"/>
              <w:rPr>
                <w:snapToGrid w:val="0"/>
                <w:sz w:val="15"/>
                <w:szCs w:val="15"/>
                <w:lang w:eastAsia="sk-SK"/>
              </w:rPr>
            </w:pPr>
            <w:r w:rsidRPr="00A60265">
              <w:rPr>
                <w:snapToGrid w:val="0"/>
                <w:sz w:val="15"/>
                <w:szCs w:val="15"/>
                <w:lang w:eastAsia="sk-SK"/>
              </w:rPr>
              <w:t xml:space="preserve">výroba </w:t>
            </w:r>
            <w:r w:rsidRPr="00A60265" w:rsidR="003E74DB">
              <w:rPr>
                <w:snapToGrid w:val="0"/>
                <w:sz w:val="15"/>
                <w:szCs w:val="15"/>
                <w:lang w:eastAsia="sk-SK"/>
              </w:rPr>
              <w:t>drevených obalov</w:t>
            </w:r>
            <w:r w:rsidRPr="00A60265">
              <w:rPr>
                <w:snapToGrid w:val="0"/>
                <w:sz w:val="15"/>
                <w:szCs w:val="15"/>
                <w:lang w:eastAsia="sk-SK"/>
              </w:rPr>
              <w:t>,</w:t>
            </w:r>
          </w:p>
          <w:p w:rsidRPr="00A60265" w:rsidR="003E74DB" w:rsidP="00922A86" w:rsidRDefault="002C66A7">
            <w:pPr>
              <w:numPr>
                <w:ilvl w:val="0"/>
                <w:numId w:val="2"/>
              </w:numPr>
              <w:tabs>
                <w:tab w:val="clear" w:pos="720"/>
                <w:tab w:val="num" w:pos="243"/>
              </w:tabs>
              <w:ind w:left="243" w:hanging="243"/>
              <w:jc w:val="left"/>
              <w:rPr>
                <w:snapToGrid w:val="0"/>
                <w:sz w:val="15"/>
                <w:szCs w:val="15"/>
                <w:lang w:eastAsia="sk-SK"/>
              </w:rPr>
            </w:pPr>
            <w:r w:rsidRPr="00A60265">
              <w:rPr>
                <w:snapToGrid w:val="0"/>
                <w:sz w:val="15"/>
                <w:szCs w:val="15"/>
                <w:lang w:eastAsia="sk-SK"/>
              </w:rPr>
              <w:t xml:space="preserve">výroba </w:t>
            </w:r>
            <w:proofErr w:type="spellStart"/>
            <w:r w:rsidRPr="00A60265" w:rsidR="003E74DB">
              <w:rPr>
                <w:snapToGrid w:val="0"/>
                <w:sz w:val="15"/>
                <w:szCs w:val="15"/>
                <w:lang w:eastAsia="sk-SK"/>
              </w:rPr>
              <w:t>dýhy</w:t>
            </w:r>
            <w:proofErr w:type="spellEnd"/>
            <w:r w:rsidRPr="00A60265" w:rsidR="003E74DB">
              <w:rPr>
                <w:snapToGrid w:val="0"/>
                <w:sz w:val="15"/>
                <w:szCs w:val="15"/>
                <w:lang w:eastAsia="sk-SK"/>
              </w:rPr>
              <w:t>, preglejky, latovky, drevotrieskovej dosky a drevovláknitej dosky</w:t>
            </w:r>
            <w:r w:rsidRPr="00A60265">
              <w:rPr>
                <w:snapToGrid w:val="0"/>
                <w:sz w:val="15"/>
                <w:szCs w:val="15"/>
                <w:lang w:eastAsia="sk-SK"/>
              </w:rPr>
              <w:t>,</w:t>
            </w:r>
          </w:p>
          <w:p w:rsidRPr="00A60265" w:rsidR="003E74DB" w:rsidP="00922A86" w:rsidRDefault="002C66A7">
            <w:pPr>
              <w:numPr>
                <w:ilvl w:val="0"/>
                <w:numId w:val="2"/>
              </w:numPr>
              <w:tabs>
                <w:tab w:val="clear" w:pos="720"/>
                <w:tab w:val="num" w:pos="243"/>
              </w:tabs>
              <w:ind w:left="243" w:hanging="243"/>
              <w:jc w:val="left"/>
              <w:rPr>
                <w:snapToGrid w:val="0"/>
                <w:sz w:val="15"/>
                <w:szCs w:val="15"/>
                <w:lang w:eastAsia="sk-SK"/>
              </w:rPr>
            </w:pPr>
            <w:r w:rsidRPr="00A60265">
              <w:rPr>
                <w:snapToGrid w:val="0"/>
                <w:sz w:val="15"/>
                <w:szCs w:val="15"/>
                <w:lang w:eastAsia="sk-SK"/>
              </w:rPr>
              <w:t>pílenie</w:t>
            </w:r>
            <w:r w:rsidRPr="00A60265" w:rsidR="003E74DB">
              <w:rPr>
                <w:snapToGrid w:val="0"/>
                <w:sz w:val="15"/>
                <w:szCs w:val="15"/>
                <w:lang w:eastAsia="sk-SK"/>
              </w:rPr>
              <w:t>, hobľovanie a impregnovanie dreva</w:t>
            </w:r>
            <w:r w:rsidRPr="00A60265">
              <w:rPr>
                <w:snapToGrid w:val="0"/>
                <w:sz w:val="15"/>
                <w:szCs w:val="15"/>
                <w:lang w:eastAsia="sk-SK"/>
              </w:rPr>
              <w:t>,</w:t>
            </w:r>
          </w:p>
          <w:p w:rsidRPr="00A60265" w:rsidR="003E74DB" w:rsidP="00922A86" w:rsidRDefault="002C66A7">
            <w:pPr>
              <w:numPr>
                <w:ilvl w:val="0"/>
                <w:numId w:val="2"/>
              </w:numPr>
              <w:tabs>
                <w:tab w:val="clear" w:pos="720"/>
                <w:tab w:val="num" w:pos="243"/>
              </w:tabs>
              <w:ind w:left="243" w:hanging="243"/>
              <w:jc w:val="left"/>
              <w:rPr>
                <w:snapToGrid w:val="0"/>
                <w:sz w:val="15"/>
                <w:szCs w:val="15"/>
                <w:lang w:eastAsia="sk-SK"/>
              </w:rPr>
            </w:pPr>
            <w:r w:rsidRPr="00A60265">
              <w:rPr>
                <w:snapToGrid w:val="0"/>
                <w:sz w:val="15"/>
                <w:szCs w:val="15"/>
                <w:lang w:eastAsia="sk-SK"/>
              </w:rPr>
              <w:t>veľkoobchod,</w:t>
            </w:r>
          </w:p>
          <w:p w:rsidRPr="00A60265" w:rsidR="003E74DB" w:rsidP="00922A86" w:rsidRDefault="002C66A7">
            <w:pPr>
              <w:numPr>
                <w:ilvl w:val="0"/>
                <w:numId w:val="2"/>
              </w:numPr>
              <w:tabs>
                <w:tab w:val="clear" w:pos="720"/>
                <w:tab w:val="num" w:pos="243"/>
              </w:tabs>
              <w:ind w:left="243" w:hanging="243"/>
              <w:jc w:val="left"/>
              <w:rPr>
                <w:snapToGrid w:val="0"/>
                <w:sz w:val="15"/>
                <w:szCs w:val="15"/>
                <w:lang w:eastAsia="sk-SK"/>
              </w:rPr>
            </w:pPr>
            <w:r w:rsidRPr="00A60265">
              <w:rPr>
                <w:snapToGrid w:val="0"/>
                <w:sz w:val="15"/>
                <w:szCs w:val="15"/>
                <w:lang w:eastAsia="sk-SK"/>
              </w:rPr>
              <w:t xml:space="preserve">maloobchod </w:t>
            </w:r>
          </w:p>
        </w:tc>
      </w:tr>
    </w:tbl>
    <w:p w:rsidRPr="00A60265" w:rsidR="00C81150" w:rsidP="00C81150" w:rsidRDefault="00C81150">
      <w:pPr>
        <w:rPr>
          <w:snapToGrid w:val="0"/>
          <w:sz w:val="14"/>
          <w:szCs w:val="14"/>
          <w:lang w:eastAsia="sk-SK"/>
        </w:rPr>
      </w:pPr>
    </w:p>
    <w:p w:rsidRPr="00A60265" w:rsidR="00C81150" w:rsidP="00C81150" w:rsidRDefault="00C81150">
      <w:pPr>
        <w:rPr>
          <w:snapToGrid w:val="0"/>
          <w:sz w:val="14"/>
          <w:szCs w:val="14"/>
          <w:lang w:eastAsia="sk-SK"/>
        </w:rPr>
      </w:pPr>
    </w:p>
    <w:p w:rsidRPr="00A60265" w:rsidR="00C81150" w:rsidP="00C81150" w:rsidRDefault="00C81150">
      <w:pPr>
        <w:pStyle w:val="Heading2"/>
      </w:pPr>
      <w:r w:rsidRPr="00A60265">
        <w:t>Zamestnanci</w:t>
      </w:r>
    </w:p>
    <w:p w:rsidRPr="00A60265" w:rsidR="005B36DD" w:rsidP="00C81150" w:rsidRDefault="005B36DD">
      <w:pPr>
        <w:rPr>
          <w:snapToGrid w:val="0"/>
          <w:sz w:val="14"/>
          <w:szCs w:val="14"/>
          <w:lang w:eastAsia="sk-SK"/>
        </w:rPr>
      </w:pPr>
      <w:bookmarkStart w:name="T_number_of_employees" w:id="0"/>
      <w:r w:rsidRPr="00A60265">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Pr="00A60265" w:rsidR="005B36DD" w:rsidTr="00144B35">
        <w:tc>
          <w:tcPr>
            <w:tcW w:w="3553" w:type="pct"/>
            <w:tcBorders>
              <w:top w:val="single" w:color="auto" w:sz="8" w:space="0"/>
              <w:left w:val="nil"/>
              <w:bottom w:val="single" w:color="auto" w:sz="4" w:space="0"/>
              <w:right w:val="nil"/>
            </w:tcBorders>
            <w:shd w:val="clear" w:color="auto" w:fill="auto"/>
            <w:vAlign w:val="center"/>
            <w:hideMark/>
          </w:tcPr>
          <w:p w:rsidRPr="00A60265" w:rsidR="005B36DD" w:rsidP="005B36DD" w:rsidRDefault="005B36DD">
            <w:pPr>
              <w:jc w:val="left"/>
              <w:rPr>
                <w:rFonts w:cs="Arial"/>
                <w:b/>
                <w:bCs/>
                <w:i/>
                <w:iCs/>
                <w:sz w:val="15"/>
                <w:szCs w:val="15"/>
                <w:lang w:eastAsia="sk-SK"/>
              </w:rPr>
            </w:pPr>
            <w:bookmarkStart w:name="RANGE!B7:D10" w:id="1"/>
            <w:r w:rsidRPr="00A60265">
              <w:rPr>
                <w:rFonts w:cs="Arial"/>
                <w:b/>
                <w:bCs/>
                <w:i/>
                <w:iCs/>
                <w:sz w:val="15"/>
                <w:szCs w:val="15"/>
                <w:lang w:eastAsia="sk-SK"/>
              </w:rPr>
              <w:t xml:space="preserve">Názov položky </w:t>
            </w:r>
            <w:bookmarkEnd w:id="1"/>
          </w:p>
        </w:tc>
        <w:tc>
          <w:tcPr>
            <w:tcW w:w="724" w:type="pct"/>
            <w:tcBorders>
              <w:top w:val="single" w:color="auto" w:sz="8" w:space="0"/>
              <w:left w:val="nil"/>
              <w:bottom w:val="single" w:color="auto" w:sz="4" w:space="0"/>
              <w:right w:val="nil"/>
            </w:tcBorders>
            <w:shd w:val="clear" w:color="auto" w:fill="auto"/>
            <w:vAlign w:val="center"/>
            <w:hideMark/>
          </w:tcPr>
          <w:p w:rsidRPr="00A60265" w:rsidR="005B36DD" w:rsidP="009B5F39" w:rsidRDefault="00C160EF">
            <w:pPr>
              <w:jc w:val="center"/>
              <w:rPr>
                <w:rFonts w:cs="Arial"/>
                <w:b/>
                <w:bCs/>
                <w:i/>
                <w:iCs/>
                <w:sz w:val="15"/>
                <w:szCs w:val="15"/>
                <w:lang w:eastAsia="sk-SK"/>
              </w:rPr>
            </w:pPr>
            <w:r w:rsidRPr="00A60265">
              <w:rPr>
                <w:rFonts w:cs="Arial"/>
                <w:b/>
                <w:bCs/>
                <w:i/>
                <w:iCs/>
                <w:sz w:val="15"/>
                <w:szCs w:val="15"/>
                <w:lang w:eastAsia="sk-SK"/>
              </w:rPr>
              <w:t>201</w:t>
            </w:r>
            <w:r w:rsidR="009B1CEB">
              <w:rPr>
                <w:rFonts w:cs="Arial"/>
                <w:b/>
                <w:bCs/>
                <w:i/>
                <w:iCs/>
                <w:sz w:val="15"/>
                <w:szCs w:val="15"/>
                <w:lang w:eastAsia="sk-SK"/>
              </w:rPr>
              <w:t>5</w:t>
            </w:r>
          </w:p>
        </w:tc>
        <w:tc>
          <w:tcPr>
            <w:tcW w:w="723" w:type="pct"/>
            <w:tcBorders>
              <w:top w:val="single" w:color="auto" w:sz="8" w:space="0"/>
              <w:left w:val="nil"/>
              <w:bottom w:val="single" w:color="auto" w:sz="4" w:space="0"/>
              <w:right w:val="nil"/>
            </w:tcBorders>
            <w:shd w:val="clear" w:color="auto" w:fill="auto"/>
            <w:vAlign w:val="center"/>
            <w:hideMark/>
          </w:tcPr>
          <w:p w:rsidRPr="00A60265" w:rsidR="005B36DD" w:rsidRDefault="00C160EF">
            <w:pPr>
              <w:jc w:val="center"/>
              <w:rPr>
                <w:rFonts w:cs="Arial"/>
                <w:b/>
                <w:bCs/>
                <w:i/>
                <w:iCs/>
                <w:sz w:val="15"/>
                <w:szCs w:val="15"/>
                <w:lang w:eastAsia="sk-SK"/>
              </w:rPr>
            </w:pPr>
            <w:r w:rsidRPr="00A60265">
              <w:rPr>
                <w:rFonts w:cs="Arial"/>
                <w:b/>
                <w:bCs/>
                <w:i/>
                <w:iCs/>
                <w:sz w:val="15"/>
                <w:szCs w:val="15"/>
                <w:lang w:eastAsia="sk-SK"/>
              </w:rPr>
              <w:t>201</w:t>
            </w:r>
            <w:r w:rsidR="009B1CEB">
              <w:rPr>
                <w:rFonts w:cs="Arial"/>
                <w:b/>
                <w:bCs/>
                <w:i/>
                <w:iCs/>
                <w:sz w:val="15"/>
                <w:szCs w:val="15"/>
                <w:lang w:eastAsia="sk-SK"/>
              </w:rPr>
              <w:t>4</w:t>
            </w:r>
          </w:p>
        </w:tc>
      </w:tr>
      <w:tr w:rsidRPr="00A60265" w:rsidR="009B1CEB" w:rsidTr="00144B35">
        <w:tc>
          <w:tcPr>
            <w:tcW w:w="3553" w:type="pct"/>
            <w:tcBorders>
              <w:top w:val="single" w:color="auto" w:sz="4" w:space="0"/>
              <w:left w:val="nil"/>
              <w:bottom w:val="single" w:color="auto" w:sz="8" w:space="0"/>
              <w:right w:val="nil"/>
            </w:tcBorders>
            <w:shd w:val="clear" w:color="auto" w:fill="auto"/>
            <w:vAlign w:val="center"/>
            <w:hideMark/>
          </w:tcPr>
          <w:p w:rsidRPr="00A60265" w:rsidR="009B1CEB" w:rsidP="009B1CEB" w:rsidRDefault="009B1CEB">
            <w:pPr>
              <w:jc w:val="left"/>
              <w:rPr>
                <w:rFonts w:cs="Arial"/>
                <w:sz w:val="15"/>
                <w:szCs w:val="15"/>
                <w:lang w:eastAsia="sk-SK"/>
              </w:rPr>
            </w:pPr>
            <w:r w:rsidRPr="00A60265">
              <w:rPr>
                <w:rFonts w:cs="Arial"/>
                <w:sz w:val="15"/>
                <w:szCs w:val="15"/>
                <w:lang w:eastAsia="sk-SK"/>
              </w:rPr>
              <w:t>Priemerný prepočítaný počet zamestnancov</w:t>
            </w:r>
          </w:p>
        </w:tc>
        <w:tc>
          <w:tcPr>
            <w:tcW w:w="724" w:type="pct"/>
            <w:tcBorders>
              <w:top w:val="single" w:color="auto" w:sz="4" w:space="0"/>
              <w:left w:val="nil"/>
              <w:bottom w:val="single" w:color="auto" w:sz="8" w:space="0"/>
              <w:right w:val="nil"/>
            </w:tcBorders>
            <w:shd w:val="clear" w:color="auto" w:fill="auto"/>
            <w:vAlign w:val="bottom"/>
          </w:tcPr>
          <w:p w:rsidRPr="00A60265" w:rsidR="009B1CEB" w:rsidP="009B1CEB" w:rsidRDefault="00F82EB0">
            <w:pPr>
              <w:jc w:val="right"/>
              <w:rPr>
                <w:rFonts w:cs="Arial"/>
                <w:sz w:val="15"/>
                <w:szCs w:val="15"/>
                <w:lang w:eastAsia="sk-SK"/>
              </w:rPr>
            </w:pPr>
            <w:r>
              <w:rPr>
                <w:rFonts w:cs="Arial"/>
                <w:sz w:val="15"/>
                <w:szCs w:val="15"/>
                <w:lang w:eastAsia="sk-SK"/>
              </w:rPr>
              <w:t>112</w:t>
            </w:r>
          </w:p>
        </w:tc>
        <w:tc>
          <w:tcPr>
            <w:tcW w:w="723" w:type="pct"/>
            <w:tcBorders>
              <w:top w:val="single" w:color="auto" w:sz="4" w:space="0"/>
              <w:left w:val="nil"/>
              <w:bottom w:val="single" w:color="auto" w:sz="8" w:space="0"/>
              <w:right w:val="nil"/>
            </w:tcBorders>
            <w:shd w:val="clear" w:color="auto" w:fill="auto"/>
            <w:vAlign w:val="bottom"/>
            <w:hideMark/>
          </w:tcPr>
          <w:p w:rsidRPr="00A60265" w:rsidR="009B1CEB" w:rsidP="009B1CEB" w:rsidRDefault="009B1CEB">
            <w:pPr>
              <w:jc w:val="right"/>
              <w:rPr>
                <w:rFonts w:cs="Arial"/>
                <w:sz w:val="15"/>
                <w:szCs w:val="15"/>
                <w:lang w:eastAsia="sk-SK"/>
              </w:rPr>
            </w:pPr>
            <w:r w:rsidRPr="00A60265">
              <w:rPr>
                <w:rFonts w:cs="Arial"/>
                <w:sz w:val="15"/>
                <w:szCs w:val="15"/>
                <w:lang w:eastAsia="sk-SK"/>
              </w:rPr>
              <w:t>153</w:t>
            </w:r>
          </w:p>
        </w:tc>
      </w:tr>
      <w:bookmarkEnd w:id="0"/>
    </w:tbl>
    <w:p w:rsidRPr="00A60265" w:rsidR="00C81150" w:rsidP="00C81150" w:rsidRDefault="00C81150">
      <w:pPr>
        <w:rPr>
          <w:snapToGrid w:val="0"/>
          <w:sz w:val="14"/>
          <w:szCs w:val="14"/>
          <w:lang w:eastAsia="sk-SK"/>
        </w:rPr>
      </w:pPr>
    </w:p>
    <w:p w:rsidRPr="00A60265" w:rsidR="00C81150" w:rsidP="00C81150" w:rsidRDefault="00C81150">
      <w:pPr>
        <w:rPr>
          <w:snapToGrid w:val="0"/>
          <w:sz w:val="14"/>
          <w:szCs w:val="14"/>
          <w:lang w:eastAsia="sk-SK"/>
        </w:rPr>
      </w:pPr>
    </w:p>
    <w:p w:rsidRPr="00A60265" w:rsidR="00C81150" w:rsidP="00C81150" w:rsidRDefault="00C81150">
      <w:pPr>
        <w:pStyle w:val="Heading2"/>
      </w:pPr>
      <w:r w:rsidRPr="00A60265">
        <w:t>Právny dôvod zostavenia účtovnej závierky</w:t>
      </w:r>
    </w:p>
    <w:p w:rsidRPr="00A60265" w:rsidR="00162043" w:rsidP="00C81150" w:rsidRDefault="00162043">
      <w:pPr>
        <w:rPr>
          <w:snapToGrid w:val="0"/>
          <w:sz w:val="14"/>
          <w:szCs w:val="14"/>
          <w:lang w:eastAsia="sk-SK"/>
        </w:rPr>
      </w:pPr>
    </w:p>
    <w:p w:rsidRPr="00A60265" w:rsidR="00C81150" w:rsidP="00C81150" w:rsidRDefault="00C81150">
      <w:pPr>
        <w:rPr>
          <w:snapToGrid w:val="0"/>
          <w:lang w:eastAsia="sk-SK"/>
        </w:rPr>
      </w:pPr>
      <w:r w:rsidRPr="00A60265">
        <w:rPr>
          <w:snapToGrid w:val="0"/>
          <w:lang w:eastAsia="sk-SK"/>
        </w:rPr>
        <w:t xml:space="preserve">Táto účtovná závierka je riadna individuálna účtovná závierka </w:t>
      </w:r>
      <w:r w:rsidRPr="00A60265" w:rsidR="00C27954">
        <w:rPr>
          <w:snapToGrid w:val="0"/>
          <w:lang w:eastAsia="sk-SK"/>
        </w:rPr>
        <w:t xml:space="preserve">spoločnosti </w:t>
      </w:r>
      <w:r w:rsidRPr="00A60265" w:rsidR="00891AAB">
        <w:t xml:space="preserve">KVIST </w:t>
      </w:r>
      <w:proofErr w:type="spellStart"/>
      <w:r w:rsidRPr="00A60265" w:rsidR="00891AAB">
        <w:t>s.r.o</w:t>
      </w:r>
      <w:proofErr w:type="spellEnd"/>
      <w:r w:rsidRPr="00A60265" w:rsidR="00891AAB">
        <w:t>.</w:t>
      </w:r>
      <w:r w:rsidRPr="00A60265">
        <w:rPr>
          <w:snapToGrid w:val="0"/>
          <w:lang w:eastAsia="sk-SK"/>
        </w:rPr>
        <w:t xml:space="preserve"> Bola zostavená za účtovné obdobie od 1. januára do 31. decembra </w:t>
      </w:r>
      <w:r w:rsidRPr="00A60265" w:rsidR="00C160EF">
        <w:rPr>
          <w:snapToGrid w:val="0"/>
          <w:lang w:eastAsia="sk-SK"/>
        </w:rPr>
        <w:t>201</w:t>
      </w:r>
      <w:r w:rsidR="009B1CEB">
        <w:rPr>
          <w:snapToGrid w:val="0"/>
          <w:lang w:eastAsia="sk-SK"/>
        </w:rPr>
        <w:t>5</w:t>
      </w:r>
      <w:r w:rsidRPr="00A60265" w:rsidR="00C160EF">
        <w:rPr>
          <w:snapToGrid w:val="0"/>
          <w:lang w:eastAsia="sk-SK"/>
        </w:rPr>
        <w:t xml:space="preserve"> </w:t>
      </w:r>
      <w:r w:rsidRPr="00A60265">
        <w:rPr>
          <w:snapToGrid w:val="0"/>
          <w:lang w:eastAsia="sk-SK"/>
        </w:rPr>
        <w:t>podľa slovenských právnych predpisov, a to zákona o</w:t>
      </w:r>
      <w:r w:rsidRPr="00A60265">
        <w:t> </w:t>
      </w:r>
      <w:r w:rsidRPr="00A60265">
        <w:rPr>
          <w:snapToGrid w:val="0"/>
          <w:lang w:eastAsia="sk-SK"/>
        </w:rPr>
        <w:t xml:space="preserve">účtovníctve a postupov účtovania pre podnikateľov. </w:t>
      </w:r>
    </w:p>
    <w:p w:rsidRPr="00A60265" w:rsidR="00C81150" w:rsidP="00C81150" w:rsidRDefault="00C81150">
      <w:pPr>
        <w:rPr>
          <w:snapToGrid w:val="0"/>
          <w:sz w:val="14"/>
          <w:szCs w:val="14"/>
          <w:lang w:eastAsia="sk-SK"/>
        </w:rPr>
      </w:pPr>
    </w:p>
    <w:p w:rsidRPr="00A60265" w:rsidR="00416D85" w:rsidP="00416D85" w:rsidRDefault="00416D85">
      <w:r w:rsidRPr="00A60265">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Pr="00A60265" w:rsidR="00416D85" w:rsidP="00C81150" w:rsidRDefault="00416D85">
      <w:pPr>
        <w:rPr>
          <w:snapToGrid w:val="0"/>
          <w:sz w:val="14"/>
          <w:szCs w:val="14"/>
          <w:lang w:eastAsia="sk-SK"/>
        </w:rPr>
      </w:pPr>
    </w:p>
    <w:p w:rsidRPr="00A60265" w:rsidR="00C81150" w:rsidP="00C81150" w:rsidRDefault="00C81150">
      <w:pPr>
        <w:rPr>
          <w:snapToGrid w:val="0"/>
          <w:sz w:val="14"/>
          <w:szCs w:val="14"/>
          <w:lang w:eastAsia="sk-SK"/>
        </w:rPr>
      </w:pPr>
    </w:p>
    <w:p w:rsidRPr="00A60265" w:rsidR="00C81150" w:rsidP="00C81150" w:rsidRDefault="00C81150">
      <w:pPr>
        <w:pStyle w:val="Heading2"/>
      </w:pPr>
      <w:r w:rsidRPr="00A60265">
        <w:t>Schválen</w:t>
      </w:r>
      <w:r w:rsidRPr="00A60265" w:rsidR="00AC79A3">
        <w:t xml:space="preserve">ie účtovnej závierky za rok </w:t>
      </w:r>
      <w:r w:rsidRPr="00A60265" w:rsidR="00E176CD">
        <w:t>201</w:t>
      </w:r>
      <w:r w:rsidR="009B1CEB">
        <w:t>4</w:t>
      </w:r>
    </w:p>
    <w:p w:rsidRPr="00A60265" w:rsidR="00AC79A3" w:rsidP="00AC79A3" w:rsidRDefault="00AC79A3">
      <w:pPr>
        <w:rPr>
          <w:sz w:val="14"/>
          <w:szCs w:val="14"/>
          <w:lang w:eastAsia="sk-SK"/>
        </w:rPr>
      </w:pPr>
    </w:p>
    <w:p w:rsidRPr="00A60265" w:rsidR="00C81150" w:rsidP="00C81150" w:rsidRDefault="00C81150">
      <w:pPr>
        <w:rPr>
          <w:snapToGrid w:val="0"/>
          <w:lang w:eastAsia="sk-SK"/>
        </w:rPr>
      </w:pPr>
      <w:r w:rsidRPr="00BC01C1">
        <w:rPr>
          <w:snapToGrid w:val="0"/>
          <w:lang w:eastAsia="sk-SK"/>
        </w:rPr>
        <w:t xml:space="preserve">Účtovnú závierku spoločnosti </w:t>
      </w:r>
      <w:r w:rsidRPr="00BC01C1" w:rsidR="00891AAB">
        <w:t xml:space="preserve">KVIST </w:t>
      </w:r>
      <w:proofErr w:type="spellStart"/>
      <w:r w:rsidRPr="00BC01C1" w:rsidR="00891AAB">
        <w:t>s.r.o</w:t>
      </w:r>
      <w:proofErr w:type="spellEnd"/>
      <w:r w:rsidRPr="00BC01C1" w:rsidR="00891AAB">
        <w:t>.</w:t>
      </w:r>
      <w:r w:rsidRPr="00BC01C1">
        <w:rPr>
          <w:snapToGrid w:val="0"/>
          <w:lang w:eastAsia="sk-SK"/>
        </w:rPr>
        <w:t xml:space="preserve">, za rok </w:t>
      </w:r>
      <w:r w:rsidRPr="00BC01C1" w:rsidR="00C160EF">
        <w:rPr>
          <w:snapToGrid w:val="0"/>
          <w:lang w:eastAsia="sk-SK"/>
        </w:rPr>
        <w:t>201</w:t>
      </w:r>
      <w:r w:rsidRPr="00BC01C1" w:rsidR="009B1CEB">
        <w:rPr>
          <w:snapToGrid w:val="0"/>
          <w:lang w:eastAsia="sk-SK"/>
        </w:rPr>
        <w:t>4</w:t>
      </w:r>
      <w:r w:rsidRPr="00BC01C1" w:rsidR="00C160EF">
        <w:rPr>
          <w:snapToGrid w:val="0"/>
          <w:lang w:eastAsia="sk-SK"/>
        </w:rPr>
        <w:t xml:space="preserve"> </w:t>
      </w:r>
      <w:r w:rsidRPr="00BC01C1">
        <w:rPr>
          <w:snapToGrid w:val="0"/>
          <w:lang w:eastAsia="sk-SK"/>
        </w:rPr>
        <w:t>schválilo riadne valné zhromaždenie, kto</w:t>
      </w:r>
      <w:r w:rsidRPr="00BC01C1" w:rsidR="00AC79A3">
        <w:rPr>
          <w:snapToGrid w:val="0"/>
          <w:lang w:eastAsia="sk-SK"/>
        </w:rPr>
        <w:t xml:space="preserve">ré sa konalo dňa </w:t>
      </w:r>
      <w:r w:rsidRPr="00144B35" w:rsidR="00BC01C1">
        <w:rPr>
          <w:snapToGrid w:val="0"/>
          <w:lang w:eastAsia="sk-SK"/>
        </w:rPr>
        <w:t>2.4.2015</w:t>
      </w:r>
      <w:r w:rsidRPr="00BC01C1">
        <w:rPr>
          <w:snapToGrid w:val="0"/>
          <w:lang w:eastAsia="sk-SK"/>
        </w:rPr>
        <w:t>.</w:t>
      </w:r>
      <w:r w:rsidRPr="00A60265">
        <w:rPr>
          <w:snapToGrid w:val="0"/>
          <w:lang w:eastAsia="sk-SK"/>
        </w:rPr>
        <w:t xml:space="preserve"> </w:t>
      </w:r>
    </w:p>
    <w:p w:rsidRPr="00A60265" w:rsidR="00C81150" w:rsidP="00C81150" w:rsidRDefault="00C81150">
      <w:pPr>
        <w:rPr>
          <w:snapToGrid w:val="0"/>
          <w:sz w:val="14"/>
          <w:szCs w:val="14"/>
          <w:lang w:eastAsia="sk-SK"/>
        </w:rPr>
      </w:pPr>
    </w:p>
    <w:p w:rsidRPr="00A60265" w:rsidR="00C81150" w:rsidP="00C81150" w:rsidRDefault="00C81150">
      <w:pPr>
        <w:rPr>
          <w:snapToGrid w:val="0"/>
          <w:sz w:val="14"/>
          <w:szCs w:val="14"/>
          <w:lang w:eastAsia="sk-SK"/>
        </w:rPr>
      </w:pPr>
    </w:p>
    <w:p w:rsidRPr="00A60265" w:rsidR="00C81150" w:rsidP="00C81150" w:rsidRDefault="00C81150">
      <w:pPr>
        <w:pStyle w:val="Heading2"/>
      </w:pPr>
      <w:r w:rsidRPr="00A60265">
        <w:t>Konsolidovaná účtovná závierka</w:t>
      </w:r>
    </w:p>
    <w:p w:rsidRPr="00A60265" w:rsidR="00C81150" w:rsidP="00C81150" w:rsidRDefault="00C81150"/>
    <w:p w:rsidRPr="00F82EB0" w:rsidR="002551CB" w:rsidP="00CF2D5B" w:rsidRDefault="00C81150">
      <w:r w:rsidRPr="00F82EB0">
        <w:t xml:space="preserve">Spoločnosť </w:t>
      </w:r>
      <w:r w:rsidRPr="00F82EB0" w:rsidR="00D22DCD">
        <w:t xml:space="preserve">KVIST </w:t>
      </w:r>
      <w:proofErr w:type="spellStart"/>
      <w:r w:rsidRPr="00F82EB0" w:rsidR="00D22DCD">
        <w:t>s.r.o</w:t>
      </w:r>
      <w:proofErr w:type="spellEnd"/>
      <w:r w:rsidRPr="00F82EB0" w:rsidR="00D22DCD">
        <w:t>.</w:t>
      </w:r>
      <w:r w:rsidRPr="00F82EB0">
        <w:t xml:space="preserve">, je dcérskou spoločnosťou spoločnosti </w:t>
      </w:r>
      <w:r w:rsidRPr="00F82EB0" w:rsidR="00D22DCD">
        <w:t xml:space="preserve">KVIST </w:t>
      </w:r>
      <w:r w:rsidRPr="00F82EB0" w:rsidR="00C26935">
        <w:t>INDUSTRIES</w:t>
      </w:r>
      <w:r w:rsidRPr="00F82EB0" w:rsidR="00D22DCD">
        <w:t xml:space="preserve"> A/S</w:t>
      </w:r>
      <w:r w:rsidRPr="00F82EB0" w:rsidR="00EB0BB1">
        <w:t xml:space="preserve">, so sídlom </w:t>
      </w:r>
      <w:proofErr w:type="spellStart"/>
      <w:r w:rsidRPr="00F82EB0" w:rsidR="00D22DCD">
        <w:t>Siggardsvej</w:t>
      </w:r>
      <w:proofErr w:type="spellEnd"/>
      <w:r w:rsidRPr="00F82EB0" w:rsidR="00EB0BB1">
        <w:t xml:space="preserve"> 2</w:t>
      </w:r>
      <w:r w:rsidRPr="00F82EB0">
        <w:t>,</w:t>
      </w:r>
      <w:r w:rsidRPr="00F82EB0" w:rsidR="00EB0BB1">
        <w:t xml:space="preserve"> </w:t>
      </w:r>
      <w:proofErr w:type="spellStart"/>
      <w:r w:rsidRPr="00F82EB0" w:rsidR="00EB0BB1">
        <w:t>Arre</w:t>
      </w:r>
      <w:proofErr w:type="spellEnd"/>
      <w:r w:rsidRPr="00F82EB0" w:rsidR="00EB0BB1">
        <w:t xml:space="preserve">, </w:t>
      </w:r>
      <w:proofErr w:type="spellStart"/>
      <w:r w:rsidRPr="00F82EB0" w:rsidR="00EB0BB1">
        <w:t>Helle</w:t>
      </w:r>
      <w:proofErr w:type="spellEnd"/>
      <w:r w:rsidRPr="00F82EB0" w:rsidR="00EB0BB1">
        <w:t xml:space="preserve"> 6818, Dánsko ktorá </w:t>
      </w:r>
      <w:r w:rsidRPr="00F82EB0">
        <w:t>má</w:t>
      </w:r>
      <w:r w:rsidRPr="00F82EB0" w:rsidR="00CF2D5B">
        <w:t xml:space="preserve"> </w:t>
      </w:r>
      <w:r w:rsidRPr="00F82EB0" w:rsidR="00EB0BB1">
        <w:t>100</w:t>
      </w:r>
      <w:r w:rsidRPr="00F82EB0">
        <w:t xml:space="preserve">-percentný podiel na jej základnom imaní. </w:t>
      </w:r>
    </w:p>
    <w:p w:rsidRPr="00F82EB0" w:rsidR="002551CB" w:rsidP="00E72285" w:rsidRDefault="002551CB"/>
    <w:p w:rsidRPr="00A60265" w:rsidR="00C81150" w:rsidP="00E72285" w:rsidRDefault="00C81150">
      <w:r w:rsidRPr="00F82EB0">
        <w:t xml:space="preserve">Konsolidovaná účtovná závierka spoločnosti </w:t>
      </w:r>
      <w:r w:rsidRPr="00F82EB0" w:rsidR="00CF2D5B">
        <w:t xml:space="preserve">KVIST </w:t>
      </w:r>
      <w:r w:rsidRPr="00F82EB0" w:rsidR="00C26935">
        <w:t>INDUSTRIES</w:t>
      </w:r>
      <w:r w:rsidRPr="00F82EB0" w:rsidR="00CF2D5B">
        <w:t xml:space="preserve"> A/S</w:t>
      </w:r>
      <w:r w:rsidRPr="00F82EB0">
        <w:t xml:space="preserve">, je sprístupnená v jej sídle </w:t>
      </w:r>
      <w:proofErr w:type="spellStart"/>
      <w:r w:rsidRPr="00F82EB0" w:rsidR="00CF2D5B">
        <w:t>Siggardsvej</w:t>
      </w:r>
      <w:proofErr w:type="spellEnd"/>
      <w:r w:rsidRPr="00F82EB0" w:rsidR="00CF2D5B">
        <w:t xml:space="preserve"> 2, </w:t>
      </w:r>
      <w:proofErr w:type="spellStart"/>
      <w:r w:rsidRPr="00F82EB0" w:rsidR="00CF2D5B">
        <w:t>Arre</w:t>
      </w:r>
      <w:proofErr w:type="spellEnd"/>
      <w:r w:rsidRPr="00F82EB0" w:rsidR="00CF2D5B">
        <w:t xml:space="preserve">, </w:t>
      </w:r>
      <w:proofErr w:type="spellStart"/>
      <w:r w:rsidRPr="00F82EB0" w:rsidR="00CF2D5B">
        <w:t>Helle</w:t>
      </w:r>
      <w:proofErr w:type="spellEnd"/>
      <w:r w:rsidRPr="00F82EB0" w:rsidR="00CF2D5B">
        <w:t xml:space="preserve"> 6818, Dánsko</w:t>
      </w:r>
      <w:r w:rsidRPr="00F82EB0">
        <w:t xml:space="preserve"> a je uložená v Obchodnom registri Okresného súdu </w:t>
      </w:r>
      <w:proofErr w:type="spellStart"/>
      <w:r w:rsidRPr="00F82EB0" w:rsidR="007669AB">
        <w:t>The</w:t>
      </w:r>
      <w:proofErr w:type="spellEnd"/>
      <w:r w:rsidRPr="00F82EB0" w:rsidR="007669AB">
        <w:t xml:space="preserve"> </w:t>
      </w:r>
      <w:proofErr w:type="spellStart"/>
      <w:r w:rsidRPr="00F82EB0" w:rsidR="007669AB">
        <w:t>Central</w:t>
      </w:r>
      <w:proofErr w:type="spellEnd"/>
      <w:r w:rsidRPr="00F82EB0" w:rsidR="007669AB">
        <w:t xml:space="preserve"> Business Register (CVR)</w:t>
      </w:r>
      <w:r w:rsidRPr="00F82EB0">
        <w:t>, ktorý vedie Registrový súd</w:t>
      </w:r>
      <w:r w:rsidRPr="00F82EB0" w:rsidR="007669AB">
        <w:t xml:space="preserve"> </w:t>
      </w:r>
      <w:proofErr w:type="spellStart"/>
      <w:r w:rsidRPr="00F82EB0" w:rsidR="007669AB">
        <w:t>Erhvervsstyrelsen</w:t>
      </w:r>
      <w:proofErr w:type="spellEnd"/>
      <w:r w:rsidRPr="00F82EB0" w:rsidR="007669AB">
        <w:t xml:space="preserve">. </w:t>
      </w:r>
      <w:proofErr w:type="spellStart"/>
      <w:r w:rsidRPr="00F82EB0" w:rsidR="007669AB">
        <w:t>Langelinie</w:t>
      </w:r>
      <w:proofErr w:type="spellEnd"/>
      <w:r w:rsidRPr="00F82EB0" w:rsidR="007669AB">
        <w:t xml:space="preserve"> </w:t>
      </w:r>
      <w:proofErr w:type="spellStart"/>
      <w:r w:rsidRPr="00F82EB0" w:rsidR="007669AB">
        <w:t>Allé</w:t>
      </w:r>
      <w:proofErr w:type="spellEnd"/>
      <w:r w:rsidRPr="00F82EB0" w:rsidR="007669AB">
        <w:t xml:space="preserve"> 17, 2100 </w:t>
      </w:r>
      <w:proofErr w:type="spellStart"/>
      <w:r w:rsidRPr="00F82EB0" w:rsidR="007669AB">
        <w:t>København</w:t>
      </w:r>
      <w:proofErr w:type="spellEnd"/>
      <w:r w:rsidRPr="00F82EB0" w:rsidR="007669AB">
        <w:t xml:space="preserve"> Ø, </w:t>
      </w:r>
      <w:proofErr w:type="spellStart"/>
      <w:r w:rsidRPr="00F82EB0" w:rsidR="007669AB">
        <w:t>Denmark</w:t>
      </w:r>
      <w:proofErr w:type="spellEnd"/>
      <w:r w:rsidRPr="00F82EB0">
        <w:t>.</w:t>
      </w:r>
    </w:p>
    <w:p w:rsidR="009B1CEB" w:rsidRDefault="009B1CEB">
      <w:pPr>
        <w:jc w:val="left"/>
      </w:pPr>
      <w:bookmarkStart w:name="_Ref150575427" w:id="2"/>
    </w:p>
    <w:p w:rsidR="009B1CEB" w:rsidP="009B1CEB" w:rsidRDefault="009B1CEB">
      <w:pPr>
        <w:jc w:val="left"/>
        <w:rPr>
          <w:rFonts w:cs="Arial"/>
          <w:b/>
          <w:bCs/>
          <w:caps/>
          <w:kern w:val="32"/>
          <w:sz w:val="18"/>
          <w:szCs w:val="32"/>
          <w:u w:val="single"/>
        </w:rPr>
      </w:pPr>
    </w:p>
    <w:p w:rsidR="00FD6BA4" w:rsidRDefault="00FD6BA4">
      <w:pPr>
        <w:jc w:val="left"/>
        <w:rPr>
          <w:rFonts w:cs="Arial"/>
          <w:b/>
          <w:bCs/>
          <w:caps/>
          <w:kern w:val="32"/>
          <w:sz w:val="18"/>
          <w:szCs w:val="32"/>
          <w:highlight w:val="yellow"/>
          <w:u w:val="single"/>
        </w:rPr>
      </w:pPr>
    </w:p>
    <w:p w:rsidRPr="00F82EB0" w:rsidR="009B1CEB" w:rsidP="009B1CEB" w:rsidRDefault="009B1CEB">
      <w:pPr>
        <w:pStyle w:val="Heading1"/>
      </w:pPr>
      <w:r w:rsidRPr="00F82EB0">
        <w:t>INFORMÁCIE O ORGÁNOCH SPOLOčNOSTI</w:t>
      </w:r>
    </w:p>
    <w:p w:rsidRPr="00F82EB0" w:rsidR="009B1CEB" w:rsidP="009B1CEB" w:rsidRDefault="009B1CEB"/>
    <w:p w:rsidRPr="00144B35" w:rsidR="009B1CEB" w:rsidP="00922A86" w:rsidRDefault="009B1CEB">
      <w:pPr>
        <w:pStyle w:val="Heading2"/>
        <w:numPr>
          <w:ilvl w:val="1"/>
          <w:numId w:val="16"/>
        </w:numPr>
      </w:pPr>
      <w:r w:rsidRPr="00F82EB0">
        <w:t>Záruky a iné zabezpečenia poskytnuté členom orgánov spoločnosti</w:t>
      </w:r>
    </w:p>
    <w:p w:rsidRPr="00144B35" w:rsidR="00F82EB0" w:rsidP="00144B35" w:rsidRDefault="00F82EB0"/>
    <w:p w:rsidR="009B1CEB" w:rsidP="009B1CEB" w:rsidRDefault="00F82EB0">
      <w:pPr>
        <w:jc w:val="left"/>
      </w:pPr>
      <w:r w:rsidRPr="00144B35">
        <w:t xml:space="preserve">Spoločnosť v roku 2015 nevykazuje žiadne záruky alebo iné zabezpečenia poskytnuté členom orgánov spoločnosti. </w:t>
      </w:r>
    </w:p>
    <w:p w:rsidRPr="00144B35" w:rsidR="00144B35" w:rsidP="009B1CEB" w:rsidRDefault="00144B35">
      <w:pPr>
        <w:jc w:val="left"/>
        <w:rPr>
          <w:rFonts w:cs="Arial"/>
          <w:b/>
          <w:bCs/>
          <w:iCs/>
          <w:snapToGrid w:val="0"/>
          <w:szCs w:val="28"/>
          <w:highlight w:val="yellow"/>
        </w:rPr>
      </w:pPr>
    </w:p>
    <w:p w:rsidRPr="00144B35" w:rsidR="00F82EB0" w:rsidP="00922A86" w:rsidRDefault="009B1CEB">
      <w:pPr>
        <w:pStyle w:val="Heading2"/>
        <w:numPr>
          <w:ilvl w:val="1"/>
          <w:numId w:val="16"/>
        </w:numPr>
      </w:pPr>
      <w:r w:rsidRPr="00144B35">
        <w:t>Pôžičky poskytnuté členom orgánov spoločnosti</w:t>
      </w:r>
    </w:p>
    <w:p w:rsidR="009B1CEB" w:rsidP="00144B35" w:rsidRDefault="00F82EB0">
      <w:r w:rsidRPr="00144B35">
        <w:t>Spoločnosť v roku 2015</w:t>
      </w:r>
      <w:r w:rsidR="00144B35">
        <w:t xml:space="preserve"> neposkytla žiadne pôžičky</w:t>
      </w:r>
      <w:r w:rsidRPr="00144B35">
        <w:t xml:space="preserve"> členom orgánov spoločnosti.</w:t>
      </w:r>
    </w:p>
    <w:p w:rsidRPr="00A60265" w:rsidR="00845108" w:rsidP="00C81150" w:rsidRDefault="00845108">
      <w:pPr>
        <w:pStyle w:val="Heading1"/>
      </w:pPr>
      <w:r w:rsidRPr="00A60265">
        <w:lastRenderedPageBreak/>
        <w:t>POUŽITÉ ÚČTOVNÉ ZÁSADY A ÚČTOVNÉ METÓDY</w:t>
      </w:r>
    </w:p>
    <w:bookmarkEnd w:id="2"/>
    <w:p w:rsidRPr="00A60265" w:rsidR="00C81150" w:rsidP="00C81150" w:rsidRDefault="00C81150"/>
    <w:p w:rsidRPr="00A60265" w:rsidR="00BE09FD" w:rsidP="00922A86" w:rsidRDefault="00C81150">
      <w:pPr>
        <w:numPr>
          <w:ilvl w:val="0"/>
          <w:numId w:val="5"/>
        </w:numPr>
        <w:rPr>
          <w:snapToGrid w:val="0"/>
          <w:lang w:eastAsia="sk-SK"/>
        </w:rPr>
      </w:pPr>
      <w:r w:rsidRPr="00A60265">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Pr="00A60265" w:rsidR="00BE09FD">
        <w:rPr>
          <w:snapToGrid w:val="0"/>
          <w:lang w:eastAsia="sk-SK"/>
        </w:rPr>
        <w:t>eurách</w:t>
      </w:r>
      <w:r w:rsidRPr="00A60265">
        <w:rPr>
          <w:snapToGrid w:val="0"/>
          <w:lang w:eastAsia="sk-SK"/>
        </w:rPr>
        <w:t>.</w:t>
      </w:r>
    </w:p>
    <w:p w:rsidRPr="00A60265" w:rsidR="00BE09FD" w:rsidP="00BE09FD" w:rsidRDefault="00BE09FD">
      <w:pPr>
        <w:rPr>
          <w:snapToGrid w:val="0"/>
          <w:lang w:eastAsia="sk-SK"/>
        </w:rPr>
      </w:pPr>
    </w:p>
    <w:p w:rsidRPr="00DC5AFC" w:rsidR="00DC5AFC" w:rsidP="00922A86" w:rsidRDefault="00DC5AFC">
      <w:pPr>
        <w:numPr>
          <w:ilvl w:val="0"/>
          <w:numId w:val="5"/>
        </w:numPr>
        <w:rPr>
          <w:snapToGrid w:val="0"/>
          <w:lang w:eastAsia="sk-SK"/>
        </w:rPr>
      </w:pPr>
      <w:bookmarkStart w:name="_Ref391456785" w:id="3"/>
      <w:r w:rsidRPr="00DC5AFC">
        <w:rPr>
          <w:snapToGrid w:val="0"/>
          <w:lang w:eastAsia="sk-SK"/>
        </w:rPr>
        <w:t xml:space="preserve">Spoločnosť vykázala k 31. decembru 2015 záporné vlastné imanie vo </w:t>
      </w:r>
      <w:r w:rsidRPr="005D7B7B">
        <w:rPr>
          <w:snapToGrid w:val="0"/>
          <w:lang w:eastAsia="sk-SK"/>
        </w:rPr>
        <w:t xml:space="preserve">výške </w:t>
      </w:r>
      <w:r w:rsidRPr="005D7B7B" w:rsidR="005D7B7B">
        <w:rPr>
          <w:snapToGrid w:val="0"/>
          <w:lang w:eastAsia="sk-SK"/>
        </w:rPr>
        <w:t>865 588</w:t>
      </w:r>
      <w:r w:rsidRPr="005D7B7B">
        <w:rPr>
          <w:snapToGrid w:val="0"/>
          <w:lang w:eastAsia="sk-SK"/>
        </w:rPr>
        <w:t xml:space="preserve"> EUR a prebytok krátkodobých pasív nad krátkodobými aktívami v sume </w:t>
      </w:r>
      <w:r w:rsidRPr="005D7B7B" w:rsidR="005D7B7B">
        <w:rPr>
          <w:snapToGrid w:val="0"/>
          <w:lang w:eastAsia="sk-SK"/>
        </w:rPr>
        <w:t>1 264 418</w:t>
      </w:r>
      <w:r w:rsidRPr="005D7B7B">
        <w:rPr>
          <w:snapToGrid w:val="0"/>
          <w:lang w:eastAsia="sk-SK"/>
        </w:rPr>
        <w:t xml:space="preserve"> EUR. Navyše</w:t>
      </w:r>
      <w:r w:rsidRPr="00DC5AFC">
        <w:rPr>
          <w:snapToGrid w:val="0"/>
          <w:lang w:eastAsia="sk-SK"/>
        </w:rPr>
        <w:t>, väčšinu tržieb realizuje s materskou spoločnosťou a väčšinu financovania získava od materskej spoločnosti. Ku koncu roka 2015 jediný spoločník spoloč</w:t>
      </w:r>
      <w:bookmarkStart w:name="_GoBack" w:id="4"/>
      <w:bookmarkEnd w:id="4"/>
      <w:r w:rsidRPr="00DC5AFC">
        <w:rPr>
          <w:snapToGrid w:val="0"/>
          <w:lang w:eastAsia="sk-SK"/>
        </w:rPr>
        <w:t>nosti rozhodol v rámci reorganizácie skupiny o presune výroby zo Slovenska do dcérskej spoločnosti v Lotyšsku. V súlade s plánom reorganizácie bude do 30. apríla 2016 ukončený pracovný pomer so všetkými výrobnými a väčšinou administratívnych zamestnancov. Od 1. mája bude spoločnosť pretransformovaná na obchodnú spoločnosť. Ku dňu spracovania tejto účtovnej závierky nie je isté, že spoločnosť bude fungovať minimálne po dobu nasledujúcich 12 mesiacov. Časť majetku spoločnosti bude presunutá do sesterskej spoločnosti v Lotyšsku a zvyšná časť bude vyradená predajom alebo likvidáciou.</w:t>
      </w:r>
    </w:p>
    <w:p w:rsidR="00DC5AFC" w:rsidP="00DC5AFC" w:rsidRDefault="00DC5AFC">
      <w:pPr>
        <w:pStyle w:val="ListParagraph"/>
        <w:rPr>
          <w:rFonts w:ascii="Arial" w:hAnsi="Arial" w:cs="Arial"/>
          <w:sz w:val="18"/>
          <w:szCs w:val="18"/>
        </w:rPr>
      </w:pPr>
    </w:p>
    <w:p w:rsidRPr="00DC5AFC" w:rsidR="00DC5AFC" w:rsidP="00DC5AFC" w:rsidRDefault="00DC5AFC">
      <w:pPr>
        <w:ind w:left="539"/>
        <w:rPr>
          <w:rFonts w:cs="Arial"/>
          <w:szCs w:val="17"/>
          <w:lang w:val="en-US"/>
        </w:rPr>
      </w:pPr>
      <w:r w:rsidRPr="00DC5AFC">
        <w:rPr>
          <w:rFonts w:cs="Arial"/>
          <w:szCs w:val="17"/>
        </w:rPr>
        <w:t xml:space="preserve">V nadväznosti na horeuvedené vykonala </w:t>
      </w:r>
      <w:r w:rsidRPr="006F3F13">
        <w:rPr>
          <w:rFonts w:cs="Arial"/>
          <w:szCs w:val="17"/>
        </w:rPr>
        <w:t xml:space="preserve">spoločnosť k 31. decembru 2015 nasledujúce </w:t>
      </w:r>
      <w:r w:rsidRPr="00DC5AFC">
        <w:rPr>
          <w:rFonts w:cs="Arial"/>
          <w:szCs w:val="17"/>
        </w:rPr>
        <w:t>účtovné úpravy:</w:t>
      </w:r>
    </w:p>
    <w:p w:rsidRPr="00DC5AFC" w:rsidR="00DC5AFC" w:rsidP="00DC5AFC" w:rsidRDefault="00DC5AFC">
      <w:pPr>
        <w:ind w:left="539"/>
        <w:rPr>
          <w:rFonts w:cs="Arial"/>
          <w:szCs w:val="17"/>
        </w:rPr>
      </w:pPr>
    </w:p>
    <w:p w:rsidRPr="00DC5AFC" w:rsidR="00DC5AFC" w:rsidP="00922A86" w:rsidRDefault="00DC5AFC">
      <w:pPr>
        <w:pStyle w:val="ListParagraph"/>
        <w:numPr>
          <w:ilvl w:val="0"/>
          <w:numId w:val="18"/>
        </w:numPr>
        <w:rPr>
          <w:rFonts w:cs="Arial"/>
          <w:szCs w:val="17"/>
        </w:rPr>
      </w:pPr>
      <w:r w:rsidRPr="00DC5AFC">
        <w:rPr>
          <w:rFonts w:cs="Arial"/>
          <w:szCs w:val="17"/>
        </w:rPr>
        <w:t>Zaúčtovanie opravnej položky k dlhodobému majetku</w:t>
      </w:r>
    </w:p>
    <w:p w:rsidRPr="00DC5AFC" w:rsidR="00DC5AFC" w:rsidP="00DC5AFC" w:rsidRDefault="00DC5AFC">
      <w:pPr>
        <w:pStyle w:val="ListParagraph"/>
        <w:ind w:left="899"/>
        <w:rPr>
          <w:rFonts w:cs="Arial"/>
          <w:szCs w:val="17"/>
        </w:rPr>
      </w:pPr>
      <w:r w:rsidRPr="00DC5AFC">
        <w:rPr>
          <w:rFonts w:cs="Arial"/>
          <w:szCs w:val="17"/>
        </w:rPr>
        <w:t>Spoločnosť prehodnotila hodnotu majetku k 31. decembru 2015 na základe analýzy budúceho využitia majetku. V nadväznosti na to bola zaúčtovaná opravná položka k majetku vo výške 442 603 EUR. Opravná položka bola vytvorená na majetok nasledovne:</w:t>
      </w:r>
    </w:p>
    <w:p w:rsidR="00D07359" w:rsidP="00D07359" w:rsidRDefault="00D07359">
      <w:pPr>
        <w:pStyle w:val="ListParagraph"/>
        <w:ind w:left="899"/>
      </w:pPr>
    </w:p>
    <w:p w:rsidR="00D07359" w:rsidP="00D07359" w:rsidRDefault="00D07359">
      <w:pPr>
        <w:pStyle w:val="ListParagraph"/>
        <w:ind w:left="899"/>
      </w:pPr>
    </w:p>
    <w:tbl>
      <w:tblPr>
        <w:tblStyle w:val="TableGrid"/>
        <w:tblW w:w="0" w:type="auto"/>
        <w:tblInd w:w="899" w:type="dxa"/>
        <w:tblLook w:val="04A0" w:firstRow="1" w:lastRow="0" w:firstColumn="1" w:lastColumn="0" w:noHBand="0" w:noVBand="1"/>
      </w:tblPr>
      <w:tblGrid>
        <w:gridCol w:w="5730"/>
        <w:gridCol w:w="2658"/>
      </w:tblGrid>
      <w:tr w:rsidR="00D07359" w:rsidTr="00D07359">
        <w:tc>
          <w:tcPr>
            <w:tcW w:w="5730" w:type="dxa"/>
          </w:tcPr>
          <w:p w:rsidRPr="00D07359" w:rsidR="00D07359" w:rsidP="00D07359" w:rsidRDefault="00D07359">
            <w:pPr>
              <w:pStyle w:val="ListParagraph"/>
              <w:ind w:left="0"/>
              <w:rPr>
                <w:b/>
              </w:rPr>
            </w:pPr>
            <w:r w:rsidRPr="00D07359">
              <w:rPr>
                <w:b/>
              </w:rPr>
              <w:t>Kategória</w:t>
            </w:r>
          </w:p>
        </w:tc>
        <w:tc>
          <w:tcPr>
            <w:tcW w:w="2658" w:type="dxa"/>
          </w:tcPr>
          <w:p w:rsidRPr="00D07359" w:rsidR="00D07359" w:rsidP="00D07359" w:rsidRDefault="00D07359">
            <w:pPr>
              <w:pStyle w:val="ListParagraph"/>
              <w:ind w:left="0"/>
              <w:jc w:val="center"/>
              <w:rPr>
                <w:b/>
              </w:rPr>
            </w:pPr>
            <w:r w:rsidRPr="00D07359">
              <w:rPr>
                <w:b/>
              </w:rPr>
              <w:t>Výška opravnej položky</w:t>
            </w:r>
          </w:p>
        </w:tc>
      </w:tr>
      <w:tr w:rsidR="00D07359" w:rsidTr="00D07359">
        <w:tc>
          <w:tcPr>
            <w:tcW w:w="5730" w:type="dxa"/>
          </w:tcPr>
          <w:p w:rsidR="00D07359" w:rsidP="00D07359" w:rsidRDefault="00D07359">
            <w:pPr>
              <w:pStyle w:val="ListParagraph"/>
              <w:ind w:left="0"/>
            </w:pPr>
            <w:r>
              <w:t>Majetok, ktorý nebude presunutý do Dánska</w:t>
            </w:r>
          </w:p>
        </w:tc>
        <w:tc>
          <w:tcPr>
            <w:tcW w:w="2658" w:type="dxa"/>
          </w:tcPr>
          <w:p w:rsidR="00D07359" w:rsidP="00D07359" w:rsidRDefault="00D07359">
            <w:pPr>
              <w:pStyle w:val="ListParagraph"/>
              <w:ind w:left="0"/>
              <w:jc w:val="center"/>
            </w:pPr>
            <w:r>
              <w:t>100%</w:t>
            </w:r>
          </w:p>
        </w:tc>
      </w:tr>
      <w:tr w:rsidR="00D07359" w:rsidTr="00D07359">
        <w:tc>
          <w:tcPr>
            <w:tcW w:w="5730" w:type="dxa"/>
          </w:tcPr>
          <w:p w:rsidR="00D07359" w:rsidP="00D07359" w:rsidRDefault="00D07359">
            <w:pPr>
              <w:pStyle w:val="ListParagraph"/>
              <w:ind w:left="0"/>
            </w:pPr>
            <w:r>
              <w:t>Majetok, ktorý bude presunutý do Dánska čiastočne</w:t>
            </w:r>
          </w:p>
        </w:tc>
        <w:tc>
          <w:tcPr>
            <w:tcW w:w="2658" w:type="dxa"/>
          </w:tcPr>
          <w:p w:rsidR="00D07359" w:rsidP="00D07359" w:rsidRDefault="00D07359">
            <w:pPr>
              <w:pStyle w:val="ListParagraph"/>
              <w:ind w:left="0"/>
              <w:jc w:val="center"/>
            </w:pPr>
            <w:r>
              <w:t>80%</w:t>
            </w:r>
          </w:p>
        </w:tc>
      </w:tr>
      <w:tr w:rsidR="00D07359" w:rsidTr="00D07359">
        <w:tc>
          <w:tcPr>
            <w:tcW w:w="5730" w:type="dxa"/>
          </w:tcPr>
          <w:p w:rsidR="00D07359" w:rsidP="00D07359" w:rsidRDefault="00D07359">
            <w:pPr>
              <w:pStyle w:val="ListParagraph"/>
              <w:ind w:left="0"/>
            </w:pPr>
            <w:r>
              <w:t>Majetok, pri ktorom nie je isté, či bude presunutý</w:t>
            </w:r>
          </w:p>
        </w:tc>
        <w:tc>
          <w:tcPr>
            <w:tcW w:w="2658" w:type="dxa"/>
          </w:tcPr>
          <w:p w:rsidR="00D07359" w:rsidP="00D07359" w:rsidRDefault="00D07359">
            <w:pPr>
              <w:pStyle w:val="ListParagraph"/>
              <w:ind w:left="0"/>
              <w:jc w:val="center"/>
            </w:pPr>
            <w:r>
              <w:t>50% - 80%</w:t>
            </w:r>
          </w:p>
        </w:tc>
      </w:tr>
    </w:tbl>
    <w:p w:rsidR="00D07359" w:rsidP="00D07359" w:rsidRDefault="00D07359">
      <w:pPr>
        <w:pStyle w:val="ListParagraph"/>
        <w:ind w:left="899"/>
      </w:pPr>
    </w:p>
    <w:p w:rsidR="00D07359" w:rsidP="00D07359" w:rsidRDefault="00DC5AFC">
      <w:pPr>
        <w:pStyle w:val="ListParagraph"/>
        <w:ind w:left="899"/>
      </w:pPr>
      <w:r w:rsidRPr="00DC5AFC">
        <w:t>Jediný spoločník ku dňu zostavenia tejto účtovnej závierky neschválil detailný zoznam majetku určeného na presun, resp. predaj a ani nevykonal kroky na to, aby aktívne hľadal kupujúceho na prípadné aktíva určené na predaj, a z tohto dôvodu výška opravnej položky k dlhodobému majetku predstavuje odhad manažmentu skupiny. Skutočná predajná cena majetku sa môže v budúcnosti odlišovať od vykázanej hodnoty o významné sumy.</w:t>
      </w:r>
    </w:p>
    <w:p w:rsidR="00D07359" w:rsidP="00D07359" w:rsidRDefault="00D07359">
      <w:pPr>
        <w:pStyle w:val="ListParagraph"/>
        <w:ind w:left="899"/>
      </w:pPr>
    </w:p>
    <w:p w:rsidR="00D07359" w:rsidP="00922A86" w:rsidRDefault="00D07359">
      <w:pPr>
        <w:pStyle w:val="ListParagraph"/>
        <w:numPr>
          <w:ilvl w:val="0"/>
          <w:numId w:val="17"/>
        </w:numPr>
      </w:pPr>
      <w:r>
        <w:t>Vytvorenie rezerv súvisiacich s ukončením výrobnej činnosti spoločnosti</w:t>
      </w:r>
    </w:p>
    <w:p w:rsidR="00D07359" w:rsidP="00D07359" w:rsidRDefault="00D07359">
      <w:pPr>
        <w:pStyle w:val="ListParagraph"/>
        <w:ind w:left="899"/>
      </w:pPr>
      <w:r>
        <w:t>K 31. decembru 2015 vytvorila spoločnosť nasledujúce rezervy súvisiace s plánovaným ukončením výrobnej činnosti</w:t>
      </w:r>
      <w:r w:rsidR="00DC5AFC">
        <w:t xml:space="preserve"> na Slovensku</w:t>
      </w:r>
      <w:r>
        <w:t>:</w:t>
      </w:r>
    </w:p>
    <w:p w:rsidR="00D07359" w:rsidP="00922A86" w:rsidRDefault="00D07359">
      <w:pPr>
        <w:pStyle w:val="ListParagraph"/>
        <w:numPr>
          <w:ilvl w:val="1"/>
          <w:numId w:val="17"/>
        </w:numPr>
      </w:pPr>
      <w:r>
        <w:t>rezerva na odchodné zamestnancov vo výške 105 000 EUR</w:t>
      </w:r>
    </w:p>
    <w:p w:rsidR="00D07359" w:rsidP="00922A86" w:rsidRDefault="00D07359">
      <w:pPr>
        <w:pStyle w:val="ListParagraph"/>
        <w:numPr>
          <w:ilvl w:val="1"/>
          <w:numId w:val="17"/>
        </w:numPr>
      </w:pPr>
      <w:r>
        <w:t>rezerva na predčasné ukončenie nájomných zmlúv vo výške 64 718 EUR</w:t>
      </w:r>
    </w:p>
    <w:p w:rsidR="00D07359" w:rsidP="00922A86" w:rsidRDefault="00D07359">
      <w:pPr>
        <w:pStyle w:val="ListParagraph"/>
        <w:numPr>
          <w:ilvl w:val="1"/>
          <w:numId w:val="17"/>
        </w:numPr>
      </w:pPr>
      <w:r>
        <w:t>rezerva na náklady súvisiace s uvedením prenajatých priestorov do pôvodného stavu vo výške 10 000 EUR</w:t>
      </w:r>
    </w:p>
    <w:p w:rsidR="00D07359" w:rsidP="00922A86" w:rsidRDefault="00D07359">
      <w:pPr>
        <w:pStyle w:val="ListParagraph"/>
        <w:numPr>
          <w:ilvl w:val="1"/>
          <w:numId w:val="17"/>
        </w:numPr>
      </w:pPr>
      <w:r>
        <w:t>rezerva na budúce náklady súvisiace so spotrebou energií vo výške 47 220 EUR</w:t>
      </w:r>
    </w:p>
    <w:p w:rsidR="00D07359" w:rsidP="00922A86" w:rsidRDefault="00D07359">
      <w:pPr>
        <w:pStyle w:val="ListParagraph"/>
        <w:numPr>
          <w:ilvl w:val="1"/>
          <w:numId w:val="17"/>
        </w:numPr>
      </w:pPr>
      <w:r>
        <w:t>rezerva na 75% mzdových nákladov zamestnancov za obdobie od 1. januára 2016 do 30. apríla 2016 vo výške 198 395 EUR</w:t>
      </w:r>
    </w:p>
    <w:p w:rsidR="00D07359" w:rsidP="00D07359" w:rsidRDefault="00D07359">
      <w:pPr>
        <w:ind w:left="1259"/>
      </w:pPr>
    </w:p>
    <w:p w:rsidRPr="00144B35" w:rsidR="00D07359" w:rsidP="00D07359" w:rsidRDefault="00D07359">
      <w:pPr>
        <w:pStyle w:val="ListParagraph"/>
        <w:ind w:left="899"/>
      </w:pPr>
      <w:r>
        <w:t xml:space="preserve">Uvedené rezervy boli vytvorené na základe </w:t>
      </w:r>
      <w:r w:rsidR="00DC5AFC">
        <w:t>odhadu manažmentu podľa informácií, ktoré boli v čase zostavenia závierky k dispozícií</w:t>
      </w:r>
      <w:r>
        <w:t>.</w:t>
      </w:r>
    </w:p>
    <w:p w:rsidR="00144B35" w:rsidP="00144B35" w:rsidRDefault="00144B35">
      <w:pPr>
        <w:pStyle w:val="ListParagraph"/>
        <w:rPr>
          <w:highlight w:val="yellow"/>
        </w:rPr>
      </w:pPr>
    </w:p>
    <w:bookmarkEnd w:id="3"/>
    <w:p w:rsidRPr="00A60265" w:rsidR="00C81150" w:rsidP="00922A86" w:rsidRDefault="00C81150">
      <w:pPr>
        <w:numPr>
          <w:ilvl w:val="0"/>
          <w:numId w:val="5"/>
        </w:numPr>
      </w:pPr>
      <w:r w:rsidRPr="00A60265">
        <w:t xml:space="preserve">Účtovníctvo sa vedie na základe dodržania časovej a vecnej súvislosti nákladov a výnosov. Za základ sa berú všetky náklady a výnosy, ktoré sa vzťahujú na účtovné obdobie bez ohľadu na dátum ich platenia. </w:t>
      </w:r>
    </w:p>
    <w:p w:rsidRPr="00A60265" w:rsidR="00C81150" w:rsidP="00C81150" w:rsidRDefault="00C81150">
      <w:pPr>
        <w:tabs>
          <w:tab w:val="num" w:pos="540"/>
        </w:tabs>
        <w:ind w:left="540" w:hanging="540"/>
      </w:pPr>
    </w:p>
    <w:p w:rsidRPr="00A60265" w:rsidR="00C81150" w:rsidP="00922A86" w:rsidRDefault="00C81150">
      <w:pPr>
        <w:numPr>
          <w:ilvl w:val="0"/>
          <w:numId w:val="5"/>
        </w:numPr>
      </w:pPr>
      <w:r w:rsidRPr="00A60265">
        <w:t>Pri oceňovaní majetku a záväzkov sa uplatňuje zásada opatrnosti, t. j. berú sa za základ všetky riziká, straty a zníženia hodnoty, ktoré sa týkajú majetku a záväzkov a ktoré sú známe ku dňu, ku ktorému sa zostavuje účtovná závierka.</w:t>
      </w:r>
    </w:p>
    <w:p w:rsidRPr="00A60265" w:rsidR="00C81150" w:rsidP="00C81150" w:rsidRDefault="00C81150">
      <w:pPr>
        <w:tabs>
          <w:tab w:val="num" w:pos="540"/>
        </w:tabs>
        <w:ind w:left="540" w:hanging="540"/>
      </w:pPr>
    </w:p>
    <w:p w:rsidRPr="00A60265" w:rsidR="00C81150" w:rsidP="00922A86" w:rsidRDefault="00C81150">
      <w:pPr>
        <w:numPr>
          <w:ilvl w:val="0"/>
          <w:numId w:val="5"/>
        </w:numPr>
      </w:pPr>
      <w:r w:rsidRPr="00A60265">
        <w:t>Moment zaúčtovania výnosov – výnosy sa účtujú pri splnení dodacích podmienok, nakoľko v tomto okamihu prechádzajú na odberateľa významné riziká a vlastnícke práva.</w:t>
      </w:r>
    </w:p>
    <w:p w:rsidRPr="00A60265" w:rsidR="00C81150" w:rsidP="00C81150" w:rsidRDefault="00C81150">
      <w:pPr>
        <w:tabs>
          <w:tab w:val="num" w:pos="540"/>
        </w:tabs>
        <w:ind w:left="540" w:hanging="540"/>
      </w:pPr>
    </w:p>
    <w:p w:rsidRPr="00A60265" w:rsidR="00C81150" w:rsidP="00922A86" w:rsidRDefault="00C81150">
      <w:pPr>
        <w:numPr>
          <w:ilvl w:val="0"/>
          <w:numId w:val="5"/>
        </w:numPr>
      </w:pPr>
      <w:r w:rsidRPr="00A60265">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A60265">
        <w:lastRenderedPageBreak/>
        <w:t>splatnosť nie je dlhšia ako jeden rok odo dňa, ku ktorému sa zostavuje účtovná závierka, sa vykazujú v súvahe ako krátkodobá pohľadávka alebo krátkodobý záväzok.</w:t>
      </w:r>
    </w:p>
    <w:p w:rsidRPr="00A60265" w:rsidR="00C81150" w:rsidP="00C81150" w:rsidRDefault="00C81150">
      <w:pPr>
        <w:tabs>
          <w:tab w:val="num" w:pos="540"/>
        </w:tabs>
        <w:ind w:left="540" w:hanging="540"/>
      </w:pPr>
    </w:p>
    <w:p w:rsidRPr="00A60265" w:rsidR="00C81150" w:rsidP="00922A86" w:rsidRDefault="00C81150">
      <w:pPr>
        <w:numPr>
          <w:ilvl w:val="0"/>
          <w:numId w:val="5"/>
        </w:numPr>
      </w:pPr>
      <w:r w:rsidRPr="00A60265">
        <w:t>Použitie odhadov – zostavenie účtovnej závierky si vyžaduje, aby vedenie spoločnosti vypracovalo odhady a predpoklady, ktoré majú vplyv na vykazované sumy aktív a pasív, uvedenie možných budúcich aktív a pasív k</w:t>
      </w:r>
      <w:r w:rsidRPr="00A60265" w:rsidR="003B3C94">
        <w:t> </w:t>
      </w:r>
      <w:r w:rsidRPr="00A60265">
        <w:t>dátumu</w:t>
      </w:r>
      <w:r w:rsidRPr="00A60265" w:rsidR="003B3C94">
        <w:t>, ku ktorému sa zostavuje</w:t>
      </w:r>
      <w:r w:rsidRPr="00A60265">
        <w:t xml:space="preserve"> účtovn</w:t>
      </w:r>
      <w:r w:rsidRPr="00A60265" w:rsidR="003B3C94">
        <w:t>á</w:t>
      </w:r>
      <w:r w:rsidRPr="00A60265">
        <w:t xml:space="preserve"> závierk</w:t>
      </w:r>
      <w:r w:rsidRPr="00A60265" w:rsidR="003B3C94">
        <w:t>a</w:t>
      </w:r>
      <w:r w:rsidRPr="00A60265">
        <w:t>, ako aj na vykazovanú výšku výnosov a nákladov počas roka. Skutočné výsledky sa môžu od takýchto odhadov líšiť.</w:t>
      </w:r>
    </w:p>
    <w:p w:rsidRPr="00A60265" w:rsidR="00C81150" w:rsidP="00C81150" w:rsidRDefault="00C81150">
      <w:pPr>
        <w:tabs>
          <w:tab w:val="num" w:pos="540"/>
        </w:tabs>
        <w:ind w:left="540" w:hanging="540"/>
      </w:pPr>
    </w:p>
    <w:p w:rsidRPr="00A60265" w:rsidR="00C81150" w:rsidP="00922A86" w:rsidRDefault="00C81150">
      <w:pPr>
        <w:numPr>
          <w:ilvl w:val="0"/>
          <w:numId w:val="5"/>
        </w:numPr>
      </w:pPr>
      <w:r w:rsidRPr="00A60265">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Pr="00A60265" w:rsidR="002551CB" w:rsidP="002551CB" w:rsidRDefault="002551CB">
      <w:pPr>
        <w:pStyle w:val="ListParagraph"/>
      </w:pPr>
    </w:p>
    <w:p w:rsidRPr="00A60265" w:rsidR="002551CB" w:rsidP="002551CB" w:rsidRDefault="002551CB">
      <w:pPr>
        <w:pStyle w:val="ListParagraph"/>
      </w:pPr>
    </w:p>
    <w:p w:rsidRPr="00A60265" w:rsidR="00C81150" w:rsidP="00922A86" w:rsidRDefault="00C81150">
      <w:pPr>
        <w:pStyle w:val="Heading2"/>
        <w:numPr>
          <w:ilvl w:val="1"/>
          <w:numId w:val="3"/>
        </w:numPr>
      </w:pPr>
      <w:bookmarkStart w:name="_Ref150575436" w:id="5"/>
      <w:r w:rsidRPr="00A60265">
        <w:t>Spôsob ocenenia jednotlivých zložiek majetku a záväzkov – prvé ocenenie</w:t>
      </w:r>
      <w:bookmarkEnd w:id="5"/>
    </w:p>
    <w:p w:rsidRPr="00A60265" w:rsidR="00C81150" w:rsidP="00C81150" w:rsidRDefault="00C81150">
      <w:pPr>
        <w:rPr>
          <w:sz w:val="14"/>
          <w:szCs w:val="14"/>
        </w:rPr>
      </w:pPr>
    </w:p>
    <w:p w:rsidRPr="00A60265" w:rsidR="00C81150" w:rsidP="00C81150" w:rsidRDefault="00C81150">
      <w:r w:rsidRPr="00A60265">
        <w:t>Pri obstaraní majetku sa uplatňuje princíp obstarávacích cien (t. j. historických cien). Ocenenie jednotlivých položiek majetku a záväzkov je takéto:</w:t>
      </w:r>
    </w:p>
    <w:p w:rsidRPr="00A60265" w:rsidR="00C81150" w:rsidP="00C81150" w:rsidRDefault="00C81150">
      <w:pPr>
        <w:rPr>
          <w:sz w:val="14"/>
          <w:szCs w:val="14"/>
        </w:rPr>
      </w:pPr>
    </w:p>
    <w:p w:rsidRPr="00A60265" w:rsidR="00C81150" w:rsidP="00922A86" w:rsidRDefault="00C81150">
      <w:pPr>
        <w:numPr>
          <w:ilvl w:val="0"/>
          <w:numId w:val="4"/>
        </w:numPr>
      </w:pPr>
      <w:r w:rsidRPr="00A60265">
        <w:t>Dlhodobý hmotný a nehmotný majetok obstaraný kúpou – obstarávacou cenou. Obstarávacia cena je cena, za ktorú sa majetok obstaral, a náklady súvisiace s jeho obstaraním (prepravné a clo).</w:t>
      </w:r>
    </w:p>
    <w:p w:rsidRPr="00A60265" w:rsidR="00C81150" w:rsidP="00C81150" w:rsidRDefault="00C81150">
      <w:pPr>
        <w:rPr>
          <w:sz w:val="14"/>
          <w:szCs w:val="14"/>
        </w:rPr>
      </w:pPr>
    </w:p>
    <w:p w:rsidRPr="00A60265" w:rsidR="00C81150" w:rsidP="00922A86" w:rsidRDefault="00C81150">
      <w:pPr>
        <w:numPr>
          <w:ilvl w:val="0"/>
          <w:numId w:val="4"/>
        </w:numPr>
      </w:pPr>
      <w:r w:rsidRPr="00A60265">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Pr="00A60265" w:rsidR="00C81150" w:rsidP="00C81150" w:rsidRDefault="00C81150">
      <w:pPr>
        <w:rPr>
          <w:sz w:val="14"/>
          <w:szCs w:val="14"/>
        </w:rPr>
      </w:pPr>
    </w:p>
    <w:p w:rsidRPr="00A60265" w:rsidR="00C81150" w:rsidP="00922A86" w:rsidRDefault="00C81150">
      <w:pPr>
        <w:numPr>
          <w:ilvl w:val="0"/>
          <w:numId w:val="4"/>
        </w:numPr>
      </w:pPr>
      <w:r w:rsidRPr="00A60265">
        <w:t>Dlhodobý hmotný majetok vytvorený vlastnou činnosťou – vlastnými nákladmi. Vlastné náklady zahŕňajú priame náklady vynaložené na výrobu alebo inú činnosť, a nepriame náklady, ktoré sa vzťahujú na výrobu alebo inú činnosť.</w:t>
      </w:r>
    </w:p>
    <w:p w:rsidRPr="00A60265" w:rsidR="00C81150" w:rsidP="00922A86" w:rsidRDefault="00E72285">
      <w:pPr>
        <w:numPr>
          <w:ilvl w:val="0"/>
          <w:numId w:val="4"/>
        </w:numPr>
      </w:pPr>
      <w:r w:rsidRPr="00A60265">
        <w:br w:type="page"/>
      </w:r>
      <w:r w:rsidRPr="00A60265" w:rsidR="00C81150">
        <w:lastRenderedPageBreak/>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Pr="00A60265" w:rsidR="0000253C" w:rsidRDefault="0000253C">
      <w:pPr>
        <w:jc w:val="left"/>
        <w:rPr>
          <w:sz w:val="14"/>
          <w:szCs w:val="14"/>
        </w:rPr>
      </w:pPr>
    </w:p>
    <w:p w:rsidRPr="00A60265" w:rsidR="00C81150" w:rsidP="00922A86" w:rsidRDefault="00C81150">
      <w:pPr>
        <w:numPr>
          <w:ilvl w:val="0"/>
          <w:numId w:val="4"/>
        </w:numPr>
      </w:pPr>
      <w:r w:rsidRPr="00A60265">
        <w:t xml:space="preserve">Majetok obstaraný v rámci finančného prenájmu sa účtuje do majetku vo výške svojej </w:t>
      </w:r>
      <w:r w:rsidRPr="00A60265" w:rsidR="00E86226">
        <w:t xml:space="preserve">reálnej </w:t>
      </w:r>
      <w:r w:rsidRPr="00A60265">
        <w:t>hodnoty ku dňu obstarania (celková suma dohodnutých platieb znížená o nerealizované finančné náklady). Súvisiaci záväzok voči prenajímateľovi je v súvahe vykázaný v </w:t>
      </w:r>
      <w:r w:rsidRPr="00A60265" w:rsidR="00D52BC7">
        <w:rPr>
          <w:i/>
        </w:rPr>
        <w:t>O</w:t>
      </w:r>
      <w:r w:rsidRPr="00A60265">
        <w:rPr>
          <w:i/>
        </w:rPr>
        <w:t>statných dlhodobých záväzkoch</w:t>
      </w:r>
      <w:r w:rsidRPr="00A60265">
        <w:t xml:space="preserve"> a krátkodobá časť v </w:t>
      </w:r>
      <w:r w:rsidRPr="00A60265" w:rsidR="00D52BC7">
        <w:rPr>
          <w:i/>
        </w:rPr>
        <w:t>O</w:t>
      </w:r>
      <w:r w:rsidRPr="00A60265">
        <w:rPr>
          <w:i/>
        </w:rPr>
        <w:t>statných záväzkoch</w:t>
      </w:r>
      <w:r w:rsidRPr="00A60265">
        <w:t>. Nerealizované finančné náklady, ktoré predstavujú rozdiel medzi celkovou sumou dohodnutých platieb a </w:t>
      </w:r>
      <w:r w:rsidRPr="00A60265" w:rsidR="00E86226">
        <w:t xml:space="preserve">reálnou </w:t>
      </w:r>
      <w:r w:rsidRPr="00A60265">
        <w:t>hodnotou obstaraného majetku, sa účtujú vo výkaze ziskov a strát počas doby trvania prenájmu použitím metódy efektívnej úrokovej miery. Náklady súvisiace s obstaraním predmetu finančného prenájmu zvyšujú jeho ocenenie.</w:t>
      </w:r>
    </w:p>
    <w:p w:rsidRPr="00A60265" w:rsidR="0000253C" w:rsidP="00CB407B" w:rsidRDefault="0000253C">
      <w:pPr>
        <w:ind w:left="539"/>
        <w:rPr>
          <w:i/>
          <w:sz w:val="14"/>
          <w:szCs w:val="14"/>
        </w:rPr>
      </w:pPr>
    </w:p>
    <w:p w:rsidRPr="00A60265" w:rsidR="00C81150" w:rsidP="00922A86" w:rsidRDefault="00C81150">
      <w:pPr>
        <w:numPr>
          <w:ilvl w:val="0"/>
          <w:numId w:val="4"/>
        </w:numPr>
      </w:pPr>
      <w:r w:rsidRPr="00A60265">
        <w:t>Dlhodobý finančný majetok – obstarávacou cenou. Obstarávacia cena predstavuje cenu, za ktorú sa majetok obstaral, a náklady súvisiace s jeho obstaraním (poplatky a provízie maklérom, poradcom, burzám).</w:t>
      </w:r>
    </w:p>
    <w:p w:rsidRPr="00A60265" w:rsidR="00C81150" w:rsidP="00C81150" w:rsidRDefault="00C81150">
      <w:pPr>
        <w:rPr>
          <w:sz w:val="14"/>
          <w:szCs w:val="14"/>
        </w:rPr>
      </w:pPr>
    </w:p>
    <w:p w:rsidRPr="00A60265" w:rsidR="00C81150" w:rsidP="00922A86" w:rsidRDefault="00C81150">
      <w:pPr>
        <w:numPr>
          <w:ilvl w:val="0"/>
          <w:numId w:val="4"/>
        </w:numPr>
      </w:pPr>
      <w:r w:rsidRPr="00A60265">
        <w:t>Zásoby obstarané kúpou:</w:t>
      </w:r>
    </w:p>
    <w:p w:rsidRPr="00A60265" w:rsidR="00C81150" w:rsidP="00922A86" w:rsidRDefault="00C81150">
      <w:pPr>
        <w:numPr>
          <w:ilvl w:val="0"/>
          <w:numId w:val="6"/>
        </w:numPr>
        <w:rPr>
          <w:snapToGrid w:val="0"/>
          <w:lang w:eastAsia="sk-SK"/>
        </w:rPr>
      </w:pPr>
      <w:r w:rsidRPr="00A60265">
        <w:rPr>
          <w:snapToGrid w:val="0"/>
          <w:lang w:eastAsia="sk-SK"/>
        </w:rPr>
        <w:t xml:space="preserve">Nakupovaný materiál – obstarávacou cenou. Pri úbytku rovnakého druhu zásob sa používa metóda </w:t>
      </w:r>
      <w:r w:rsidRPr="00A60265" w:rsidR="00E3502B">
        <w:t>FIFO</w:t>
      </w:r>
      <w:r w:rsidRPr="00A60265">
        <w:rPr>
          <w:snapToGrid w:val="0"/>
          <w:lang w:eastAsia="sk-SK"/>
        </w:rPr>
        <w:t>. Do vedľajších nákladov vstupuje clo, prepravné a provízie. Vedľajšie náklady sa rozvrhujú ako odchýlka podľa podielu súčtu stavu a prírastku odchýlky na súčte stavu a prírastku zásob.</w:t>
      </w:r>
    </w:p>
    <w:p w:rsidRPr="00A60265" w:rsidR="00C81150" w:rsidP="00922A86" w:rsidRDefault="00C81150">
      <w:pPr>
        <w:numPr>
          <w:ilvl w:val="0"/>
          <w:numId w:val="6"/>
        </w:numPr>
        <w:rPr>
          <w:snapToGrid w:val="0"/>
          <w:lang w:eastAsia="sk-SK"/>
        </w:rPr>
      </w:pPr>
      <w:r w:rsidRPr="00A60265">
        <w:rPr>
          <w:snapToGrid w:val="0"/>
          <w:lang w:eastAsia="sk-SK"/>
        </w:rPr>
        <w:t xml:space="preserve">Nakupovaný tovar – obstarávacou cenou. Pri úbytku rovnakého druhu zásob sa používa metóda </w:t>
      </w:r>
      <w:r w:rsidRPr="00A60265" w:rsidR="00E3502B">
        <w:t>FIFO</w:t>
      </w:r>
      <w:r w:rsidRPr="00A60265">
        <w:rPr>
          <w:snapToGrid w:val="0"/>
          <w:lang w:eastAsia="sk-SK"/>
        </w:rPr>
        <w:t>. Do vedľajších nákladov patrí prepravné, clo a provízie.</w:t>
      </w:r>
    </w:p>
    <w:p w:rsidRPr="00A60265" w:rsidR="00C81150" w:rsidP="00C81150" w:rsidRDefault="00C81150">
      <w:pPr>
        <w:rPr>
          <w:sz w:val="14"/>
          <w:szCs w:val="14"/>
        </w:rPr>
      </w:pPr>
    </w:p>
    <w:p w:rsidRPr="00A60265" w:rsidR="00C81150" w:rsidP="00922A86" w:rsidRDefault="00C81150">
      <w:pPr>
        <w:numPr>
          <w:ilvl w:val="0"/>
          <w:numId w:val="4"/>
        </w:numPr>
      </w:pPr>
      <w:r w:rsidRPr="00A60265">
        <w:t>Zásoby vytvorené vlastnou činnosťou:</w:t>
      </w:r>
    </w:p>
    <w:p w:rsidRPr="00A60265" w:rsidR="00C81150" w:rsidP="00922A86" w:rsidRDefault="00C81150">
      <w:pPr>
        <w:numPr>
          <w:ilvl w:val="0"/>
          <w:numId w:val="7"/>
        </w:numPr>
        <w:rPr>
          <w:snapToGrid w:val="0"/>
          <w:lang w:eastAsia="sk-SK"/>
        </w:rPr>
      </w:pPr>
      <w:r w:rsidRPr="00A60265">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Pr="00A60265" w:rsidR="00C81150" w:rsidP="00C81150" w:rsidRDefault="00C81150">
      <w:pPr>
        <w:rPr>
          <w:sz w:val="14"/>
          <w:szCs w:val="14"/>
        </w:rPr>
      </w:pPr>
    </w:p>
    <w:p w:rsidRPr="00A60265" w:rsidR="00C81150" w:rsidP="00922A86" w:rsidRDefault="00C81150">
      <w:pPr>
        <w:numPr>
          <w:ilvl w:val="0"/>
          <w:numId w:val="4"/>
        </w:numPr>
      </w:pPr>
      <w:r w:rsidRPr="00A60265">
        <w:t>Zásoby obstarané iným spôsobom – reprodukčnou obstarávacou cenou v prípade bezodplatného nadobudnutia zásob alebo zásob novo zistených pri inventarizácii, t. j. cenou, za ktorú by sa majetok obstaral v čase, keď sa o ňom účtuje.</w:t>
      </w:r>
    </w:p>
    <w:p w:rsidRPr="00A60265" w:rsidR="00C81150" w:rsidP="00C81150" w:rsidRDefault="00C81150">
      <w:pPr>
        <w:rPr>
          <w:sz w:val="14"/>
          <w:szCs w:val="14"/>
        </w:rPr>
      </w:pPr>
    </w:p>
    <w:p w:rsidRPr="00A60265" w:rsidR="00C81150" w:rsidP="00922A86" w:rsidRDefault="00C81150">
      <w:pPr>
        <w:numPr>
          <w:ilvl w:val="0"/>
          <w:numId w:val="4"/>
        </w:numPr>
      </w:pPr>
      <w:r w:rsidRPr="00A60265">
        <w:t>Pohľadávky:</w:t>
      </w:r>
    </w:p>
    <w:p w:rsidRPr="00A60265" w:rsidR="00C81150" w:rsidP="00922A86" w:rsidRDefault="00C81150">
      <w:pPr>
        <w:numPr>
          <w:ilvl w:val="0"/>
          <w:numId w:val="8"/>
        </w:numPr>
        <w:rPr>
          <w:snapToGrid w:val="0"/>
          <w:lang w:eastAsia="sk-SK"/>
        </w:rPr>
      </w:pPr>
      <w:r w:rsidRPr="00A60265">
        <w:rPr>
          <w:snapToGrid w:val="0"/>
          <w:lang w:eastAsia="sk-SK"/>
        </w:rPr>
        <w:t>pri ich vzniku alebo bezodplatnom nadobudnutí – menovitou hodnotou,</w:t>
      </w:r>
    </w:p>
    <w:p w:rsidRPr="00A60265" w:rsidR="00C81150" w:rsidP="00922A86" w:rsidRDefault="00C81150">
      <w:pPr>
        <w:numPr>
          <w:ilvl w:val="0"/>
          <w:numId w:val="8"/>
        </w:numPr>
        <w:rPr>
          <w:snapToGrid w:val="0"/>
          <w:lang w:eastAsia="sk-SK"/>
        </w:rPr>
      </w:pPr>
      <w:r w:rsidRPr="00A60265">
        <w:rPr>
          <w:snapToGrid w:val="0"/>
          <w:lang w:eastAsia="sk-SK"/>
        </w:rPr>
        <w:t>pri odplatnom nadobudnutí (postúpení) alebo nadobudnutí vkladom do základného imania – obstarávacou cenou.</w:t>
      </w:r>
    </w:p>
    <w:p w:rsidRPr="00A60265" w:rsidR="00C81150" w:rsidP="00CB407B" w:rsidRDefault="00C81150">
      <w:pPr>
        <w:ind w:left="539"/>
        <w:rPr>
          <w:sz w:val="14"/>
          <w:szCs w:val="14"/>
        </w:rPr>
      </w:pPr>
    </w:p>
    <w:p w:rsidRPr="00A60265" w:rsidR="00C81150" w:rsidP="00CB407B" w:rsidRDefault="00C81150">
      <w:pPr>
        <w:ind w:left="539"/>
      </w:pPr>
      <w:r w:rsidRPr="00A60265">
        <w:t xml:space="preserve">Pri </w:t>
      </w:r>
      <w:r w:rsidRPr="00A60265" w:rsidR="0000253C">
        <w:t>neúročených</w:t>
      </w:r>
      <w:r w:rsidRPr="00A60265" w:rsidR="001D2B78">
        <w:t xml:space="preserve"> </w:t>
      </w:r>
      <w:r w:rsidRPr="00A60265">
        <w:t>dlhodobých pohľadávkach</w:t>
      </w:r>
      <w:r w:rsidRPr="00A60265" w:rsidR="00511BA5">
        <w:t xml:space="preserve"> a dlhodobých pôžičkách</w:t>
      </w:r>
      <w:r w:rsidRPr="00A60265">
        <w:t xml:space="preserve"> sa uvádza opravná položka v </w:t>
      </w:r>
      <w:r w:rsidRPr="00A60265" w:rsidR="00511BA5">
        <w:t xml:space="preserve">stĺpci </w:t>
      </w:r>
      <w:r w:rsidRPr="00A60265">
        <w:t xml:space="preserve">korekcia, čím sa </w:t>
      </w:r>
      <w:r w:rsidRPr="00A60265" w:rsidR="00511BA5">
        <w:t>upravuje hodnota tejto pohľadávky a pôžičky na jej súčasnú hodnotu, napríklad metódou efektívnej úrokovej miery</w:t>
      </w:r>
      <w:r w:rsidRPr="00A60265">
        <w:t xml:space="preserve">. </w:t>
      </w:r>
    </w:p>
    <w:p w:rsidRPr="00A60265" w:rsidR="00C81150" w:rsidP="00CB407B" w:rsidRDefault="00C81150">
      <w:pPr>
        <w:ind w:left="539"/>
        <w:rPr>
          <w:sz w:val="14"/>
          <w:szCs w:val="14"/>
        </w:rPr>
      </w:pPr>
    </w:p>
    <w:p w:rsidRPr="00A60265" w:rsidR="00C81150" w:rsidP="00922A86" w:rsidRDefault="00C81150">
      <w:pPr>
        <w:numPr>
          <w:ilvl w:val="0"/>
          <w:numId w:val="4"/>
        </w:numPr>
      </w:pPr>
      <w:r w:rsidRPr="00A60265">
        <w:t>Krátkodobý finančný majetok – obstarávacou cenou. Obstarávacia cena je cena, za ktorú sa majetok obstaral, a náklady súvisiace s jeho obstaraním (poplatky a provízie maklérom, poradcom, burzám).</w:t>
      </w:r>
    </w:p>
    <w:p w:rsidRPr="00A60265" w:rsidR="00C81150" w:rsidP="00C81150" w:rsidRDefault="00C81150">
      <w:pPr>
        <w:rPr>
          <w:sz w:val="14"/>
          <w:szCs w:val="14"/>
        </w:rPr>
      </w:pPr>
    </w:p>
    <w:p w:rsidRPr="00A60265" w:rsidR="00C81150" w:rsidP="00922A86" w:rsidRDefault="00C81150">
      <w:pPr>
        <w:numPr>
          <w:ilvl w:val="0"/>
          <w:numId w:val="4"/>
        </w:numPr>
      </w:pPr>
      <w:r w:rsidRPr="00A60265">
        <w:t>Časové rozlíšenie na strane aktív súvahy – očakávanou menovitou hodnotou.</w:t>
      </w:r>
    </w:p>
    <w:p w:rsidRPr="00A60265" w:rsidR="00845108" w:rsidP="009E172B" w:rsidRDefault="00845108">
      <w:pPr>
        <w:rPr>
          <w:sz w:val="14"/>
          <w:szCs w:val="14"/>
        </w:rPr>
      </w:pPr>
    </w:p>
    <w:p w:rsidRPr="00A60265" w:rsidR="00C81150" w:rsidP="00922A86" w:rsidRDefault="00C81150">
      <w:pPr>
        <w:numPr>
          <w:ilvl w:val="0"/>
          <w:numId w:val="4"/>
        </w:numPr>
      </w:pPr>
      <w:r w:rsidRPr="00A60265">
        <w:t>Záväzky:</w:t>
      </w:r>
    </w:p>
    <w:p w:rsidRPr="00A60265" w:rsidR="00C81150" w:rsidP="00922A86" w:rsidRDefault="00C81150">
      <w:pPr>
        <w:numPr>
          <w:ilvl w:val="0"/>
          <w:numId w:val="9"/>
        </w:numPr>
        <w:rPr>
          <w:snapToGrid w:val="0"/>
          <w:lang w:eastAsia="sk-SK"/>
        </w:rPr>
      </w:pPr>
      <w:r w:rsidRPr="00A60265">
        <w:rPr>
          <w:snapToGrid w:val="0"/>
          <w:lang w:eastAsia="sk-SK"/>
        </w:rPr>
        <w:t>pri ich vzniku – menovitou hodnotou,</w:t>
      </w:r>
    </w:p>
    <w:p w:rsidRPr="00A60265" w:rsidR="00C81150" w:rsidP="00922A86" w:rsidRDefault="00C81150">
      <w:pPr>
        <w:numPr>
          <w:ilvl w:val="0"/>
          <w:numId w:val="9"/>
        </w:numPr>
        <w:rPr>
          <w:snapToGrid w:val="0"/>
          <w:lang w:eastAsia="sk-SK"/>
        </w:rPr>
      </w:pPr>
      <w:r w:rsidRPr="00A60265">
        <w:rPr>
          <w:snapToGrid w:val="0"/>
          <w:lang w:eastAsia="sk-SK"/>
        </w:rPr>
        <w:t>pri prevzatí – obstarávacou cenou.</w:t>
      </w:r>
    </w:p>
    <w:p w:rsidRPr="00A60265" w:rsidR="00417846" w:rsidP="00417846" w:rsidRDefault="00417846">
      <w:pPr>
        <w:rPr>
          <w:snapToGrid w:val="0"/>
          <w:sz w:val="14"/>
          <w:szCs w:val="14"/>
          <w:lang w:eastAsia="sk-SK"/>
        </w:rPr>
      </w:pPr>
    </w:p>
    <w:p w:rsidRPr="00A60265" w:rsidR="00C81150" w:rsidP="00922A86" w:rsidRDefault="00C81150">
      <w:pPr>
        <w:numPr>
          <w:ilvl w:val="0"/>
          <w:numId w:val="4"/>
        </w:numPr>
      </w:pPr>
      <w:r w:rsidRPr="00A60265">
        <w:t xml:space="preserve">Rezervy – v očakávanej výške záväzku alebo </w:t>
      </w:r>
      <w:proofErr w:type="spellStart"/>
      <w:r w:rsidRPr="00A60265">
        <w:t>poistnomatematickými</w:t>
      </w:r>
      <w:proofErr w:type="spellEnd"/>
      <w:r w:rsidRPr="00A60265">
        <w:t xml:space="preserve"> metódami.</w:t>
      </w:r>
    </w:p>
    <w:p w:rsidRPr="00A60265" w:rsidR="00C81150" w:rsidP="00C81150" w:rsidRDefault="00C81150">
      <w:pPr>
        <w:rPr>
          <w:sz w:val="14"/>
          <w:szCs w:val="14"/>
        </w:rPr>
      </w:pPr>
    </w:p>
    <w:p w:rsidRPr="00A60265" w:rsidR="00C81150" w:rsidP="00922A86" w:rsidRDefault="00C81150">
      <w:pPr>
        <w:numPr>
          <w:ilvl w:val="0"/>
          <w:numId w:val="4"/>
        </w:numPr>
      </w:pPr>
      <w:r w:rsidRPr="00A60265">
        <w:t xml:space="preserve">Dlhopisy, pôžičky, úvery: </w:t>
      </w:r>
    </w:p>
    <w:p w:rsidRPr="00A60265" w:rsidR="00C81150" w:rsidP="00922A86" w:rsidRDefault="00C81150">
      <w:pPr>
        <w:numPr>
          <w:ilvl w:val="0"/>
          <w:numId w:val="10"/>
        </w:numPr>
        <w:rPr>
          <w:snapToGrid w:val="0"/>
          <w:lang w:eastAsia="sk-SK"/>
        </w:rPr>
      </w:pPr>
      <w:r w:rsidRPr="00A60265">
        <w:rPr>
          <w:snapToGrid w:val="0"/>
          <w:lang w:eastAsia="sk-SK"/>
        </w:rPr>
        <w:t>pri ich vzniku – menovitou hodnotou,</w:t>
      </w:r>
    </w:p>
    <w:p w:rsidRPr="00A60265" w:rsidR="00C81150" w:rsidP="00922A86" w:rsidRDefault="00C81150">
      <w:pPr>
        <w:numPr>
          <w:ilvl w:val="0"/>
          <w:numId w:val="10"/>
        </w:numPr>
        <w:rPr>
          <w:snapToGrid w:val="0"/>
          <w:lang w:eastAsia="sk-SK"/>
        </w:rPr>
      </w:pPr>
      <w:r w:rsidRPr="00A60265">
        <w:rPr>
          <w:snapToGrid w:val="0"/>
          <w:lang w:eastAsia="sk-SK"/>
        </w:rPr>
        <w:t>pri prevzatí – obstarávacou cenou.</w:t>
      </w:r>
    </w:p>
    <w:p w:rsidRPr="00A60265" w:rsidR="00C81150" w:rsidP="00C81150" w:rsidRDefault="00C81150">
      <w:pPr>
        <w:ind w:left="539"/>
        <w:rPr>
          <w:sz w:val="14"/>
          <w:szCs w:val="14"/>
        </w:rPr>
      </w:pPr>
    </w:p>
    <w:p w:rsidRPr="00A60265" w:rsidR="00C81150" w:rsidP="00C81150" w:rsidRDefault="00C81150">
      <w:pPr>
        <w:ind w:left="539"/>
      </w:pPr>
      <w:r w:rsidRPr="00A60265">
        <w:t>Úroky z dlhopisov, pôžičiek a úverov sa účtujú do obdobia, s ktorým časovo a vecne súvisia.</w:t>
      </w:r>
    </w:p>
    <w:p w:rsidRPr="00A60265" w:rsidR="00C81150" w:rsidP="00C81150" w:rsidRDefault="00C81150">
      <w:pPr>
        <w:ind w:left="539"/>
        <w:rPr>
          <w:sz w:val="14"/>
          <w:szCs w:val="14"/>
        </w:rPr>
      </w:pPr>
    </w:p>
    <w:p w:rsidRPr="00A60265" w:rsidR="00C81150" w:rsidP="00922A86" w:rsidRDefault="00C81150">
      <w:pPr>
        <w:numPr>
          <w:ilvl w:val="0"/>
          <w:numId w:val="4"/>
        </w:numPr>
      </w:pPr>
      <w:r w:rsidRPr="00A60265">
        <w:t>Časové rozlíšenie na strane pasív súvahy – očakávanou menovitou hodnotou.</w:t>
      </w:r>
    </w:p>
    <w:p w:rsidRPr="00A60265" w:rsidR="00C81150" w:rsidP="00C81150" w:rsidRDefault="00C81150">
      <w:pPr>
        <w:rPr>
          <w:sz w:val="14"/>
          <w:szCs w:val="14"/>
        </w:rPr>
      </w:pPr>
    </w:p>
    <w:p w:rsidRPr="00A60265" w:rsidR="00C81150" w:rsidP="00922A86" w:rsidRDefault="00C81150">
      <w:pPr>
        <w:numPr>
          <w:ilvl w:val="0"/>
          <w:numId w:val="4"/>
        </w:numPr>
      </w:pPr>
      <w:r w:rsidRPr="00A60265">
        <w:t>Daň z príjmov splatná – podľa slovenského zákona o dani z príjmov sa splatné dane z príjmov určujú z účtovného zisku</w:t>
      </w:r>
      <w:r w:rsidRPr="00A60265" w:rsidR="001D2B78">
        <w:t xml:space="preserve"> pred zdanením</w:t>
      </w:r>
      <w:r w:rsidRPr="00A60265">
        <w:t xml:space="preserve"> pri sadzbe </w:t>
      </w:r>
      <w:r w:rsidRPr="00A60265" w:rsidR="00C160EF">
        <w:t xml:space="preserve">22 </w:t>
      </w:r>
      <w:r w:rsidRPr="00A60265">
        <w:t>% po úpravách o niektoré položky na daňové účely.</w:t>
      </w:r>
    </w:p>
    <w:p w:rsidRPr="00A60265" w:rsidR="00E72285" w:rsidRDefault="00E72285">
      <w:pPr>
        <w:jc w:val="left"/>
      </w:pPr>
      <w:r w:rsidRPr="00A60265">
        <w:br w:type="page"/>
      </w:r>
    </w:p>
    <w:p w:rsidRPr="00A60265" w:rsidR="00C81150" w:rsidP="00922A86" w:rsidRDefault="00C81150">
      <w:pPr>
        <w:numPr>
          <w:ilvl w:val="0"/>
          <w:numId w:val="4"/>
        </w:numPr>
      </w:pPr>
      <w:r w:rsidRPr="00A60265">
        <w:lastRenderedPageBreak/>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Pr="00A60265" w:rsidR="00BC6197">
        <w:t>22</w:t>
      </w:r>
      <w:r w:rsidRPr="00A60265">
        <w:t xml:space="preserve"> %.</w:t>
      </w:r>
    </w:p>
    <w:p w:rsidRPr="00A60265" w:rsidR="0000253C" w:rsidRDefault="0000253C">
      <w:pPr>
        <w:jc w:val="left"/>
        <w:rPr>
          <w:sz w:val="14"/>
          <w:szCs w:val="14"/>
        </w:rPr>
      </w:pPr>
    </w:p>
    <w:p w:rsidRPr="00A60265" w:rsidR="0000253C" w:rsidP="00DB2CCC" w:rsidRDefault="0000253C"/>
    <w:p w:rsidRPr="00A60265" w:rsidR="00C81150" w:rsidP="00C81150" w:rsidRDefault="00C81150">
      <w:pPr>
        <w:pStyle w:val="Heading2"/>
      </w:pPr>
      <w:bookmarkStart w:name="_Ref150575465" w:id="6"/>
      <w:r w:rsidRPr="00A60265">
        <w:t>Spôsob ocenenia jednotlivých zložiek majetku a záväzkov – nasledujúce ocenenie</w:t>
      </w:r>
      <w:bookmarkEnd w:id="6"/>
    </w:p>
    <w:p w:rsidRPr="00A60265" w:rsidR="00C81150" w:rsidP="00C81150" w:rsidRDefault="00C81150"/>
    <w:p w:rsidRPr="00A60265" w:rsidR="00C81150" w:rsidP="00922A86" w:rsidRDefault="00C81150">
      <w:pPr>
        <w:numPr>
          <w:ilvl w:val="0"/>
          <w:numId w:val="15"/>
        </w:numPr>
      </w:pPr>
      <w:bookmarkStart w:name="_Ref150575467" w:id="7"/>
      <w:r w:rsidRPr="00A60265">
        <w:t>Predpokladané riziká, straty a zníženia hodnoty, ktoré sa týkajú majetku a záväzkov, sa vyjadrujú prostredníctvom rezerv, opravných položiek a odpisov.</w:t>
      </w:r>
      <w:bookmarkEnd w:id="7"/>
      <w:r w:rsidRPr="00A60265">
        <w:t xml:space="preserve"> </w:t>
      </w:r>
    </w:p>
    <w:p w:rsidRPr="00A60265" w:rsidR="00C81150" w:rsidP="00C81150" w:rsidRDefault="00C81150"/>
    <w:p w:rsidRPr="00A60265" w:rsidR="00C81150" w:rsidP="00922A86" w:rsidRDefault="00C81150">
      <w:pPr>
        <w:numPr>
          <w:ilvl w:val="0"/>
          <w:numId w:val="11"/>
        </w:numPr>
        <w:tabs>
          <w:tab w:val="clear" w:pos="539"/>
          <w:tab w:val="num" w:pos="900"/>
        </w:tabs>
        <w:ind w:left="900" w:hanging="360"/>
        <w:rPr>
          <w:snapToGrid w:val="0"/>
          <w:lang w:eastAsia="sk-SK"/>
        </w:rPr>
      </w:pPr>
      <w:r w:rsidRPr="00A60265">
        <w:rPr>
          <w:snapToGrid w:val="0"/>
          <w:u w:val="single"/>
          <w:lang w:eastAsia="sk-SK"/>
        </w:rPr>
        <w:t>Rezervy</w:t>
      </w:r>
      <w:r w:rsidRPr="00A60265">
        <w:rPr>
          <w:snapToGrid w:val="0"/>
          <w:lang w:eastAsia="sk-SK"/>
        </w:rPr>
        <w:t xml:space="preserve"> – účtujú sa v očakávanej výške záväzku. Spoločnosť vytvára rezervu na súdne spory, rezervu na environmentálne záväzky, </w:t>
      </w:r>
      <w:r w:rsidRPr="00A60265">
        <w:rPr>
          <w:snapToGrid w:val="0"/>
          <w:szCs w:val="17"/>
          <w:lang w:eastAsia="sk-SK"/>
        </w:rPr>
        <w:t>emisné kvóty</w:t>
      </w:r>
      <w:r w:rsidRPr="00A60265">
        <w:rPr>
          <w:snapToGrid w:val="0"/>
          <w:lang w:eastAsia="sk-SK"/>
        </w:rPr>
        <w:t xml:space="preserve"> a rezervu na odchodné a iné dlhodobé zamestnanecké požitky. Ku dňu, ku ktorému sa zostavuje účtovná závierka, sa posudzuje ich výška a odôvodnenosť. </w:t>
      </w:r>
    </w:p>
    <w:p w:rsidRPr="00A60265" w:rsidR="00C81150" w:rsidP="00CB407B" w:rsidRDefault="00C81150">
      <w:pPr>
        <w:ind w:left="539"/>
      </w:pPr>
    </w:p>
    <w:p w:rsidRPr="00A60265" w:rsidR="00C81150" w:rsidP="00922A86" w:rsidRDefault="00C81150">
      <w:pPr>
        <w:numPr>
          <w:ilvl w:val="0"/>
          <w:numId w:val="12"/>
        </w:numPr>
        <w:tabs>
          <w:tab w:val="clear" w:pos="539"/>
          <w:tab w:val="num" w:pos="900"/>
        </w:tabs>
        <w:ind w:left="900" w:hanging="360"/>
        <w:rPr>
          <w:snapToGrid w:val="0"/>
          <w:lang w:eastAsia="sk-SK"/>
        </w:rPr>
      </w:pPr>
      <w:r w:rsidRPr="00A60265">
        <w:rPr>
          <w:snapToGrid w:val="0"/>
          <w:u w:val="single"/>
          <w:lang w:eastAsia="sk-SK"/>
        </w:rPr>
        <w:t>Opravné položky</w:t>
      </w:r>
      <w:r w:rsidRPr="00A60265" w:rsidR="007F1711">
        <w:rPr>
          <w:snapToGrid w:val="0"/>
          <w:lang w:eastAsia="sk-SK"/>
        </w:rPr>
        <w:t xml:space="preserve"> – účtujú sa v sume opodstatneného predpokladu zníženia hodnoty majetku oproti jeho oceneniu v účtovníctve, a to</w:t>
      </w:r>
      <w:r w:rsidRPr="00A60265">
        <w:rPr>
          <w:snapToGrid w:val="0"/>
          <w:lang w:eastAsia="sk-SK"/>
        </w:rPr>
        <w:t>:</w:t>
      </w:r>
    </w:p>
    <w:p w:rsidRPr="00A60265" w:rsidR="00C81150" w:rsidP="00922A86" w:rsidRDefault="00C81150">
      <w:pPr>
        <w:numPr>
          <w:ilvl w:val="1"/>
          <w:numId w:val="14"/>
        </w:numPr>
        <w:tabs>
          <w:tab w:val="clear" w:pos="851"/>
          <w:tab w:val="num" w:pos="1260"/>
        </w:tabs>
        <w:ind w:left="1260" w:hanging="360"/>
        <w:rPr>
          <w:snapToGrid w:val="0"/>
          <w:lang w:eastAsia="sk-SK"/>
        </w:rPr>
      </w:pPr>
      <w:r w:rsidRPr="00A60265">
        <w:rPr>
          <w:snapToGrid w:val="0"/>
          <w:lang w:eastAsia="sk-SK"/>
        </w:rPr>
        <w:t xml:space="preserve">k zastaveným investíciám na základe zhodnotenia ich účtovnej hodnoty vo vzťahu k možnej realizovateľnej cene, </w:t>
      </w:r>
    </w:p>
    <w:p w:rsidRPr="00A60265" w:rsidR="00C81150" w:rsidP="00922A86" w:rsidRDefault="00C81150">
      <w:pPr>
        <w:numPr>
          <w:ilvl w:val="1"/>
          <w:numId w:val="14"/>
        </w:numPr>
        <w:tabs>
          <w:tab w:val="clear" w:pos="851"/>
          <w:tab w:val="num" w:pos="1260"/>
        </w:tabs>
        <w:ind w:left="1260" w:hanging="360"/>
        <w:rPr>
          <w:snapToGrid w:val="0"/>
          <w:lang w:eastAsia="sk-SK"/>
        </w:rPr>
      </w:pPr>
      <w:r w:rsidRPr="00A60265">
        <w:rPr>
          <w:snapToGrid w:val="0"/>
          <w:lang w:eastAsia="sk-SK"/>
        </w:rPr>
        <w:t>k zásobám bez obratu nad 3</w:t>
      </w:r>
      <w:r w:rsidRPr="00A60265" w:rsidR="001F6AEC">
        <w:rPr>
          <w:snapToGrid w:val="0"/>
          <w:lang w:eastAsia="sk-SK"/>
        </w:rPr>
        <w:t>60 dní vo výške 100</w:t>
      </w:r>
      <w:r w:rsidRPr="00A60265">
        <w:rPr>
          <w:snapToGrid w:val="0"/>
          <w:lang w:eastAsia="sk-SK"/>
        </w:rPr>
        <w:t xml:space="preserve"> % podľa posúdenia ich využiteľnosti v spoločnosti alebo možného odpredaja,</w:t>
      </w:r>
    </w:p>
    <w:p w:rsidRPr="00A60265" w:rsidR="00C81150" w:rsidP="00922A86" w:rsidRDefault="00C81150">
      <w:pPr>
        <w:numPr>
          <w:ilvl w:val="1"/>
          <w:numId w:val="14"/>
        </w:numPr>
        <w:tabs>
          <w:tab w:val="clear" w:pos="851"/>
          <w:tab w:val="num" w:pos="1260"/>
        </w:tabs>
        <w:ind w:left="1260" w:hanging="360"/>
        <w:rPr>
          <w:snapToGrid w:val="0"/>
          <w:lang w:eastAsia="sk-SK"/>
        </w:rPr>
      </w:pPr>
      <w:r w:rsidRPr="00A60265">
        <w:rPr>
          <w:snapToGrid w:val="0"/>
          <w:lang w:eastAsia="sk-SK"/>
        </w:rPr>
        <w:t>k zásobám materiálu, nedokončenej výroby a výrobkov, ktorých trhová cena kl</w:t>
      </w:r>
      <w:r w:rsidRPr="00A60265" w:rsidR="00DE242C">
        <w:rPr>
          <w:snapToGrid w:val="0"/>
          <w:lang w:eastAsia="sk-SK"/>
        </w:rPr>
        <w:t>esla pod </w:t>
      </w:r>
      <w:r w:rsidRPr="00A60265">
        <w:rPr>
          <w:snapToGrid w:val="0"/>
          <w:lang w:eastAsia="sk-SK"/>
        </w:rPr>
        <w:t>obstarávaciu cenu, resp. pod ocenenie vlastnými nákladmi podľa prepočtu podielu obstarávacej ceny alebo vlastných nákladov na možnej trhovej cene,</w:t>
      </w:r>
    </w:p>
    <w:p w:rsidRPr="00A60265" w:rsidR="00C81150" w:rsidP="00922A86" w:rsidRDefault="00C81150">
      <w:pPr>
        <w:numPr>
          <w:ilvl w:val="1"/>
          <w:numId w:val="14"/>
        </w:numPr>
        <w:tabs>
          <w:tab w:val="clear" w:pos="851"/>
          <w:tab w:val="num" w:pos="1260"/>
        </w:tabs>
        <w:ind w:left="1260" w:hanging="360"/>
        <w:rPr>
          <w:snapToGrid w:val="0"/>
          <w:lang w:eastAsia="sk-SK"/>
        </w:rPr>
      </w:pPr>
      <w:r w:rsidRPr="00A60265">
        <w:rPr>
          <w:snapToGrid w:val="0"/>
          <w:lang w:eastAsia="sk-SK"/>
        </w:rPr>
        <w:t>k nedokončenej výrobe predstavujúcej zákazkovú výrobu v súvislosti s vyjadrením strát zákazky,</w:t>
      </w:r>
    </w:p>
    <w:p w:rsidRPr="00A60265" w:rsidR="00C81150" w:rsidP="00922A86" w:rsidRDefault="00C81150">
      <w:pPr>
        <w:numPr>
          <w:ilvl w:val="1"/>
          <w:numId w:val="14"/>
        </w:numPr>
        <w:tabs>
          <w:tab w:val="clear" w:pos="851"/>
          <w:tab w:val="num" w:pos="1260"/>
        </w:tabs>
        <w:ind w:left="1260" w:hanging="360"/>
        <w:rPr>
          <w:snapToGrid w:val="0"/>
          <w:lang w:eastAsia="sk-SK"/>
        </w:rPr>
      </w:pPr>
      <w:r w:rsidRPr="00A60265">
        <w:rPr>
          <w:snapToGrid w:val="0"/>
          <w:lang w:eastAsia="sk-SK"/>
        </w:rPr>
        <w:t>k pohľadávkam po lehote splatnosti nad 360 dní 100 %, nad 180 dní 70 %, z ostatných pohľadávok po lehote splatnosti 5 %.</w:t>
      </w:r>
    </w:p>
    <w:p w:rsidRPr="00A60265" w:rsidR="00C81150" w:rsidP="00C81150" w:rsidRDefault="00C81150"/>
    <w:p w:rsidRPr="00A60265" w:rsidR="00C81150" w:rsidP="00922A86" w:rsidRDefault="00C81150">
      <w:pPr>
        <w:numPr>
          <w:ilvl w:val="0"/>
          <w:numId w:val="13"/>
        </w:numPr>
        <w:tabs>
          <w:tab w:val="clear" w:pos="539"/>
          <w:tab w:val="num" w:pos="900"/>
        </w:tabs>
        <w:ind w:left="900" w:hanging="360"/>
        <w:rPr>
          <w:snapToGrid w:val="0"/>
          <w:lang w:eastAsia="sk-SK"/>
        </w:rPr>
      </w:pPr>
      <w:r w:rsidRPr="00A60265">
        <w:rPr>
          <w:snapToGrid w:val="0"/>
          <w:u w:val="single"/>
          <w:lang w:eastAsia="sk-SK"/>
        </w:rPr>
        <w:t xml:space="preserve">Plán odpisov </w:t>
      </w:r>
    </w:p>
    <w:p w:rsidRPr="00A60265" w:rsidR="00C81150" w:rsidP="00EB02F1" w:rsidRDefault="00C81150">
      <w:pPr>
        <w:ind w:left="900"/>
        <w:rPr>
          <w:snapToGrid w:val="0"/>
          <w:lang w:eastAsia="sk-SK"/>
        </w:rPr>
      </w:pPr>
    </w:p>
    <w:p w:rsidRPr="00A60265" w:rsidR="00C81150" w:rsidP="00EB02F1" w:rsidRDefault="00C81150">
      <w:pPr>
        <w:ind w:left="900"/>
      </w:pPr>
      <w:r w:rsidRPr="00A60265">
        <w:t xml:space="preserve">Dlhodobý hmotný a nehmotný majetok sa odpisuje podľa plánu odpisov, ktorý bol stanovený vzhľadom na odhad reálnej ekonomickej životnosti. </w:t>
      </w:r>
      <w:r w:rsidRPr="00A60265" w:rsidR="007F1711">
        <w:t xml:space="preserve">Majetok sa odpisuje počas predpokladanej doby používania zodpovedajúcej spotrebe budúcich ekonomických úžitkov z majetku. </w:t>
      </w:r>
      <w:r w:rsidRPr="00A60265">
        <w:t xml:space="preserve">Účtovné odpisy sú rovnomerné. Majetok sa začína odpisovať v mesiaci nasledujúcom po mesiaci zaradenia do používania. </w:t>
      </w:r>
    </w:p>
    <w:p w:rsidRPr="00A60265" w:rsidR="00C81150" w:rsidP="00EB02F1" w:rsidRDefault="00C81150">
      <w:pPr>
        <w:ind w:left="900"/>
        <w:rPr>
          <w:b/>
          <w:snapToGrid w:val="0"/>
          <w:lang w:eastAsia="sk-SK"/>
        </w:rPr>
      </w:pPr>
    </w:p>
    <w:p w:rsidRPr="00A60265" w:rsidR="00C81150" w:rsidP="00EB02F1" w:rsidRDefault="00C81150">
      <w:pPr>
        <w:ind w:left="900"/>
      </w:pPr>
      <w:r w:rsidRPr="00A60265">
        <w:t>Priemerné životnosti podľa plánu odpisov sú:</w:t>
      </w:r>
    </w:p>
    <w:p w:rsidRPr="00A60265" w:rsidR="00C81150" w:rsidP="00CB407B" w:rsidRDefault="00C81150">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Pr="00A60265" w:rsidR="00C81150" w:rsidTr="00DA5804">
        <w:tc>
          <w:tcPr>
            <w:tcW w:w="3211" w:type="dxa"/>
            <w:tcBorders>
              <w:top w:val="single" w:color="auto" w:sz="8" w:space="0"/>
              <w:bottom w:val="single" w:color="auto" w:sz="4" w:space="0"/>
            </w:tcBorders>
          </w:tcPr>
          <w:p w:rsidRPr="00A60265" w:rsidR="00C81150" w:rsidP="00CB407B" w:rsidRDefault="00C81150">
            <w:pPr>
              <w:jc w:val="left"/>
              <w:rPr>
                <w:b/>
                <w:i/>
                <w:sz w:val="15"/>
                <w:szCs w:val="15"/>
              </w:rPr>
            </w:pPr>
            <w:r w:rsidRPr="00A60265">
              <w:rPr>
                <w:b/>
                <w:i/>
                <w:sz w:val="15"/>
                <w:szCs w:val="15"/>
              </w:rPr>
              <w:t>Druh majetku</w:t>
            </w:r>
          </w:p>
        </w:tc>
        <w:tc>
          <w:tcPr>
            <w:tcW w:w="2268" w:type="dxa"/>
            <w:tcBorders>
              <w:top w:val="single" w:color="auto" w:sz="8" w:space="0"/>
              <w:bottom w:val="single" w:color="auto" w:sz="4" w:space="0"/>
            </w:tcBorders>
          </w:tcPr>
          <w:p w:rsidRPr="00A60265" w:rsidR="00C81150" w:rsidP="00CB407B" w:rsidRDefault="00C81150">
            <w:pPr>
              <w:jc w:val="center"/>
              <w:rPr>
                <w:b/>
                <w:i/>
                <w:sz w:val="15"/>
                <w:szCs w:val="15"/>
              </w:rPr>
            </w:pPr>
            <w:r w:rsidRPr="00A60265">
              <w:rPr>
                <w:b/>
                <w:i/>
                <w:sz w:val="15"/>
                <w:szCs w:val="15"/>
              </w:rPr>
              <w:t>Životnosť</w:t>
            </w:r>
          </w:p>
        </w:tc>
        <w:tc>
          <w:tcPr>
            <w:tcW w:w="2693" w:type="dxa"/>
            <w:tcBorders>
              <w:top w:val="single" w:color="auto" w:sz="8" w:space="0"/>
              <w:bottom w:val="single" w:color="auto" w:sz="4" w:space="0"/>
            </w:tcBorders>
          </w:tcPr>
          <w:p w:rsidRPr="00A60265" w:rsidR="00C81150" w:rsidP="00CB407B" w:rsidRDefault="00C81150">
            <w:pPr>
              <w:jc w:val="center"/>
              <w:rPr>
                <w:b/>
                <w:i/>
                <w:sz w:val="15"/>
                <w:szCs w:val="15"/>
              </w:rPr>
            </w:pPr>
            <w:r w:rsidRPr="00A60265">
              <w:rPr>
                <w:b/>
                <w:i/>
                <w:sz w:val="15"/>
                <w:szCs w:val="15"/>
              </w:rPr>
              <w:t>Ročná sadzba odpisov</w:t>
            </w:r>
          </w:p>
        </w:tc>
      </w:tr>
      <w:tr w:rsidRPr="00A60265" w:rsidR="00E108EB" w:rsidTr="00DA5804">
        <w:tc>
          <w:tcPr>
            <w:tcW w:w="3211" w:type="dxa"/>
            <w:tcBorders>
              <w:top w:val="single" w:color="auto" w:sz="4" w:space="0"/>
            </w:tcBorders>
          </w:tcPr>
          <w:p w:rsidRPr="00A60265" w:rsidR="00C81150" w:rsidP="001B30A4" w:rsidRDefault="00C81150">
            <w:pPr>
              <w:rPr>
                <w:b/>
                <w:snapToGrid w:val="0"/>
                <w:sz w:val="15"/>
                <w:szCs w:val="15"/>
                <w:lang w:eastAsia="sk-SK"/>
              </w:rPr>
            </w:pPr>
            <w:r w:rsidRPr="00A60265">
              <w:rPr>
                <w:sz w:val="15"/>
                <w:szCs w:val="15"/>
              </w:rPr>
              <w:t>Budovy a stavby</w:t>
            </w:r>
          </w:p>
        </w:tc>
        <w:tc>
          <w:tcPr>
            <w:tcW w:w="2268" w:type="dxa"/>
            <w:tcBorders>
              <w:top w:val="single" w:color="auto" w:sz="4" w:space="0"/>
            </w:tcBorders>
          </w:tcPr>
          <w:p w:rsidRPr="00A60265" w:rsidR="00C81150" w:rsidP="00CB407B" w:rsidRDefault="00E108EB">
            <w:pPr>
              <w:jc w:val="center"/>
              <w:rPr>
                <w:snapToGrid w:val="0"/>
                <w:sz w:val="15"/>
                <w:szCs w:val="15"/>
                <w:lang w:eastAsia="sk-SK"/>
              </w:rPr>
            </w:pPr>
            <w:r w:rsidRPr="00A60265">
              <w:rPr>
                <w:snapToGrid w:val="0"/>
                <w:sz w:val="15"/>
                <w:szCs w:val="15"/>
                <w:lang w:eastAsia="sk-SK"/>
              </w:rPr>
              <w:t>25 rokov</w:t>
            </w:r>
          </w:p>
        </w:tc>
        <w:tc>
          <w:tcPr>
            <w:tcW w:w="2693" w:type="dxa"/>
            <w:tcBorders>
              <w:top w:val="single" w:color="auto" w:sz="4" w:space="0"/>
            </w:tcBorders>
          </w:tcPr>
          <w:p w:rsidRPr="00A60265" w:rsidR="00C81150" w:rsidP="00CB407B" w:rsidRDefault="00E108EB">
            <w:pPr>
              <w:jc w:val="center"/>
              <w:rPr>
                <w:sz w:val="15"/>
                <w:szCs w:val="15"/>
              </w:rPr>
            </w:pPr>
            <w:r w:rsidRPr="00A60265">
              <w:rPr>
                <w:sz w:val="15"/>
                <w:szCs w:val="15"/>
              </w:rPr>
              <w:t>4</w:t>
            </w:r>
            <w:r w:rsidRPr="00A60265" w:rsidR="002C66A7">
              <w:rPr>
                <w:sz w:val="15"/>
                <w:szCs w:val="15"/>
              </w:rPr>
              <w:t xml:space="preserve"> </w:t>
            </w:r>
            <w:r w:rsidRPr="00A60265">
              <w:rPr>
                <w:sz w:val="15"/>
                <w:szCs w:val="15"/>
              </w:rPr>
              <w:t>%</w:t>
            </w:r>
          </w:p>
        </w:tc>
      </w:tr>
      <w:tr w:rsidRPr="00A60265" w:rsidR="00E108EB" w:rsidTr="00E72285">
        <w:tc>
          <w:tcPr>
            <w:tcW w:w="3211" w:type="dxa"/>
          </w:tcPr>
          <w:p w:rsidRPr="00A60265" w:rsidR="00C81150" w:rsidP="001240E4" w:rsidRDefault="00C81150">
            <w:pPr>
              <w:tabs>
                <w:tab w:val="left" w:pos="1920"/>
              </w:tabs>
              <w:rPr>
                <w:b/>
                <w:snapToGrid w:val="0"/>
                <w:sz w:val="15"/>
                <w:szCs w:val="15"/>
                <w:lang w:eastAsia="sk-SK"/>
              </w:rPr>
            </w:pPr>
            <w:r w:rsidRPr="00A60265">
              <w:rPr>
                <w:sz w:val="15"/>
                <w:szCs w:val="15"/>
              </w:rPr>
              <w:t>Stroje a zariadenia</w:t>
            </w:r>
          </w:p>
        </w:tc>
        <w:tc>
          <w:tcPr>
            <w:tcW w:w="2268" w:type="dxa"/>
          </w:tcPr>
          <w:p w:rsidRPr="00A60265" w:rsidR="00C81150" w:rsidP="00CB407B" w:rsidRDefault="00E108EB">
            <w:pPr>
              <w:jc w:val="center"/>
              <w:rPr>
                <w:snapToGrid w:val="0"/>
                <w:sz w:val="15"/>
                <w:szCs w:val="15"/>
                <w:lang w:eastAsia="sk-SK"/>
              </w:rPr>
            </w:pPr>
            <w:r w:rsidRPr="00A60265">
              <w:rPr>
                <w:snapToGrid w:val="0"/>
                <w:sz w:val="15"/>
                <w:szCs w:val="15"/>
                <w:lang w:eastAsia="sk-SK"/>
              </w:rPr>
              <w:t>10 rokov</w:t>
            </w:r>
          </w:p>
        </w:tc>
        <w:tc>
          <w:tcPr>
            <w:tcW w:w="2693" w:type="dxa"/>
          </w:tcPr>
          <w:p w:rsidRPr="00A60265" w:rsidR="00C81150" w:rsidP="00CB407B" w:rsidRDefault="00E108EB">
            <w:pPr>
              <w:jc w:val="center"/>
              <w:rPr>
                <w:sz w:val="15"/>
                <w:szCs w:val="15"/>
              </w:rPr>
            </w:pPr>
            <w:r w:rsidRPr="00A60265">
              <w:rPr>
                <w:sz w:val="15"/>
                <w:szCs w:val="15"/>
              </w:rPr>
              <w:t>10</w:t>
            </w:r>
            <w:r w:rsidRPr="00A60265" w:rsidR="002C66A7">
              <w:rPr>
                <w:sz w:val="15"/>
                <w:szCs w:val="15"/>
              </w:rPr>
              <w:t xml:space="preserve"> </w:t>
            </w:r>
            <w:r w:rsidRPr="00A60265">
              <w:rPr>
                <w:sz w:val="15"/>
                <w:szCs w:val="15"/>
              </w:rPr>
              <w:t>%</w:t>
            </w:r>
          </w:p>
        </w:tc>
      </w:tr>
      <w:tr w:rsidRPr="00A60265" w:rsidR="00E108EB" w:rsidTr="00E72285">
        <w:tc>
          <w:tcPr>
            <w:tcW w:w="3211" w:type="dxa"/>
            <w:tcBorders>
              <w:bottom w:val="single" w:color="auto" w:sz="8" w:space="0"/>
            </w:tcBorders>
          </w:tcPr>
          <w:p w:rsidRPr="00A60265" w:rsidR="00C81150" w:rsidP="001B30A4" w:rsidRDefault="00C81150">
            <w:pPr>
              <w:rPr>
                <w:b/>
                <w:snapToGrid w:val="0"/>
                <w:sz w:val="15"/>
                <w:szCs w:val="15"/>
                <w:lang w:eastAsia="sk-SK"/>
              </w:rPr>
            </w:pPr>
            <w:r w:rsidRPr="00A60265">
              <w:rPr>
                <w:sz w:val="15"/>
                <w:szCs w:val="15"/>
              </w:rPr>
              <w:t>Dopravné prostriedky</w:t>
            </w:r>
          </w:p>
        </w:tc>
        <w:tc>
          <w:tcPr>
            <w:tcW w:w="2268" w:type="dxa"/>
            <w:tcBorders>
              <w:bottom w:val="single" w:color="auto" w:sz="8" w:space="0"/>
            </w:tcBorders>
          </w:tcPr>
          <w:p w:rsidRPr="00A60265" w:rsidR="00C81150" w:rsidP="00CB407B" w:rsidRDefault="00E108EB">
            <w:pPr>
              <w:jc w:val="center"/>
              <w:rPr>
                <w:snapToGrid w:val="0"/>
                <w:sz w:val="15"/>
                <w:szCs w:val="15"/>
                <w:lang w:eastAsia="sk-SK"/>
              </w:rPr>
            </w:pPr>
            <w:r w:rsidRPr="00A60265">
              <w:rPr>
                <w:snapToGrid w:val="0"/>
                <w:sz w:val="15"/>
                <w:szCs w:val="15"/>
                <w:lang w:eastAsia="sk-SK"/>
              </w:rPr>
              <w:t>5 rokov</w:t>
            </w:r>
          </w:p>
        </w:tc>
        <w:tc>
          <w:tcPr>
            <w:tcW w:w="2693" w:type="dxa"/>
            <w:tcBorders>
              <w:bottom w:val="single" w:color="auto" w:sz="8" w:space="0"/>
            </w:tcBorders>
          </w:tcPr>
          <w:p w:rsidRPr="00A60265" w:rsidR="00C81150" w:rsidP="00CB407B" w:rsidRDefault="00E108EB">
            <w:pPr>
              <w:jc w:val="center"/>
              <w:rPr>
                <w:sz w:val="15"/>
                <w:szCs w:val="15"/>
              </w:rPr>
            </w:pPr>
            <w:r w:rsidRPr="00A60265">
              <w:rPr>
                <w:sz w:val="15"/>
                <w:szCs w:val="15"/>
              </w:rPr>
              <w:t>20</w:t>
            </w:r>
            <w:r w:rsidRPr="00A60265" w:rsidR="002C66A7">
              <w:rPr>
                <w:sz w:val="15"/>
                <w:szCs w:val="15"/>
              </w:rPr>
              <w:t xml:space="preserve"> </w:t>
            </w:r>
            <w:r w:rsidRPr="00A60265">
              <w:rPr>
                <w:sz w:val="15"/>
                <w:szCs w:val="15"/>
              </w:rPr>
              <w:t>%</w:t>
            </w:r>
          </w:p>
        </w:tc>
      </w:tr>
    </w:tbl>
    <w:p w:rsidRPr="00A60265" w:rsidR="007F1711" w:rsidP="00EB02F1" w:rsidRDefault="007F1711">
      <w:pPr>
        <w:ind w:left="900"/>
        <w:rPr>
          <w:snapToGrid w:val="0"/>
        </w:rPr>
      </w:pPr>
    </w:p>
    <w:p w:rsidRPr="00A60265" w:rsidR="00C81150" w:rsidP="00862A9C" w:rsidRDefault="00C81150">
      <w:pPr>
        <w:ind w:left="900"/>
      </w:pPr>
      <w:r w:rsidRPr="00A60265">
        <w:rPr>
          <w:snapToGrid w:val="0"/>
        </w:rPr>
        <w:t xml:space="preserve">Daňové odpisy sa uplatňujú podľa sadzieb uvedených v zákone o dani z príjmov platných pre </w:t>
      </w:r>
      <w:r w:rsidRPr="00A60265" w:rsidR="00657091">
        <w:rPr>
          <w:snapToGrid w:val="0"/>
        </w:rPr>
        <w:t>rovnomerné</w:t>
      </w:r>
      <w:r w:rsidRPr="00A60265">
        <w:rPr>
          <w:color w:val="FF0000"/>
        </w:rPr>
        <w:t xml:space="preserve"> </w:t>
      </w:r>
      <w:r w:rsidRPr="00A60265">
        <w:t>odpisovanie.</w:t>
      </w:r>
    </w:p>
    <w:p w:rsidRPr="00A60265" w:rsidR="00D31407" w:rsidP="00D31407" w:rsidRDefault="00D31407"/>
    <w:p w:rsidRPr="00A60265" w:rsidR="0000253C" w:rsidRDefault="0000253C">
      <w:pPr>
        <w:jc w:val="left"/>
      </w:pPr>
    </w:p>
    <w:p w:rsidRPr="00A60265" w:rsidR="00C81150" w:rsidP="00CB407B" w:rsidRDefault="00C81150">
      <w:pPr>
        <w:pStyle w:val="Heading2"/>
      </w:pPr>
      <w:r w:rsidRPr="00A60265">
        <w:t>Prepočet údajov v cudzích menách na slovenskú menu</w:t>
      </w:r>
    </w:p>
    <w:p w:rsidRPr="00A60265" w:rsidR="00C81150" w:rsidP="00C81150" w:rsidRDefault="00C81150"/>
    <w:p w:rsidRPr="00A60265" w:rsidR="00C81150" w:rsidP="00C81150" w:rsidRDefault="00C81150">
      <w:r w:rsidRPr="00A60265">
        <w:t xml:space="preserve">Majetok a záväzky vyjadrené v cudzej mene sa prepočítavajú na </w:t>
      </w:r>
      <w:r w:rsidRPr="00A60265" w:rsidR="006A49A3">
        <w:t>eurá referenčným výmenným</w:t>
      </w:r>
      <w:r w:rsidRPr="00A60265">
        <w:t xml:space="preserve"> kurzom určeným </w:t>
      </w:r>
      <w:r w:rsidRPr="00A60265" w:rsidR="00487854">
        <w:t>a vyhláseným Európskou centrálnou bankou (ECB) alebo Národnou bankou Slovenska (</w:t>
      </w:r>
      <w:r w:rsidRPr="00A60265">
        <w:t>NBS</w:t>
      </w:r>
      <w:r w:rsidRPr="00A60265" w:rsidR="00487854">
        <w:t>)</w:t>
      </w:r>
      <w:r w:rsidRPr="00A60265">
        <w:t xml:space="preserve"> </w:t>
      </w:r>
      <w:r w:rsidRPr="00A60265" w:rsidR="00487854">
        <w:t xml:space="preserve">v deň predchádzajúci </w:t>
      </w:r>
      <w:r w:rsidRPr="00A60265">
        <w:t xml:space="preserve">dňu uskutočnenia účtovného prípadu a </w:t>
      </w:r>
      <w:r w:rsidRPr="00A60265" w:rsidR="00487854">
        <w:t>v deň</w:t>
      </w:r>
      <w:r w:rsidRPr="00A60265" w:rsidR="003B3C94">
        <w:t>, ku ktorému sa zostavuje účtovná závierka</w:t>
      </w:r>
      <w:r w:rsidRPr="00A60265">
        <w:t xml:space="preserve">. </w:t>
      </w:r>
      <w:r w:rsidRPr="00A60265" w:rsidR="000F2546">
        <w:t xml:space="preserve">Prijaté a poskytnuté preddavky v cudzej mene sa </w:t>
      </w:r>
      <w:r w:rsidRPr="00A60265" w:rsidR="006F1C45">
        <w:t>ku dňu, ku ktorému sa zostavuje účtovná závierka</w:t>
      </w:r>
      <w:r w:rsidRPr="00A60265" w:rsidR="007D6303">
        <w:t>,</w:t>
      </w:r>
      <w:r w:rsidRPr="00A60265" w:rsidR="006F1C45">
        <w:t xml:space="preserve"> neprepočítavajú. </w:t>
      </w:r>
      <w:r w:rsidRPr="00A60265">
        <w:t xml:space="preserve">Pri kúpe a predaji cudzej meny za menu </w:t>
      </w:r>
      <w:r w:rsidRPr="00A60265" w:rsidR="00487854">
        <w:t xml:space="preserve">euro a pri prevode peňažných prostriedkov z účtu zriadeného v cudzej mene na účet zriadený v eurách a z účtu zriadeného v eurách na účet zriadený v cudzej mene </w:t>
      </w:r>
      <w:r w:rsidRPr="00A60265">
        <w:t>sa použil kurz, za ktorý boli tieto hodnoty nakúpené alebo predané.</w:t>
      </w:r>
      <w:r w:rsidRPr="00A60265" w:rsidR="006F1C45">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Pr="00A60265" w:rsidR="00487854">
        <w:t xml:space="preserve">referenčný výmenný </w:t>
      </w:r>
      <w:r w:rsidRPr="00A60265" w:rsidR="00D3184D">
        <w:t xml:space="preserve">kurz </w:t>
      </w:r>
      <w:r w:rsidRPr="00A60265" w:rsidR="00487854">
        <w:t>určený a vyhlásený ECB alebo</w:t>
      </w:r>
      <w:r w:rsidRPr="00A60265" w:rsidR="006F1C45">
        <w:t xml:space="preserve"> NBS v deň </w:t>
      </w:r>
      <w:r w:rsidRPr="00A60265" w:rsidR="00487854">
        <w:t xml:space="preserve">predchádzajúci dňu </w:t>
      </w:r>
      <w:r w:rsidRPr="00A60265" w:rsidR="006F1C45">
        <w:t>vysporiadania obchodu.</w:t>
      </w:r>
    </w:p>
    <w:p w:rsidRPr="00A60265" w:rsidR="00C81150" w:rsidP="00C81150" w:rsidRDefault="00C81150">
      <w:pPr>
        <w:ind w:left="567"/>
        <w:rPr>
          <w:b/>
          <w:snapToGrid w:val="0"/>
          <w:lang w:eastAsia="sk-SK"/>
        </w:rPr>
      </w:pPr>
    </w:p>
    <w:p w:rsidRPr="00A60265" w:rsidR="00C81150" w:rsidP="00C81150" w:rsidRDefault="00C81150">
      <w:pPr>
        <w:ind w:left="567"/>
      </w:pPr>
    </w:p>
    <w:p w:rsidRPr="00A60265" w:rsidR="00CB407B" w:rsidP="00CB407B" w:rsidRDefault="00CB407B">
      <w:pPr>
        <w:pStyle w:val="Heading2"/>
      </w:pPr>
      <w:r w:rsidRPr="00A60265">
        <w:lastRenderedPageBreak/>
        <w:t xml:space="preserve">Zmeny účtovných zásad a účtovných metód </w:t>
      </w:r>
    </w:p>
    <w:p w:rsidRPr="00A60265" w:rsidR="00CB407B" w:rsidP="00CB407B" w:rsidRDefault="00CB407B"/>
    <w:p w:rsidRPr="00A60265" w:rsidR="007F1711" w:rsidP="007F1711" w:rsidRDefault="008458E9">
      <w:r w:rsidRPr="00A60265">
        <w:t xml:space="preserve">V účtovnom období </w:t>
      </w:r>
      <w:r w:rsidR="00D07359">
        <w:t>nenastali žiadne zmeny v účtovných zásadách a účtovných metódach.</w:t>
      </w:r>
    </w:p>
    <w:p w:rsidR="00E3502B" w:rsidP="00E3502B" w:rsidRDefault="00E3502B"/>
    <w:p w:rsidR="009B1CEB" w:rsidP="00E3502B" w:rsidRDefault="009B1CEB"/>
    <w:p w:rsidRPr="003924CF" w:rsidR="009B1CEB" w:rsidP="009B1CEB" w:rsidRDefault="009B1CEB">
      <w:pPr>
        <w:pStyle w:val="Heading2"/>
      </w:pPr>
      <w:r w:rsidRPr="003924CF">
        <w:t>Oprava významných chýb minulých období</w:t>
      </w:r>
    </w:p>
    <w:p w:rsidRPr="00144B35" w:rsidR="009B1CEB" w:rsidP="009B1CEB" w:rsidRDefault="009B1CEB"/>
    <w:p w:rsidRPr="00D07359" w:rsidR="00F82EB0" w:rsidP="009B1CEB" w:rsidRDefault="00D07359">
      <w:pPr>
        <w:rPr>
          <w:color w:val="000000" w:themeColor="text1"/>
        </w:rPr>
      </w:pPr>
      <w:r w:rsidRPr="00D07359">
        <w:rPr>
          <w:color w:val="000000" w:themeColor="text1"/>
        </w:rPr>
        <w:t>V účtovnom období spoločnosť nevykonala žiadnu opravu významných chýb minulých období.</w:t>
      </w:r>
    </w:p>
    <w:p w:rsidRPr="00A60265" w:rsidR="00E3502B" w:rsidP="00E3502B" w:rsidRDefault="00E3502B"/>
    <w:p w:rsidRPr="002101E6" w:rsidR="009B1CEB" w:rsidP="009B1CEB" w:rsidRDefault="009B1CEB">
      <w:pPr>
        <w:pStyle w:val="Heading1"/>
      </w:pPr>
      <w:r w:rsidRPr="002101E6">
        <w:t>INFORMáCIE, KTORé VYSVETĽUJú A DOPĹňAJú SúVAHU A VýKAZ ZISKOV A STRáT</w:t>
      </w:r>
    </w:p>
    <w:p w:rsidR="00CC43ED" w:rsidRDefault="00CC43ED">
      <w:pPr>
        <w:jc w:val="left"/>
        <w:rPr>
          <w:rFonts w:cs="Arial"/>
          <w:b/>
          <w:bCs/>
          <w:iCs/>
          <w:szCs w:val="28"/>
        </w:rPr>
      </w:pPr>
    </w:p>
    <w:p w:rsidRPr="00A60265" w:rsidR="0074448F" w:rsidP="008711DF" w:rsidRDefault="0074448F">
      <w:pPr>
        <w:pStyle w:val="Heading2"/>
      </w:pPr>
      <w:r w:rsidRPr="00A60265">
        <w:t xml:space="preserve">Záväzky </w:t>
      </w:r>
    </w:p>
    <w:p w:rsidRPr="00A60265" w:rsidR="0074448F" w:rsidP="0074448F" w:rsidRDefault="0074448F">
      <w:pPr>
        <w:rPr>
          <w:snapToGrid w:val="0"/>
          <w:lang w:eastAsia="sk-SK"/>
        </w:rPr>
      </w:pPr>
    </w:p>
    <w:p w:rsidRPr="002101E6" w:rsidR="009B1CEB" w:rsidP="009B1CEB" w:rsidRDefault="009B1CEB">
      <w:pPr>
        <w:pStyle w:val="Heading3"/>
      </w:pPr>
      <w:r>
        <w:t>Z</w:t>
      </w:r>
      <w:r w:rsidRPr="002101E6">
        <w:t>áväzky podľa zostatkovej doby splatnosti</w:t>
      </w:r>
    </w:p>
    <w:p w:rsidRPr="00A60265" w:rsidR="008B77F4" w:rsidP="00144B35" w:rsidRDefault="008B77F4">
      <w:pPr>
        <w:pStyle w:val="Heading3"/>
        <w:numPr>
          <w:ilvl w:val="0"/>
          <w:numId w:val="0"/>
        </w:numPr>
        <w:ind w:left="539"/>
      </w:pPr>
    </w:p>
    <w:tbl>
      <w:tblPr>
        <w:tblW w:w="4962" w:type="pct"/>
        <w:tblInd w:w="70" w:type="dxa"/>
        <w:tblCellMar>
          <w:left w:w="70" w:type="dxa"/>
          <w:right w:w="70" w:type="dxa"/>
        </w:tblCellMar>
        <w:tblLook w:val="04A0" w:firstRow="1" w:lastRow="0" w:firstColumn="1" w:lastColumn="0" w:noHBand="0" w:noVBand="1"/>
      </w:tblPr>
      <w:tblGrid>
        <w:gridCol w:w="5368"/>
        <w:gridCol w:w="718"/>
        <w:gridCol w:w="1528"/>
        <w:gridCol w:w="1527"/>
      </w:tblGrid>
      <w:tr w:rsidRPr="00A60265" w:rsidR="005B36DD" w:rsidTr="00144B35">
        <w:tc>
          <w:tcPr>
            <w:tcW w:w="2936" w:type="pct"/>
            <w:tcBorders>
              <w:top w:val="single" w:color="auto" w:sz="8" w:space="0"/>
              <w:left w:val="nil"/>
              <w:bottom w:val="nil"/>
              <w:right w:val="nil"/>
            </w:tcBorders>
            <w:shd w:val="clear" w:color="auto" w:fill="auto"/>
            <w:vAlign w:val="center"/>
            <w:hideMark/>
          </w:tcPr>
          <w:p w:rsidRPr="00A60265" w:rsidR="005B36DD" w:rsidP="00144B35" w:rsidRDefault="005B36DD">
            <w:pPr>
              <w:rPr>
                <w:rFonts w:cs="Arial"/>
                <w:b/>
                <w:bCs/>
                <w:i/>
                <w:iCs/>
                <w:sz w:val="15"/>
                <w:szCs w:val="15"/>
                <w:lang w:eastAsia="sk-SK"/>
              </w:rPr>
            </w:pPr>
            <w:bookmarkStart w:name="T_payables_maturity" w:id="8"/>
            <w:r w:rsidRPr="00A60265">
              <w:rPr>
                <w:snapToGrid w:val="0"/>
                <w:u w:val="single"/>
                <w:lang w:eastAsia="sk-SK"/>
              </w:rPr>
              <w:t xml:space="preserve"> </w:t>
            </w:r>
            <w:bookmarkStart w:name="RANGE!B9:E18" w:id="9"/>
            <w:r w:rsidRPr="00A60265">
              <w:rPr>
                <w:rFonts w:cs="Arial"/>
                <w:b/>
                <w:bCs/>
                <w:i/>
                <w:iCs/>
                <w:sz w:val="15"/>
                <w:szCs w:val="15"/>
                <w:lang w:eastAsia="sk-SK"/>
              </w:rPr>
              <w:t>Položka</w:t>
            </w:r>
            <w:bookmarkEnd w:id="9"/>
          </w:p>
        </w:tc>
        <w:tc>
          <w:tcPr>
            <w:tcW w:w="393" w:type="pct"/>
            <w:tcBorders>
              <w:top w:val="single" w:color="auto" w:sz="8" w:space="0"/>
              <w:left w:val="nil"/>
              <w:bottom w:val="nil"/>
              <w:right w:val="nil"/>
            </w:tcBorders>
            <w:shd w:val="clear" w:color="auto" w:fill="auto"/>
            <w:vAlign w:val="center"/>
          </w:tcPr>
          <w:p w:rsidRPr="00A60265" w:rsidR="005B36DD" w:rsidP="00144B35" w:rsidRDefault="005B36DD">
            <w:pPr>
              <w:rPr>
                <w:rFonts w:cs="Arial"/>
                <w:b/>
                <w:bCs/>
                <w:i/>
                <w:iCs/>
                <w:sz w:val="15"/>
                <w:szCs w:val="15"/>
                <w:lang w:eastAsia="sk-SK"/>
              </w:rPr>
            </w:pPr>
          </w:p>
        </w:tc>
        <w:tc>
          <w:tcPr>
            <w:tcW w:w="836" w:type="pct"/>
            <w:tcBorders>
              <w:top w:val="single" w:color="auto" w:sz="8" w:space="0"/>
              <w:left w:val="nil"/>
              <w:bottom w:val="nil"/>
              <w:right w:val="nil"/>
            </w:tcBorders>
            <w:shd w:val="clear" w:color="auto" w:fill="auto"/>
            <w:vAlign w:val="center"/>
            <w:hideMark/>
          </w:tcPr>
          <w:p w:rsidRPr="00A60265" w:rsidR="005B36DD" w:rsidRDefault="005B36DD">
            <w:pPr>
              <w:jc w:val="center"/>
              <w:rPr>
                <w:rFonts w:cs="Arial"/>
                <w:b/>
                <w:bCs/>
                <w:i/>
                <w:iCs/>
                <w:sz w:val="15"/>
                <w:szCs w:val="15"/>
                <w:lang w:eastAsia="sk-SK"/>
              </w:rPr>
            </w:pPr>
            <w:r w:rsidRPr="00A60265">
              <w:rPr>
                <w:rFonts w:cs="Arial"/>
                <w:b/>
                <w:bCs/>
                <w:i/>
                <w:iCs/>
                <w:sz w:val="15"/>
                <w:szCs w:val="15"/>
                <w:lang w:eastAsia="sk-SK"/>
              </w:rPr>
              <w:t>31.12.</w:t>
            </w:r>
            <w:r w:rsidRPr="00A60265" w:rsidR="00500B55">
              <w:rPr>
                <w:rFonts w:cs="Arial"/>
                <w:b/>
                <w:bCs/>
                <w:i/>
                <w:iCs/>
                <w:sz w:val="15"/>
                <w:szCs w:val="15"/>
                <w:lang w:eastAsia="sk-SK"/>
              </w:rPr>
              <w:t>201</w:t>
            </w:r>
            <w:r w:rsidR="00E2202D">
              <w:rPr>
                <w:rFonts w:cs="Arial"/>
                <w:b/>
                <w:bCs/>
                <w:i/>
                <w:iCs/>
                <w:sz w:val="15"/>
                <w:szCs w:val="15"/>
                <w:lang w:eastAsia="sk-SK"/>
              </w:rPr>
              <w:t>5</w:t>
            </w:r>
          </w:p>
        </w:tc>
        <w:tc>
          <w:tcPr>
            <w:tcW w:w="835" w:type="pct"/>
            <w:tcBorders>
              <w:top w:val="single" w:color="auto" w:sz="8" w:space="0"/>
              <w:left w:val="nil"/>
              <w:bottom w:val="nil"/>
              <w:right w:val="nil"/>
            </w:tcBorders>
            <w:shd w:val="clear" w:color="auto" w:fill="auto"/>
            <w:vAlign w:val="center"/>
            <w:hideMark/>
          </w:tcPr>
          <w:p w:rsidRPr="00A60265" w:rsidR="005B36DD" w:rsidRDefault="005B36DD">
            <w:pPr>
              <w:jc w:val="center"/>
              <w:rPr>
                <w:rFonts w:cs="Arial"/>
                <w:b/>
                <w:bCs/>
                <w:i/>
                <w:iCs/>
                <w:sz w:val="15"/>
                <w:szCs w:val="15"/>
                <w:lang w:eastAsia="sk-SK"/>
              </w:rPr>
            </w:pPr>
            <w:r w:rsidRPr="00A60265">
              <w:rPr>
                <w:rFonts w:cs="Arial"/>
                <w:b/>
                <w:bCs/>
                <w:i/>
                <w:iCs/>
                <w:sz w:val="15"/>
                <w:szCs w:val="15"/>
                <w:lang w:eastAsia="sk-SK"/>
              </w:rPr>
              <w:t>31.12.</w:t>
            </w:r>
            <w:r w:rsidRPr="00A60265" w:rsidR="00500B55">
              <w:rPr>
                <w:rFonts w:cs="Arial"/>
                <w:b/>
                <w:bCs/>
                <w:i/>
                <w:iCs/>
                <w:sz w:val="15"/>
                <w:szCs w:val="15"/>
                <w:lang w:eastAsia="sk-SK"/>
              </w:rPr>
              <w:t>201</w:t>
            </w:r>
            <w:r w:rsidR="006137D0">
              <w:rPr>
                <w:rFonts w:cs="Arial"/>
                <w:b/>
                <w:bCs/>
                <w:i/>
                <w:iCs/>
                <w:sz w:val="15"/>
                <w:szCs w:val="15"/>
                <w:lang w:eastAsia="sk-SK"/>
              </w:rPr>
              <w:t>4</w:t>
            </w:r>
          </w:p>
        </w:tc>
      </w:tr>
      <w:tr w:rsidRPr="00A60265" w:rsidR="00E2202D" w:rsidTr="00144B35">
        <w:tc>
          <w:tcPr>
            <w:tcW w:w="2936" w:type="pct"/>
            <w:tcBorders>
              <w:top w:val="single" w:color="auto" w:sz="4" w:space="0"/>
              <w:left w:val="nil"/>
              <w:bottom w:val="nil"/>
              <w:right w:val="nil"/>
            </w:tcBorders>
            <w:shd w:val="clear" w:color="auto" w:fill="auto"/>
            <w:vAlign w:val="center"/>
          </w:tcPr>
          <w:p w:rsidRPr="00A60265" w:rsidR="00E2202D" w:rsidRDefault="00E2202D">
            <w:pPr>
              <w:rPr>
                <w:rFonts w:cs="Arial"/>
                <w:b/>
                <w:bCs/>
                <w:i/>
                <w:iCs/>
                <w:sz w:val="15"/>
                <w:szCs w:val="15"/>
                <w:lang w:eastAsia="sk-SK"/>
              </w:rPr>
            </w:pPr>
            <w:r w:rsidRPr="00A60265">
              <w:rPr>
                <w:rFonts w:cs="Arial"/>
                <w:b/>
                <w:bCs/>
                <w:i/>
                <w:iCs/>
                <w:sz w:val="15"/>
                <w:szCs w:val="15"/>
                <w:lang w:eastAsia="sk-SK"/>
              </w:rPr>
              <w:t>Dlhodobé záväzky:</w:t>
            </w:r>
          </w:p>
        </w:tc>
        <w:tc>
          <w:tcPr>
            <w:tcW w:w="393" w:type="pct"/>
            <w:tcBorders>
              <w:top w:val="single" w:color="auto" w:sz="4" w:space="0"/>
              <w:left w:val="nil"/>
              <w:bottom w:val="nil"/>
              <w:right w:val="nil"/>
            </w:tcBorders>
            <w:shd w:val="clear" w:color="auto" w:fill="auto"/>
            <w:vAlign w:val="center"/>
          </w:tcPr>
          <w:p w:rsidRPr="00A60265" w:rsidR="00E2202D" w:rsidP="00144B35" w:rsidRDefault="00E2202D">
            <w:pPr>
              <w:rPr>
                <w:rFonts w:cs="Arial"/>
                <w:i/>
                <w:iCs/>
                <w:sz w:val="15"/>
                <w:szCs w:val="15"/>
                <w:lang w:eastAsia="sk-SK"/>
              </w:rPr>
            </w:pPr>
          </w:p>
        </w:tc>
        <w:tc>
          <w:tcPr>
            <w:tcW w:w="836" w:type="pct"/>
            <w:tcBorders>
              <w:top w:val="single" w:color="auto" w:sz="4" w:space="0"/>
              <w:left w:val="nil"/>
              <w:bottom w:val="nil"/>
              <w:right w:val="nil"/>
            </w:tcBorders>
            <w:shd w:val="clear" w:color="auto" w:fill="auto"/>
            <w:vAlign w:val="bottom"/>
          </w:tcPr>
          <w:p w:rsidRPr="00A60265" w:rsidR="00E2202D" w:rsidRDefault="00E2202D">
            <w:pPr>
              <w:jc w:val="right"/>
              <w:rPr>
                <w:rFonts w:cs="Arial"/>
                <w:sz w:val="15"/>
                <w:szCs w:val="15"/>
                <w:lang w:eastAsia="sk-SK"/>
              </w:rPr>
            </w:pPr>
          </w:p>
        </w:tc>
        <w:tc>
          <w:tcPr>
            <w:tcW w:w="835" w:type="pct"/>
            <w:tcBorders>
              <w:top w:val="single" w:color="auto" w:sz="4" w:space="0"/>
              <w:left w:val="nil"/>
              <w:bottom w:val="nil"/>
              <w:right w:val="nil"/>
            </w:tcBorders>
            <w:shd w:val="clear" w:color="auto" w:fill="auto"/>
            <w:vAlign w:val="bottom"/>
            <w:hideMark/>
          </w:tcPr>
          <w:p w:rsidRPr="00A60265" w:rsidR="00E2202D" w:rsidRDefault="00E2202D">
            <w:pPr>
              <w:jc w:val="right"/>
              <w:rPr>
                <w:rFonts w:cs="Arial"/>
                <w:sz w:val="15"/>
                <w:szCs w:val="15"/>
                <w:lang w:eastAsia="sk-SK"/>
              </w:rPr>
            </w:pPr>
          </w:p>
        </w:tc>
      </w:tr>
      <w:tr w:rsidRPr="00A60265" w:rsidR="00E2202D" w:rsidTr="00144B35">
        <w:tc>
          <w:tcPr>
            <w:tcW w:w="2936" w:type="pct"/>
            <w:tcBorders>
              <w:top w:val="nil"/>
              <w:left w:val="nil"/>
              <w:bottom w:val="nil"/>
              <w:right w:val="nil"/>
            </w:tcBorders>
            <w:shd w:val="clear" w:color="auto" w:fill="auto"/>
            <w:vAlign w:val="center"/>
          </w:tcPr>
          <w:p w:rsidRPr="00A60265" w:rsidR="00E2202D" w:rsidP="00144B35" w:rsidRDefault="00E2202D">
            <w:pPr>
              <w:rPr>
                <w:rFonts w:cs="Arial"/>
                <w:sz w:val="15"/>
                <w:szCs w:val="15"/>
                <w:lang w:eastAsia="sk-SK"/>
              </w:rPr>
            </w:pPr>
            <w:r w:rsidRPr="00A60265">
              <w:rPr>
                <w:rFonts w:cs="Arial"/>
                <w:sz w:val="15"/>
                <w:szCs w:val="15"/>
                <w:lang w:eastAsia="sk-SK"/>
              </w:rPr>
              <w:t>Záväzky so zostatkovou dobou splatnosti jeden rok až päť rokov</w:t>
            </w:r>
          </w:p>
        </w:tc>
        <w:tc>
          <w:tcPr>
            <w:tcW w:w="393" w:type="pct"/>
            <w:tcBorders>
              <w:top w:val="nil"/>
              <w:left w:val="nil"/>
              <w:bottom w:val="nil"/>
              <w:right w:val="nil"/>
            </w:tcBorders>
            <w:shd w:val="clear" w:color="auto" w:fill="auto"/>
            <w:vAlign w:val="center"/>
          </w:tcPr>
          <w:p w:rsidRPr="00A60265" w:rsidR="00E2202D" w:rsidP="00144B35" w:rsidRDefault="00E2202D">
            <w:pPr>
              <w:rPr>
                <w:rFonts w:cs="Arial"/>
                <w:i/>
                <w:iCs/>
                <w:sz w:val="15"/>
                <w:szCs w:val="15"/>
                <w:lang w:eastAsia="sk-SK"/>
              </w:rPr>
            </w:pPr>
          </w:p>
        </w:tc>
        <w:tc>
          <w:tcPr>
            <w:tcW w:w="836" w:type="pct"/>
            <w:tcBorders>
              <w:top w:val="nil"/>
              <w:left w:val="nil"/>
              <w:bottom w:val="nil"/>
              <w:right w:val="nil"/>
            </w:tcBorders>
            <w:shd w:val="clear" w:color="auto" w:fill="auto"/>
            <w:vAlign w:val="bottom"/>
          </w:tcPr>
          <w:p w:rsidRPr="00A60265" w:rsidR="00E2202D" w:rsidRDefault="0029754E">
            <w:pPr>
              <w:jc w:val="right"/>
              <w:rPr>
                <w:rFonts w:cs="Arial"/>
                <w:sz w:val="15"/>
                <w:szCs w:val="15"/>
                <w:lang w:eastAsia="sk-SK"/>
              </w:rPr>
            </w:pPr>
            <w:r>
              <w:rPr>
                <w:rFonts w:cs="Arial"/>
                <w:sz w:val="15"/>
                <w:szCs w:val="15"/>
                <w:lang w:eastAsia="sk-SK"/>
              </w:rPr>
              <w:t>308</w:t>
            </w:r>
          </w:p>
        </w:tc>
        <w:tc>
          <w:tcPr>
            <w:tcW w:w="835" w:type="pct"/>
            <w:tcBorders>
              <w:top w:val="nil"/>
              <w:left w:val="nil"/>
              <w:bottom w:val="nil"/>
              <w:right w:val="nil"/>
            </w:tcBorders>
            <w:shd w:val="clear" w:color="auto" w:fill="auto"/>
            <w:vAlign w:val="bottom"/>
            <w:hideMark/>
          </w:tcPr>
          <w:p w:rsidRPr="00A60265" w:rsidR="00E2202D" w:rsidRDefault="00E2202D">
            <w:pPr>
              <w:jc w:val="right"/>
              <w:rPr>
                <w:rFonts w:cs="Arial"/>
                <w:sz w:val="15"/>
                <w:szCs w:val="15"/>
                <w:lang w:eastAsia="sk-SK"/>
              </w:rPr>
            </w:pPr>
            <w:r w:rsidRPr="00A60265">
              <w:rPr>
                <w:rFonts w:cs="Arial"/>
                <w:sz w:val="15"/>
                <w:szCs w:val="15"/>
                <w:lang w:eastAsia="sk-SK"/>
              </w:rPr>
              <w:t xml:space="preserve">584 </w:t>
            </w:r>
          </w:p>
        </w:tc>
      </w:tr>
      <w:tr w:rsidRPr="00A60265" w:rsidR="00E2202D" w:rsidTr="00144B35">
        <w:trPr>
          <w:trHeight w:val="116"/>
        </w:trPr>
        <w:tc>
          <w:tcPr>
            <w:tcW w:w="2936" w:type="pct"/>
            <w:tcBorders>
              <w:top w:val="nil"/>
              <w:left w:val="nil"/>
              <w:bottom w:val="nil"/>
              <w:right w:val="nil"/>
            </w:tcBorders>
            <w:shd w:val="clear" w:color="auto" w:fill="auto"/>
            <w:vAlign w:val="center"/>
          </w:tcPr>
          <w:p w:rsidRPr="00A60265" w:rsidR="00E2202D" w:rsidP="00144B35" w:rsidRDefault="00E2202D">
            <w:pPr>
              <w:rPr>
                <w:rFonts w:cs="Arial"/>
                <w:sz w:val="15"/>
                <w:szCs w:val="15"/>
                <w:lang w:eastAsia="sk-SK"/>
              </w:rPr>
            </w:pPr>
            <w:r w:rsidRPr="00A60265">
              <w:rPr>
                <w:rFonts w:cs="Arial"/>
                <w:sz w:val="15"/>
                <w:szCs w:val="15"/>
                <w:lang w:eastAsia="sk-SK"/>
              </w:rPr>
              <w:t>Záväzky so zostatkovou dobou splatnosti nad päť rokov</w:t>
            </w:r>
          </w:p>
        </w:tc>
        <w:tc>
          <w:tcPr>
            <w:tcW w:w="393" w:type="pct"/>
            <w:tcBorders>
              <w:top w:val="nil"/>
              <w:left w:val="nil"/>
              <w:bottom w:val="nil"/>
              <w:right w:val="nil"/>
            </w:tcBorders>
            <w:shd w:val="clear" w:color="auto" w:fill="auto"/>
            <w:vAlign w:val="center"/>
          </w:tcPr>
          <w:p w:rsidRPr="00A60265" w:rsidR="00E2202D" w:rsidP="00144B35" w:rsidRDefault="00E2202D">
            <w:pPr>
              <w:rPr>
                <w:rFonts w:cs="Arial"/>
                <w:i/>
                <w:iCs/>
                <w:sz w:val="15"/>
                <w:szCs w:val="15"/>
                <w:lang w:eastAsia="sk-SK"/>
              </w:rPr>
            </w:pPr>
          </w:p>
        </w:tc>
        <w:tc>
          <w:tcPr>
            <w:tcW w:w="836" w:type="pct"/>
            <w:tcBorders>
              <w:top w:val="nil"/>
              <w:left w:val="nil"/>
              <w:bottom w:val="single" w:color="auto" w:sz="4" w:space="0"/>
              <w:right w:val="nil"/>
            </w:tcBorders>
            <w:shd w:val="clear" w:color="auto" w:fill="auto"/>
            <w:vAlign w:val="bottom"/>
          </w:tcPr>
          <w:p w:rsidRPr="00A60265" w:rsidR="00E2202D" w:rsidRDefault="00F82EB0">
            <w:pPr>
              <w:jc w:val="right"/>
              <w:rPr>
                <w:rFonts w:cs="Arial"/>
                <w:sz w:val="15"/>
                <w:szCs w:val="15"/>
                <w:lang w:eastAsia="sk-SK"/>
              </w:rPr>
            </w:pPr>
            <w:r>
              <w:rPr>
                <w:rFonts w:cs="Arial"/>
                <w:sz w:val="15"/>
                <w:szCs w:val="15"/>
                <w:lang w:eastAsia="sk-SK"/>
              </w:rPr>
              <w:t>-</w:t>
            </w:r>
          </w:p>
        </w:tc>
        <w:tc>
          <w:tcPr>
            <w:tcW w:w="835" w:type="pct"/>
            <w:tcBorders>
              <w:top w:val="nil"/>
              <w:left w:val="nil"/>
              <w:bottom w:val="single" w:color="auto" w:sz="4" w:space="0"/>
              <w:right w:val="nil"/>
            </w:tcBorders>
            <w:shd w:val="clear" w:color="auto" w:fill="auto"/>
            <w:vAlign w:val="bottom"/>
            <w:hideMark/>
          </w:tcPr>
          <w:p w:rsidRPr="00A60265" w:rsidR="00E2202D" w:rsidRDefault="00E2202D">
            <w:pPr>
              <w:jc w:val="right"/>
              <w:rPr>
                <w:rFonts w:cs="Arial"/>
                <w:sz w:val="15"/>
                <w:szCs w:val="15"/>
                <w:lang w:eastAsia="sk-SK"/>
              </w:rPr>
            </w:pPr>
            <w:r w:rsidRPr="00A60265">
              <w:rPr>
                <w:rFonts w:cs="Arial"/>
                <w:sz w:val="15"/>
                <w:szCs w:val="15"/>
                <w:lang w:eastAsia="sk-SK"/>
              </w:rPr>
              <w:t>-</w:t>
            </w:r>
          </w:p>
        </w:tc>
      </w:tr>
      <w:tr w:rsidRPr="00A60265" w:rsidR="00E2202D" w:rsidTr="00144B35">
        <w:tc>
          <w:tcPr>
            <w:tcW w:w="2936" w:type="pct"/>
            <w:tcBorders>
              <w:top w:val="nil"/>
              <w:left w:val="nil"/>
              <w:bottom w:val="single" w:color="auto" w:sz="8" w:space="0"/>
              <w:right w:val="nil"/>
            </w:tcBorders>
            <w:shd w:val="clear" w:color="auto" w:fill="auto"/>
            <w:vAlign w:val="center"/>
          </w:tcPr>
          <w:p w:rsidRPr="00A60265" w:rsidR="00E2202D" w:rsidRDefault="00E2202D">
            <w:pPr>
              <w:rPr>
                <w:rFonts w:cs="Arial"/>
                <w:b/>
                <w:bCs/>
                <w:sz w:val="15"/>
                <w:szCs w:val="15"/>
                <w:lang w:eastAsia="sk-SK"/>
              </w:rPr>
            </w:pPr>
            <w:r w:rsidRPr="00A60265">
              <w:rPr>
                <w:rFonts w:cs="Arial"/>
                <w:b/>
                <w:bCs/>
                <w:sz w:val="15"/>
                <w:szCs w:val="15"/>
                <w:lang w:eastAsia="sk-SK"/>
              </w:rPr>
              <w:t>Spolu dlhodobé záväzky</w:t>
            </w:r>
          </w:p>
        </w:tc>
        <w:tc>
          <w:tcPr>
            <w:tcW w:w="393" w:type="pct"/>
            <w:tcBorders>
              <w:top w:val="nil"/>
              <w:left w:val="nil"/>
              <w:bottom w:val="single" w:color="auto" w:sz="8" w:space="0"/>
              <w:right w:val="nil"/>
            </w:tcBorders>
            <w:shd w:val="clear" w:color="auto" w:fill="auto"/>
            <w:vAlign w:val="center"/>
          </w:tcPr>
          <w:p w:rsidRPr="00A60265" w:rsidR="00E2202D" w:rsidP="00144B35" w:rsidRDefault="00E2202D">
            <w:pPr>
              <w:rPr>
                <w:rFonts w:cs="Arial"/>
                <w:b/>
                <w:bCs/>
                <w:sz w:val="15"/>
                <w:szCs w:val="15"/>
                <w:lang w:eastAsia="sk-SK"/>
              </w:rPr>
            </w:pPr>
          </w:p>
        </w:tc>
        <w:tc>
          <w:tcPr>
            <w:tcW w:w="836" w:type="pct"/>
            <w:tcBorders>
              <w:top w:val="nil"/>
              <w:left w:val="nil"/>
              <w:bottom w:val="single" w:color="auto" w:sz="8" w:space="0"/>
              <w:right w:val="nil"/>
            </w:tcBorders>
            <w:shd w:val="clear" w:color="auto" w:fill="auto"/>
            <w:vAlign w:val="bottom"/>
          </w:tcPr>
          <w:p w:rsidRPr="00A60265" w:rsidR="00E2202D" w:rsidRDefault="0029754E">
            <w:pPr>
              <w:jc w:val="right"/>
              <w:rPr>
                <w:rFonts w:cs="Arial"/>
                <w:b/>
                <w:bCs/>
                <w:sz w:val="15"/>
                <w:szCs w:val="15"/>
                <w:lang w:eastAsia="sk-SK"/>
              </w:rPr>
            </w:pPr>
            <w:r>
              <w:rPr>
                <w:rFonts w:cs="Arial"/>
                <w:b/>
                <w:bCs/>
                <w:sz w:val="15"/>
                <w:szCs w:val="15"/>
                <w:lang w:eastAsia="sk-SK"/>
              </w:rPr>
              <w:t>308</w:t>
            </w:r>
          </w:p>
        </w:tc>
        <w:tc>
          <w:tcPr>
            <w:tcW w:w="835" w:type="pct"/>
            <w:tcBorders>
              <w:top w:val="nil"/>
              <w:left w:val="nil"/>
              <w:bottom w:val="single" w:color="auto" w:sz="8" w:space="0"/>
              <w:right w:val="nil"/>
            </w:tcBorders>
            <w:shd w:val="clear" w:color="auto" w:fill="auto"/>
            <w:vAlign w:val="bottom"/>
            <w:hideMark/>
          </w:tcPr>
          <w:p w:rsidRPr="00A60265" w:rsidR="00E2202D" w:rsidRDefault="00E2202D">
            <w:pPr>
              <w:jc w:val="right"/>
              <w:rPr>
                <w:rFonts w:cs="Arial"/>
                <w:b/>
                <w:bCs/>
                <w:sz w:val="15"/>
                <w:szCs w:val="15"/>
                <w:lang w:eastAsia="sk-SK"/>
              </w:rPr>
            </w:pPr>
            <w:r w:rsidRPr="00A60265">
              <w:rPr>
                <w:rFonts w:cs="Arial"/>
                <w:b/>
                <w:bCs/>
                <w:sz w:val="15"/>
                <w:szCs w:val="15"/>
                <w:lang w:eastAsia="sk-SK"/>
              </w:rPr>
              <w:t>584</w:t>
            </w:r>
          </w:p>
        </w:tc>
      </w:tr>
      <w:bookmarkEnd w:id="8"/>
    </w:tbl>
    <w:p w:rsidR="00CC43ED" w:rsidRDefault="00CC43ED">
      <w:pPr>
        <w:jc w:val="left"/>
      </w:pPr>
    </w:p>
    <w:p w:rsidRPr="002101E6" w:rsidR="00862A9C" w:rsidP="00862A9C" w:rsidRDefault="00862A9C">
      <w:pPr>
        <w:pStyle w:val="Heading3"/>
      </w:pPr>
      <w:r w:rsidRPr="00862A9C">
        <w:t>Záväzky zabezpečené záložným právom alebo inou formou zabezpečenia</w:t>
      </w:r>
    </w:p>
    <w:p w:rsidR="00862A9C" w:rsidP="00862A9C" w:rsidRDefault="00862A9C">
      <w:pPr>
        <w:rPr>
          <w:snapToGrid w:val="0"/>
        </w:rPr>
      </w:pPr>
    </w:p>
    <w:p w:rsidRPr="00862A9C" w:rsidR="00401BAD" w:rsidP="00862A9C" w:rsidRDefault="00862A9C">
      <w:pPr>
        <w:rPr>
          <w:snapToGrid w:val="0"/>
        </w:rPr>
      </w:pPr>
      <w:r>
        <w:rPr>
          <w:snapToGrid w:val="0"/>
        </w:rPr>
        <w:t>Spoločnosť nemá žiadne záväzky zabezpečené záložným právom alebo inou formou zabezpečenia.</w:t>
      </w:r>
    </w:p>
    <w:p w:rsidR="00862A9C" w:rsidRDefault="00862A9C">
      <w:pPr>
        <w:jc w:val="left"/>
        <w:rPr>
          <w:rFonts w:cs="Arial"/>
          <w:b/>
          <w:bCs/>
          <w:caps/>
          <w:kern w:val="32"/>
          <w:sz w:val="18"/>
          <w:szCs w:val="32"/>
          <w:u w:val="single"/>
        </w:rPr>
      </w:pPr>
    </w:p>
    <w:p w:rsidRPr="003924CF" w:rsidR="009B1CEB" w:rsidP="009B1CEB" w:rsidRDefault="009B1CEB">
      <w:pPr>
        <w:pStyle w:val="Heading2"/>
      </w:pPr>
      <w:r w:rsidRPr="003924CF">
        <w:t>Informácie o nákladoch a výnosoch, ktoré majú výnimočný rozsah alebo výskyt</w:t>
      </w:r>
    </w:p>
    <w:p w:rsidRPr="003924CF" w:rsidR="009B1CEB" w:rsidP="009B1CEB" w:rsidRDefault="009B1CEB">
      <w:pPr>
        <w:rPr>
          <w:snapToGrid w:val="0"/>
        </w:rPr>
      </w:pPr>
    </w:p>
    <w:p w:rsidRPr="0029754E" w:rsidR="00D07359" w:rsidP="009B1CEB" w:rsidRDefault="00D07359">
      <w:pPr>
        <w:rPr>
          <w:snapToGrid w:val="0"/>
        </w:rPr>
      </w:pPr>
      <w:r w:rsidRPr="0029754E">
        <w:rPr>
          <w:snapToGrid w:val="0"/>
        </w:rPr>
        <w:t>V priebehu roka 2015 spoločnosť neúčtovala o žiadnych nákladoch a výnosoch, ktorý majú výnimočný rozsah alebo výskyt.</w:t>
      </w:r>
    </w:p>
    <w:p w:rsidRPr="00144B35" w:rsidR="00F82EB0" w:rsidP="009B1CEB" w:rsidRDefault="00F82EB0">
      <w:pPr>
        <w:rPr>
          <w:snapToGrid w:val="0"/>
          <w:color w:val="FF0000"/>
        </w:rPr>
      </w:pPr>
    </w:p>
    <w:p w:rsidRPr="00A60265" w:rsidR="001E2635" w:rsidP="001E2635" w:rsidRDefault="001E2635">
      <w:pPr>
        <w:rPr>
          <w:snapToGrid w:val="0"/>
          <w:lang w:eastAsia="sk-SK"/>
        </w:rPr>
      </w:pPr>
    </w:p>
    <w:p w:rsidRPr="00A60265" w:rsidR="001F5DA0" w:rsidP="001E2635" w:rsidRDefault="001F5DA0">
      <w:pPr>
        <w:rPr>
          <w:snapToGrid w:val="0"/>
          <w:lang w:eastAsia="sk-SK"/>
        </w:rPr>
      </w:pPr>
    </w:p>
    <w:p w:rsidR="00401BAD" w:rsidRDefault="00401BAD">
      <w:pPr>
        <w:jc w:val="left"/>
        <w:rPr>
          <w:rFonts w:cs="Arial"/>
          <w:b/>
          <w:bCs/>
          <w:caps/>
          <w:kern w:val="32"/>
          <w:sz w:val="18"/>
          <w:szCs w:val="32"/>
          <w:u w:val="single"/>
        </w:rPr>
      </w:pPr>
      <w:r>
        <w:br w:type="page"/>
      </w:r>
    </w:p>
    <w:p w:rsidRPr="00A60265" w:rsidR="001E2635" w:rsidP="001E2635" w:rsidRDefault="001E2635">
      <w:pPr>
        <w:pStyle w:val="Heading1"/>
      </w:pPr>
      <w:r w:rsidRPr="00A60265">
        <w:lastRenderedPageBreak/>
        <w:t>INÉ AKTÍVA A INÉ PASÍVA</w:t>
      </w:r>
    </w:p>
    <w:p w:rsidRPr="00A60265" w:rsidR="001E2635" w:rsidP="001E2635" w:rsidRDefault="001E2635"/>
    <w:p w:rsidRPr="00A60265" w:rsidR="001E2635" w:rsidP="001E2635" w:rsidRDefault="001E2635">
      <w:pPr>
        <w:pStyle w:val="Heading2"/>
      </w:pPr>
      <w:r w:rsidRPr="00A60265">
        <w:t>Podmienené záväzky</w:t>
      </w:r>
    </w:p>
    <w:p w:rsidRPr="00A60265" w:rsidR="001E2635" w:rsidP="001E2635" w:rsidRDefault="001E2635">
      <w:pPr>
        <w:rPr>
          <w:snapToGrid w:val="0"/>
          <w:lang w:eastAsia="sk-SK"/>
        </w:rPr>
      </w:pPr>
    </w:p>
    <w:p w:rsidRPr="009B1CEB" w:rsidR="001E2635" w:rsidP="001E2635" w:rsidRDefault="001E2635">
      <w:pPr>
        <w:rPr>
          <w:snapToGrid w:val="0"/>
        </w:rPr>
      </w:pPr>
      <w:r w:rsidRPr="009B1CEB">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Pr="009B1CEB" w:rsidR="007D0692">
        <w:rPr>
          <w:snapToGrid w:val="0"/>
        </w:rPr>
        <w:t>201</w:t>
      </w:r>
      <w:r w:rsidRPr="00144B35" w:rsidR="009B1CEB">
        <w:rPr>
          <w:snapToGrid w:val="0"/>
        </w:rPr>
        <w:t>5</w:t>
      </w:r>
      <w:r w:rsidRPr="009B1CEB" w:rsidR="007D0692">
        <w:rPr>
          <w:snapToGrid w:val="0"/>
        </w:rPr>
        <w:t xml:space="preserve"> </w:t>
      </w:r>
      <w:r w:rsidRPr="009B1CEB">
        <w:rPr>
          <w:snapToGrid w:val="0"/>
        </w:rPr>
        <w:t xml:space="preserve">daňové priznania spoločnosti za roky </w:t>
      </w:r>
      <w:r w:rsidRPr="009B1CEB" w:rsidR="007D0692">
        <w:rPr>
          <w:snapToGrid w:val="0"/>
        </w:rPr>
        <w:t>201</w:t>
      </w:r>
      <w:r w:rsidRPr="00144B35" w:rsidR="009B1CEB">
        <w:rPr>
          <w:snapToGrid w:val="0"/>
        </w:rPr>
        <w:t>1</w:t>
      </w:r>
      <w:r w:rsidRPr="009B1CEB" w:rsidR="007D0692">
        <w:rPr>
          <w:snapToGrid w:val="0"/>
        </w:rPr>
        <w:t xml:space="preserve"> </w:t>
      </w:r>
      <w:r w:rsidRPr="009B1CEB" w:rsidR="00AC79A3">
        <w:rPr>
          <w:snapToGrid w:val="0"/>
        </w:rPr>
        <w:t xml:space="preserve">až </w:t>
      </w:r>
      <w:r w:rsidRPr="009B1CEB" w:rsidR="007D0692">
        <w:rPr>
          <w:snapToGrid w:val="0"/>
        </w:rPr>
        <w:t>201</w:t>
      </w:r>
      <w:r w:rsidRPr="00144B35" w:rsidR="009B1CEB">
        <w:rPr>
          <w:snapToGrid w:val="0"/>
        </w:rPr>
        <w:t>5</w:t>
      </w:r>
      <w:r w:rsidRPr="009B1CEB" w:rsidR="007D0692">
        <w:rPr>
          <w:snapToGrid w:val="0"/>
        </w:rPr>
        <w:t xml:space="preserve"> </w:t>
      </w:r>
      <w:r w:rsidRPr="009B1CEB">
        <w:rPr>
          <w:snapToGrid w:val="0"/>
        </w:rPr>
        <w:t>otvorené a môžu sa stať predmetom kontroly.</w:t>
      </w:r>
    </w:p>
    <w:p w:rsidRPr="009B1CEB" w:rsidR="00E57510" w:rsidP="001E2635" w:rsidRDefault="00E57510">
      <w:pPr>
        <w:rPr>
          <w:snapToGrid w:val="0"/>
        </w:rPr>
      </w:pPr>
    </w:p>
    <w:p w:rsidRPr="00F82EB0" w:rsidR="00E57510" w:rsidP="001E2635" w:rsidRDefault="00E57510">
      <w:pPr>
        <w:rPr>
          <w:snapToGrid w:val="0"/>
        </w:rPr>
      </w:pPr>
      <w:r w:rsidRPr="00F82EB0">
        <w:rPr>
          <w:snapToGrid w:val="0"/>
        </w:rPr>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rsidRPr="00F82EB0" w:rsidR="00E57510" w:rsidP="001E2635" w:rsidRDefault="00E57510">
      <w:pPr>
        <w:rPr>
          <w:snapToGrid w:val="0"/>
        </w:rPr>
      </w:pPr>
    </w:p>
    <w:p w:rsidR="00F82EB0" w:rsidRDefault="00E57510">
      <w:pPr>
        <w:rPr>
          <w:snapToGrid w:val="0"/>
        </w:rPr>
      </w:pPr>
      <w:r w:rsidRPr="00F82EB0">
        <w:rPr>
          <w:snapToGrid w:val="0"/>
        </w:rPr>
        <w:t xml:space="preserve">Spoločnosť uskutočnila počas roka </w:t>
      </w:r>
      <w:r w:rsidR="00D07359">
        <w:rPr>
          <w:snapToGrid w:val="0"/>
        </w:rPr>
        <w:t>2015</w:t>
      </w:r>
      <w:r w:rsidRPr="00F82EB0" w:rsidR="007D0692">
        <w:rPr>
          <w:snapToGrid w:val="0"/>
        </w:rPr>
        <w:t xml:space="preserve"> </w:t>
      </w:r>
      <w:r w:rsidRPr="00F82EB0">
        <w:rPr>
          <w:snapToGrid w:val="0"/>
        </w:rPr>
        <w:t>významné transakcie so spriaznenými osobami. Manažment spoločnosti je presvedčený, že transakcie so spriaznenými osobami boli vykonané na princípe nezávislých vzťahov. S účinnosťou od 1. januára 2009 sa na transakcie so spriaznenými osobami vzťahujú nové požiadavky transferového oceňovania. V nových požiadavkách sa uvádza, že spoločnosť musí mať vypracovanú dokumentáciu za každú transakciu so zahraničnou spriaznenou osobou, ktorá potvrdzuje, že transakcia sa uskutočnila na princípe nezávislých vzťahov. Ministerstvo financií SR vydalo osobitné usmernenie týkajúce sa uchovávania dokumentácie transferového oceňovania od roku 2009. Spoločnosť sa v súčasnosti spolieha na dokumentáciu týkajúcu sa transferového oceňovania transakcií so spriaznenými osobami na úrovni skupiny. Keďže existujú viaceré interpretácie daňove</w:t>
      </w:r>
      <w:r w:rsidRPr="00F82EB0" w:rsidR="007C1CE5">
        <w:rPr>
          <w:snapToGrid w:val="0"/>
        </w:rPr>
        <w:t>j legislatívy v </w:t>
      </w:r>
      <w:r w:rsidRPr="00F82EB0">
        <w:rPr>
          <w:snapToGrid w:val="0"/>
        </w:rPr>
        <w:t>Slovenskej republike, ich aplikácia voči spoločnosti je v súčasnosti neistá.</w:t>
      </w:r>
    </w:p>
    <w:p w:rsidRPr="00A60265" w:rsidR="00F82EB0" w:rsidRDefault="00F82EB0">
      <w:pPr>
        <w:rPr>
          <w:snapToGrid w:val="0"/>
        </w:rPr>
      </w:pPr>
      <w:r>
        <w:rPr>
          <w:snapToGrid w:val="0"/>
        </w:rPr>
        <w:t xml:space="preserve">Spoločnosť nevykazuje žiadne podmienené záväzky. </w:t>
      </w:r>
    </w:p>
    <w:p w:rsidRPr="00144B35" w:rsidR="00401BAD" w:rsidRDefault="00401BAD">
      <w:pPr>
        <w:rPr>
          <w:i/>
          <w:color w:val="FF0000"/>
          <w:highlight w:val="yellow"/>
        </w:rPr>
      </w:pPr>
      <w:bookmarkStart w:name="T_contingent_liabilities_2" w:id="10"/>
    </w:p>
    <w:p w:rsidRPr="00D07359" w:rsidR="00401BAD" w:rsidP="00401BAD" w:rsidRDefault="00401BAD">
      <w:pPr>
        <w:rPr>
          <w:color w:val="000000" w:themeColor="text1"/>
        </w:rPr>
      </w:pPr>
      <w:r w:rsidRPr="00D07359">
        <w:rPr>
          <w:color w:val="000000" w:themeColor="text1"/>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009B1CEB" w:rsidP="001343A4" w:rsidRDefault="009B1CEB"/>
    <w:p w:rsidR="00401BAD" w:rsidP="001343A4" w:rsidRDefault="00401BAD"/>
    <w:p w:rsidR="00FD6BA4" w:rsidP="00144B35" w:rsidRDefault="00FD6BA4">
      <w:pPr>
        <w:pStyle w:val="Heading2"/>
        <w:rPr>
          <w:snapToGrid w:val="0"/>
          <w:lang w:eastAsia="sk-SK"/>
        </w:rPr>
      </w:pPr>
      <w:r>
        <w:rPr>
          <w:snapToGrid w:val="0"/>
          <w:lang w:eastAsia="sk-SK"/>
        </w:rPr>
        <w:t xml:space="preserve">Podsúvahové účty </w:t>
      </w:r>
    </w:p>
    <w:p w:rsidRPr="00144B35" w:rsidR="00FD6BA4" w:rsidRDefault="00FD6BA4">
      <w:pPr>
        <w:rPr>
          <w:lang w:eastAsia="sk-SK"/>
        </w:rPr>
      </w:pPr>
    </w:p>
    <w:p w:rsidRPr="00A60265" w:rsidR="00FD6BA4" w:rsidP="00FD6BA4" w:rsidRDefault="0029754E">
      <w:pPr>
        <w:rPr>
          <w:snapToGrid w:val="0"/>
          <w:lang w:eastAsia="sk-SK"/>
        </w:rPr>
      </w:pPr>
      <w:r>
        <w:rPr>
          <w:snapToGrid w:val="0"/>
          <w:lang w:eastAsia="sk-SK"/>
        </w:rPr>
        <w:t>K 31. decembru 2015 spoločnosť nevykazuje žiadne položky v rámci podsúvahových účtov.</w:t>
      </w:r>
    </w:p>
    <w:p w:rsidRPr="00A60265" w:rsidR="00FD6BA4" w:rsidP="001343A4" w:rsidRDefault="00FD6BA4"/>
    <w:bookmarkEnd w:id="10"/>
    <w:p w:rsidRPr="00A60265" w:rsidR="002C66A7" w:rsidRDefault="002C66A7">
      <w:pPr>
        <w:jc w:val="left"/>
        <w:rPr>
          <w:rFonts w:cs="Arial"/>
          <w:b/>
          <w:bCs/>
          <w:caps/>
          <w:kern w:val="32"/>
          <w:sz w:val="18"/>
          <w:szCs w:val="32"/>
          <w:u w:val="single"/>
        </w:rPr>
      </w:pPr>
    </w:p>
    <w:p w:rsidRPr="00A60265" w:rsidR="001E2635" w:rsidP="001E2635" w:rsidRDefault="001E2635">
      <w:pPr>
        <w:pStyle w:val="Heading1"/>
      </w:pPr>
      <w:r w:rsidRPr="00A60265">
        <w:t>SKUTOČNOSTI, KTORÉ NASTALI PO DNI, KU KTORÉMU SA ZOSTAVUJE ÚČTOVNÁ ZÁVIERKA, A DO DŇA ZOSTAVENIA ÚČTOVNEJ ZÁVIERKY</w:t>
      </w:r>
    </w:p>
    <w:p w:rsidRPr="00A60265" w:rsidR="001E2635" w:rsidP="001E2635" w:rsidRDefault="001E2635">
      <w:pPr>
        <w:rPr>
          <w:u w:val="single"/>
        </w:rPr>
      </w:pPr>
    </w:p>
    <w:p w:rsidR="001E2635" w:rsidP="001E2635" w:rsidRDefault="00280CAC">
      <w:pPr>
        <w:rPr>
          <w:snapToGrid w:val="0"/>
          <w:lang w:eastAsia="sk-SK"/>
        </w:rPr>
      </w:pPr>
      <w:r w:rsidRPr="00A60265">
        <w:rPr>
          <w:snapToGrid w:val="0"/>
          <w:lang w:eastAsia="sk-SK"/>
        </w:rPr>
        <w:t>Po 31. decembri 201</w:t>
      </w:r>
      <w:r w:rsidR="00FD6BA4">
        <w:rPr>
          <w:snapToGrid w:val="0"/>
          <w:lang w:eastAsia="sk-SK"/>
        </w:rPr>
        <w:t>5</w:t>
      </w:r>
      <w:r w:rsidRPr="00A60265">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p>
    <w:p w:rsidRPr="00A60265" w:rsidR="001E2635" w:rsidP="001E2635" w:rsidRDefault="001E2635">
      <w:pPr>
        <w:rPr>
          <w:snapToGrid w:val="0"/>
          <w:lang w:eastAsia="sk-SK"/>
        </w:rPr>
      </w:pPr>
    </w:p>
    <w:sectPr w:rsidRPr="00A60265" w:rsidR="001E2635" w:rsidSect="008E3271">
      <w:headerReference w:type="default" r:id="rId11"/>
      <w:footerReference w:type="default" r:id="rId12"/>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D7F" w:rsidRDefault="00000D7F">
      <w:r>
        <w:separator/>
      </w:r>
    </w:p>
  </w:endnote>
  <w:endnote w:type="continuationSeparator" w:id="0">
    <w:p w:rsidR="00000D7F" w:rsidRDefault="00000D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1CEB" w:rsidRDefault="009B1CEB"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F3F13">
      <w:rPr>
        <w:rStyle w:val="PageNumber"/>
        <w:noProof/>
      </w:rPr>
      <w:t>3</w:t>
    </w:r>
    <w:r>
      <w:rPr>
        <w:rStyle w:val="PageNumber"/>
      </w:rPr>
      <w:fldChar w:fldCharType="end"/>
    </w:r>
  </w:p>
  <w:p w:rsidR="009B1CEB" w:rsidRDefault="009B1CEB" w:rsidP="00C81150">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D7F" w:rsidRDefault="00000D7F">
      <w:r>
        <w:separator/>
      </w:r>
    </w:p>
  </w:footnote>
  <w:footnote w:type="continuationSeparator" w:id="0">
    <w:p w:rsidR="00000D7F" w:rsidRDefault="00000D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1CEB" w:rsidRDefault="009B1CEB" w:rsidP="00C160EF">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Pr>
        <w:rStyle w:val="ra"/>
      </w:rPr>
      <w:t>36 663 697</w:t>
    </w:r>
    <w:r>
      <w:tab/>
      <w:t xml:space="preserve">DIČ: </w:t>
    </w:r>
    <w:r w:rsidRPr="00C160EF">
      <w:t>2022234368</w:t>
    </w:r>
  </w:p>
  <w:p w:rsidR="009B1CEB" w:rsidRPr="0067003C" w:rsidRDefault="009B1CEB" w:rsidP="00C81150">
    <w:pPr>
      <w:pStyle w:val="Header"/>
    </w:pPr>
    <w:r>
      <w:t xml:space="preserve">KVIST </w:t>
    </w:r>
    <w:proofErr w:type="spellStart"/>
    <w:r>
      <w:t>s.r.o</w:t>
    </w:r>
    <w:proofErr w:type="spellEnd"/>
    <w:r>
      <w:t>.</w:t>
    </w:r>
  </w:p>
  <w:p w:rsidR="009B1CEB" w:rsidRDefault="009B1CEB" w:rsidP="00C81150">
    <w:pPr>
      <w:pStyle w:val="Header"/>
    </w:pPr>
    <w:r>
      <w:t>Poznámky individuálnej účtovnej závierky</w:t>
    </w:r>
  </w:p>
  <w:p w:rsidR="009B1CEB" w:rsidRDefault="009B1CEB" w:rsidP="00C81150">
    <w:pPr>
      <w:pStyle w:val="Header"/>
    </w:pPr>
    <w:r>
      <w:t>Zostavenej k 31. decembru 2015</w:t>
    </w:r>
  </w:p>
  <w:p w:rsidR="009B1CEB" w:rsidRDefault="009B1CEB" w:rsidP="00C81150">
    <w:pPr>
      <w:pStyle w:val="Header"/>
      <w:pBdr>
        <w:bottom w:val="single" w:sz="4" w:space="1" w:color="auto"/>
      </w:pBdr>
    </w:pPr>
    <w:r>
      <w:t>(údaje v tabuľkách sú uvedené v celých eurách, ak nie je uvedené inak)</w:t>
    </w:r>
  </w:p>
  <w:p w:rsidR="009B1CEB" w:rsidRDefault="009B1CEB"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6529FDA"/>
    <w:lvl w:ilvl="0" w:tplc="F9AA830E">
      <w:start w:val="1"/>
      <w:numFmt w:val="lowerLetter"/>
      <w:lvlText w:val="%1)"/>
      <w:lvlJc w:val="left"/>
      <w:pPr>
        <w:tabs>
          <w:tab w:val="num" w:pos="539"/>
        </w:tabs>
        <w:ind w:left="539" w:hanging="539"/>
      </w:pPr>
      <w:rPr>
        <w:rFonts w:hint="default"/>
      </w:rPr>
    </w:lvl>
    <w:lvl w:ilvl="1" w:tplc="E7A43B40">
      <w:numFmt w:val="bullet"/>
      <w:lvlText w:val="-"/>
      <w:lvlJc w:val="left"/>
      <w:pPr>
        <w:ind w:left="1440" w:hanging="360"/>
      </w:pPr>
      <w:rPr>
        <w:rFonts w:ascii="Verdana" w:eastAsia="Times New Roman" w:hAnsi="Verdana"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FCE2CFA"/>
    <w:multiLevelType w:val="hybridMultilevel"/>
    <w:tmpl w:val="522CF0B6"/>
    <w:lvl w:ilvl="0" w:tplc="3FB201E4">
      <w:start w:val="1"/>
      <w:numFmt w:val="lowerLetter"/>
      <w:lvlText w:val="%1)"/>
      <w:lvlJc w:val="left"/>
      <w:pPr>
        <w:ind w:left="899" w:hanging="360"/>
      </w:pPr>
      <w:rPr>
        <w:rFonts w:hint="default"/>
      </w:rPr>
    </w:lvl>
    <w:lvl w:ilvl="1" w:tplc="0C1C1220">
      <w:numFmt w:val="bullet"/>
      <w:lvlText w:val="-"/>
      <w:lvlJc w:val="left"/>
      <w:pPr>
        <w:ind w:left="1619" w:hanging="360"/>
      </w:pPr>
      <w:rPr>
        <w:rFonts w:ascii="Verdana" w:eastAsia="Times New Roman" w:hAnsi="Verdana" w:cs="Times New Roman" w:hint="default"/>
      </w:rPr>
    </w:lvl>
    <w:lvl w:ilvl="2" w:tplc="0409001B" w:tentative="1">
      <w:start w:val="1"/>
      <w:numFmt w:val="lowerRoman"/>
      <w:lvlText w:val="%3."/>
      <w:lvlJc w:val="right"/>
      <w:pPr>
        <w:ind w:left="2339" w:hanging="180"/>
      </w:pPr>
    </w:lvl>
    <w:lvl w:ilvl="3" w:tplc="0409000F" w:tentative="1">
      <w:start w:val="1"/>
      <w:numFmt w:val="decimal"/>
      <w:lvlText w:val="%4."/>
      <w:lvlJc w:val="left"/>
      <w:pPr>
        <w:ind w:left="3059" w:hanging="360"/>
      </w:pPr>
    </w:lvl>
    <w:lvl w:ilvl="4" w:tplc="04090019" w:tentative="1">
      <w:start w:val="1"/>
      <w:numFmt w:val="lowerLetter"/>
      <w:lvlText w:val="%5."/>
      <w:lvlJc w:val="left"/>
      <w:pPr>
        <w:ind w:left="3779" w:hanging="360"/>
      </w:pPr>
    </w:lvl>
    <w:lvl w:ilvl="5" w:tplc="0409001B" w:tentative="1">
      <w:start w:val="1"/>
      <w:numFmt w:val="lowerRoman"/>
      <w:lvlText w:val="%6."/>
      <w:lvlJc w:val="right"/>
      <w:pPr>
        <w:ind w:left="4499" w:hanging="180"/>
      </w:pPr>
    </w:lvl>
    <w:lvl w:ilvl="6" w:tplc="0409000F" w:tentative="1">
      <w:start w:val="1"/>
      <w:numFmt w:val="decimal"/>
      <w:lvlText w:val="%7."/>
      <w:lvlJc w:val="left"/>
      <w:pPr>
        <w:ind w:left="5219" w:hanging="360"/>
      </w:pPr>
    </w:lvl>
    <w:lvl w:ilvl="7" w:tplc="04090019" w:tentative="1">
      <w:start w:val="1"/>
      <w:numFmt w:val="lowerLetter"/>
      <w:lvlText w:val="%8."/>
      <w:lvlJc w:val="left"/>
      <w:pPr>
        <w:ind w:left="5939" w:hanging="360"/>
      </w:pPr>
    </w:lvl>
    <w:lvl w:ilvl="8" w:tplc="0409001B" w:tentative="1">
      <w:start w:val="1"/>
      <w:numFmt w:val="lowerRoman"/>
      <w:lvlText w:val="%9."/>
      <w:lvlJc w:val="right"/>
      <w:pPr>
        <w:ind w:left="6659"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4"/>
  </w:num>
  <w:num w:numId="2">
    <w:abstractNumId w:val="10"/>
  </w:num>
  <w:num w:numId="3">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9"/>
  </w:num>
  <w:num w:numId="7">
    <w:abstractNumId w:val="5"/>
  </w:num>
  <w:num w:numId="8">
    <w:abstractNumId w:val="4"/>
  </w:num>
  <w:num w:numId="9">
    <w:abstractNumId w:val="11"/>
  </w:num>
  <w:num w:numId="10">
    <w:abstractNumId w:val="7"/>
  </w:num>
  <w:num w:numId="11">
    <w:abstractNumId w:val="12"/>
  </w:num>
  <w:num w:numId="12">
    <w:abstractNumId w:val="0"/>
  </w:num>
  <w:num w:numId="13">
    <w:abstractNumId w:val="6"/>
  </w:num>
  <w:num w:numId="14">
    <w:abstractNumId w:val="13"/>
  </w:num>
  <w:num w:numId="15">
    <w:abstractNumId w:val="3"/>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C81150"/>
    <w:rsid w:val="000003CC"/>
    <w:rsid w:val="00000438"/>
    <w:rsid w:val="000006C1"/>
    <w:rsid w:val="00000D7F"/>
    <w:rsid w:val="00001636"/>
    <w:rsid w:val="0000253C"/>
    <w:rsid w:val="00003838"/>
    <w:rsid w:val="000042DC"/>
    <w:rsid w:val="000066A0"/>
    <w:rsid w:val="00011C99"/>
    <w:rsid w:val="000152FD"/>
    <w:rsid w:val="00025E11"/>
    <w:rsid w:val="00031087"/>
    <w:rsid w:val="0003554D"/>
    <w:rsid w:val="0003701A"/>
    <w:rsid w:val="0004097D"/>
    <w:rsid w:val="000413F6"/>
    <w:rsid w:val="00042DF7"/>
    <w:rsid w:val="00042E14"/>
    <w:rsid w:val="000505CF"/>
    <w:rsid w:val="00056876"/>
    <w:rsid w:val="00061A44"/>
    <w:rsid w:val="00066AED"/>
    <w:rsid w:val="000670A7"/>
    <w:rsid w:val="00072D4F"/>
    <w:rsid w:val="00076934"/>
    <w:rsid w:val="0008018E"/>
    <w:rsid w:val="0008444A"/>
    <w:rsid w:val="00086A37"/>
    <w:rsid w:val="000912E1"/>
    <w:rsid w:val="000923F2"/>
    <w:rsid w:val="0009665C"/>
    <w:rsid w:val="000A3022"/>
    <w:rsid w:val="000B4969"/>
    <w:rsid w:val="000B638D"/>
    <w:rsid w:val="000C1342"/>
    <w:rsid w:val="000C1C75"/>
    <w:rsid w:val="000C3965"/>
    <w:rsid w:val="000C559C"/>
    <w:rsid w:val="000C6D1B"/>
    <w:rsid w:val="000D051D"/>
    <w:rsid w:val="000D4339"/>
    <w:rsid w:val="000D6844"/>
    <w:rsid w:val="000D7DAD"/>
    <w:rsid w:val="000E123F"/>
    <w:rsid w:val="000E1EAB"/>
    <w:rsid w:val="000E4315"/>
    <w:rsid w:val="000F2546"/>
    <w:rsid w:val="000F3C33"/>
    <w:rsid w:val="000F3D4D"/>
    <w:rsid w:val="000F63F1"/>
    <w:rsid w:val="000F7E45"/>
    <w:rsid w:val="00100B64"/>
    <w:rsid w:val="00101342"/>
    <w:rsid w:val="00104A1C"/>
    <w:rsid w:val="00111C30"/>
    <w:rsid w:val="00113235"/>
    <w:rsid w:val="001145C2"/>
    <w:rsid w:val="00115686"/>
    <w:rsid w:val="00121FD2"/>
    <w:rsid w:val="00123B6F"/>
    <w:rsid w:val="001240E4"/>
    <w:rsid w:val="0013020B"/>
    <w:rsid w:val="001311DC"/>
    <w:rsid w:val="001343A4"/>
    <w:rsid w:val="001354FB"/>
    <w:rsid w:val="00140952"/>
    <w:rsid w:val="00142157"/>
    <w:rsid w:val="001440A4"/>
    <w:rsid w:val="0014438A"/>
    <w:rsid w:val="00144B35"/>
    <w:rsid w:val="00150CFF"/>
    <w:rsid w:val="00162043"/>
    <w:rsid w:val="00162F37"/>
    <w:rsid w:val="001630F4"/>
    <w:rsid w:val="00163FF0"/>
    <w:rsid w:val="00164333"/>
    <w:rsid w:val="0016450F"/>
    <w:rsid w:val="00164E16"/>
    <w:rsid w:val="00164EB5"/>
    <w:rsid w:val="00165FC5"/>
    <w:rsid w:val="00166BFD"/>
    <w:rsid w:val="00171F23"/>
    <w:rsid w:val="00172B11"/>
    <w:rsid w:val="00176D2C"/>
    <w:rsid w:val="00177450"/>
    <w:rsid w:val="00177A9A"/>
    <w:rsid w:val="00182445"/>
    <w:rsid w:val="00185803"/>
    <w:rsid w:val="001859DB"/>
    <w:rsid w:val="00193CFA"/>
    <w:rsid w:val="0019430E"/>
    <w:rsid w:val="00194F2A"/>
    <w:rsid w:val="0019689F"/>
    <w:rsid w:val="001A2545"/>
    <w:rsid w:val="001B0DB0"/>
    <w:rsid w:val="001B2B5E"/>
    <w:rsid w:val="001B30A4"/>
    <w:rsid w:val="001B5206"/>
    <w:rsid w:val="001B6336"/>
    <w:rsid w:val="001C2CCA"/>
    <w:rsid w:val="001C53B5"/>
    <w:rsid w:val="001C6EF9"/>
    <w:rsid w:val="001D2B78"/>
    <w:rsid w:val="001D2C69"/>
    <w:rsid w:val="001D3064"/>
    <w:rsid w:val="001D35BD"/>
    <w:rsid w:val="001D3F20"/>
    <w:rsid w:val="001D4EAF"/>
    <w:rsid w:val="001D504C"/>
    <w:rsid w:val="001D673D"/>
    <w:rsid w:val="001E00A1"/>
    <w:rsid w:val="001E01F8"/>
    <w:rsid w:val="001E2635"/>
    <w:rsid w:val="001E3B2C"/>
    <w:rsid w:val="001E7800"/>
    <w:rsid w:val="001F23FB"/>
    <w:rsid w:val="001F5DA0"/>
    <w:rsid w:val="001F6AEC"/>
    <w:rsid w:val="001F6C2E"/>
    <w:rsid w:val="00202BDE"/>
    <w:rsid w:val="00204C96"/>
    <w:rsid w:val="00207794"/>
    <w:rsid w:val="00211F94"/>
    <w:rsid w:val="0021323C"/>
    <w:rsid w:val="00214BAA"/>
    <w:rsid w:val="002153A2"/>
    <w:rsid w:val="0021575F"/>
    <w:rsid w:val="0021576C"/>
    <w:rsid w:val="002162B9"/>
    <w:rsid w:val="00223A9A"/>
    <w:rsid w:val="00234DAD"/>
    <w:rsid w:val="00234DD8"/>
    <w:rsid w:val="0024441D"/>
    <w:rsid w:val="002543B4"/>
    <w:rsid w:val="002551CB"/>
    <w:rsid w:val="00256108"/>
    <w:rsid w:val="002620EA"/>
    <w:rsid w:val="002643ED"/>
    <w:rsid w:val="002647F4"/>
    <w:rsid w:val="00264D66"/>
    <w:rsid w:val="00267CA3"/>
    <w:rsid w:val="00271FCD"/>
    <w:rsid w:val="002735D5"/>
    <w:rsid w:val="002747FF"/>
    <w:rsid w:val="00276E90"/>
    <w:rsid w:val="00280586"/>
    <w:rsid w:val="00280CAC"/>
    <w:rsid w:val="0028631C"/>
    <w:rsid w:val="002926EC"/>
    <w:rsid w:val="00295DB1"/>
    <w:rsid w:val="002966BD"/>
    <w:rsid w:val="0029754E"/>
    <w:rsid w:val="002A329A"/>
    <w:rsid w:val="002A472F"/>
    <w:rsid w:val="002A47A7"/>
    <w:rsid w:val="002A48FC"/>
    <w:rsid w:val="002B1694"/>
    <w:rsid w:val="002B4522"/>
    <w:rsid w:val="002C2DC7"/>
    <w:rsid w:val="002C66A7"/>
    <w:rsid w:val="002C6F9D"/>
    <w:rsid w:val="002D016E"/>
    <w:rsid w:val="002D0330"/>
    <w:rsid w:val="002D03DC"/>
    <w:rsid w:val="002D055E"/>
    <w:rsid w:val="002D249D"/>
    <w:rsid w:val="002E19BA"/>
    <w:rsid w:val="002E2DB5"/>
    <w:rsid w:val="002E3053"/>
    <w:rsid w:val="002E3D80"/>
    <w:rsid w:val="002E5681"/>
    <w:rsid w:val="002E7573"/>
    <w:rsid w:val="002E7E87"/>
    <w:rsid w:val="002F055A"/>
    <w:rsid w:val="002F34E7"/>
    <w:rsid w:val="002F4464"/>
    <w:rsid w:val="002F583C"/>
    <w:rsid w:val="002F78A4"/>
    <w:rsid w:val="002F7F37"/>
    <w:rsid w:val="003061D7"/>
    <w:rsid w:val="00306504"/>
    <w:rsid w:val="00310224"/>
    <w:rsid w:val="00310C54"/>
    <w:rsid w:val="0031154A"/>
    <w:rsid w:val="00311EF5"/>
    <w:rsid w:val="0032199B"/>
    <w:rsid w:val="00321F75"/>
    <w:rsid w:val="00324C6E"/>
    <w:rsid w:val="00330565"/>
    <w:rsid w:val="00330AB2"/>
    <w:rsid w:val="00330C66"/>
    <w:rsid w:val="00332B4B"/>
    <w:rsid w:val="003407DC"/>
    <w:rsid w:val="00351F2D"/>
    <w:rsid w:val="00354434"/>
    <w:rsid w:val="00354E22"/>
    <w:rsid w:val="00363B4A"/>
    <w:rsid w:val="00363FE6"/>
    <w:rsid w:val="00366100"/>
    <w:rsid w:val="003661CA"/>
    <w:rsid w:val="0037364A"/>
    <w:rsid w:val="003760B5"/>
    <w:rsid w:val="00380ECF"/>
    <w:rsid w:val="0038564B"/>
    <w:rsid w:val="00387CFF"/>
    <w:rsid w:val="00391E6D"/>
    <w:rsid w:val="003924CF"/>
    <w:rsid w:val="00394CF8"/>
    <w:rsid w:val="00395929"/>
    <w:rsid w:val="003A02A3"/>
    <w:rsid w:val="003A28A0"/>
    <w:rsid w:val="003A3648"/>
    <w:rsid w:val="003A3754"/>
    <w:rsid w:val="003A3E62"/>
    <w:rsid w:val="003A661C"/>
    <w:rsid w:val="003A6DD6"/>
    <w:rsid w:val="003A7362"/>
    <w:rsid w:val="003B0784"/>
    <w:rsid w:val="003B1448"/>
    <w:rsid w:val="003B34EF"/>
    <w:rsid w:val="003B365C"/>
    <w:rsid w:val="003B3C94"/>
    <w:rsid w:val="003B44B3"/>
    <w:rsid w:val="003B4AB0"/>
    <w:rsid w:val="003C032B"/>
    <w:rsid w:val="003C12E4"/>
    <w:rsid w:val="003C309E"/>
    <w:rsid w:val="003C514F"/>
    <w:rsid w:val="003C60C9"/>
    <w:rsid w:val="003D0CC4"/>
    <w:rsid w:val="003D74FC"/>
    <w:rsid w:val="003D76C3"/>
    <w:rsid w:val="003E168C"/>
    <w:rsid w:val="003E3732"/>
    <w:rsid w:val="003E74DB"/>
    <w:rsid w:val="003F0FCA"/>
    <w:rsid w:val="003F1C6A"/>
    <w:rsid w:val="003F20D8"/>
    <w:rsid w:val="004006C4"/>
    <w:rsid w:val="00401BAD"/>
    <w:rsid w:val="00401CA3"/>
    <w:rsid w:val="00402FBE"/>
    <w:rsid w:val="004032CB"/>
    <w:rsid w:val="00405A94"/>
    <w:rsid w:val="00410D92"/>
    <w:rsid w:val="0041301E"/>
    <w:rsid w:val="00414800"/>
    <w:rsid w:val="00414BEA"/>
    <w:rsid w:val="00416D85"/>
    <w:rsid w:val="00417846"/>
    <w:rsid w:val="004222FE"/>
    <w:rsid w:val="00424C87"/>
    <w:rsid w:val="00425DB7"/>
    <w:rsid w:val="00425F00"/>
    <w:rsid w:val="0043110A"/>
    <w:rsid w:val="00432058"/>
    <w:rsid w:val="00432F9A"/>
    <w:rsid w:val="004431DF"/>
    <w:rsid w:val="00446A2A"/>
    <w:rsid w:val="00447B2C"/>
    <w:rsid w:val="00453985"/>
    <w:rsid w:val="004570ED"/>
    <w:rsid w:val="004654CD"/>
    <w:rsid w:val="00465890"/>
    <w:rsid w:val="00465E18"/>
    <w:rsid w:val="00470A91"/>
    <w:rsid w:val="00473947"/>
    <w:rsid w:val="00477E08"/>
    <w:rsid w:val="004802E8"/>
    <w:rsid w:val="004816DC"/>
    <w:rsid w:val="00486676"/>
    <w:rsid w:val="00487854"/>
    <w:rsid w:val="0049063C"/>
    <w:rsid w:val="00491B66"/>
    <w:rsid w:val="004964F5"/>
    <w:rsid w:val="004A1A4A"/>
    <w:rsid w:val="004A1F58"/>
    <w:rsid w:val="004A273B"/>
    <w:rsid w:val="004A40D5"/>
    <w:rsid w:val="004A4A5A"/>
    <w:rsid w:val="004A4D49"/>
    <w:rsid w:val="004B3BDE"/>
    <w:rsid w:val="004B5701"/>
    <w:rsid w:val="004B58BA"/>
    <w:rsid w:val="004B7838"/>
    <w:rsid w:val="004C09F3"/>
    <w:rsid w:val="004C2171"/>
    <w:rsid w:val="004D02DC"/>
    <w:rsid w:val="004D4CB4"/>
    <w:rsid w:val="004E1ADB"/>
    <w:rsid w:val="004E40B8"/>
    <w:rsid w:val="004F4E7B"/>
    <w:rsid w:val="004F51C2"/>
    <w:rsid w:val="004F5290"/>
    <w:rsid w:val="005009EF"/>
    <w:rsid w:val="00500B55"/>
    <w:rsid w:val="00502A51"/>
    <w:rsid w:val="00502FB9"/>
    <w:rsid w:val="0050540B"/>
    <w:rsid w:val="00507587"/>
    <w:rsid w:val="00511BA5"/>
    <w:rsid w:val="00511DA2"/>
    <w:rsid w:val="00514ACD"/>
    <w:rsid w:val="00516FB6"/>
    <w:rsid w:val="00517F4D"/>
    <w:rsid w:val="00520F36"/>
    <w:rsid w:val="00530F08"/>
    <w:rsid w:val="0053243B"/>
    <w:rsid w:val="0053732B"/>
    <w:rsid w:val="0054112A"/>
    <w:rsid w:val="00541E0A"/>
    <w:rsid w:val="00542472"/>
    <w:rsid w:val="00542B27"/>
    <w:rsid w:val="005471E0"/>
    <w:rsid w:val="0055258C"/>
    <w:rsid w:val="00553391"/>
    <w:rsid w:val="005533C4"/>
    <w:rsid w:val="005601EC"/>
    <w:rsid w:val="00566707"/>
    <w:rsid w:val="005703C3"/>
    <w:rsid w:val="00576D18"/>
    <w:rsid w:val="00577700"/>
    <w:rsid w:val="005827C2"/>
    <w:rsid w:val="00584733"/>
    <w:rsid w:val="00584EA1"/>
    <w:rsid w:val="00584F0C"/>
    <w:rsid w:val="00585041"/>
    <w:rsid w:val="0058624F"/>
    <w:rsid w:val="00590F0A"/>
    <w:rsid w:val="00593745"/>
    <w:rsid w:val="00593D58"/>
    <w:rsid w:val="00594311"/>
    <w:rsid w:val="0059698B"/>
    <w:rsid w:val="00596D07"/>
    <w:rsid w:val="005A0C9F"/>
    <w:rsid w:val="005A27E3"/>
    <w:rsid w:val="005A5BEE"/>
    <w:rsid w:val="005B2929"/>
    <w:rsid w:val="005B36DD"/>
    <w:rsid w:val="005B4163"/>
    <w:rsid w:val="005B4A69"/>
    <w:rsid w:val="005B5695"/>
    <w:rsid w:val="005B57EA"/>
    <w:rsid w:val="005B6728"/>
    <w:rsid w:val="005C21A4"/>
    <w:rsid w:val="005C501F"/>
    <w:rsid w:val="005C7EA3"/>
    <w:rsid w:val="005D2D7A"/>
    <w:rsid w:val="005D3E7B"/>
    <w:rsid w:val="005D447B"/>
    <w:rsid w:val="005D55FF"/>
    <w:rsid w:val="005D7B7B"/>
    <w:rsid w:val="005E121C"/>
    <w:rsid w:val="005E41B9"/>
    <w:rsid w:val="005F07B4"/>
    <w:rsid w:val="005F1095"/>
    <w:rsid w:val="005F1651"/>
    <w:rsid w:val="005F203F"/>
    <w:rsid w:val="005F2E78"/>
    <w:rsid w:val="005F488F"/>
    <w:rsid w:val="00603BE4"/>
    <w:rsid w:val="00607D6C"/>
    <w:rsid w:val="00610D50"/>
    <w:rsid w:val="00612589"/>
    <w:rsid w:val="00612B12"/>
    <w:rsid w:val="006137D0"/>
    <w:rsid w:val="00614C42"/>
    <w:rsid w:val="006150D4"/>
    <w:rsid w:val="00615A60"/>
    <w:rsid w:val="006204AE"/>
    <w:rsid w:val="00621694"/>
    <w:rsid w:val="00621CE6"/>
    <w:rsid w:val="00626BD5"/>
    <w:rsid w:val="0062710D"/>
    <w:rsid w:val="0062740A"/>
    <w:rsid w:val="00630717"/>
    <w:rsid w:val="006307C8"/>
    <w:rsid w:val="00634E56"/>
    <w:rsid w:val="00636A8D"/>
    <w:rsid w:val="006373DA"/>
    <w:rsid w:val="00640E59"/>
    <w:rsid w:val="006464FE"/>
    <w:rsid w:val="00647DE0"/>
    <w:rsid w:val="0065127C"/>
    <w:rsid w:val="00651639"/>
    <w:rsid w:val="00653D5A"/>
    <w:rsid w:val="00657091"/>
    <w:rsid w:val="00662391"/>
    <w:rsid w:val="00663720"/>
    <w:rsid w:val="006638BC"/>
    <w:rsid w:val="00664937"/>
    <w:rsid w:val="00664F99"/>
    <w:rsid w:val="0066666D"/>
    <w:rsid w:val="006673E0"/>
    <w:rsid w:val="00667783"/>
    <w:rsid w:val="0067003C"/>
    <w:rsid w:val="00670CB7"/>
    <w:rsid w:val="0067219B"/>
    <w:rsid w:val="006746F7"/>
    <w:rsid w:val="006762BE"/>
    <w:rsid w:val="00677A36"/>
    <w:rsid w:val="0068050E"/>
    <w:rsid w:val="00680DBD"/>
    <w:rsid w:val="0068249F"/>
    <w:rsid w:val="006837A8"/>
    <w:rsid w:val="006945D6"/>
    <w:rsid w:val="00694F84"/>
    <w:rsid w:val="00694FB9"/>
    <w:rsid w:val="006A1412"/>
    <w:rsid w:val="006A1CBA"/>
    <w:rsid w:val="006A3131"/>
    <w:rsid w:val="006A3DAC"/>
    <w:rsid w:val="006A49A3"/>
    <w:rsid w:val="006B0885"/>
    <w:rsid w:val="006B4DBD"/>
    <w:rsid w:val="006B51F8"/>
    <w:rsid w:val="006B53A8"/>
    <w:rsid w:val="006B7180"/>
    <w:rsid w:val="006B76B9"/>
    <w:rsid w:val="006C0F60"/>
    <w:rsid w:val="006C22FC"/>
    <w:rsid w:val="006C3B98"/>
    <w:rsid w:val="006C5A71"/>
    <w:rsid w:val="006C6B73"/>
    <w:rsid w:val="006D31EF"/>
    <w:rsid w:val="006D5A62"/>
    <w:rsid w:val="006D785A"/>
    <w:rsid w:val="006D7A59"/>
    <w:rsid w:val="006E06CF"/>
    <w:rsid w:val="006E7560"/>
    <w:rsid w:val="006F040F"/>
    <w:rsid w:val="006F04CD"/>
    <w:rsid w:val="006F1A2F"/>
    <w:rsid w:val="006F1C45"/>
    <w:rsid w:val="006F3F13"/>
    <w:rsid w:val="006F4D01"/>
    <w:rsid w:val="006F4FB2"/>
    <w:rsid w:val="006F6064"/>
    <w:rsid w:val="006F6823"/>
    <w:rsid w:val="00701898"/>
    <w:rsid w:val="00703B13"/>
    <w:rsid w:val="007051B1"/>
    <w:rsid w:val="00705FBF"/>
    <w:rsid w:val="00712245"/>
    <w:rsid w:val="007137B5"/>
    <w:rsid w:val="0071572C"/>
    <w:rsid w:val="00715E9D"/>
    <w:rsid w:val="00720951"/>
    <w:rsid w:val="00721014"/>
    <w:rsid w:val="00723CBC"/>
    <w:rsid w:val="00725C93"/>
    <w:rsid w:val="0073354C"/>
    <w:rsid w:val="00736A25"/>
    <w:rsid w:val="00736B44"/>
    <w:rsid w:val="00741BCD"/>
    <w:rsid w:val="0074448F"/>
    <w:rsid w:val="00747C59"/>
    <w:rsid w:val="00750790"/>
    <w:rsid w:val="00750E32"/>
    <w:rsid w:val="00751283"/>
    <w:rsid w:val="00751B5B"/>
    <w:rsid w:val="0075466C"/>
    <w:rsid w:val="00754810"/>
    <w:rsid w:val="007606BC"/>
    <w:rsid w:val="00760EE4"/>
    <w:rsid w:val="00762454"/>
    <w:rsid w:val="00763F21"/>
    <w:rsid w:val="00765A18"/>
    <w:rsid w:val="007669AB"/>
    <w:rsid w:val="00767A6E"/>
    <w:rsid w:val="00767F9A"/>
    <w:rsid w:val="00771B59"/>
    <w:rsid w:val="00772CCA"/>
    <w:rsid w:val="00774339"/>
    <w:rsid w:val="0077630B"/>
    <w:rsid w:val="007829D0"/>
    <w:rsid w:val="0078504A"/>
    <w:rsid w:val="00787F5D"/>
    <w:rsid w:val="00793B10"/>
    <w:rsid w:val="007978F7"/>
    <w:rsid w:val="00797B00"/>
    <w:rsid w:val="007A1D05"/>
    <w:rsid w:val="007A1F27"/>
    <w:rsid w:val="007A3FCA"/>
    <w:rsid w:val="007A4E31"/>
    <w:rsid w:val="007B0036"/>
    <w:rsid w:val="007B357C"/>
    <w:rsid w:val="007C1CE5"/>
    <w:rsid w:val="007C210E"/>
    <w:rsid w:val="007C3562"/>
    <w:rsid w:val="007C439E"/>
    <w:rsid w:val="007C4C15"/>
    <w:rsid w:val="007C6D77"/>
    <w:rsid w:val="007D0692"/>
    <w:rsid w:val="007D06E6"/>
    <w:rsid w:val="007D2181"/>
    <w:rsid w:val="007D27F2"/>
    <w:rsid w:val="007D3F5B"/>
    <w:rsid w:val="007D506E"/>
    <w:rsid w:val="007D5663"/>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24C92"/>
    <w:rsid w:val="00824CF6"/>
    <w:rsid w:val="00831E06"/>
    <w:rsid w:val="00831EB6"/>
    <w:rsid w:val="00840831"/>
    <w:rsid w:val="00842042"/>
    <w:rsid w:val="00845108"/>
    <w:rsid w:val="0084559B"/>
    <w:rsid w:val="008458E9"/>
    <w:rsid w:val="008467AD"/>
    <w:rsid w:val="00850A9D"/>
    <w:rsid w:val="00852FCA"/>
    <w:rsid w:val="00853C59"/>
    <w:rsid w:val="00853D7D"/>
    <w:rsid w:val="00854FCD"/>
    <w:rsid w:val="008561C1"/>
    <w:rsid w:val="00857755"/>
    <w:rsid w:val="00862276"/>
    <w:rsid w:val="00862487"/>
    <w:rsid w:val="00862A9C"/>
    <w:rsid w:val="008634D1"/>
    <w:rsid w:val="00864105"/>
    <w:rsid w:val="00864B7A"/>
    <w:rsid w:val="00866CFF"/>
    <w:rsid w:val="008711DF"/>
    <w:rsid w:val="00877449"/>
    <w:rsid w:val="008774FE"/>
    <w:rsid w:val="00886F6B"/>
    <w:rsid w:val="008902A0"/>
    <w:rsid w:val="008910E5"/>
    <w:rsid w:val="00891AAB"/>
    <w:rsid w:val="00892FA3"/>
    <w:rsid w:val="00893038"/>
    <w:rsid w:val="00893E2E"/>
    <w:rsid w:val="00894947"/>
    <w:rsid w:val="00894E0B"/>
    <w:rsid w:val="00897554"/>
    <w:rsid w:val="008979A0"/>
    <w:rsid w:val="008A0789"/>
    <w:rsid w:val="008A57B0"/>
    <w:rsid w:val="008A7CEF"/>
    <w:rsid w:val="008B2F92"/>
    <w:rsid w:val="008B33B1"/>
    <w:rsid w:val="008B3E90"/>
    <w:rsid w:val="008B6566"/>
    <w:rsid w:val="008B77F4"/>
    <w:rsid w:val="008C287B"/>
    <w:rsid w:val="008C4F2A"/>
    <w:rsid w:val="008C598A"/>
    <w:rsid w:val="008D2542"/>
    <w:rsid w:val="008D311D"/>
    <w:rsid w:val="008D4CF5"/>
    <w:rsid w:val="008D4CF7"/>
    <w:rsid w:val="008E3271"/>
    <w:rsid w:val="008E4966"/>
    <w:rsid w:val="008E4A7A"/>
    <w:rsid w:val="008F0152"/>
    <w:rsid w:val="008F0EC7"/>
    <w:rsid w:val="008F103E"/>
    <w:rsid w:val="008F33A6"/>
    <w:rsid w:val="008F3892"/>
    <w:rsid w:val="008F4A7C"/>
    <w:rsid w:val="008F4FCB"/>
    <w:rsid w:val="0090028D"/>
    <w:rsid w:val="00900955"/>
    <w:rsid w:val="00902506"/>
    <w:rsid w:val="009049D5"/>
    <w:rsid w:val="00904FDA"/>
    <w:rsid w:val="009051D3"/>
    <w:rsid w:val="009141FE"/>
    <w:rsid w:val="00914918"/>
    <w:rsid w:val="00916547"/>
    <w:rsid w:val="00916FF0"/>
    <w:rsid w:val="00920677"/>
    <w:rsid w:val="00922A86"/>
    <w:rsid w:val="00923489"/>
    <w:rsid w:val="00932CF1"/>
    <w:rsid w:val="00932E9E"/>
    <w:rsid w:val="00933086"/>
    <w:rsid w:val="00936F55"/>
    <w:rsid w:val="00941D7F"/>
    <w:rsid w:val="0094772F"/>
    <w:rsid w:val="00950360"/>
    <w:rsid w:val="00951D53"/>
    <w:rsid w:val="00952B55"/>
    <w:rsid w:val="009579CD"/>
    <w:rsid w:val="00957CE4"/>
    <w:rsid w:val="00960012"/>
    <w:rsid w:val="0096189C"/>
    <w:rsid w:val="009629A8"/>
    <w:rsid w:val="0096300B"/>
    <w:rsid w:val="00965C8E"/>
    <w:rsid w:val="00967F06"/>
    <w:rsid w:val="00974390"/>
    <w:rsid w:val="0097605D"/>
    <w:rsid w:val="00976E6D"/>
    <w:rsid w:val="0098481C"/>
    <w:rsid w:val="0098634D"/>
    <w:rsid w:val="00990976"/>
    <w:rsid w:val="009934F6"/>
    <w:rsid w:val="00996F4A"/>
    <w:rsid w:val="00997723"/>
    <w:rsid w:val="009A390D"/>
    <w:rsid w:val="009A5B23"/>
    <w:rsid w:val="009B006E"/>
    <w:rsid w:val="009B1CEB"/>
    <w:rsid w:val="009B2C12"/>
    <w:rsid w:val="009B5601"/>
    <w:rsid w:val="009B5F39"/>
    <w:rsid w:val="009C03D7"/>
    <w:rsid w:val="009C239A"/>
    <w:rsid w:val="009C4F06"/>
    <w:rsid w:val="009C4F0E"/>
    <w:rsid w:val="009D0C69"/>
    <w:rsid w:val="009D18F8"/>
    <w:rsid w:val="009D5AA8"/>
    <w:rsid w:val="009D5AE1"/>
    <w:rsid w:val="009D64A1"/>
    <w:rsid w:val="009D6B8B"/>
    <w:rsid w:val="009E051F"/>
    <w:rsid w:val="009E172B"/>
    <w:rsid w:val="009F083D"/>
    <w:rsid w:val="009F4036"/>
    <w:rsid w:val="009F6044"/>
    <w:rsid w:val="009F7FD4"/>
    <w:rsid w:val="00A04E0D"/>
    <w:rsid w:val="00A0621C"/>
    <w:rsid w:val="00A0722C"/>
    <w:rsid w:val="00A109AB"/>
    <w:rsid w:val="00A10FFF"/>
    <w:rsid w:val="00A113C2"/>
    <w:rsid w:val="00A12EDC"/>
    <w:rsid w:val="00A1305F"/>
    <w:rsid w:val="00A2223C"/>
    <w:rsid w:val="00A228D3"/>
    <w:rsid w:val="00A25A3F"/>
    <w:rsid w:val="00A313C2"/>
    <w:rsid w:val="00A33809"/>
    <w:rsid w:val="00A33AF8"/>
    <w:rsid w:val="00A33FE8"/>
    <w:rsid w:val="00A35C6F"/>
    <w:rsid w:val="00A36CCE"/>
    <w:rsid w:val="00A372D1"/>
    <w:rsid w:val="00A37BD7"/>
    <w:rsid w:val="00A37DB2"/>
    <w:rsid w:val="00A40BD1"/>
    <w:rsid w:val="00A45117"/>
    <w:rsid w:val="00A4714E"/>
    <w:rsid w:val="00A52DB9"/>
    <w:rsid w:val="00A53A0F"/>
    <w:rsid w:val="00A60265"/>
    <w:rsid w:val="00A6041A"/>
    <w:rsid w:val="00A636C0"/>
    <w:rsid w:val="00A70F3C"/>
    <w:rsid w:val="00A72044"/>
    <w:rsid w:val="00A72794"/>
    <w:rsid w:val="00A7586B"/>
    <w:rsid w:val="00A80870"/>
    <w:rsid w:val="00A852DC"/>
    <w:rsid w:val="00A87675"/>
    <w:rsid w:val="00A9011B"/>
    <w:rsid w:val="00A94FC4"/>
    <w:rsid w:val="00AA01E0"/>
    <w:rsid w:val="00AA1C46"/>
    <w:rsid w:val="00AA43CE"/>
    <w:rsid w:val="00AA4904"/>
    <w:rsid w:val="00AA62FA"/>
    <w:rsid w:val="00AA6B6E"/>
    <w:rsid w:val="00AA772E"/>
    <w:rsid w:val="00AB5F79"/>
    <w:rsid w:val="00AB60DA"/>
    <w:rsid w:val="00AC1645"/>
    <w:rsid w:val="00AC172D"/>
    <w:rsid w:val="00AC3203"/>
    <w:rsid w:val="00AC485D"/>
    <w:rsid w:val="00AC76D6"/>
    <w:rsid w:val="00AC79A3"/>
    <w:rsid w:val="00AD2025"/>
    <w:rsid w:val="00AD2CE4"/>
    <w:rsid w:val="00AD4EB2"/>
    <w:rsid w:val="00AD4EC6"/>
    <w:rsid w:val="00AE0171"/>
    <w:rsid w:val="00AE5E2E"/>
    <w:rsid w:val="00AE66CD"/>
    <w:rsid w:val="00AE7683"/>
    <w:rsid w:val="00AF17E8"/>
    <w:rsid w:val="00AF2872"/>
    <w:rsid w:val="00B00A24"/>
    <w:rsid w:val="00B03F2A"/>
    <w:rsid w:val="00B068A1"/>
    <w:rsid w:val="00B0734A"/>
    <w:rsid w:val="00B07A2F"/>
    <w:rsid w:val="00B1271B"/>
    <w:rsid w:val="00B17212"/>
    <w:rsid w:val="00B22433"/>
    <w:rsid w:val="00B23E54"/>
    <w:rsid w:val="00B2482F"/>
    <w:rsid w:val="00B261CC"/>
    <w:rsid w:val="00B26F12"/>
    <w:rsid w:val="00B3242B"/>
    <w:rsid w:val="00B33F31"/>
    <w:rsid w:val="00B36520"/>
    <w:rsid w:val="00B40F3C"/>
    <w:rsid w:val="00B43ADB"/>
    <w:rsid w:val="00B44109"/>
    <w:rsid w:val="00B4459D"/>
    <w:rsid w:val="00B451A4"/>
    <w:rsid w:val="00B475A1"/>
    <w:rsid w:val="00B52CAC"/>
    <w:rsid w:val="00B53B39"/>
    <w:rsid w:val="00B53E59"/>
    <w:rsid w:val="00B54C9D"/>
    <w:rsid w:val="00B56377"/>
    <w:rsid w:val="00B604CF"/>
    <w:rsid w:val="00B63106"/>
    <w:rsid w:val="00B63B55"/>
    <w:rsid w:val="00B6548F"/>
    <w:rsid w:val="00B66878"/>
    <w:rsid w:val="00B670B9"/>
    <w:rsid w:val="00B70EFA"/>
    <w:rsid w:val="00B7225B"/>
    <w:rsid w:val="00B72E48"/>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407"/>
    <w:rsid w:val="00BA7C82"/>
    <w:rsid w:val="00BA7CF0"/>
    <w:rsid w:val="00BB6317"/>
    <w:rsid w:val="00BC01C1"/>
    <w:rsid w:val="00BC0B23"/>
    <w:rsid w:val="00BC235F"/>
    <w:rsid w:val="00BC279C"/>
    <w:rsid w:val="00BC4495"/>
    <w:rsid w:val="00BC6197"/>
    <w:rsid w:val="00BD0DDB"/>
    <w:rsid w:val="00BD2A15"/>
    <w:rsid w:val="00BD764E"/>
    <w:rsid w:val="00BE09FD"/>
    <w:rsid w:val="00BE6F6C"/>
    <w:rsid w:val="00BF0B0D"/>
    <w:rsid w:val="00BF1666"/>
    <w:rsid w:val="00BF238A"/>
    <w:rsid w:val="00BF2474"/>
    <w:rsid w:val="00C003E1"/>
    <w:rsid w:val="00C01E36"/>
    <w:rsid w:val="00C160EF"/>
    <w:rsid w:val="00C26935"/>
    <w:rsid w:val="00C26A76"/>
    <w:rsid w:val="00C27954"/>
    <w:rsid w:val="00C30539"/>
    <w:rsid w:val="00C32CC9"/>
    <w:rsid w:val="00C3474D"/>
    <w:rsid w:val="00C40A7A"/>
    <w:rsid w:val="00C43026"/>
    <w:rsid w:val="00C440BC"/>
    <w:rsid w:val="00C44CEF"/>
    <w:rsid w:val="00C45CC6"/>
    <w:rsid w:val="00C46514"/>
    <w:rsid w:val="00C46863"/>
    <w:rsid w:val="00C477B1"/>
    <w:rsid w:val="00C509EB"/>
    <w:rsid w:val="00C52692"/>
    <w:rsid w:val="00C5495A"/>
    <w:rsid w:val="00C55985"/>
    <w:rsid w:val="00C60C6A"/>
    <w:rsid w:val="00C6114C"/>
    <w:rsid w:val="00C67296"/>
    <w:rsid w:val="00C700F1"/>
    <w:rsid w:val="00C72EF7"/>
    <w:rsid w:val="00C75CC2"/>
    <w:rsid w:val="00C81150"/>
    <w:rsid w:val="00C81C1E"/>
    <w:rsid w:val="00C857F9"/>
    <w:rsid w:val="00C9186D"/>
    <w:rsid w:val="00C9224B"/>
    <w:rsid w:val="00C9225A"/>
    <w:rsid w:val="00C931C5"/>
    <w:rsid w:val="00C939F8"/>
    <w:rsid w:val="00C96ACD"/>
    <w:rsid w:val="00C9793D"/>
    <w:rsid w:val="00CA36AE"/>
    <w:rsid w:val="00CA6376"/>
    <w:rsid w:val="00CB1400"/>
    <w:rsid w:val="00CB407B"/>
    <w:rsid w:val="00CB6134"/>
    <w:rsid w:val="00CC0417"/>
    <w:rsid w:val="00CC07E5"/>
    <w:rsid w:val="00CC2D00"/>
    <w:rsid w:val="00CC33D6"/>
    <w:rsid w:val="00CC36C4"/>
    <w:rsid w:val="00CC3DD6"/>
    <w:rsid w:val="00CC43ED"/>
    <w:rsid w:val="00CC4625"/>
    <w:rsid w:val="00CC77A8"/>
    <w:rsid w:val="00CD0039"/>
    <w:rsid w:val="00CD0350"/>
    <w:rsid w:val="00CD1B3A"/>
    <w:rsid w:val="00CD4672"/>
    <w:rsid w:val="00CD6DA2"/>
    <w:rsid w:val="00CD7A43"/>
    <w:rsid w:val="00CE2768"/>
    <w:rsid w:val="00CE343B"/>
    <w:rsid w:val="00CE621B"/>
    <w:rsid w:val="00CE6287"/>
    <w:rsid w:val="00CE7C26"/>
    <w:rsid w:val="00CF2070"/>
    <w:rsid w:val="00CF2D5B"/>
    <w:rsid w:val="00CF6902"/>
    <w:rsid w:val="00D03E16"/>
    <w:rsid w:val="00D05278"/>
    <w:rsid w:val="00D06B8A"/>
    <w:rsid w:val="00D07359"/>
    <w:rsid w:val="00D10E9B"/>
    <w:rsid w:val="00D11406"/>
    <w:rsid w:val="00D145E3"/>
    <w:rsid w:val="00D157BA"/>
    <w:rsid w:val="00D20CD7"/>
    <w:rsid w:val="00D22A1B"/>
    <w:rsid w:val="00D22B64"/>
    <w:rsid w:val="00D22DCD"/>
    <w:rsid w:val="00D230B8"/>
    <w:rsid w:val="00D2560A"/>
    <w:rsid w:val="00D25ED3"/>
    <w:rsid w:val="00D26133"/>
    <w:rsid w:val="00D27DA5"/>
    <w:rsid w:val="00D30415"/>
    <w:rsid w:val="00D31407"/>
    <w:rsid w:val="00D3184D"/>
    <w:rsid w:val="00D3502A"/>
    <w:rsid w:val="00D40E4D"/>
    <w:rsid w:val="00D473B3"/>
    <w:rsid w:val="00D50748"/>
    <w:rsid w:val="00D52BC7"/>
    <w:rsid w:val="00D52EBB"/>
    <w:rsid w:val="00D55A35"/>
    <w:rsid w:val="00D5663A"/>
    <w:rsid w:val="00D56AC4"/>
    <w:rsid w:val="00D56BE5"/>
    <w:rsid w:val="00D60195"/>
    <w:rsid w:val="00D6067B"/>
    <w:rsid w:val="00D61E51"/>
    <w:rsid w:val="00D62B73"/>
    <w:rsid w:val="00D636A0"/>
    <w:rsid w:val="00D636E6"/>
    <w:rsid w:val="00D64CF3"/>
    <w:rsid w:val="00D650AD"/>
    <w:rsid w:val="00D71A36"/>
    <w:rsid w:val="00D7273D"/>
    <w:rsid w:val="00D728CA"/>
    <w:rsid w:val="00D7574A"/>
    <w:rsid w:val="00D7744D"/>
    <w:rsid w:val="00D80980"/>
    <w:rsid w:val="00D8507D"/>
    <w:rsid w:val="00D85570"/>
    <w:rsid w:val="00D86297"/>
    <w:rsid w:val="00D86E50"/>
    <w:rsid w:val="00D87F4B"/>
    <w:rsid w:val="00D92750"/>
    <w:rsid w:val="00D9771A"/>
    <w:rsid w:val="00DA03EB"/>
    <w:rsid w:val="00DA178A"/>
    <w:rsid w:val="00DA1C62"/>
    <w:rsid w:val="00DA1DC1"/>
    <w:rsid w:val="00DA25D7"/>
    <w:rsid w:val="00DA5804"/>
    <w:rsid w:val="00DA7B78"/>
    <w:rsid w:val="00DB07AE"/>
    <w:rsid w:val="00DB09BD"/>
    <w:rsid w:val="00DB2CCC"/>
    <w:rsid w:val="00DB6A0B"/>
    <w:rsid w:val="00DB70FF"/>
    <w:rsid w:val="00DB7D05"/>
    <w:rsid w:val="00DC1645"/>
    <w:rsid w:val="00DC34F8"/>
    <w:rsid w:val="00DC5AFC"/>
    <w:rsid w:val="00DD1A75"/>
    <w:rsid w:val="00DD5063"/>
    <w:rsid w:val="00DE0EFB"/>
    <w:rsid w:val="00DE135E"/>
    <w:rsid w:val="00DE151D"/>
    <w:rsid w:val="00DE242C"/>
    <w:rsid w:val="00DE29FC"/>
    <w:rsid w:val="00DE3BD5"/>
    <w:rsid w:val="00DE40F6"/>
    <w:rsid w:val="00DE5E07"/>
    <w:rsid w:val="00DE7D69"/>
    <w:rsid w:val="00DF0A8B"/>
    <w:rsid w:val="00DF1B3E"/>
    <w:rsid w:val="00DF228E"/>
    <w:rsid w:val="00DF3A12"/>
    <w:rsid w:val="00DF5647"/>
    <w:rsid w:val="00E039FD"/>
    <w:rsid w:val="00E05D28"/>
    <w:rsid w:val="00E067D3"/>
    <w:rsid w:val="00E105AB"/>
    <w:rsid w:val="00E108EB"/>
    <w:rsid w:val="00E11848"/>
    <w:rsid w:val="00E127D2"/>
    <w:rsid w:val="00E16DC5"/>
    <w:rsid w:val="00E176CD"/>
    <w:rsid w:val="00E17966"/>
    <w:rsid w:val="00E20BD8"/>
    <w:rsid w:val="00E2202D"/>
    <w:rsid w:val="00E23991"/>
    <w:rsid w:val="00E239D6"/>
    <w:rsid w:val="00E26668"/>
    <w:rsid w:val="00E26A6C"/>
    <w:rsid w:val="00E301B7"/>
    <w:rsid w:val="00E34370"/>
    <w:rsid w:val="00E3502B"/>
    <w:rsid w:val="00E40DFC"/>
    <w:rsid w:val="00E41CDD"/>
    <w:rsid w:val="00E428E0"/>
    <w:rsid w:val="00E458AC"/>
    <w:rsid w:val="00E4714A"/>
    <w:rsid w:val="00E51641"/>
    <w:rsid w:val="00E52727"/>
    <w:rsid w:val="00E560E9"/>
    <w:rsid w:val="00E57510"/>
    <w:rsid w:val="00E603E9"/>
    <w:rsid w:val="00E60ABB"/>
    <w:rsid w:val="00E60EEA"/>
    <w:rsid w:val="00E62DC6"/>
    <w:rsid w:val="00E650B1"/>
    <w:rsid w:val="00E65E15"/>
    <w:rsid w:val="00E72285"/>
    <w:rsid w:val="00E74B31"/>
    <w:rsid w:val="00E77CAA"/>
    <w:rsid w:val="00E82A4D"/>
    <w:rsid w:val="00E82B95"/>
    <w:rsid w:val="00E843C6"/>
    <w:rsid w:val="00E86226"/>
    <w:rsid w:val="00E865D4"/>
    <w:rsid w:val="00E9254D"/>
    <w:rsid w:val="00E97E6E"/>
    <w:rsid w:val="00EA3E71"/>
    <w:rsid w:val="00EA4095"/>
    <w:rsid w:val="00EA4DF9"/>
    <w:rsid w:val="00EA6B52"/>
    <w:rsid w:val="00EB02F1"/>
    <w:rsid w:val="00EB0BB1"/>
    <w:rsid w:val="00EB2CFC"/>
    <w:rsid w:val="00EB302C"/>
    <w:rsid w:val="00EB3114"/>
    <w:rsid w:val="00EC3950"/>
    <w:rsid w:val="00EC6CC4"/>
    <w:rsid w:val="00EC786F"/>
    <w:rsid w:val="00ED01A2"/>
    <w:rsid w:val="00ED312A"/>
    <w:rsid w:val="00ED48C7"/>
    <w:rsid w:val="00EE011B"/>
    <w:rsid w:val="00EE084E"/>
    <w:rsid w:val="00EE359A"/>
    <w:rsid w:val="00EE3813"/>
    <w:rsid w:val="00EE4F99"/>
    <w:rsid w:val="00EF395A"/>
    <w:rsid w:val="00EF4646"/>
    <w:rsid w:val="00EF4B4D"/>
    <w:rsid w:val="00EF58B3"/>
    <w:rsid w:val="00EF59C5"/>
    <w:rsid w:val="00F01A8D"/>
    <w:rsid w:val="00F03CF6"/>
    <w:rsid w:val="00F05C9B"/>
    <w:rsid w:val="00F07EBB"/>
    <w:rsid w:val="00F12456"/>
    <w:rsid w:val="00F15EDB"/>
    <w:rsid w:val="00F15F86"/>
    <w:rsid w:val="00F15FC0"/>
    <w:rsid w:val="00F20FAF"/>
    <w:rsid w:val="00F21631"/>
    <w:rsid w:val="00F228D0"/>
    <w:rsid w:val="00F23858"/>
    <w:rsid w:val="00F2393E"/>
    <w:rsid w:val="00F23A47"/>
    <w:rsid w:val="00F246DF"/>
    <w:rsid w:val="00F27022"/>
    <w:rsid w:val="00F31A9D"/>
    <w:rsid w:val="00F33229"/>
    <w:rsid w:val="00F3588F"/>
    <w:rsid w:val="00F35AF5"/>
    <w:rsid w:val="00F42AEA"/>
    <w:rsid w:val="00F44D28"/>
    <w:rsid w:val="00F4557C"/>
    <w:rsid w:val="00F46626"/>
    <w:rsid w:val="00F46EBA"/>
    <w:rsid w:val="00F47951"/>
    <w:rsid w:val="00F50A57"/>
    <w:rsid w:val="00F52872"/>
    <w:rsid w:val="00F54E9A"/>
    <w:rsid w:val="00F623BA"/>
    <w:rsid w:val="00F672BA"/>
    <w:rsid w:val="00F67CDD"/>
    <w:rsid w:val="00F72312"/>
    <w:rsid w:val="00F81574"/>
    <w:rsid w:val="00F827BE"/>
    <w:rsid w:val="00F829B4"/>
    <w:rsid w:val="00F82EB0"/>
    <w:rsid w:val="00F84B9C"/>
    <w:rsid w:val="00F86279"/>
    <w:rsid w:val="00F86E37"/>
    <w:rsid w:val="00F875F2"/>
    <w:rsid w:val="00F905D6"/>
    <w:rsid w:val="00F909E5"/>
    <w:rsid w:val="00F9198E"/>
    <w:rsid w:val="00F91FDE"/>
    <w:rsid w:val="00F92BD2"/>
    <w:rsid w:val="00F95790"/>
    <w:rsid w:val="00F96442"/>
    <w:rsid w:val="00F97804"/>
    <w:rsid w:val="00FA14D4"/>
    <w:rsid w:val="00FA281F"/>
    <w:rsid w:val="00FA29C0"/>
    <w:rsid w:val="00FA3971"/>
    <w:rsid w:val="00FA49F7"/>
    <w:rsid w:val="00FA53B6"/>
    <w:rsid w:val="00FB01DC"/>
    <w:rsid w:val="00FB19B5"/>
    <w:rsid w:val="00FB26B6"/>
    <w:rsid w:val="00FB77AB"/>
    <w:rsid w:val="00FC59AC"/>
    <w:rsid w:val="00FC5BA7"/>
    <w:rsid w:val="00FD1CE3"/>
    <w:rsid w:val="00FD4DFC"/>
    <w:rsid w:val="00FD573A"/>
    <w:rsid w:val="00FD57A2"/>
    <w:rsid w:val="00FD610B"/>
    <w:rsid w:val="00FD6BA4"/>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755477F-E3A1-4048-A45A-11EDD9EE4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aliases w:val="Section Heading"/>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aliases w:val="Reset numbering"/>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aliases w:val="Level 1 - 1,H3,3 bullet,b,2"/>
    <w:basedOn w:val="Normal"/>
    <w:next w:val="Normal"/>
    <w:qFormat/>
    <w:rsid w:val="00111C30"/>
    <w:pPr>
      <w:keepNext/>
      <w:numPr>
        <w:ilvl w:val="2"/>
        <w:numId w:val="1"/>
      </w:numPr>
      <w:outlineLvl w:val="2"/>
    </w:pPr>
    <w:rPr>
      <w:rFonts w:cs="Arial"/>
      <w:bCs/>
      <w:szCs w:val="26"/>
      <w:u w:val="single"/>
    </w:rPr>
  </w:style>
  <w:style w:type="paragraph" w:styleId="Heading4">
    <w:name w:val="heading 4"/>
    <w:aliases w:val="Level 2 - a"/>
    <w:basedOn w:val="Normal"/>
    <w:next w:val="Normal"/>
    <w:qFormat/>
    <w:rsid w:val="00111C30"/>
    <w:pPr>
      <w:keepNext/>
      <w:numPr>
        <w:ilvl w:val="3"/>
        <w:numId w:val="1"/>
      </w:numPr>
      <w:outlineLvl w:val="3"/>
    </w:pPr>
    <w:rPr>
      <w:bCs/>
      <w:i/>
      <w:szCs w:val="28"/>
    </w:rPr>
  </w:style>
  <w:style w:type="paragraph" w:styleId="Heading5">
    <w:name w:val="heading 5"/>
    <w:aliases w:val="Level 3 - i"/>
    <w:basedOn w:val="Normal"/>
    <w:next w:val="Normal"/>
    <w:qFormat/>
    <w:rsid w:val="00111C30"/>
    <w:pPr>
      <w:numPr>
        <w:ilvl w:val="4"/>
        <w:numId w:val="1"/>
      </w:numPr>
      <w:spacing w:before="240" w:after="60"/>
      <w:outlineLvl w:val="4"/>
    </w:pPr>
    <w:rPr>
      <w:b/>
      <w:bCs/>
      <w:i/>
      <w:iCs/>
      <w:szCs w:val="26"/>
    </w:rPr>
  </w:style>
  <w:style w:type="paragraph" w:styleId="Heading6">
    <w:name w:val="heading 6"/>
    <w:aliases w:val="Legal Level 1."/>
    <w:basedOn w:val="Normal"/>
    <w:next w:val="Normal"/>
    <w:qFormat/>
    <w:rsid w:val="00111C30"/>
    <w:pPr>
      <w:numPr>
        <w:ilvl w:val="5"/>
        <w:numId w:val="1"/>
      </w:numPr>
      <w:spacing w:before="240" w:after="60"/>
      <w:outlineLvl w:val="5"/>
    </w:pPr>
    <w:rPr>
      <w:b/>
      <w:bCs/>
      <w:szCs w:val="22"/>
    </w:rPr>
  </w:style>
  <w:style w:type="paragraph" w:styleId="Heading7">
    <w:name w:val="heading 7"/>
    <w:aliases w:val="Legal Level 1.1."/>
    <w:basedOn w:val="Normal"/>
    <w:next w:val="Normal"/>
    <w:qFormat/>
    <w:rsid w:val="00111C30"/>
    <w:pPr>
      <w:numPr>
        <w:ilvl w:val="6"/>
        <w:numId w:val="1"/>
      </w:numPr>
      <w:spacing w:before="240" w:after="60"/>
      <w:outlineLvl w:val="6"/>
    </w:pPr>
    <w:rPr>
      <w:szCs w:val="24"/>
    </w:rPr>
  </w:style>
  <w:style w:type="paragraph" w:styleId="Heading8">
    <w:name w:val="heading 8"/>
    <w:aliases w:val="Legal Level 1.1.1."/>
    <w:basedOn w:val="Normal"/>
    <w:next w:val="Normal"/>
    <w:qFormat/>
    <w:rsid w:val="00111C30"/>
    <w:pPr>
      <w:numPr>
        <w:ilvl w:val="7"/>
        <w:numId w:val="1"/>
      </w:numPr>
      <w:spacing w:before="240" w:after="60"/>
      <w:outlineLvl w:val="7"/>
    </w:pPr>
    <w:rPr>
      <w:i/>
      <w:iCs/>
      <w:szCs w:val="24"/>
    </w:rPr>
  </w:style>
  <w:style w:type="paragraph" w:styleId="Heading9">
    <w:name w:val="heading 9"/>
    <w:aliases w:val="Legal Level 1.1.1.1."/>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C160EF"/>
    <w:rPr>
      <w:rFonts w:ascii="Verdana" w:hAnsi="Verdana"/>
      <w:b/>
      <w:sz w:val="17"/>
      <w:lang w:eastAsia="en-US"/>
    </w:rPr>
  </w:style>
  <w:style w:type="character" w:customStyle="1" w:styleId="ra">
    <w:name w:val="ra"/>
    <w:basedOn w:val="DefaultParagraphFont"/>
    <w:rsid w:val="00C160EF"/>
  </w:style>
  <w:style w:type="character" w:customStyle="1" w:styleId="Heading2Char">
    <w:name w:val="Heading 2 Char"/>
    <w:aliases w:val="Reset numbering Char"/>
    <w:basedOn w:val="DefaultParagraphFont"/>
    <w:link w:val="Heading2"/>
    <w:rsid w:val="009B1CEB"/>
    <w:rPr>
      <w:rFonts w:ascii="Verdana" w:hAnsi="Verdana" w:cs="Arial"/>
      <w:b/>
      <w:bCs/>
      <w:iCs/>
      <w:sz w:val="17"/>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205938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3731">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DAEMSEngagementItemInfo xmlns="http://schemas.microsoft.com/DAEMSEngagementItemInfoXML">
  <EngagementID>4693</EngagementID>
  <LogicalEMSServerID>-3592746921699524991</LogicalEMSServerID>
  <WorkingPaperID>2003682901700000243</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62A6CA-DDC0-4BEF-94A0-D1AE4ECA5F55}">
  <ds:schemaRefs>
    <ds:schemaRef ds:uri="http://schemas.microsoft.com/DAEMSEngagementItemInfoXML"/>
  </ds:schemaRefs>
</ds:datastoreItem>
</file>

<file path=customXml/itemProps3.xml><?xml version="1.0" encoding="utf-8"?>
<ds:datastoreItem xmlns:ds="http://schemas.openxmlformats.org/officeDocument/2006/customXml" ds:itemID="{48DFF932-DF71-48A4-9B0B-90139E1F6F79}">
  <ds:schemaRefs>
    <ds:schemaRef ds:uri="http://schemas.openxmlformats.org/officeDocument/2006/bibliography"/>
  </ds:schemaRefs>
</ds:datastoreItem>
</file>

<file path=customXml/itemProps4.xml><?xml version="1.0" encoding="utf-8"?>
<ds:datastoreItem xmlns:ds="http://schemas.openxmlformats.org/officeDocument/2006/customXml" ds:itemID="{0221E5BF-51FB-4629-9CDF-F931E463E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TotalTime>
  <Pages>7</Pages>
  <Words>2787</Words>
  <Characters>15890</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18640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Ivan Jerkovic</cp:lastModifiedBy>
  <cp:revision>30</cp:revision>
  <cp:lastPrinted>2015-04-15T12:01:00Z</cp:lastPrinted>
  <dcterms:created xsi:type="dcterms:W3CDTF">2015-04-15T10:53:00Z</dcterms:created>
  <dcterms:modified xsi:type="dcterms:W3CDTF">2016-04-11T10:41:00Z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