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4CCA" w:rsidRDefault="00534CCA" w:rsidP="00534CCA">
      <w:pPr>
        <w:ind w:left="-180"/>
        <w:jc w:val="center"/>
      </w:pPr>
    </w:p>
    <w:p w:rsidR="00534CCA" w:rsidRDefault="002A71AA" w:rsidP="00534CCA">
      <w:pPr>
        <w:ind w:left="-180"/>
        <w:jc w:val="center"/>
      </w:pPr>
      <w:r>
        <w:rPr>
          <w:noProof/>
        </w:rPr>
        <w:drawing>
          <wp:inline distT="0" distB="0" distL="0" distR="0">
            <wp:extent cx="7417435" cy="1184910"/>
            <wp:effectExtent l="19050" t="0" r="0" b="0"/>
            <wp:docPr id="1" name="Obrázok 1" descr="hlavickovy_list_euronics_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hlavickovy_list_euronics_sk"/>
                    <pic:cNvPicPr>
                      <a:picLocks noChangeAspect="1" noChangeArrowheads="1"/>
                    </pic:cNvPicPr>
                  </pic:nvPicPr>
                  <pic:blipFill>
                    <a:blip r:embed="rId8" cstate="print"/>
                    <a:srcRect/>
                    <a:stretch>
                      <a:fillRect/>
                    </a:stretch>
                  </pic:blipFill>
                  <pic:spPr bwMode="auto">
                    <a:xfrm>
                      <a:off x="0" y="0"/>
                      <a:ext cx="7417435" cy="1184910"/>
                    </a:xfrm>
                    <a:prstGeom prst="rect">
                      <a:avLst/>
                    </a:prstGeom>
                    <a:noFill/>
                    <a:ln w="9525">
                      <a:noFill/>
                      <a:miter lim="800000"/>
                      <a:headEnd/>
                      <a:tailEnd/>
                    </a:ln>
                  </pic:spPr>
                </pic:pic>
              </a:graphicData>
            </a:graphic>
          </wp:inline>
        </w:drawing>
      </w:r>
    </w:p>
    <w:p w:rsidR="00534CCA" w:rsidRDefault="00534CCA" w:rsidP="00534CCA">
      <w:pPr>
        <w:ind w:left="900" w:right="1080"/>
      </w:pPr>
    </w:p>
    <w:p w:rsidR="00534CCA" w:rsidRDefault="00534CCA" w:rsidP="00534CCA">
      <w:pPr>
        <w:ind w:left="900" w:right="1080"/>
        <w:jc w:val="center"/>
        <w:rPr>
          <w:b/>
          <w:sz w:val="32"/>
          <w:szCs w:val="32"/>
        </w:rPr>
      </w:pPr>
    </w:p>
    <w:p w:rsidR="00534CCA" w:rsidRDefault="00534CCA" w:rsidP="00534CCA">
      <w:pPr>
        <w:ind w:left="900" w:right="1080"/>
        <w:jc w:val="center"/>
        <w:rPr>
          <w:b/>
          <w:sz w:val="32"/>
          <w:szCs w:val="32"/>
        </w:rPr>
      </w:pPr>
    </w:p>
    <w:p w:rsidR="00534CCA" w:rsidRDefault="00534CCA" w:rsidP="00534CCA">
      <w:pPr>
        <w:ind w:left="900" w:right="1080"/>
        <w:jc w:val="center"/>
        <w:rPr>
          <w:b/>
          <w:sz w:val="32"/>
          <w:szCs w:val="32"/>
        </w:rPr>
      </w:pPr>
    </w:p>
    <w:p w:rsidR="00534CCA" w:rsidRDefault="00534CCA" w:rsidP="00534CCA">
      <w:pPr>
        <w:ind w:left="900" w:right="1080"/>
        <w:jc w:val="center"/>
        <w:rPr>
          <w:b/>
          <w:sz w:val="32"/>
          <w:szCs w:val="32"/>
        </w:rPr>
      </w:pPr>
    </w:p>
    <w:p w:rsidR="00534CCA" w:rsidRDefault="00534CCA" w:rsidP="00534CCA">
      <w:pPr>
        <w:ind w:left="900" w:right="1080"/>
        <w:jc w:val="center"/>
        <w:rPr>
          <w:b/>
          <w:sz w:val="32"/>
          <w:szCs w:val="32"/>
        </w:rPr>
      </w:pPr>
    </w:p>
    <w:p w:rsidR="00534CCA" w:rsidRDefault="00534CCA" w:rsidP="00534CCA">
      <w:pPr>
        <w:ind w:left="900" w:right="1080"/>
        <w:jc w:val="center"/>
        <w:rPr>
          <w:b/>
          <w:sz w:val="32"/>
          <w:szCs w:val="32"/>
        </w:rPr>
      </w:pPr>
    </w:p>
    <w:p w:rsidR="00534CCA" w:rsidRDefault="00534CCA" w:rsidP="00534CCA">
      <w:pPr>
        <w:ind w:left="900" w:right="1080"/>
        <w:jc w:val="center"/>
        <w:rPr>
          <w:b/>
          <w:sz w:val="32"/>
          <w:szCs w:val="32"/>
        </w:rPr>
      </w:pPr>
    </w:p>
    <w:p w:rsidR="00534CCA" w:rsidRDefault="00534CCA" w:rsidP="00534CCA">
      <w:pPr>
        <w:ind w:left="900" w:right="1080"/>
        <w:jc w:val="center"/>
        <w:rPr>
          <w:b/>
          <w:sz w:val="32"/>
          <w:szCs w:val="32"/>
        </w:rPr>
      </w:pPr>
    </w:p>
    <w:p w:rsidR="00534CCA" w:rsidRDefault="00534CCA" w:rsidP="00534CCA">
      <w:pPr>
        <w:ind w:left="900" w:right="1080"/>
        <w:jc w:val="center"/>
        <w:rPr>
          <w:b/>
          <w:sz w:val="32"/>
          <w:szCs w:val="32"/>
        </w:rPr>
      </w:pPr>
    </w:p>
    <w:p w:rsidR="00534CCA" w:rsidRDefault="00534CCA" w:rsidP="00534CCA">
      <w:pPr>
        <w:ind w:left="900" w:right="1080"/>
        <w:jc w:val="center"/>
        <w:rPr>
          <w:b/>
          <w:sz w:val="32"/>
          <w:szCs w:val="32"/>
        </w:rPr>
      </w:pPr>
    </w:p>
    <w:p w:rsidR="00534CCA" w:rsidRDefault="00534CCA" w:rsidP="00534CCA">
      <w:pPr>
        <w:ind w:left="900" w:right="1080"/>
        <w:jc w:val="center"/>
        <w:rPr>
          <w:b/>
          <w:sz w:val="32"/>
          <w:szCs w:val="32"/>
        </w:rPr>
      </w:pPr>
    </w:p>
    <w:p w:rsidR="00534CCA" w:rsidRDefault="00534CCA" w:rsidP="00534CCA">
      <w:pPr>
        <w:ind w:left="900" w:right="1080"/>
        <w:jc w:val="center"/>
        <w:rPr>
          <w:b/>
          <w:sz w:val="32"/>
          <w:szCs w:val="32"/>
        </w:rPr>
      </w:pPr>
    </w:p>
    <w:p w:rsidR="00032E57" w:rsidRDefault="00534CCA" w:rsidP="00534CCA">
      <w:pPr>
        <w:ind w:left="900" w:right="1080"/>
        <w:jc w:val="center"/>
        <w:rPr>
          <w:b/>
          <w:sz w:val="36"/>
          <w:szCs w:val="36"/>
        </w:rPr>
      </w:pPr>
      <w:r>
        <w:rPr>
          <w:b/>
          <w:sz w:val="36"/>
          <w:szCs w:val="36"/>
        </w:rPr>
        <w:t xml:space="preserve">Výročná správa za rok </w:t>
      </w:r>
      <w:r w:rsidR="00FB7553">
        <w:rPr>
          <w:b/>
          <w:sz w:val="36"/>
          <w:szCs w:val="36"/>
        </w:rPr>
        <w:t>2015</w:t>
      </w:r>
      <w:r>
        <w:rPr>
          <w:b/>
          <w:sz w:val="36"/>
          <w:szCs w:val="36"/>
        </w:rPr>
        <w:t xml:space="preserve"> spoločnosti</w:t>
      </w:r>
    </w:p>
    <w:p w:rsidR="00534CCA" w:rsidRDefault="00534CCA" w:rsidP="00534CCA">
      <w:pPr>
        <w:ind w:left="900" w:right="1080"/>
        <w:jc w:val="center"/>
        <w:rPr>
          <w:b/>
          <w:sz w:val="36"/>
          <w:szCs w:val="36"/>
        </w:rPr>
      </w:pPr>
      <w:r>
        <w:rPr>
          <w:b/>
          <w:sz w:val="36"/>
          <w:szCs w:val="36"/>
        </w:rPr>
        <w:t xml:space="preserve"> EURONICS SK a.s. Farského 26 </w:t>
      </w:r>
    </w:p>
    <w:p w:rsidR="00534CCA" w:rsidRDefault="00534CCA" w:rsidP="00534CCA">
      <w:pPr>
        <w:ind w:left="900" w:right="1080"/>
        <w:jc w:val="center"/>
        <w:rPr>
          <w:b/>
          <w:sz w:val="32"/>
          <w:szCs w:val="32"/>
        </w:rPr>
      </w:pPr>
    </w:p>
    <w:p w:rsidR="00534CCA" w:rsidRDefault="00534CCA" w:rsidP="00534CCA">
      <w:pPr>
        <w:ind w:left="900" w:right="1080"/>
        <w:jc w:val="center"/>
        <w:rPr>
          <w:b/>
          <w:sz w:val="32"/>
          <w:szCs w:val="32"/>
        </w:rPr>
      </w:pPr>
      <w:r>
        <w:rPr>
          <w:b/>
          <w:sz w:val="32"/>
          <w:szCs w:val="32"/>
        </w:rPr>
        <w:t xml:space="preserve">Bratislava </w:t>
      </w:r>
    </w:p>
    <w:p w:rsidR="00534CCA" w:rsidRDefault="00534CCA" w:rsidP="00534CCA">
      <w:pPr>
        <w:ind w:left="900" w:right="1080"/>
      </w:pPr>
      <w:r>
        <w:t xml:space="preserve">                                                                                                                                                                                                    </w:t>
      </w: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534CCA" w:rsidP="00534CCA">
      <w:pPr>
        <w:ind w:left="900" w:right="1080"/>
      </w:pPr>
    </w:p>
    <w:p w:rsidR="00534CCA" w:rsidRDefault="009A341E" w:rsidP="00534CCA">
      <w:pPr>
        <w:ind w:left="900" w:right="1080"/>
        <w:rPr>
          <w:b/>
          <w:sz w:val="32"/>
          <w:szCs w:val="32"/>
        </w:rPr>
      </w:pPr>
      <w:r>
        <w:rPr>
          <w:b/>
          <w:sz w:val="32"/>
          <w:szCs w:val="32"/>
        </w:rPr>
        <w:t>OBSAH</w:t>
      </w:r>
    </w:p>
    <w:p w:rsidR="00366C6A" w:rsidRDefault="00366C6A" w:rsidP="00534CCA">
      <w:pPr>
        <w:ind w:left="900" w:right="1080"/>
        <w:rPr>
          <w:b/>
          <w:sz w:val="32"/>
          <w:szCs w:val="32"/>
        </w:rPr>
      </w:pPr>
    </w:p>
    <w:p w:rsidR="00366C6A" w:rsidRDefault="00366C6A" w:rsidP="00534CCA">
      <w:pPr>
        <w:ind w:left="900" w:right="1080"/>
        <w:rPr>
          <w:b/>
          <w:sz w:val="32"/>
          <w:szCs w:val="32"/>
        </w:rPr>
      </w:pPr>
    </w:p>
    <w:p w:rsidR="00790B41" w:rsidRDefault="00790B41" w:rsidP="00534CCA">
      <w:pPr>
        <w:ind w:left="900" w:right="1080"/>
        <w:rPr>
          <w:b/>
          <w:sz w:val="32"/>
          <w:szCs w:val="32"/>
        </w:rPr>
      </w:pPr>
    </w:p>
    <w:p w:rsidR="00790B41" w:rsidRDefault="00790B41" w:rsidP="00534CCA">
      <w:pPr>
        <w:ind w:left="900" w:right="1080"/>
        <w:rPr>
          <w:b/>
          <w:sz w:val="32"/>
          <w:szCs w:val="32"/>
        </w:rPr>
      </w:pPr>
    </w:p>
    <w:p w:rsidR="00366C6A" w:rsidRDefault="00366C6A" w:rsidP="00534CCA">
      <w:pPr>
        <w:ind w:left="900" w:right="1080"/>
        <w:rPr>
          <w:b/>
          <w:sz w:val="32"/>
          <w:szCs w:val="32"/>
        </w:rPr>
      </w:pPr>
    </w:p>
    <w:p w:rsidR="00366C6A" w:rsidRDefault="00366C6A" w:rsidP="00534CCA">
      <w:pPr>
        <w:ind w:left="900" w:right="1080"/>
        <w:rPr>
          <w:b/>
          <w:sz w:val="32"/>
          <w:szCs w:val="32"/>
        </w:rPr>
      </w:pPr>
      <w:r>
        <w:rPr>
          <w:b/>
          <w:sz w:val="32"/>
          <w:szCs w:val="32"/>
        </w:rPr>
        <w:t>Príhovor predsedu predstavenstva</w:t>
      </w:r>
    </w:p>
    <w:p w:rsidR="00366C6A" w:rsidRDefault="00366C6A" w:rsidP="00534CCA">
      <w:pPr>
        <w:ind w:left="900" w:right="1080"/>
        <w:rPr>
          <w:b/>
          <w:sz w:val="32"/>
          <w:szCs w:val="32"/>
        </w:rPr>
      </w:pPr>
    </w:p>
    <w:p w:rsidR="00366C6A" w:rsidRDefault="00366C6A" w:rsidP="00534CCA">
      <w:pPr>
        <w:ind w:left="900" w:right="1080"/>
        <w:rPr>
          <w:b/>
          <w:sz w:val="32"/>
          <w:szCs w:val="32"/>
        </w:rPr>
      </w:pPr>
      <w:r>
        <w:rPr>
          <w:b/>
          <w:sz w:val="32"/>
          <w:szCs w:val="32"/>
        </w:rPr>
        <w:t>Výročná správa</w:t>
      </w:r>
    </w:p>
    <w:p w:rsidR="00366C6A" w:rsidRDefault="00366C6A" w:rsidP="00534CCA">
      <w:pPr>
        <w:ind w:left="900" w:right="1080"/>
        <w:rPr>
          <w:b/>
          <w:sz w:val="32"/>
          <w:szCs w:val="32"/>
        </w:rPr>
      </w:pPr>
    </w:p>
    <w:p w:rsidR="00366C6A" w:rsidRDefault="00366C6A" w:rsidP="00534CCA">
      <w:pPr>
        <w:ind w:left="900" w:right="1080"/>
        <w:rPr>
          <w:b/>
          <w:sz w:val="32"/>
          <w:szCs w:val="32"/>
        </w:rPr>
      </w:pPr>
      <w:r>
        <w:rPr>
          <w:b/>
          <w:sz w:val="32"/>
          <w:szCs w:val="32"/>
        </w:rPr>
        <w:t xml:space="preserve">Správa audítora </w:t>
      </w:r>
    </w:p>
    <w:p w:rsidR="00366C6A" w:rsidRDefault="00366C6A" w:rsidP="00534CCA">
      <w:pPr>
        <w:ind w:left="900" w:right="1080"/>
        <w:rPr>
          <w:b/>
          <w:sz w:val="32"/>
          <w:szCs w:val="32"/>
        </w:rPr>
      </w:pPr>
    </w:p>
    <w:p w:rsidR="00366C6A" w:rsidRDefault="00366C6A" w:rsidP="00534CCA">
      <w:pPr>
        <w:ind w:left="900" w:right="1080"/>
        <w:rPr>
          <w:b/>
          <w:sz w:val="32"/>
          <w:szCs w:val="32"/>
        </w:rPr>
      </w:pPr>
      <w:r>
        <w:rPr>
          <w:b/>
          <w:sz w:val="32"/>
          <w:szCs w:val="32"/>
        </w:rPr>
        <w:t>Účtovná závierka k 31.12.</w:t>
      </w:r>
      <w:r w:rsidR="00FB7553">
        <w:rPr>
          <w:b/>
          <w:sz w:val="32"/>
          <w:szCs w:val="32"/>
        </w:rPr>
        <w:t>2015</w:t>
      </w:r>
    </w:p>
    <w:p w:rsidR="005E19AC" w:rsidRDefault="005E19AC" w:rsidP="00534CCA">
      <w:pPr>
        <w:ind w:left="900" w:right="1080"/>
        <w:rPr>
          <w:b/>
          <w:sz w:val="32"/>
          <w:szCs w:val="32"/>
        </w:rPr>
      </w:pPr>
    </w:p>
    <w:p w:rsidR="00366C6A" w:rsidRDefault="00366C6A" w:rsidP="00534CCA">
      <w:pPr>
        <w:ind w:left="900" w:right="1080"/>
        <w:rPr>
          <w:b/>
          <w:sz w:val="32"/>
          <w:szCs w:val="32"/>
        </w:rPr>
      </w:pPr>
    </w:p>
    <w:p w:rsidR="00366C6A" w:rsidRDefault="00366C6A" w:rsidP="00534CCA">
      <w:pPr>
        <w:ind w:left="900" w:right="1080"/>
      </w:pPr>
      <w:r>
        <w:rPr>
          <w:b/>
          <w:sz w:val="32"/>
          <w:szCs w:val="32"/>
        </w:rPr>
        <w:t xml:space="preserve"> </w:t>
      </w:r>
    </w:p>
    <w:p w:rsidR="00534CCA" w:rsidRDefault="00534CCA" w:rsidP="00534CCA">
      <w:pPr>
        <w:ind w:left="900" w:right="1080"/>
      </w:pPr>
    </w:p>
    <w:p w:rsidR="00534CCA" w:rsidRDefault="00534CCA" w:rsidP="00534CCA">
      <w:pPr>
        <w:ind w:left="900" w:right="1080"/>
      </w:pPr>
    </w:p>
    <w:p w:rsidR="00534CCA" w:rsidRDefault="00534CCA" w:rsidP="00534CCA">
      <w:pPr>
        <w:ind w:left="720" w:right="1080"/>
        <w:rPr>
          <w:b/>
          <w:sz w:val="28"/>
          <w:szCs w:val="28"/>
        </w:rPr>
      </w:pPr>
    </w:p>
    <w:p w:rsidR="00534CCA" w:rsidRDefault="00534CCA" w:rsidP="00534CCA">
      <w:pPr>
        <w:ind w:right="1080"/>
        <w:rPr>
          <w:b/>
          <w:sz w:val="28"/>
          <w:szCs w:val="28"/>
        </w:rPr>
      </w:pPr>
    </w:p>
    <w:p w:rsidR="00534CCA" w:rsidRDefault="00534CCA" w:rsidP="00534CCA">
      <w:pPr>
        <w:ind w:right="1080"/>
        <w:rPr>
          <w:b/>
          <w:sz w:val="28"/>
          <w:szCs w:val="28"/>
        </w:rPr>
      </w:pPr>
    </w:p>
    <w:p w:rsidR="00534CCA" w:rsidRDefault="00534CCA" w:rsidP="00534CCA">
      <w:pPr>
        <w:ind w:left="900" w:right="720"/>
        <w:rPr>
          <w:b/>
          <w:sz w:val="28"/>
          <w:szCs w:val="28"/>
        </w:rPr>
      </w:pPr>
    </w:p>
    <w:p w:rsidR="00534CCA" w:rsidRDefault="00534CCA" w:rsidP="00534CCA">
      <w:r>
        <w:rPr>
          <w:b/>
          <w:bCs/>
          <w:sz w:val="28"/>
        </w:rPr>
        <w:tab/>
      </w:r>
    </w:p>
    <w:p w:rsidR="00534CCA" w:rsidRDefault="00534CCA" w:rsidP="009A341E">
      <w:pPr>
        <w:pStyle w:val="Nadpis2"/>
        <w:rPr>
          <w:b w:val="0"/>
          <w:bCs/>
          <w:sz w:val="28"/>
        </w:rPr>
      </w:pPr>
      <w:r>
        <w:rPr>
          <w:b w:val="0"/>
          <w:bCs/>
          <w:sz w:val="28"/>
        </w:rPr>
        <w:tab/>
      </w:r>
    </w:p>
    <w:p w:rsidR="009A341E" w:rsidRDefault="009A341E" w:rsidP="009A341E">
      <w:pPr>
        <w:rPr>
          <w:lang w:val="cs-CZ" w:eastAsia="cs-CZ"/>
        </w:rPr>
      </w:pPr>
    </w:p>
    <w:p w:rsidR="009A341E" w:rsidRDefault="009A341E" w:rsidP="009A341E">
      <w:pPr>
        <w:rPr>
          <w:lang w:val="cs-CZ" w:eastAsia="cs-CZ"/>
        </w:rPr>
      </w:pPr>
    </w:p>
    <w:p w:rsidR="009A341E" w:rsidRDefault="009A341E" w:rsidP="009A341E">
      <w:pPr>
        <w:rPr>
          <w:lang w:val="cs-CZ" w:eastAsia="cs-CZ"/>
        </w:rPr>
      </w:pPr>
    </w:p>
    <w:p w:rsidR="009A341E" w:rsidRDefault="009A341E" w:rsidP="009A341E">
      <w:pPr>
        <w:rPr>
          <w:lang w:val="cs-CZ" w:eastAsia="cs-CZ"/>
        </w:rPr>
      </w:pPr>
    </w:p>
    <w:p w:rsidR="009A341E" w:rsidRDefault="009A341E" w:rsidP="009A341E">
      <w:pPr>
        <w:rPr>
          <w:lang w:val="cs-CZ" w:eastAsia="cs-CZ"/>
        </w:rPr>
      </w:pPr>
    </w:p>
    <w:p w:rsidR="009A341E" w:rsidRDefault="009A341E" w:rsidP="009A341E">
      <w:pPr>
        <w:rPr>
          <w:lang w:val="cs-CZ" w:eastAsia="cs-CZ"/>
        </w:rPr>
      </w:pPr>
    </w:p>
    <w:p w:rsidR="009A341E" w:rsidRDefault="009A341E" w:rsidP="009A341E">
      <w:pPr>
        <w:rPr>
          <w:lang w:val="cs-CZ" w:eastAsia="cs-CZ"/>
        </w:rPr>
      </w:pPr>
    </w:p>
    <w:p w:rsidR="009A341E" w:rsidRDefault="009A341E" w:rsidP="009A341E">
      <w:pPr>
        <w:rPr>
          <w:lang w:val="cs-CZ" w:eastAsia="cs-CZ"/>
        </w:rPr>
      </w:pPr>
    </w:p>
    <w:p w:rsidR="009A341E" w:rsidRDefault="009A341E" w:rsidP="009A341E">
      <w:pPr>
        <w:rPr>
          <w:lang w:val="cs-CZ" w:eastAsia="cs-CZ"/>
        </w:rPr>
      </w:pPr>
    </w:p>
    <w:p w:rsidR="005021AC" w:rsidRPr="002F3008" w:rsidRDefault="005021AC" w:rsidP="005021AC">
      <w:pPr>
        <w:pStyle w:val="Nadpis8"/>
        <w:rPr>
          <w:b w:val="0"/>
          <w:caps/>
          <w:color w:val="auto"/>
          <w:sz w:val="22"/>
          <w:szCs w:val="22"/>
        </w:rPr>
      </w:pPr>
      <w:r w:rsidRPr="002F3008">
        <w:rPr>
          <w:b w:val="0"/>
          <w:caps/>
          <w:color w:val="auto"/>
          <w:sz w:val="22"/>
          <w:szCs w:val="22"/>
        </w:rPr>
        <w:t>PRÍHOVOR  PREDSEDU PREDSTAVENSTVA</w:t>
      </w:r>
    </w:p>
    <w:p w:rsidR="005021AC" w:rsidRPr="002F3008" w:rsidRDefault="005021AC" w:rsidP="005021AC">
      <w:pPr>
        <w:pStyle w:val="Nadpis8"/>
        <w:rPr>
          <w:b w:val="0"/>
          <w:caps/>
          <w:color w:val="auto"/>
          <w:sz w:val="22"/>
          <w:szCs w:val="22"/>
        </w:rPr>
      </w:pPr>
    </w:p>
    <w:p w:rsidR="00790B41" w:rsidRPr="00D224FF" w:rsidRDefault="00D224FF" w:rsidP="00D84069">
      <w:pPr>
        <w:autoSpaceDE w:val="0"/>
        <w:autoSpaceDN w:val="0"/>
        <w:adjustRightInd w:val="0"/>
        <w:jc w:val="both"/>
        <w:rPr>
          <w:rFonts w:ascii="Tahoma" w:hAnsi="Tahoma" w:cs="Tahoma"/>
          <w:sz w:val="22"/>
          <w:szCs w:val="22"/>
        </w:rPr>
      </w:pPr>
      <w:r w:rsidRPr="00D224FF">
        <w:rPr>
          <w:rFonts w:ascii="Tahoma" w:hAnsi="Tahoma" w:cs="Tahoma"/>
          <w:sz w:val="22"/>
          <w:szCs w:val="22"/>
        </w:rPr>
        <w:t>Rok 2015 bol</w:t>
      </w:r>
      <w:r w:rsidR="002F3008" w:rsidRPr="00D224FF">
        <w:rPr>
          <w:rFonts w:ascii="Tahoma" w:hAnsi="Tahoma" w:cs="Tahoma"/>
          <w:sz w:val="22"/>
          <w:szCs w:val="22"/>
        </w:rPr>
        <w:t xml:space="preserve"> rokom ked</w:t>
      </w:r>
      <w:r w:rsidRPr="00D224FF">
        <w:rPr>
          <w:rFonts w:ascii="Tahoma" w:hAnsi="Tahoma" w:cs="Tahoma"/>
          <w:sz w:val="22"/>
          <w:szCs w:val="22"/>
        </w:rPr>
        <w:t>y medzinárodný Euronics oslávil</w:t>
      </w:r>
      <w:r w:rsidR="002F3008" w:rsidRPr="00D224FF">
        <w:rPr>
          <w:rFonts w:ascii="Tahoma" w:hAnsi="Tahoma" w:cs="Tahoma"/>
          <w:sz w:val="22"/>
          <w:szCs w:val="22"/>
        </w:rPr>
        <w:t xml:space="preserve"> 25. rok existe</w:t>
      </w:r>
      <w:r w:rsidRPr="00D224FF">
        <w:rPr>
          <w:rFonts w:ascii="Tahoma" w:hAnsi="Tahoma" w:cs="Tahoma"/>
          <w:sz w:val="22"/>
          <w:szCs w:val="22"/>
        </w:rPr>
        <w:t>ncie a Euronics SK a.s. osl</w:t>
      </w:r>
      <w:r w:rsidR="00005C30">
        <w:rPr>
          <w:rFonts w:ascii="Tahoma" w:hAnsi="Tahoma" w:cs="Tahoma"/>
          <w:sz w:val="22"/>
          <w:szCs w:val="22"/>
        </w:rPr>
        <w:t>á</w:t>
      </w:r>
      <w:r w:rsidRPr="00D224FF">
        <w:rPr>
          <w:rFonts w:ascii="Tahoma" w:hAnsi="Tahoma" w:cs="Tahoma"/>
          <w:sz w:val="22"/>
          <w:szCs w:val="22"/>
        </w:rPr>
        <w:t>vil</w:t>
      </w:r>
      <w:r w:rsidR="002F3008" w:rsidRPr="00D224FF">
        <w:rPr>
          <w:rFonts w:ascii="Tahoma" w:hAnsi="Tahoma" w:cs="Tahoma"/>
          <w:sz w:val="22"/>
          <w:szCs w:val="22"/>
        </w:rPr>
        <w:t xml:space="preserve"> svoje 10. výročie vzniku .</w:t>
      </w:r>
    </w:p>
    <w:p w:rsidR="002F3008" w:rsidRPr="00D224FF" w:rsidRDefault="002F3008" w:rsidP="00D84069">
      <w:pPr>
        <w:autoSpaceDE w:val="0"/>
        <w:autoSpaceDN w:val="0"/>
        <w:adjustRightInd w:val="0"/>
        <w:jc w:val="both"/>
        <w:rPr>
          <w:rFonts w:ascii="Tahoma" w:hAnsi="Tahoma" w:cs="Tahoma"/>
          <w:sz w:val="22"/>
          <w:szCs w:val="22"/>
        </w:rPr>
      </w:pPr>
    </w:p>
    <w:p w:rsidR="00790B41" w:rsidRPr="00D224FF" w:rsidRDefault="002F3008" w:rsidP="00D84069">
      <w:pPr>
        <w:autoSpaceDE w:val="0"/>
        <w:autoSpaceDN w:val="0"/>
        <w:adjustRightInd w:val="0"/>
        <w:jc w:val="both"/>
        <w:rPr>
          <w:rFonts w:ascii="Tahoma" w:hAnsi="Tahoma" w:cs="Tahoma"/>
          <w:sz w:val="22"/>
          <w:szCs w:val="22"/>
        </w:rPr>
      </w:pPr>
      <w:r w:rsidRPr="00D224FF">
        <w:rPr>
          <w:rFonts w:ascii="Tahoma" w:hAnsi="Tahoma" w:cs="Tahoma"/>
          <w:sz w:val="22"/>
          <w:szCs w:val="22"/>
        </w:rPr>
        <w:t xml:space="preserve">Trh Elektra  po rokoch stagnácie </w:t>
      </w:r>
      <w:r w:rsidR="006C0485" w:rsidRPr="00D224FF">
        <w:rPr>
          <w:rFonts w:ascii="Tahoma" w:hAnsi="Tahoma" w:cs="Tahoma"/>
          <w:sz w:val="22"/>
          <w:szCs w:val="22"/>
        </w:rPr>
        <w:t xml:space="preserve"> </w:t>
      </w:r>
      <w:r w:rsidRPr="00D224FF">
        <w:rPr>
          <w:rFonts w:ascii="Tahoma" w:hAnsi="Tahoma" w:cs="Tahoma"/>
          <w:sz w:val="22"/>
          <w:szCs w:val="22"/>
        </w:rPr>
        <w:t xml:space="preserve">v roku </w:t>
      </w:r>
      <w:r w:rsidR="00FB7553" w:rsidRPr="00D224FF">
        <w:rPr>
          <w:rFonts w:ascii="Tahoma" w:hAnsi="Tahoma" w:cs="Tahoma"/>
          <w:sz w:val="22"/>
          <w:szCs w:val="22"/>
        </w:rPr>
        <w:t>2015</w:t>
      </w:r>
      <w:r w:rsidRPr="00D224FF">
        <w:rPr>
          <w:rFonts w:ascii="Tahoma" w:hAnsi="Tahoma" w:cs="Tahoma"/>
          <w:sz w:val="22"/>
          <w:szCs w:val="22"/>
        </w:rPr>
        <w:t xml:space="preserve"> narástol , čo sa pozitívne prejavilo aj na predaji celej siete Euronics SK .</w:t>
      </w:r>
    </w:p>
    <w:p w:rsidR="00272558" w:rsidRPr="00D224FF" w:rsidRDefault="00272558" w:rsidP="00D84069">
      <w:pPr>
        <w:autoSpaceDE w:val="0"/>
        <w:autoSpaceDN w:val="0"/>
        <w:adjustRightInd w:val="0"/>
        <w:jc w:val="both"/>
        <w:rPr>
          <w:rFonts w:ascii="Tahoma" w:hAnsi="Tahoma" w:cs="Tahoma"/>
          <w:sz w:val="22"/>
          <w:szCs w:val="22"/>
        </w:rPr>
      </w:pPr>
    </w:p>
    <w:p w:rsidR="002F3008" w:rsidRPr="00D224FF" w:rsidRDefault="002F3008" w:rsidP="00D84069">
      <w:pPr>
        <w:autoSpaceDE w:val="0"/>
        <w:autoSpaceDN w:val="0"/>
        <w:adjustRightInd w:val="0"/>
        <w:jc w:val="both"/>
        <w:rPr>
          <w:rFonts w:ascii="Tahoma" w:hAnsi="Tahoma" w:cs="Tahoma"/>
          <w:sz w:val="22"/>
          <w:szCs w:val="22"/>
        </w:rPr>
      </w:pPr>
      <w:r w:rsidRPr="00D224FF">
        <w:rPr>
          <w:rFonts w:ascii="Tahoma" w:hAnsi="Tahoma" w:cs="Tahoma"/>
          <w:sz w:val="22"/>
          <w:szCs w:val="22"/>
        </w:rPr>
        <w:t>Na konci roka spoločnosť spustila e-shop siete Euronics , čo bol krok k zahájeniu multikanálového predaja .</w:t>
      </w:r>
    </w:p>
    <w:p w:rsidR="002F3008" w:rsidRPr="00D224FF" w:rsidRDefault="002F3008" w:rsidP="00D84069">
      <w:pPr>
        <w:autoSpaceDE w:val="0"/>
        <w:autoSpaceDN w:val="0"/>
        <w:adjustRightInd w:val="0"/>
        <w:jc w:val="both"/>
        <w:rPr>
          <w:rFonts w:ascii="Tahoma" w:hAnsi="Tahoma" w:cs="Tahoma"/>
          <w:sz w:val="22"/>
          <w:szCs w:val="22"/>
        </w:rPr>
      </w:pPr>
    </w:p>
    <w:p w:rsidR="00D84069" w:rsidRPr="00D224FF" w:rsidRDefault="002F3008" w:rsidP="00D84069">
      <w:pPr>
        <w:autoSpaceDE w:val="0"/>
        <w:autoSpaceDN w:val="0"/>
        <w:adjustRightInd w:val="0"/>
        <w:jc w:val="both"/>
        <w:rPr>
          <w:rFonts w:ascii="Tahoma" w:hAnsi="Tahoma" w:cs="Tahoma"/>
          <w:sz w:val="22"/>
          <w:szCs w:val="22"/>
        </w:rPr>
      </w:pPr>
      <w:r w:rsidRPr="00D224FF">
        <w:rPr>
          <w:rFonts w:ascii="Tahoma" w:hAnsi="Tahoma" w:cs="Tahoma"/>
          <w:sz w:val="22"/>
          <w:szCs w:val="22"/>
        </w:rPr>
        <w:t xml:space="preserve">Pokračoval trend rastu počtu  e-shopov , najmä takých , </w:t>
      </w:r>
      <w:r w:rsidR="00D84069" w:rsidRPr="00D224FF">
        <w:rPr>
          <w:rFonts w:ascii="Tahoma" w:hAnsi="Tahoma" w:cs="Tahoma"/>
          <w:sz w:val="22"/>
          <w:szCs w:val="22"/>
        </w:rPr>
        <w:t xml:space="preserve"> ktoré nedodržujú žiadne pravidlá , zákony , re</w:t>
      </w:r>
      <w:r w:rsidRPr="00D224FF">
        <w:rPr>
          <w:rFonts w:ascii="Tahoma" w:hAnsi="Tahoma" w:cs="Tahoma"/>
          <w:sz w:val="22"/>
          <w:szCs w:val="22"/>
        </w:rPr>
        <w:t>sp. si na slovenskom trhu plnia odberové ciele e-</w:t>
      </w:r>
      <w:r w:rsidR="00D224FF" w:rsidRPr="00D224FF">
        <w:rPr>
          <w:rFonts w:ascii="Tahoma" w:hAnsi="Tahoma" w:cs="Tahoma"/>
          <w:sz w:val="22"/>
          <w:szCs w:val="22"/>
        </w:rPr>
        <w:t xml:space="preserve">shopy najmä z Česka </w:t>
      </w:r>
      <w:r w:rsidR="00D84069" w:rsidRPr="00D224FF">
        <w:rPr>
          <w:rFonts w:ascii="Tahoma" w:hAnsi="Tahoma" w:cs="Tahoma"/>
          <w:sz w:val="22"/>
          <w:szCs w:val="22"/>
        </w:rPr>
        <w:t>.</w:t>
      </w:r>
    </w:p>
    <w:p w:rsidR="00790B41" w:rsidRPr="00D224FF" w:rsidRDefault="00790B41" w:rsidP="00D84069">
      <w:pPr>
        <w:autoSpaceDE w:val="0"/>
        <w:autoSpaceDN w:val="0"/>
        <w:adjustRightInd w:val="0"/>
        <w:jc w:val="both"/>
        <w:rPr>
          <w:rFonts w:ascii="Tahoma" w:hAnsi="Tahoma" w:cs="Tahoma"/>
          <w:sz w:val="22"/>
          <w:szCs w:val="22"/>
        </w:rPr>
      </w:pPr>
    </w:p>
    <w:p w:rsidR="00D84069" w:rsidRPr="00D224FF" w:rsidRDefault="00D84069" w:rsidP="00D84069">
      <w:pPr>
        <w:autoSpaceDE w:val="0"/>
        <w:autoSpaceDN w:val="0"/>
        <w:adjustRightInd w:val="0"/>
        <w:jc w:val="both"/>
        <w:rPr>
          <w:rFonts w:ascii="Tahoma" w:hAnsi="Tahoma" w:cs="Tahoma"/>
          <w:sz w:val="22"/>
          <w:szCs w:val="22"/>
        </w:rPr>
      </w:pPr>
      <w:r w:rsidRPr="00D224FF">
        <w:rPr>
          <w:rFonts w:ascii="Tahoma" w:hAnsi="Tahoma" w:cs="Tahoma"/>
          <w:sz w:val="22"/>
          <w:szCs w:val="22"/>
        </w:rPr>
        <w:t xml:space="preserve">Tieto vplyvy mali za následok pokles tržieb </w:t>
      </w:r>
      <w:r w:rsidR="002F3008" w:rsidRPr="00D224FF">
        <w:rPr>
          <w:rFonts w:ascii="Tahoma" w:hAnsi="Tahoma" w:cs="Tahoma"/>
          <w:sz w:val="22"/>
          <w:szCs w:val="22"/>
        </w:rPr>
        <w:t xml:space="preserve">najmä kamenných predajní </w:t>
      </w:r>
      <w:r w:rsidRPr="00D224FF">
        <w:rPr>
          <w:rFonts w:ascii="Tahoma" w:hAnsi="Tahoma" w:cs="Tahoma"/>
          <w:sz w:val="22"/>
          <w:szCs w:val="22"/>
        </w:rPr>
        <w:t xml:space="preserve">, ziskovosti  Spoločnosti , ale taktiež sa premietlo do  zníženia predaja </w:t>
      </w:r>
      <w:r w:rsidR="002F3008" w:rsidRPr="00D224FF">
        <w:rPr>
          <w:rFonts w:ascii="Tahoma" w:hAnsi="Tahoma" w:cs="Tahoma"/>
          <w:sz w:val="22"/>
          <w:szCs w:val="22"/>
        </w:rPr>
        <w:t xml:space="preserve">niektorých </w:t>
      </w:r>
      <w:r w:rsidRPr="00D224FF">
        <w:rPr>
          <w:rFonts w:ascii="Tahoma" w:hAnsi="Tahoma" w:cs="Tahoma"/>
          <w:sz w:val="22"/>
          <w:szCs w:val="22"/>
        </w:rPr>
        <w:t xml:space="preserve">členov Euronics . </w:t>
      </w:r>
    </w:p>
    <w:p w:rsidR="00D84069" w:rsidRPr="00D224FF" w:rsidRDefault="002F3008" w:rsidP="00D84069">
      <w:pPr>
        <w:autoSpaceDE w:val="0"/>
        <w:autoSpaceDN w:val="0"/>
        <w:adjustRightInd w:val="0"/>
        <w:jc w:val="both"/>
        <w:rPr>
          <w:rFonts w:ascii="Tahoma" w:hAnsi="Tahoma" w:cs="Tahoma"/>
          <w:sz w:val="22"/>
          <w:szCs w:val="22"/>
        </w:rPr>
      </w:pPr>
      <w:r w:rsidRPr="00D224FF">
        <w:rPr>
          <w:rFonts w:ascii="Tahoma" w:hAnsi="Tahoma" w:cs="Tahoma"/>
          <w:sz w:val="22"/>
          <w:szCs w:val="22"/>
        </w:rPr>
        <w:t xml:space="preserve">V dôsledku rastu predaja siete a </w:t>
      </w:r>
      <w:r w:rsidR="00DF06FA" w:rsidRPr="00D224FF">
        <w:rPr>
          <w:rFonts w:ascii="Tahoma" w:hAnsi="Tahoma" w:cs="Tahoma"/>
          <w:sz w:val="22"/>
          <w:szCs w:val="22"/>
        </w:rPr>
        <w:t xml:space="preserve"> trhu </w:t>
      </w:r>
      <w:r w:rsidR="00D224FF" w:rsidRPr="00D224FF">
        <w:rPr>
          <w:rFonts w:ascii="Tahoma" w:hAnsi="Tahoma" w:cs="Tahoma"/>
          <w:sz w:val="22"/>
          <w:szCs w:val="22"/>
        </w:rPr>
        <w:t xml:space="preserve">Euronics SK a.s. </w:t>
      </w:r>
      <w:r w:rsidRPr="00D224FF">
        <w:rPr>
          <w:rFonts w:ascii="Tahoma" w:hAnsi="Tahoma" w:cs="Tahoma"/>
          <w:sz w:val="22"/>
          <w:szCs w:val="22"/>
        </w:rPr>
        <w:t xml:space="preserve"> naplnili </w:t>
      </w:r>
      <w:r w:rsidR="00DF06FA" w:rsidRPr="00D224FF">
        <w:rPr>
          <w:rFonts w:ascii="Tahoma" w:hAnsi="Tahoma" w:cs="Tahoma"/>
          <w:sz w:val="22"/>
          <w:szCs w:val="22"/>
        </w:rPr>
        <w:t>viaceré</w:t>
      </w:r>
      <w:r w:rsidRPr="00D224FF">
        <w:rPr>
          <w:rFonts w:ascii="Tahoma" w:hAnsi="Tahoma" w:cs="Tahoma"/>
          <w:sz w:val="22"/>
          <w:szCs w:val="22"/>
        </w:rPr>
        <w:t xml:space="preserve"> obratové hranice a teda sieť dosiah</w:t>
      </w:r>
      <w:r w:rsidR="00DF06FA" w:rsidRPr="00D224FF">
        <w:rPr>
          <w:rFonts w:ascii="Tahoma" w:hAnsi="Tahoma" w:cs="Tahoma"/>
          <w:sz w:val="22"/>
          <w:szCs w:val="22"/>
        </w:rPr>
        <w:t xml:space="preserve">la </w:t>
      </w:r>
      <w:r w:rsidRPr="00D224FF">
        <w:rPr>
          <w:rFonts w:ascii="Tahoma" w:hAnsi="Tahoma" w:cs="Tahoma"/>
          <w:sz w:val="22"/>
          <w:szCs w:val="22"/>
        </w:rPr>
        <w:t xml:space="preserve">na </w:t>
      </w:r>
      <w:r w:rsidR="00DF06FA" w:rsidRPr="00D224FF">
        <w:rPr>
          <w:rFonts w:ascii="Tahoma" w:hAnsi="Tahoma" w:cs="Tahoma"/>
          <w:sz w:val="22"/>
          <w:szCs w:val="22"/>
        </w:rPr>
        <w:t>obratov</w:t>
      </w:r>
      <w:r w:rsidRPr="00D224FF">
        <w:rPr>
          <w:rFonts w:ascii="Tahoma" w:hAnsi="Tahoma" w:cs="Tahoma"/>
          <w:sz w:val="22"/>
          <w:szCs w:val="22"/>
        </w:rPr>
        <w:t xml:space="preserve">é bonusy </w:t>
      </w:r>
      <w:r w:rsidR="00DF06FA" w:rsidRPr="00D224FF">
        <w:rPr>
          <w:rFonts w:ascii="Tahoma" w:hAnsi="Tahoma" w:cs="Tahoma"/>
          <w:sz w:val="22"/>
          <w:szCs w:val="22"/>
        </w:rPr>
        <w:t>.</w:t>
      </w:r>
    </w:p>
    <w:p w:rsidR="00790B41" w:rsidRPr="00D224FF" w:rsidRDefault="00790B41" w:rsidP="00D84069">
      <w:pPr>
        <w:autoSpaceDE w:val="0"/>
        <w:autoSpaceDN w:val="0"/>
        <w:adjustRightInd w:val="0"/>
        <w:jc w:val="both"/>
        <w:rPr>
          <w:rFonts w:ascii="Tahoma" w:hAnsi="Tahoma" w:cs="Tahoma"/>
          <w:sz w:val="22"/>
          <w:szCs w:val="22"/>
        </w:rPr>
      </w:pPr>
    </w:p>
    <w:p w:rsidR="00D84069" w:rsidRPr="00D224FF" w:rsidRDefault="00272558" w:rsidP="00D84069">
      <w:pPr>
        <w:autoSpaceDE w:val="0"/>
        <w:autoSpaceDN w:val="0"/>
        <w:adjustRightInd w:val="0"/>
        <w:jc w:val="both"/>
        <w:rPr>
          <w:rFonts w:ascii="Tahoma" w:hAnsi="Tahoma" w:cs="Tahoma"/>
          <w:sz w:val="22"/>
          <w:szCs w:val="22"/>
        </w:rPr>
      </w:pPr>
      <w:r w:rsidRPr="00D224FF">
        <w:rPr>
          <w:rFonts w:ascii="Tahoma" w:hAnsi="Tahoma" w:cs="Tahoma"/>
          <w:sz w:val="22"/>
          <w:szCs w:val="22"/>
        </w:rPr>
        <w:t>T</w:t>
      </w:r>
      <w:r w:rsidR="00D84069" w:rsidRPr="00D224FF">
        <w:rPr>
          <w:rFonts w:ascii="Tahoma" w:hAnsi="Tahoma" w:cs="Tahoma"/>
          <w:sz w:val="22"/>
          <w:szCs w:val="22"/>
        </w:rPr>
        <w:t>rh sa výrazne zmenil , zmenilo</w:t>
      </w:r>
      <w:r w:rsidR="006C0485" w:rsidRPr="00D224FF">
        <w:rPr>
          <w:rFonts w:ascii="Tahoma" w:hAnsi="Tahoma" w:cs="Tahoma"/>
          <w:sz w:val="22"/>
          <w:szCs w:val="22"/>
        </w:rPr>
        <w:t xml:space="preserve"> sa správanie zákazníka a realita ukázala , že spoločnosť sa musí viac zamerať viac aj n</w:t>
      </w:r>
      <w:r w:rsidR="00D224FF" w:rsidRPr="00D224FF">
        <w:rPr>
          <w:rFonts w:ascii="Tahoma" w:hAnsi="Tahoma" w:cs="Tahoma"/>
          <w:sz w:val="22"/>
          <w:szCs w:val="22"/>
        </w:rPr>
        <w:t>a lacnejší segment trhu , IT , T</w:t>
      </w:r>
      <w:r w:rsidR="006C0485" w:rsidRPr="00D224FF">
        <w:rPr>
          <w:rFonts w:ascii="Tahoma" w:hAnsi="Tahoma" w:cs="Tahoma"/>
          <w:sz w:val="22"/>
          <w:szCs w:val="22"/>
        </w:rPr>
        <w:t>elecom , resp. predaj príslušenstva</w:t>
      </w:r>
      <w:r w:rsidR="00D84069" w:rsidRPr="00D224FF">
        <w:rPr>
          <w:rFonts w:ascii="Tahoma" w:hAnsi="Tahoma" w:cs="Tahoma"/>
          <w:sz w:val="22"/>
          <w:szCs w:val="22"/>
        </w:rPr>
        <w:t xml:space="preserve"> .</w:t>
      </w:r>
    </w:p>
    <w:p w:rsidR="00623276" w:rsidRPr="00D224FF" w:rsidRDefault="00623276" w:rsidP="00623276">
      <w:pPr>
        <w:jc w:val="both"/>
        <w:rPr>
          <w:rFonts w:ascii="Tahoma" w:hAnsi="Tahoma" w:cs="Tahoma"/>
          <w:sz w:val="22"/>
          <w:szCs w:val="22"/>
        </w:rPr>
      </w:pPr>
    </w:p>
    <w:p w:rsidR="00623276" w:rsidRPr="00D224FF" w:rsidRDefault="00623276" w:rsidP="00623276">
      <w:pPr>
        <w:pStyle w:val="Nadpis7"/>
        <w:jc w:val="both"/>
        <w:rPr>
          <w:b w:val="0"/>
          <w:i/>
          <w:color w:val="auto"/>
          <w:sz w:val="22"/>
          <w:szCs w:val="22"/>
        </w:rPr>
      </w:pPr>
      <w:r w:rsidRPr="00D224FF">
        <w:rPr>
          <w:b w:val="0"/>
          <w:i/>
          <w:color w:val="auto"/>
          <w:sz w:val="22"/>
          <w:szCs w:val="22"/>
        </w:rPr>
        <w:t>Spoločnosť EURONICS Sk a.s.  išla do tohto roku s prioritami :</w:t>
      </w:r>
    </w:p>
    <w:p w:rsidR="00790B41" w:rsidRPr="00D224FF" w:rsidRDefault="00790B41" w:rsidP="00623276">
      <w:pPr>
        <w:jc w:val="both"/>
        <w:rPr>
          <w:rFonts w:ascii="Tahoma" w:hAnsi="Tahoma" w:cs="Tahoma"/>
          <w:sz w:val="22"/>
          <w:szCs w:val="22"/>
        </w:rPr>
      </w:pPr>
    </w:p>
    <w:p w:rsidR="00623276" w:rsidRPr="00D224FF" w:rsidRDefault="00623276" w:rsidP="00623276">
      <w:pPr>
        <w:pStyle w:val="Nadpis7"/>
        <w:numPr>
          <w:ilvl w:val="0"/>
          <w:numId w:val="31"/>
        </w:numPr>
        <w:jc w:val="both"/>
        <w:rPr>
          <w:b w:val="0"/>
          <w:i/>
          <w:color w:val="auto"/>
          <w:sz w:val="22"/>
          <w:szCs w:val="22"/>
        </w:rPr>
      </w:pPr>
      <w:r w:rsidRPr="00D224FF">
        <w:rPr>
          <w:b w:val="0"/>
          <w:i/>
          <w:color w:val="auto"/>
          <w:sz w:val="22"/>
          <w:szCs w:val="22"/>
        </w:rPr>
        <w:t xml:space="preserve">zabezpečiť pre zmluvných partnerov konkurenčné podmienky voči okolitým trhom </w:t>
      </w:r>
    </w:p>
    <w:p w:rsidR="008967FD" w:rsidRPr="00D224FF" w:rsidRDefault="008967FD" w:rsidP="00623276">
      <w:pPr>
        <w:numPr>
          <w:ilvl w:val="0"/>
          <w:numId w:val="31"/>
        </w:numPr>
        <w:jc w:val="both"/>
        <w:rPr>
          <w:rFonts w:ascii="Tahoma" w:hAnsi="Tahoma" w:cs="Tahoma"/>
          <w:i/>
          <w:sz w:val="22"/>
          <w:szCs w:val="22"/>
        </w:rPr>
      </w:pPr>
      <w:r w:rsidRPr="00D224FF">
        <w:rPr>
          <w:rFonts w:ascii="Tahoma" w:hAnsi="Tahoma" w:cs="Tahoma"/>
          <w:i/>
          <w:sz w:val="22"/>
          <w:szCs w:val="22"/>
        </w:rPr>
        <w:t>znížiť riziko nedosiahnutia obratových bonusov nastavením bezpečných hraníc</w:t>
      </w:r>
    </w:p>
    <w:p w:rsidR="00623276" w:rsidRPr="00D224FF" w:rsidRDefault="00623276" w:rsidP="008967FD">
      <w:pPr>
        <w:numPr>
          <w:ilvl w:val="0"/>
          <w:numId w:val="31"/>
        </w:numPr>
        <w:jc w:val="both"/>
        <w:rPr>
          <w:rFonts w:ascii="Tahoma" w:hAnsi="Tahoma" w:cs="Tahoma"/>
          <w:i/>
          <w:sz w:val="22"/>
          <w:szCs w:val="22"/>
        </w:rPr>
      </w:pPr>
      <w:r w:rsidRPr="00D224FF">
        <w:rPr>
          <w:rFonts w:ascii="Tahoma" w:hAnsi="Tahoma" w:cs="Tahoma"/>
          <w:i/>
          <w:sz w:val="22"/>
          <w:szCs w:val="22"/>
        </w:rPr>
        <w:t xml:space="preserve">udržať si trhovú pozíciu na slovenskom trhu </w:t>
      </w:r>
    </w:p>
    <w:p w:rsidR="0031342D" w:rsidRPr="00D224FF" w:rsidRDefault="008967FD" w:rsidP="0031342D">
      <w:pPr>
        <w:numPr>
          <w:ilvl w:val="0"/>
          <w:numId w:val="31"/>
        </w:numPr>
        <w:jc w:val="both"/>
        <w:rPr>
          <w:rFonts w:ascii="Tahoma" w:hAnsi="Tahoma" w:cs="Tahoma"/>
          <w:i/>
          <w:sz w:val="22"/>
          <w:szCs w:val="22"/>
        </w:rPr>
      </w:pPr>
      <w:r w:rsidRPr="00D224FF">
        <w:rPr>
          <w:rFonts w:ascii="Tahoma" w:hAnsi="Tahoma" w:cs="Tahoma"/>
          <w:i/>
          <w:sz w:val="22"/>
          <w:szCs w:val="22"/>
        </w:rPr>
        <w:t xml:space="preserve">posilniť jednotu siete </w:t>
      </w:r>
      <w:r w:rsidR="002F3008" w:rsidRPr="00D224FF">
        <w:rPr>
          <w:rFonts w:ascii="Tahoma" w:hAnsi="Tahoma" w:cs="Tahoma"/>
          <w:i/>
          <w:sz w:val="22"/>
          <w:szCs w:val="22"/>
        </w:rPr>
        <w:t>–</w:t>
      </w:r>
      <w:r w:rsidRPr="00D224FF">
        <w:rPr>
          <w:rFonts w:ascii="Tahoma" w:hAnsi="Tahoma" w:cs="Tahoma"/>
          <w:i/>
          <w:sz w:val="22"/>
          <w:szCs w:val="22"/>
        </w:rPr>
        <w:t xml:space="preserve"> </w:t>
      </w:r>
      <w:r w:rsidR="002F3008" w:rsidRPr="00D224FF">
        <w:rPr>
          <w:rFonts w:ascii="Tahoma" w:hAnsi="Tahoma" w:cs="Tahoma"/>
          <w:i/>
          <w:sz w:val="22"/>
          <w:szCs w:val="22"/>
        </w:rPr>
        <w:t xml:space="preserve">aj posilnením predaja na </w:t>
      </w:r>
      <w:hyperlink r:id="rId9" w:history="1">
        <w:r w:rsidR="002F3008" w:rsidRPr="00D224FF">
          <w:rPr>
            <w:rStyle w:val="Hypertextovprepojenie"/>
            <w:rFonts w:ascii="Tahoma" w:hAnsi="Tahoma" w:cs="Tahoma"/>
            <w:i/>
            <w:color w:val="auto"/>
            <w:sz w:val="22"/>
            <w:szCs w:val="22"/>
          </w:rPr>
          <w:t>www.euronics.sk</w:t>
        </w:r>
      </w:hyperlink>
      <w:r w:rsidR="002F3008" w:rsidRPr="00D224FF">
        <w:rPr>
          <w:rFonts w:ascii="Tahoma" w:hAnsi="Tahoma" w:cs="Tahoma"/>
          <w:i/>
          <w:sz w:val="22"/>
          <w:szCs w:val="22"/>
        </w:rPr>
        <w:t xml:space="preserve">  </w:t>
      </w:r>
    </w:p>
    <w:p w:rsidR="009905D4" w:rsidRPr="00D224FF" w:rsidRDefault="009905D4" w:rsidP="00E87834">
      <w:pPr>
        <w:ind w:right="720"/>
        <w:rPr>
          <w:rStyle w:val="textnormalnormal1"/>
          <w:sz w:val="24"/>
          <w:szCs w:val="24"/>
        </w:rPr>
      </w:pPr>
    </w:p>
    <w:p w:rsidR="00790B41" w:rsidRPr="00D224FF" w:rsidRDefault="00790B41" w:rsidP="00E87834">
      <w:pPr>
        <w:ind w:right="720"/>
        <w:rPr>
          <w:rStyle w:val="textnormalnormal1"/>
          <w:sz w:val="24"/>
          <w:szCs w:val="24"/>
        </w:rPr>
      </w:pPr>
    </w:p>
    <w:p w:rsidR="008967FD" w:rsidRPr="00D224FF" w:rsidRDefault="00E87834" w:rsidP="008967FD">
      <w:pPr>
        <w:spacing w:before="60" w:after="60"/>
        <w:ind w:firstLine="360"/>
        <w:jc w:val="both"/>
        <w:rPr>
          <w:rFonts w:ascii="Tahoma" w:hAnsi="Tahoma" w:cs="Tahoma"/>
          <w:sz w:val="22"/>
          <w:szCs w:val="22"/>
        </w:rPr>
      </w:pPr>
      <w:r w:rsidRPr="00D224FF">
        <w:rPr>
          <w:rFonts w:ascii="Tahoma" w:hAnsi="Tahoma" w:cs="Tahoma"/>
          <w:sz w:val="22"/>
          <w:szCs w:val="22"/>
        </w:rPr>
        <w:t>V priebehu roka 201</w:t>
      </w:r>
      <w:r w:rsidR="002F3008" w:rsidRPr="00D224FF">
        <w:rPr>
          <w:rFonts w:ascii="Tahoma" w:hAnsi="Tahoma" w:cs="Tahoma"/>
          <w:sz w:val="22"/>
          <w:szCs w:val="22"/>
        </w:rPr>
        <w:t>5</w:t>
      </w:r>
      <w:r w:rsidR="005021AC" w:rsidRPr="00D224FF">
        <w:rPr>
          <w:rFonts w:ascii="Tahoma" w:hAnsi="Tahoma" w:cs="Tahoma"/>
          <w:sz w:val="22"/>
          <w:szCs w:val="22"/>
        </w:rPr>
        <w:t xml:space="preserve"> </w:t>
      </w:r>
      <w:r w:rsidR="00D224FF" w:rsidRPr="00D224FF">
        <w:rPr>
          <w:rFonts w:ascii="Tahoma" w:hAnsi="Tahoma" w:cs="Tahoma"/>
          <w:sz w:val="22"/>
          <w:szCs w:val="22"/>
        </w:rPr>
        <w:t xml:space="preserve">spoločnosť pripravovala </w:t>
      </w:r>
      <w:r w:rsidR="005021AC" w:rsidRPr="00D224FF">
        <w:rPr>
          <w:rFonts w:ascii="Tahoma" w:hAnsi="Tahoma" w:cs="Tahoma"/>
          <w:sz w:val="22"/>
          <w:szCs w:val="22"/>
        </w:rPr>
        <w:t>rea</w:t>
      </w:r>
      <w:r w:rsidR="00D224FF" w:rsidRPr="00D224FF">
        <w:rPr>
          <w:rFonts w:ascii="Tahoma" w:hAnsi="Tahoma" w:cs="Tahoma"/>
          <w:sz w:val="22"/>
          <w:szCs w:val="22"/>
        </w:rPr>
        <w:t xml:space="preserve">lizáciu ďalších krokov, ktoré </w:t>
      </w:r>
      <w:r w:rsidRPr="00D224FF">
        <w:rPr>
          <w:rFonts w:ascii="Tahoma" w:hAnsi="Tahoma" w:cs="Tahoma"/>
          <w:sz w:val="22"/>
          <w:szCs w:val="22"/>
        </w:rPr>
        <w:t xml:space="preserve">vedú k napĺňaniu </w:t>
      </w:r>
      <w:r w:rsidR="005021AC" w:rsidRPr="00D224FF">
        <w:rPr>
          <w:rFonts w:ascii="Tahoma" w:hAnsi="Tahoma" w:cs="Tahoma"/>
          <w:sz w:val="22"/>
          <w:szCs w:val="22"/>
        </w:rPr>
        <w:t xml:space="preserve"> </w:t>
      </w:r>
      <w:r w:rsidRPr="00D224FF">
        <w:rPr>
          <w:rFonts w:ascii="Tahoma" w:hAnsi="Tahoma" w:cs="Tahoma"/>
          <w:sz w:val="22"/>
          <w:szCs w:val="22"/>
        </w:rPr>
        <w:t xml:space="preserve">stratégie </w:t>
      </w:r>
      <w:r w:rsidR="00D224FF" w:rsidRPr="00D224FF">
        <w:rPr>
          <w:rFonts w:ascii="Tahoma" w:hAnsi="Tahoma" w:cs="Tahoma"/>
          <w:sz w:val="22"/>
          <w:szCs w:val="22"/>
        </w:rPr>
        <w:t xml:space="preserve">Euronics </w:t>
      </w:r>
      <w:r w:rsidR="008967FD" w:rsidRPr="00D224FF">
        <w:rPr>
          <w:rFonts w:ascii="Tahoma" w:hAnsi="Tahoma" w:cs="Tahoma"/>
          <w:sz w:val="22"/>
          <w:szCs w:val="22"/>
        </w:rPr>
        <w:t>:</w:t>
      </w:r>
    </w:p>
    <w:p w:rsidR="00D224FF" w:rsidRPr="00D224FF" w:rsidRDefault="00D224FF" w:rsidP="008967FD">
      <w:pPr>
        <w:numPr>
          <w:ilvl w:val="0"/>
          <w:numId w:val="31"/>
        </w:numPr>
        <w:spacing w:before="60" w:after="60"/>
        <w:jc w:val="both"/>
        <w:rPr>
          <w:rFonts w:ascii="Tahoma" w:hAnsi="Tahoma" w:cs="Tahoma"/>
          <w:sz w:val="22"/>
          <w:szCs w:val="22"/>
        </w:rPr>
      </w:pPr>
      <w:r w:rsidRPr="00D224FF">
        <w:rPr>
          <w:rFonts w:ascii="Tahoma" w:hAnsi="Tahoma" w:cs="Tahoma"/>
          <w:sz w:val="22"/>
          <w:szCs w:val="22"/>
        </w:rPr>
        <w:t>rozšírenie siete o ďalších nezávislých predajcov Elektro</w:t>
      </w:r>
    </w:p>
    <w:p w:rsidR="008967FD" w:rsidRPr="00D224FF" w:rsidRDefault="008967FD" w:rsidP="008967FD">
      <w:pPr>
        <w:numPr>
          <w:ilvl w:val="0"/>
          <w:numId w:val="31"/>
        </w:numPr>
        <w:spacing w:before="60" w:after="60"/>
        <w:jc w:val="both"/>
        <w:rPr>
          <w:rFonts w:ascii="Tahoma" w:hAnsi="Tahoma" w:cs="Tahoma"/>
          <w:sz w:val="22"/>
          <w:szCs w:val="22"/>
        </w:rPr>
      </w:pPr>
      <w:r w:rsidRPr="00D224FF">
        <w:rPr>
          <w:rFonts w:ascii="Tahoma" w:hAnsi="Tahoma" w:cs="Tahoma"/>
          <w:sz w:val="22"/>
          <w:szCs w:val="22"/>
        </w:rPr>
        <w:t>posilniť multikanálovú komunikáciu so zákazníkmi</w:t>
      </w:r>
    </w:p>
    <w:p w:rsidR="008967FD" w:rsidRPr="00D224FF" w:rsidRDefault="008967FD" w:rsidP="008967FD">
      <w:pPr>
        <w:numPr>
          <w:ilvl w:val="0"/>
          <w:numId w:val="31"/>
        </w:numPr>
        <w:spacing w:before="60" w:after="60"/>
        <w:jc w:val="both"/>
        <w:rPr>
          <w:rFonts w:ascii="Tahoma" w:hAnsi="Tahoma" w:cs="Tahoma"/>
          <w:sz w:val="22"/>
          <w:szCs w:val="22"/>
        </w:rPr>
      </w:pPr>
      <w:r w:rsidRPr="00D224FF">
        <w:rPr>
          <w:rFonts w:ascii="Tahoma" w:hAnsi="Tahoma" w:cs="Tahoma"/>
          <w:sz w:val="22"/>
          <w:szCs w:val="22"/>
        </w:rPr>
        <w:t xml:space="preserve">posilniť pozíciu siete v segmente IT , </w:t>
      </w:r>
      <w:r w:rsidR="00D224FF" w:rsidRPr="00D224FF">
        <w:rPr>
          <w:rFonts w:ascii="Tahoma" w:hAnsi="Tahoma" w:cs="Tahoma"/>
          <w:sz w:val="22"/>
          <w:szCs w:val="22"/>
        </w:rPr>
        <w:t>T</w:t>
      </w:r>
      <w:r w:rsidRPr="00D224FF">
        <w:rPr>
          <w:rFonts w:ascii="Tahoma" w:hAnsi="Tahoma" w:cs="Tahoma"/>
          <w:sz w:val="22"/>
          <w:szCs w:val="22"/>
        </w:rPr>
        <w:t xml:space="preserve">elecom </w:t>
      </w:r>
    </w:p>
    <w:p w:rsidR="008967FD" w:rsidRPr="00D224FF" w:rsidRDefault="008967FD" w:rsidP="008967FD">
      <w:pPr>
        <w:numPr>
          <w:ilvl w:val="0"/>
          <w:numId w:val="31"/>
        </w:numPr>
        <w:spacing w:before="60" w:after="60"/>
        <w:jc w:val="both"/>
        <w:rPr>
          <w:rFonts w:ascii="Tahoma" w:hAnsi="Tahoma" w:cs="Tahoma"/>
          <w:sz w:val="22"/>
          <w:szCs w:val="22"/>
        </w:rPr>
      </w:pPr>
      <w:r w:rsidRPr="00D224FF">
        <w:rPr>
          <w:rFonts w:ascii="Tahoma" w:hAnsi="Tahoma" w:cs="Tahoma"/>
          <w:sz w:val="22"/>
          <w:szCs w:val="22"/>
        </w:rPr>
        <w:t xml:space="preserve">zefektívniť činnosti vo všetkých oblastiach centrály s cieľom </w:t>
      </w:r>
      <w:r w:rsidR="000B1775" w:rsidRPr="00D224FF">
        <w:rPr>
          <w:rFonts w:ascii="Tahoma" w:hAnsi="Tahoma" w:cs="Tahoma"/>
          <w:sz w:val="22"/>
          <w:szCs w:val="22"/>
        </w:rPr>
        <w:t xml:space="preserve">znížiť náklady </w:t>
      </w:r>
      <w:r w:rsidRPr="00D224FF">
        <w:rPr>
          <w:rFonts w:ascii="Tahoma" w:hAnsi="Tahoma" w:cs="Tahoma"/>
          <w:sz w:val="22"/>
          <w:szCs w:val="22"/>
        </w:rPr>
        <w:t xml:space="preserve">siete </w:t>
      </w:r>
    </w:p>
    <w:p w:rsidR="000B1775" w:rsidRPr="00D224FF" w:rsidRDefault="000B1775" w:rsidP="005021AC">
      <w:pPr>
        <w:spacing w:before="60" w:after="60"/>
        <w:jc w:val="both"/>
        <w:rPr>
          <w:rFonts w:ascii="Tahoma" w:hAnsi="Tahoma" w:cs="Tahoma"/>
          <w:sz w:val="22"/>
          <w:szCs w:val="22"/>
        </w:rPr>
      </w:pPr>
    </w:p>
    <w:p w:rsidR="005021AC" w:rsidRPr="00D224FF" w:rsidRDefault="00D224FF" w:rsidP="005021AC">
      <w:pPr>
        <w:spacing w:before="60" w:after="60"/>
        <w:jc w:val="both"/>
        <w:rPr>
          <w:rFonts w:ascii="Tahoma" w:hAnsi="Tahoma" w:cs="Tahoma"/>
          <w:sz w:val="22"/>
          <w:szCs w:val="22"/>
        </w:rPr>
      </w:pPr>
      <w:r w:rsidRPr="00D224FF">
        <w:rPr>
          <w:rFonts w:ascii="Tahoma" w:hAnsi="Tahoma" w:cs="Tahoma"/>
          <w:sz w:val="22"/>
          <w:szCs w:val="22"/>
        </w:rPr>
        <w:t>P</w:t>
      </w:r>
      <w:r w:rsidR="005021AC" w:rsidRPr="00D224FF">
        <w:rPr>
          <w:rFonts w:ascii="Tahoma" w:hAnsi="Tahoma" w:cs="Tahoma"/>
          <w:sz w:val="22"/>
          <w:szCs w:val="22"/>
        </w:rPr>
        <w:t>ostavenie na slovenskom trhu chc</w:t>
      </w:r>
      <w:r w:rsidRPr="00D224FF">
        <w:rPr>
          <w:rFonts w:ascii="Tahoma" w:hAnsi="Tahoma" w:cs="Tahoma"/>
          <w:sz w:val="22"/>
          <w:szCs w:val="22"/>
        </w:rPr>
        <w:t>e Euronics</w:t>
      </w:r>
      <w:r w:rsidR="00E87834" w:rsidRPr="00D224FF">
        <w:rPr>
          <w:rFonts w:ascii="Tahoma" w:hAnsi="Tahoma" w:cs="Tahoma"/>
          <w:sz w:val="22"/>
          <w:szCs w:val="22"/>
        </w:rPr>
        <w:t xml:space="preserve"> posilniť najmä </w:t>
      </w:r>
      <w:r w:rsidR="009905D4" w:rsidRPr="00D224FF">
        <w:rPr>
          <w:rFonts w:ascii="Tahoma" w:hAnsi="Tahoma" w:cs="Tahoma"/>
          <w:sz w:val="22"/>
          <w:szCs w:val="22"/>
        </w:rPr>
        <w:t xml:space="preserve">skvalitňovaním a rozširovaním výhod pre našich </w:t>
      </w:r>
      <w:r w:rsidR="00DF06FA" w:rsidRPr="00D224FF">
        <w:rPr>
          <w:rFonts w:ascii="Tahoma" w:hAnsi="Tahoma" w:cs="Tahoma"/>
          <w:sz w:val="22"/>
          <w:szCs w:val="22"/>
        </w:rPr>
        <w:t xml:space="preserve">zákazníkov a </w:t>
      </w:r>
      <w:r w:rsidR="009905D4" w:rsidRPr="00D224FF">
        <w:rPr>
          <w:rFonts w:ascii="Tahoma" w:hAnsi="Tahoma" w:cs="Tahoma"/>
          <w:sz w:val="22"/>
          <w:szCs w:val="22"/>
        </w:rPr>
        <w:t>zmluvných partnerov</w:t>
      </w:r>
      <w:r w:rsidR="002F3008" w:rsidRPr="00D224FF">
        <w:rPr>
          <w:rFonts w:ascii="Tahoma" w:hAnsi="Tahoma" w:cs="Tahoma"/>
          <w:sz w:val="22"/>
          <w:szCs w:val="22"/>
        </w:rPr>
        <w:t xml:space="preserve"> </w:t>
      </w:r>
      <w:r w:rsidR="009905D4" w:rsidRPr="00D224FF">
        <w:rPr>
          <w:rFonts w:ascii="Tahoma" w:hAnsi="Tahoma" w:cs="Tahoma"/>
          <w:sz w:val="22"/>
          <w:szCs w:val="22"/>
        </w:rPr>
        <w:t xml:space="preserve">. </w:t>
      </w:r>
      <w:r w:rsidR="005021AC" w:rsidRPr="00D224FF">
        <w:rPr>
          <w:rFonts w:ascii="Tahoma" w:hAnsi="Tahoma" w:cs="Tahoma"/>
          <w:sz w:val="22"/>
          <w:szCs w:val="22"/>
        </w:rPr>
        <w:t xml:space="preserve"> </w:t>
      </w:r>
    </w:p>
    <w:p w:rsidR="009905D4" w:rsidRPr="00D224FF" w:rsidRDefault="009905D4" w:rsidP="005021AC">
      <w:pPr>
        <w:spacing w:before="60" w:after="60"/>
        <w:rPr>
          <w:rFonts w:ascii="Tahoma" w:hAnsi="Tahoma" w:cs="Tahoma"/>
          <w:sz w:val="22"/>
          <w:szCs w:val="22"/>
        </w:rPr>
      </w:pPr>
    </w:p>
    <w:p w:rsidR="005021AC" w:rsidRPr="00D224FF" w:rsidRDefault="005021AC" w:rsidP="005021AC">
      <w:pPr>
        <w:spacing w:before="60" w:after="60"/>
        <w:rPr>
          <w:rFonts w:ascii="Tahoma" w:hAnsi="Tahoma" w:cs="Tahoma"/>
          <w:sz w:val="22"/>
          <w:szCs w:val="22"/>
        </w:rPr>
      </w:pPr>
      <w:r w:rsidRPr="00D224FF">
        <w:rPr>
          <w:rFonts w:ascii="Tahoma" w:hAnsi="Tahoma" w:cs="Tahoma"/>
          <w:sz w:val="22"/>
          <w:szCs w:val="22"/>
        </w:rPr>
        <w:t xml:space="preserve">v Bratislave, dňa </w:t>
      </w:r>
      <w:r w:rsidR="00FB7553" w:rsidRPr="00D224FF">
        <w:rPr>
          <w:rFonts w:ascii="Tahoma" w:hAnsi="Tahoma" w:cs="Tahoma"/>
          <w:sz w:val="22"/>
          <w:szCs w:val="22"/>
        </w:rPr>
        <w:t>10.04.2016</w:t>
      </w:r>
    </w:p>
    <w:p w:rsidR="0072176D" w:rsidRPr="00D224FF" w:rsidRDefault="0072176D" w:rsidP="005021AC">
      <w:pPr>
        <w:pStyle w:val="Hlavika"/>
        <w:tabs>
          <w:tab w:val="clear" w:pos="4536"/>
          <w:tab w:val="clear" w:pos="9072"/>
        </w:tabs>
        <w:spacing w:before="60" w:after="60"/>
        <w:rPr>
          <w:rFonts w:ascii="Tahoma" w:hAnsi="Tahoma" w:cs="Tahoma"/>
          <w:sz w:val="22"/>
          <w:szCs w:val="22"/>
        </w:rPr>
      </w:pPr>
    </w:p>
    <w:p w:rsidR="002F3008" w:rsidRPr="00D224FF" w:rsidRDefault="002F3008" w:rsidP="005021AC">
      <w:pPr>
        <w:pStyle w:val="Hlavika"/>
        <w:tabs>
          <w:tab w:val="clear" w:pos="4536"/>
          <w:tab w:val="clear" w:pos="9072"/>
        </w:tabs>
        <w:spacing w:before="60" w:after="60"/>
        <w:rPr>
          <w:rFonts w:ascii="Tahoma" w:hAnsi="Tahoma" w:cs="Tahoma"/>
          <w:sz w:val="22"/>
          <w:szCs w:val="22"/>
        </w:rPr>
      </w:pPr>
    </w:p>
    <w:p w:rsidR="002F3008" w:rsidRPr="00D224FF" w:rsidRDefault="002F3008" w:rsidP="005021AC">
      <w:pPr>
        <w:pStyle w:val="Hlavika"/>
        <w:tabs>
          <w:tab w:val="clear" w:pos="4536"/>
          <w:tab w:val="clear" w:pos="9072"/>
        </w:tabs>
        <w:spacing w:before="60" w:after="60"/>
        <w:rPr>
          <w:rFonts w:ascii="Tahoma" w:hAnsi="Tahoma" w:cs="Tahoma"/>
          <w:sz w:val="22"/>
          <w:szCs w:val="22"/>
        </w:rPr>
      </w:pPr>
    </w:p>
    <w:p w:rsidR="002F3008" w:rsidRPr="00D224FF" w:rsidRDefault="002F3008" w:rsidP="005021AC">
      <w:pPr>
        <w:pStyle w:val="Hlavika"/>
        <w:tabs>
          <w:tab w:val="clear" w:pos="4536"/>
          <w:tab w:val="clear" w:pos="9072"/>
        </w:tabs>
        <w:spacing w:before="60" w:after="60"/>
        <w:rPr>
          <w:rFonts w:ascii="Tahoma" w:hAnsi="Tahoma" w:cs="Tahoma"/>
          <w:sz w:val="22"/>
          <w:szCs w:val="22"/>
        </w:rPr>
      </w:pPr>
    </w:p>
    <w:tbl>
      <w:tblPr>
        <w:tblW w:w="0" w:type="auto"/>
        <w:jc w:val="right"/>
        <w:tblLook w:val="01E0"/>
      </w:tblPr>
      <w:tblGrid>
        <w:gridCol w:w="2835"/>
      </w:tblGrid>
      <w:tr w:rsidR="00FB7553" w:rsidRPr="00D224FF" w:rsidTr="00A4684D">
        <w:trPr>
          <w:jc w:val="right"/>
        </w:trPr>
        <w:tc>
          <w:tcPr>
            <w:tcW w:w="2835" w:type="dxa"/>
          </w:tcPr>
          <w:p w:rsidR="005021AC" w:rsidRPr="00D224FF" w:rsidRDefault="005021AC" w:rsidP="00A4684D">
            <w:pPr>
              <w:jc w:val="center"/>
              <w:rPr>
                <w:rFonts w:ascii="Tahoma" w:hAnsi="Tahoma" w:cs="Tahoma"/>
                <w:sz w:val="22"/>
                <w:szCs w:val="22"/>
              </w:rPr>
            </w:pPr>
            <w:r w:rsidRPr="00D224FF">
              <w:rPr>
                <w:rFonts w:ascii="Tahoma" w:hAnsi="Tahoma" w:cs="Tahoma"/>
                <w:sz w:val="22"/>
                <w:szCs w:val="22"/>
              </w:rPr>
              <w:t xml:space="preserve">František Majtán </w:t>
            </w:r>
          </w:p>
        </w:tc>
      </w:tr>
      <w:tr w:rsidR="00FB7553" w:rsidRPr="00D224FF" w:rsidTr="00A4684D">
        <w:trPr>
          <w:jc w:val="right"/>
        </w:trPr>
        <w:tc>
          <w:tcPr>
            <w:tcW w:w="2835" w:type="dxa"/>
          </w:tcPr>
          <w:p w:rsidR="005021AC" w:rsidRPr="00D224FF" w:rsidRDefault="005021AC" w:rsidP="00A4684D">
            <w:pPr>
              <w:jc w:val="center"/>
              <w:rPr>
                <w:rFonts w:ascii="Tahoma" w:hAnsi="Tahoma" w:cs="Tahoma"/>
                <w:sz w:val="22"/>
                <w:szCs w:val="22"/>
              </w:rPr>
            </w:pPr>
            <w:r w:rsidRPr="00D224FF">
              <w:rPr>
                <w:rFonts w:ascii="Tahoma" w:hAnsi="Tahoma" w:cs="Tahoma"/>
                <w:sz w:val="22"/>
                <w:szCs w:val="22"/>
              </w:rPr>
              <w:t xml:space="preserve">predseda predstavenstva </w:t>
            </w:r>
          </w:p>
          <w:p w:rsidR="005021AC" w:rsidRPr="00D224FF" w:rsidRDefault="005021AC" w:rsidP="00A4684D">
            <w:pPr>
              <w:jc w:val="center"/>
              <w:rPr>
                <w:rFonts w:ascii="Tahoma" w:hAnsi="Tahoma" w:cs="Tahoma"/>
                <w:sz w:val="22"/>
                <w:szCs w:val="22"/>
              </w:rPr>
            </w:pPr>
          </w:p>
        </w:tc>
      </w:tr>
    </w:tbl>
    <w:p w:rsidR="0064714C" w:rsidRPr="00D224FF" w:rsidRDefault="0064714C" w:rsidP="0064714C">
      <w:pPr>
        <w:pStyle w:val="Nadpis7"/>
        <w:jc w:val="both"/>
        <w:rPr>
          <w:caps/>
          <w:color w:val="auto"/>
          <w:sz w:val="22"/>
          <w:szCs w:val="22"/>
        </w:rPr>
      </w:pPr>
      <w:r w:rsidRPr="00D224FF">
        <w:rPr>
          <w:caps/>
          <w:color w:val="auto"/>
          <w:sz w:val="22"/>
          <w:szCs w:val="22"/>
        </w:rPr>
        <w:t>Charakteristika spoločnosti</w:t>
      </w:r>
    </w:p>
    <w:p w:rsidR="0064714C" w:rsidRPr="00D224FF" w:rsidRDefault="0064714C" w:rsidP="0064714C">
      <w:pPr>
        <w:jc w:val="both"/>
        <w:rPr>
          <w:rFonts w:ascii="Tahoma" w:hAnsi="Tahoma" w:cs="Tahoma"/>
          <w:iCs/>
          <w:sz w:val="22"/>
          <w:szCs w:val="22"/>
        </w:rPr>
      </w:pPr>
      <w:r w:rsidRPr="00D224FF">
        <w:rPr>
          <w:rFonts w:ascii="Tahoma" w:hAnsi="Tahoma" w:cs="Tahoma"/>
          <w:iCs/>
          <w:sz w:val="22"/>
          <w:szCs w:val="22"/>
        </w:rPr>
        <w:t>Akciová spoločnosť EURONICS SK, a.s. bola založená 28.10.2003  a do obchodného registra bola zapísaná 11.11.2003 (</w:t>
      </w:r>
      <w:r w:rsidR="00722977" w:rsidRPr="00D224FF">
        <w:rPr>
          <w:rFonts w:ascii="Tahoma" w:hAnsi="Tahoma" w:cs="Tahoma"/>
          <w:iCs/>
          <w:sz w:val="22"/>
          <w:szCs w:val="22"/>
        </w:rPr>
        <w:t>O</w:t>
      </w:r>
      <w:r w:rsidRPr="00D224FF">
        <w:rPr>
          <w:rFonts w:ascii="Tahoma" w:hAnsi="Tahoma" w:cs="Tahoma"/>
          <w:iCs/>
          <w:sz w:val="22"/>
          <w:szCs w:val="22"/>
        </w:rPr>
        <w:t>kresný súd Bratislava I v Bratislave, oddiel Sa vložka 3205/B).</w:t>
      </w:r>
      <w:r w:rsidR="00495520" w:rsidRPr="00D224FF">
        <w:rPr>
          <w:rFonts w:ascii="Tahoma" w:hAnsi="Tahoma" w:cs="Tahoma"/>
          <w:iCs/>
          <w:sz w:val="22"/>
          <w:szCs w:val="22"/>
        </w:rPr>
        <w:t xml:space="preserve"> Pôvodný názov spoločnosti ECS1 a.s. bol zmenený. Od dátumu 23.04.2004 je názov spoločnosti EURONICS SK a.s.</w:t>
      </w:r>
    </w:p>
    <w:p w:rsidR="00495520" w:rsidRPr="00D224FF" w:rsidRDefault="00495520" w:rsidP="0064714C">
      <w:pPr>
        <w:jc w:val="both"/>
        <w:rPr>
          <w:rFonts w:ascii="Tahoma" w:hAnsi="Tahoma" w:cs="Tahoma"/>
          <w:b/>
          <w:bCs/>
          <w:iCs/>
          <w:caps/>
          <w:sz w:val="22"/>
          <w:szCs w:val="22"/>
        </w:rPr>
      </w:pPr>
    </w:p>
    <w:p w:rsidR="0064714C" w:rsidRPr="00D224FF" w:rsidRDefault="0064714C" w:rsidP="0064714C">
      <w:pPr>
        <w:jc w:val="both"/>
        <w:rPr>
          <w:rFonts w:ascii="Tahoma" w:hAnsi="Tahoma" w:cs="Tahoma"/>
          <w:b/>
          <w:bCs/>
          <w:iCs/>
          <w:caps/>
          <w:sz w:val="22"/>
          <w:szCs w:val="22"/>
        </w:rPr>
      </w:pPr>
      <w:r w:rsidRPr="00D224FF">
        <w:rPr>
          <w:rFonts w:ascii="Tahoma" w:hAnsi="Tahoma" w:cs="Tahoma"/>
          <w:b/>
          <w:bCs/>
          <w:iCs/>
          <w:caps/>
          <w:sz w:val="22"/>
          <w:szCs w:val="22"/>
        </w:rPr>
        <w:t>Hlavné činnosti Spoločnosti</w:t>
      </w:r>
    </w:p>
    <w:p w:rsidR="0064714C" w:rsidRPr="00D224FF" w:rsidRDefault="0064714C" w:rsidP="00722977">
      <w:pPr>
        <w:numPr>
          <w:ilvl w:val="0"/>
          <w:numId w:val="16"/>
        </w:numPr>
        <w:tabs>
          <w:tab w:val="num" w:pos="1080"/>
        </w:tabs>
        <w:rPr>
          <w:rFonts w:ascii="Tahoma" w:hAnsi="Tahoma" w:cs="Tahoma"/>
          <w:iCs/>
          <w:sz w:val="22"/>
          <w:szCs w:val="22"/>
        </w:rPr>
      </w:pPr>
      <w:r w:rsidRPr="00D224FF">
        <w:rPr>
          <w:rFonts w:ascii="Tahoma" w:hAnsi="Tahoma" w:cs="Tahoma"/>
          <w:iCs/>
          <w:sz w:val="22"/>
          <w:szCs w:val="22"/>
        </w:rPr>
        <w:t>sprostredkovateľská činnosť v oblasti obchodu, služieb</w:t>
      </w:r>
    </w:p>
    <w:p w:rsidR="0064714C" w:rsidRPr="00D224FF" w:rsidRDefault="0064714C" w:rsidP="00722977">
      <w:pPr>
        <w:numPr>
          <w:ilvl w:val="0"/>
          <w:numId w:val="16"/>
        </w:numPr>
        <w:tabs>
          <w:tab w:val="num" w:pos="1080"/>
        </w:tabs>
        <w:rPr>
          <w:rFonts w:ascii="Tahoma" w:hAnsi="Tahoma" w:cs="Tahoma"/>
          <w:iCs/>
          <w:sz w:val="22"/>
          <w:szCs w:val="22"/>
        </w:rPr>
      </w:pPr>
      <w:r w:rsidRPr="00D224FF">
        <w:rPr>
          <w:rFonts w:ascii="Tahoma" w:hAnsi="Tahoma" w:cs="Tahoma"/>
          <w:iCs/>
          <w:sz w:val="22"/>
          <w:szCs w:val="22"/>
        </w:rPr>
        <w:t>reklamná a propagačná činnosť</w:t>
      </w:r>
    </w:p>
    <w:p w:rsidR="0064714C" w:rsidRPr="00D224FF" w:rsidRDefault="0064714C" w:rsidP="00722977">
      <w:pPr>
        <w:numPr>
          <w:ilvl w:val="0"/>
          <w:numId w:val="16"/>
        </w:numPr>
        <w:tabs>
          <w:tab w:val="num" w:pos="1080"/>
        </w:tabs>
        <w:rPr>
          <w:rFonts w:ascii="Tahoma" w:hAnsi="Tahoma" w:cs="Tahoma"/>
          <w:iCs/>
          <w:sz w:val="22"/>
          <w:szCs w:val="22"/>
        </w:rPr>
      </w:pPr>
      <w:r w:rsidRPr="00D224FF">
        <w:rPr>
          <w:rFonts w:ascii="Tahoma" w:hAnsi="Tahoma" w:cs="Tahoma"/>
          <w:iCs/>
          <w:sz w:val="22"/>
          <w:szCs w:val="22"/>
        </w:rPr>
        <w:t>vytváranie, správa a riadenie siete špecializovaných obchodov</w:t>
      </w:r>
    </w:p>
    <w:p w:rsidR="0064714C" w:rsidRPr="00D224FF" w:rsidRDefault="0064714C" w:rsidP="0064714C">
      <w:pPr>
        <w:jc w:val="both"/>
        <w:rPr>
          <w:rFonts w:ascii="Tahoma" w:hAnsi="Tahoma" w:cs="Tahoma"/>
          <w:iCs/>
          <w:sz w:val="22"/>
          <w:szCs w:val="22"/>
        </w:rPr>
      </w:pPr>
      <w:r w:rsidRPr="00D224FF">
        <w:rPr>
          <w:rFonts w:ascii="Tahoma" w:hAnsi="Tahoma" w:cs="Tahoma"/>
          <w:iCs/>
          <w:sz w:val="22"/>
          <w:szCs w:val="22"/>
        </w:rPr>
        <w:tab/>
      </w:r>
    </w:p>
    <w:p w:rsidR="0064714C" w:rsidRPr="00D224FF" w:rsidRDefault="0064714C" w:rsidP="0064714C">
      <w:pPr>
        <w:ind w:left="60"/>
        <w:rPr>
          <w:rFonts w:ascii="Tahoma" w:hAnsi="Tahoma" w:cs="Tahoma"/>
          <w:b/>
          <w:bCs/>
          <w:iCs/>
          <w:caps/>
          <w:sz w:val="22"/>
          <w:szCs w:val="22"/>
        </w:rPr>
      </w:pPr>
      <w:r w:rsidRPr="00D224FF">
        <w:rPr>
          <w:rFonts w:ascii="Tahoma" w:hAnsi="Tahoma" w:cs="Tahoma"/>
          <w:b/>
          <w:bCs/>
          <w:iCs/>
          <w:caps/>
          <w:sz w:val="22"/>
          <w:szCs w:val="22"/>
        </w:rPr>
        <w:t>Základné imanie Spoločnosti</w:t>
      </w:r>
    </w:p>
    <w:p w:rsidR="0064714C" w:rsidRPr="00D224FF" w:rsidRDefault="0064714C" w:rsidP="00722977">
      <w:pPr>
        <w:pStyle w:val="Zarkazkladnhotextu"/>
        <w:ind w:firstLine="0"/>
        <w:jc w:val="both"/>
        <w:rPr>
          <w:rFonts w:ascii="Tahoma" w:hAnsi="Tahoma" w:cs="Tahoma"/>
          <w:color w:val="auto"/>
          <w:sz w:val="22"/>
          <w:szCs w:val="22"/>
        </w:rPr>
      </w:pPr>
      <w:r w:rsidRPr="00D224FF">
        <w:rPr>
          <w:rFonts w:ascii="Tahoma" w:hAnsi="Tahoma" w:cs="Tahoma"/>
          <w:color w:val="auto"/>
          <w:sz w:val="22"/>
          <w:szCs w:val="22"/>
        </w:rPr>
        <w:t>Základné imanie spoločnosti pri založení predstavovalo 2.000 tis. Sk. Na základe rozhodnutia predstavenstva spoločnosti vykonala Spoločnosť  premenu akcií na EUR.  Hodnota  základného imania je od 29.01.2009 je 66 400 EUR. V súčasnosti akcionári vlastnia  40 ks akcií, pričom menovitá hodnota každej akcie je  1 660 EUR. Spoločnosť v roku 201</w:t>
      </w:r>
      <w:r w:rsidR="002F1316" w:rsidRPr="00D224FF">
        <w:rPr>
          <w:rFonts w:ascii="Tahoma" w:hAnsi="Tahoma" w:cs="Tahoma"/>
          <w:color w:val="auto"/>
          <w:sz w:val="22"/>
          <w:szCs w:val="22"/>
        </w:rPr>
        <w:t>1</w:t>
      </w:r>
      <w:r w:rsidRPr="00D224FF">
        <w:rPr>
          <w:rFonts w:ascii="Tahoma" w:hAnsi="Tahoma" w:cs="Tahoma"/>
          <w:color w:val="auto"/>
          <w:sz w:val="22"/>
          <w:szCs w:val="22"/>
        </w:rPr>
        <w:t xml:space="preserve"> nevlastnila vlastné akcie.</w:t>
      </w:r>
    </w:p>
    <w:p w:rsidR="005021AC" w:rsidRPr="00D224FF" w:rsidRDefault="005021AC" w:rsidP="005021AC">
      <w:pPr>
        <w:ind w:left="1414" w:firstLine="11"/>
        <w:rPr>
          <w:rFonts w:ascii="Tahoma" w:hAnsi="Tahoma" w:cs="Tahoma"/>
          <w:iCs/>
          <w:sz w:val="22"/>
          <w:szCs w:val="22"/>
        </w:rPr>
      </w:pPr>
    </w:p>
    <w:p w:rsidR="005021AC" w:rsidRPr="00D224FF" w:rsidRDefault="002466EE" w:rsidP="005021AC">
      <w:pPr>
        <w:ind w:firstLine="11"/>
        <w:rPr>
          <w:rFonts w:ascii="Tahoma" w:hAnsi="Tahoma" w:cs="Tahoma"/>
          <w:iCs/>
          <w:sz w:val="22"/>
          <w:szCs w:val="22"/>
        </w:rPr>
      </w:pPr>
      <w:r w:rsidRPr="00D224FF">
        <w:rPr>
          <w:rFonts w:ascii="Tahoma" w:hAnsi="Tahoma" w:cs="Tahoma"/>
          <w:iCs/>
          <w:sz w:val="22"/>
          <w:szCs w:val="22"/>
        </w:rPr>
        <w:t>Od roku 2010 a</w:t>
      </w:r>
      <w:r w:rsidR="005021AC" w:rsidRPr="00D224FF">
        <w:rPr>
          <w:rFonts w:ascii="Tahoma" w:hAnsi="Tahoma" w:cs="Tahoma"/>
          <w:iCs/>
          <w:sz w:val="22"/>
          <w:szCs w:val="22"/>
        </w:rPr>
        <w:t>kcionármi spoločnosti EURONICS SK a.s. sú:</w:t>
      </w:r>
    </w:p>
    <w:p w:rsidR="002466EE" w:rsidRPr="00D224FF" w:rsidRDefault="002466EE" w:rsidP="005021AC">
      <w:pPr>
        <w:ind w:firstLine="11"/>
        <w:rPr>
          <w:rFonts w:ascii="Tahoma" w:hAnsi="Tahoma" w:cs="Tahoma"/>
          <w:iCs/>
          <w:sz w:val="22"/>
          <w:szCs w:val="22"/>
        </w:rPr>
      </w:pPr>
    </w:p>
    <w:p w:rsidR="005021AC" w:rsidRPr="00D224FF" w:rsidRDefault="005021AC" w:rsidP="005021AC">
      <w:pPr>
        <w:ind w:firstLine="11"/>
        <w:rPr>
          <w:rFonts w:ascii="Tahoma" w:hAnsi="Tahoma" w:cs="Tahoma"/>
          <w:iCs/>
          <w:sz w:val="22"/>
          <w:szCs w:val="22"/>
        </w:rPr>
      </w:pPr>
      <w:r w:rsidRPr="00D224FF">
        <w:rPr>
          <w:rFonts w:ascii="Tahoma" w:hAnsi="Tahoma" w:cs="Tahoma"/>
          <w:iCs/>
          <w:sz w:val="22"/>
          <w:szCs w:val="22"/>
        </w:rPr>
        <w:t>TPD, s.r.o.</w:t>
      </w:r>
      <w:r w:rsidRPr="00D224FF">
        <w:rPr>
          <w:rFonts w:ascii="Tahoma" w:hAnsi="Tahoma" w:cs="Tahoma"/>
          <w:iCs/>
          <w:sz w:val="22"/>
          <w:szCs w:val="22"/>
        </w:rPr>
        <w:tab/>
      </w:r>
      <w:r w:rsidRPr="00D224FF">
        <w:rPr>
          <w:rFonts w:ascii="Tahoma" w:hAnsi="Tahoma" w:cs="Tahoma"/>
          <w:iCs/>
          <w:sz w:val="22"/>
          <w:szCs w:val="22"/>
        </w:rPr>
        <w:tab/>
      </w:r>
      <w:r w:rsidRPr="00D224FF">
        <w:rPr>
          <w:rFonts w:ascii="Tahoma" w:hAnsi="Tahoma" w:cs="Tahoma"/>
          <w:iCs/>
          <w:sz w:val="22"/>
          <w:szCs w:val="22"/>
        </w:rPr>
        <w:tab/>
      </w:r>
      <w:r w:rsidRPr="00D224FF">
        <w:rPr>
          <w:rFonts w:ascii="Tahoma" w:hAnsi="Tahoma" w:cs="Tahoma"/>
          <w:iCs/>
          <w:sz w:val="22"/>
          <w:szCs w:val="22"/>
        </w:rPr>
        <w:tab/>
      </w:r>
      <w:r w:rsidRPr="00D224FF">
        <w:rPr>
          <w:rFonts w:ascii="Tahoma" w:hAnsi="Tahoma" w:cs="Tahoma"/>
          <w:iCs/>
          <w:sz w:val="22"/>
          <w:szCs w:val="22"/>
        </w:rPr>
        <w:tab/>
        <w:t>57,50 %</w:t>
      </w:r>
    </w:p>
    <w:p w:rsidR="005021AC" w:rsidRPr="00D224FF" w:rsidRDefault="005021AC" w:rsidP="005021AC">
      <w:pPr>
        <w:ind w:firstLine="11"/>
        <w:rPr>
          <w:rFonts w:ascii="Tahoma" w:hAnsi="Tahoma" w:cs="Tahoma"/>
          <w:iCs/>
          <w:sz w:val="22"/>
          <w:szCs w:val="22"/>
        </w:rPr>
      </w:pPr>
      <w:r w:rsidRPr="00D224FF">
        <w:rPr>
          <w:rFonts w:ascii="Tahoma" w:hAnsi="Tahoma" w:cs="Tahoma"/>
          <w:iCs/>
          <w:sz w:val="22"/>
          <w:szCs w:val="22"/>
        </w:rPr>
        <w:t>DOMOSS TECHNIKA, a.s.</w:t>
      </w:r>
      <w:r w:rsidRPr="00D224FF">
        <w:rPr>
          <w:rFonts w:ascii="Tahoma" w:hAnsi="Tahoma" w:cs="Tahoma"/>
          <w:iCs/>
          <w:sz w:val="22"/>
          <w:szCs w:val="22"/>
        </w:rPr>
        <w:tab/>
      </w:r>
      <w:r w:rsidRPr="00D224FF">
        <w:rPr>
          <w:rFonts w:ascii="Tahoma" w:hAnsi="Tahoma" w:cs="Tahoma"/>
          <w:iCs/>
          <w:sz w:val="22"/>
          <w:szCs w:val="22"/>
        </w:rPr>
        <w:tab/>
      </w:r>
      <w:r w:rsidRPr="00D224FF">
        <w:rPr>
          <w:rFonts w:ascii="Tahoma" w:hAnsi="Tahoma" w:cs="Tahoma"/>
          <w:iCs/>
          <w:sz w:val="22"/>
          <w:szCs w:val="22"/>
        </w:rPr>
        <w:tab/>
        <w:t>42,50</w:t>
      </w:r>
      <w:r w:rsidR="004D0FBB" w:rsidRPr="00D224FF">
        <w:rPr>
          <w:rFonts w:ascii="Tahoma" w:hAnsi="Tahoma" w:cs="Tahoma"/>
          <w:iCs/>
          <w:sz w:val="22"/>
          <w:szCs w:val="22"/>
        </w:rPr>
        <w:t xml:space="preserve"> %</w:t>
      </w:r>
    </w:p>
    <w:p w:rsidR="005021AC" w:rsidRPr="00D224FF" w:rsidRDefault="005021AC" w:rsidP="005021AC">
      <w:pPr>
        <w:ind w:firstLine="11"/>
        <w:rPr>
          <w:rFonts w:ascii="Tahoma" w:hAnsi="Tahoma" w:cs="Tahoma"/>
          <w:sz w:val="22"/>
          <w:szCs w:val="22"/>
        </w:rPr>
      </w:pPr>
    </w:p>
    <w:p w:rsidR="0064714C" w:rsidRPr="00D224FF" w:rsidRDefault="0064714C" w:rsidP="0064714C">
      <w:pPr>
        <w:pStyle w:val="Zarkazkladnhotextu"/>
        <w:ind w:firstLine="0"/>
        <w:rPr>
          <w:rFonts w:ascii="Tahoma" w:hAnsi="Tahoma" w:cs="Tahoma"/>
          <w:color w:val="auto"/>
          <w:sz w:val="22"/>
          <w:szCs w:val="22"/>
        </w:rPr>
      </w:pPr>
    </w:p>
    <w:p w:rsidR="0064714C" w:rsidRPr="00D224FF" w:rsidRDefault="0064714C" w:rsidP="0064714C">
      <w:pPr>
        <w:pStyle w:val="Nadpis3"/>
        <w:rPr>
          <w:rFonts w:ascii="Tahoma" w:hAnsi="Tahoma" w:cs="Tahoma"/>
          <w:bCs/>
          <w:iCs/>
          <w:caps/>
          <w:color w:val="auto"/>
          <w:szCs w:val="22"/>
        </w:rPr>
      </w:pPr>
      <w:r w:rsidRPr="00D224FF">
        <w:rPr>
          <w:rFonts w:ascii="Tahoma" w:hAnsi="Tahoma" w:cs="Tahoma"/>
          <w:bCs/>
          <w:iCs/>
          <w:caps/>
          <w:color w:val="auto"/>
          <w:szCs w:val="22"/>
        </w:rPr>
        <w:t xml:space="preserve">Štatutárne orgány a organizačná štruktúra Spoločnosti </w:t>
      </w:r>
    </w:p>
    <w:p w:rsidR="0064714C" w:rsidRPr="00D224FF" w:rsidRDefault="0064714C" w:rsidP="0064714C">
      <w:pPr>
        <w:jc w:val="both"/>
        <w:rPr>
          <w:rFonts w:ascii="Tahoma" w:hAnsi="Tahoma" w:cs="Tahoma"/>
          <w:iCs/>
          <w:sz w:val="22"/>
          <w:szCs w:val="22"/>
        </w:rPr>
      </w:pPr>
      <w:r w:rsidRPr="00D224FF">
        <w:rPr>
          <w:rFonts w:ascii="Tahoma" w:hAnsi="Tahoma" w:cs="Tahoma"/>
          <w:iCs/>
          <w:sz w:val="22"/>
          <w:szCs w:val="22"/>
        </w:rPr>
        <w:t xml:space="preserve">Najvyšším orgánom spoločnosti je valné zhromaždenie. Spoločnosť riadi   predstavenstvo spôsobom určeným v stanovách spoločnosti.  </w:t>
      </w:r>
    </w:p>
    <w:p w:rsidR="00495520" w:rsidRPr="00D224FF" w:rsidRDefault="00495520" w:rsidP="0064714C">
      <w:pPr>
        <w:jc w:val="both"/>
        <w:rPr>
          <w:rFonts w:ascii="Tahoma" w:hAnsi="Tahoma" w:cs="Tahoma"/>
          <w:iCs/>
          <w:sz w:val="22"/>
          <w:szCs w:val="22"/>
        </w:rPr>
      </w:pPr>
    </w:p>
    <w:p w:rsidR="00495520" w:rsidRPr="00D224FF" w:rsidRDefault="00495520" w:rsidP="0064714C">
      <w:pPr>
        <w:jc w:val="both"/>
        <w:rPr>
          <w:rFonts w:ascii="Tahoma" w:hAnsi="Tahoma" w:cs="Tahoma"/>
          <w:iCs/>
          <w:sz w:val="22"/>
          <w:szCs w:val="22"/>
        </w:rPr>
      </w:pPr>
      <w:r w:rsidRPr="00D224FF">
        <w:rPr>
          <w:rFonts w:ascii="Tahoma" w:hAnsi="Tahoma" w:cs="Tahoma"/>
          <w:iCs/>
          <w:sz w:val="22"/>
          <w:szCs w:val="22"/>
        </w:rPr>
        <w:t xml:space="preserve">V priebehu roka </w:t>
      </w:r>
      <w:r w:rsidR="00FB7553" w:rsidRPr="00D224FF">
        <w:rPr>
          <w:rFonts w:ascii="Tahoma" w:hAnsi="Tahoma" w:cs="Tahoma"/>
          <w:iCs/>
          <w:sz w:val="22"/>
          <w:szCs w:val="22"/>
        </w:rPr>
        <w:t>2015</w:t>
      </w:r>
      <w:r w:rsidRPr="00D224FF">
        <w:rPr>
          <w:rFonts w:ascii="Tahoma" w:hAnsi="Tahoma" w:cs="Tahoma"/>
          <w:iCs/>
          <w:sz w:val="22"/>
          <w:szCs w:val="22"/>
        </w:rPr>
        <w:t xml:space="preserve"> n</w:t>
      </w:r>
      <w:r w:rsidR="002F1316" w:rsidRPr="00D224FF">
        <w:rPr>
          <w:rFonts w:ascii="Tahoma" w:hAnsi="Tahoma" w:cs="Tahoma"/>
          <w:iCs/>
          <w:sz w:val="22"/>
          <w:szCs w:val="22"/>
        </w:rPr>
        <w:t xml:space="preserve">enastali zmeny v </w:t>
      </w:r>
      <w:r w:rsidRPr="00D224FF">
        <w:rPr>
          <w:rFonts w:ascii="Tahoma" w:hAnsi="Tahoma" w:cs="Tahoma"/>
          <w:iCs/>
          <w:sz w:val="22"/>
          <w:szCs w:val="22"/>
        </w:rPr>
        <w:t>orgánoch spoločnosti. Zmeny n</w:t>
      </w:r>
      <w:r w:rsidR="002F1316" w:rsidRPr="00D224FF">
        <w:rPr>
          <w:rFonts w:ascii="Tahoma" w:hAnsi="Tahoma" w:cs="Tahoma"/>
          <w:iCs/>
          <w:sz w:val="22"/>
          <w:szCs w:val="22"/>
        </w:rPr>
        <w:t>enastali</w:t>
      </w:r>
      <w:r w:rsidRPr="00D224FF">
        <w:rPr>
          <w:rFonts w:ascii="Tahoma" w:hAnsi="Tahoma" w:cs="Tahoma"/>
          <w:iCs/>
          <w:sz w:val="22"/>
          <w:szCs w:val="22"/>
        </w:rPr>
        <w:t xml:space="preserve"> taktiež v zložení dozornej rady.</w:t>
      </w:r>
    </w:p>
    <w:p w:rsidR="00495520" w:rsidRPr="00D224FF" w:rsidRDefault="00495520" w:rsidP="0064714C">
      <w:pPr>
        <w:jc w:val="both"/>
        <w:rPr>
          <w:rFonts w:ascii="Tahoma" w:hAnsi="Tahoma" w:cs="Tahoma"/>
          <w:iCs/>
          <w:sz w:val="22"/>
          <w:szCs w:val="22"/>
        </w:rPr>
      </w:pPr>
    </w:p>
    <w:p w:rsidR="0064714C" w:rsidRPr="00D224FF" w:rsidRDefault="0064714C" w:rsidP="0064714C">
      <w:pPr>
        <w:jc w:val="both"/>
        <w:rPr>
          <w:rFonts w:ascii="Tahoma" w:hAnsi="Tahoma" w:cs="Tahoma"/>
          <w:iCs/>
          <w:sz w:val="22"/>
          <w:szCs w:val="22"/>
        </w:rPr>
      </w:pPr>
      <w:r w:rsidRPr="00D224FF">
        <w:rPr>
          <w:rFonts w:ascii="Tahoma" w:hAnsi="Tahoma" w:cs="Tahoma"/>
          <w:b/>
          <w:bCs/>
          <w:iCs/>
          <w:sz w:val="22"/>
          <w:szCs w:val="22"/>
        </w:rPr>
        <w:t>Predstavenstvo spoločnosti</w:t>
      </w:r>
      <w:r w:rsidRPr="00D224FF">
        <w:rPr>
          <w:rFonts w:ascii="Tahoma" w:hAnsi="Tahoma" w:cs="Tahoma"/>
          <w:iCs/>
          <w:sz w:val="22"/>
          <w:szCs w:val="22"/>
        </w:rPr>
        <w:t>:</w:t>
      </w:r>
    </w:p>
    <w:p w:rsidR="0064714C" w:rsidRPr="00D224FF" w:rsidRDefault="0064714C" w:rsidP="0064714C">
      <w:pPr>
        <w:jc w:val="both"/>
        <w:rPr>
          <w:rFonts w:ascii="Tahoma" w:hAnsi="Tahoma" w:cs="Tahoma"/>
          <w:iCs/>
          <w:sz w:val="22"/>
          <w:szCs w:val="22"/>
        </w:rPr>
      </w:pPr>
    </w:p>
    <w:p w:rsidR="00722977" w:rsidRPr="00D224FF" w:rsidRDefault="0064714C" w:rsidP="0064714C">
      <w:pPr>
        <w:jc w:val="both"/>
        <w:rPr>
          <w:rFonts w:ascii="Tahoma" w:hAnsi="Tahoma" w:cs="Tahoma"/>
          <w:iCs/>
          <w:sz w:val="22"/>
          <w:szCs w:val="22"/>
        </w:rPr>
      </w:pPr>
      <w:r w:rsidRPr="00D224FF">
        <w:rPr>
          <w:rFonts w:ascii="Tahoma" w:hAnsi="Tahoma" w:cs="Tahoma"/>
          <w:iCs/>
          <w:sz w:val="22"/>
          <w:szCs w:val="22"/>
        </w:rPr>
        <w:tab/>
        <w:t>Predseda</w:t>
      </w:r>
      <w:r w:rsidRPr="00D224FF">
        <w:rPr>
          <w:rFonts w:ascii="Tahoma" w:hAnsi="Tahoma" w:cs="Tahoma"/>
          <w:iCs/>
          <w:sz w:val="22"/>
          <w:szCs w:val="22"/>
        </w:rPr>
        <w:tab/>
      </w:r>
      <w:r w:rsidRPr="00D224FF">
        <w:rPr>
          <w:rFonts w:ascii="Tahoma" w:hAnsi="Tahoma" w:cs="Tahoma"/>
          <w:iCs/>
          <w:sz w:val="22"/>
          <w:szCs w:val="22"/>
        </w:rPr>
        <w:tab/>
      </w:r>
      <w:r w:rsidRPr="00D224FF">
        <w:rPr>
          <w:rFonts w:ascii="Tahoma" w:hAnsi="Tahoma" w:cs="Tahoma"/>
          <w:iCs/>
          <w:sz w:val="22"/>
          <w:szCs w:val="22"/>
        </w:rPr>
        <w:tab/>
      </w:r>
      <w:r w:rsidR="00722977" w:rsidRPr="00D224FF">
        <w:rPr>
          <w:rFonts w:ascii="Tahoma" w:hAnsi="Tahoma" w:cs="Tahoma"/>
          <w:iCs/>
          <w:sz w:val="22"/>
          <w:szCs w:val="22"/>
        </w:rPr>
        <w:t>František Majtán</w:t>
      </w:r>
    </w:p>
    <w:p w:rsidR="0064714C" w:rsidRPr="00D224FF" w:rsidRDefault="00722977" w:rsidP="0064714C">
      <w:pPr>
        <w:jc w:val="both"/>
        <w:rPr>
          <w:rFonts w:ascii="Tahoma" w:hAnsi="Tahoma" w:cs="Tahoma"/>
          <w:iCs/>
          <w:sz w:val="22"/>
          <w:szCs w:val="22"/>
        </w:rPr>
      </w:pPr>
      <w:r w:rsidRPr="00D224FF">
        <w:rPr>
          <w:rFonts w:ascii="Tahoma" w:hAnsi="Tahoma" w:cs="Tahoma"/>
          <w:iCs/>
          <w:sz w:val="22"/>
          <w:szCs w:val="22"/>
        </w:rPr>
        <w:tab/>
        <w:t>Člen predstavenstva</w:t>
      </w:r>
      <w:r w:rsidRPr="00D224FF">
        <w:rPr>
          <w:rFonts w:ascii="Tahoma" w:hAnsi="Tahoma" w:cs="Tahoma"/>
          <w:iCs/>
          <w:sz w:val="22"/>
          <w:szCs w:val="22"/>
        </w:rPr>
        <w:tab/>
      </w:r>
      <w:r w:rsidRPr="00D224FF">
        <w:rPr>
          <w:rFonts w:ascii="Tahoma" w:hAnsi="Tahoma" w:cs="Tahoma"/>
          <w:iCs/>
          <w:sz w:val="22"/>
          <w:szCs w:val="22"/>
        </w:rPr>
        <w:tab/>
        <w:t>Ing. Miroslav</w:t>
      </w:r>
      <w:r w:rsidR="0064714C" w:rsidRPr="00D224FF">
        <w:rPr>
          <w:rFonts w:ascii="Tahoma" w:hAnsi="Tahoma" w:cs="Tahoma"/>
          <w:iCs/>
          <w:sz w:val="22"/>
          <w:szCs w:val="22"/>
        </w:rPr>
        <w:t xml:space="preserve"> Hrdina</w:t>
      </w:r>
    </w:p>
    <w:p w:rsidR="00722977" w:rsidRPr="00D224FF" w:rsidRDefault="00722977" w:rsidP="0064714C">
      <w:pPr>
        <w:jc w:val="both"/>
        <w:rPr>
          <w:rFonts w:ascii="Tahoma" w:hAnsi="Tahoma" w:cs="Tahoma"/>
          <w:iCs/>
          <w:sz w:val="22"/>
          <w:szCs w:val="22"/>
        </w:rPr>
      </w:pPr>
    </w:p>
    <w:p w:rsidR="0072176D" w:rsidRPr="00D224FF" w:rsidRDefault="0072176D" w:rsidP="0064714C">
      <w:pPr>
        <w:jc w:val="both"/>
        <w:rPr>
          <w:rFonts w:ascii="Tahoma" w:hAnsi="Tahoma" w:cs="Tahoma"/>
          <w:iCs/>
          <w:sz w:val="22"/>
          <w:szCs w:val="22"/>
        </w:rPr>
      </w:pPr>
    </w:p>
    <w:p w:rsidR="00722977" w:rsidRPr="00D224FF" w:rsidRDefault="00722977" w:rsidP="0064714C">
      <w:pPr>
        <w:jc w:val="both"/>
        <w:rPr>
          <w:rFonts w:ascii="Tahoma" w:hAnsi="Tahoma" w:cs="Tahoma"/>
          <w:b/>
          <w:iCs/>
          <w:sz w:val="22"/>
          <w:szCs w:val="22"/>
        </w:rPr>
      </w:pPr>
      <w:r w:rsidRPr="00D224FF">
        <w:rPr>
          <w:rFonts w:ascii="Tahoma" w:hAnsi="Tahoma" w:cs="Tahoma"/>
          <w:b/>
          <w:iCs/>
          <w:sz w:val="22"/>
          <w:szCs w:val="22"/>
        </w:rPr>
        <w:t>Dozorná rada:</w:t>
      </w:r>
    </w:p>
    <w:p w:rsidR="00722977" w:rsidRPr="00D224FF" w:rsidRDefault="00722977" w:rsidP="0064714C">
      <w:pPr>
        <w:jc w:val="both"/>
        <w:rPr>
          <w:rFonts w:ascii="Tahoma" w:hAnsi="Tahoma" w:cs="Tahoma"/>
          <w:iCs/>
          <w:sz w:val="22"/>
          <w:szCs w:val="22"/>
        </w:rPr>
      </w:pPr>
    </w:p>
    <w:p w:rsidR="00722977" w:rsidRPr="00D224FF" w:rsidRDefault="00722977" w:rsidP="0064714C">
      <w:pPr>
        <w:jc w:val="both"/>
        <w:rPr>
          <w:rFonts w:ascii="Tahoma" w:hAnsi="Tahoma" w:cs="Tahoma"/>
          <w:iCs/>
          <w:sz w:val="22"/>
          <w:szCs w:val="22"/>
        </w:rPr>
      </w:pPr>
      <w:r w:rsidRPr="00D224FF">
        <w:rPr>
          <w:rFonts w:ascii="Tahoma" w:hAnsi="Tahoma" w:cs="Tahoma"/>
          <w:iCs/>
          <w:sz w:val="22"/>
          <w:szCs w:val="22"/>
        </w:rPr>
        <w:tab/>
        <w:t>Predseda</w:t>
      </w:r>
      <w:r w:rsidRPr="00D224FF">
        <w:rPr>
          <w:rFonts w:ascii="Tahoma" w:hAnsi="Tahoma" w:cs="Tahoma"/>
          <w:iCs/>
          <w:sz w:val="22"/>
          <w:szCs w:val="22"/>
        </w:rPr>
        <w:tab/>
      </w:r>
      <w:r w:rsidRPr="00D224FF">
        <w:rPr>
          <w:rFonts w:ascii="Tahoma" w:hAnsi="Tahoma" w:cs="Tahoma"/>
          <w:iCs/>
          <w:sz w:val="22"/>
          <w:szCs w:val="22"/>
        </w:rPr>
        <w:tab/>
      </w:r>
      <w:r w:rsidRPr="00D224FF">
        <w:rPr>
          <w:rFonts w:ascii="Tahoma" w:hAnsi="Tahoma" w:cs="Tahoma"/>
          <w:iCs/>
          <w:sz w:val="22"/>
          <w:szCs w:val="22"/>
        </w:rPr>
        <w:tab/>
        <w:t xml:space="preserve">Ing. Igor Ďurina </w:t>
      </w:r>
    </w:p>
    <w:p w:rsidR="00722977" w:rsidRPr="00D224FF" w:rsidRDefault="00722977" w:rsidP="0064714C">
      <w:pPr>
        <w:jc w:val="both"/>
        <w:rPr>
          <w:rFonts w:ascii="Tahoma" w:hAnsi="Tahoma" w:cs="Tahoma"/>
          <w:iCs/>
          <w:sz w:val="22"/>
          <w:szCs w:val="22"/>
        </w:rPr>
      </w:pPr>
      <w:r w:rsidRPr="00D224FF">
        <w:rPr>
          <w:rFonts w:ascii="Tahoma" w:hAnsi="Tahoma" w:cs="Tahoma"/>
          <w:iCs/>
          <w:sz w:val="22"/>
          <w:szCs w:val="22"/>
        </w:rPr>
        <w:tab/>
        <w:t>Člen dozornej rady</w:t>
      </w:r>
      <w:r w:rsidRPr="00D224FF">
        <w:rPr>
          <w:rFonts w:ascii="Tahoma" w:hAnsi="Tahoma" w:cs="Tahoma"/>
          <w:iCs/>
          <w:sz w:val="22"/>
          <w:szCs w:val="22"/>
        </w:rPr>
        <w:tab/>
      </w:r>
      <w:r w:rsidRPr="00D224FF">
        <w:rPr>
          <w:rFonts w:ascii="Tahoma" w:hAnsi="Tahoma" w:cs="Tahoma"/>
          <w:iCs/>
          <w:sz w:val="22"/>
          <w:szCs w:val="22"/>
        </w:rPr>
        <w:tab/>
        <w:t xml:space="preserve">Svetlana Barancová </w:t>
      </w:r>
    </w:p>
    <w:p w:rsidR="00722977" w:rsidRPr="00D224FF" w:rsidRDefault="00722977" w:rsidP="0064714C">
      <w:pPr>
        <w:jc w:val="both"/>
        <w:rPr>
          <w:rFonts w:ascii="Tahoma" w:hAnsi="Tahoma" w:cs="Tahoma"/>
          <w:iCs/>
          <w:sz w:val="22"/>
          <w:szCs w:val="22"/>
        </w:rPr>
      </w:pPr>
    </w:p>
    <w:p w:rsidR="00722977" w:rsidRPr="00D224FF" w:rsidRDefault="00722977" w:rsidP="0064714C">
      <w:pPr>
        <w:jc w:val="both"/>
        <w:rPr>
          <w:rFonts w:ascii="Tahoma" w:hAnsi="Tahoma" w:cs="Tahoma"/>
          <w:iCs/>
          <w:sz w:val="22"/>
          <w:szCs w:val="22"/>
        </w:rPr>
      </w:pPr>
    </w:p>
    <w:p w:rsidR="0064714C" w:rsidRPr="00D224FF" w:rsidRDefault="0064714C" w:rsidP="00790B41">
      <w:pPr>
        <w:jc w:val="both"/>
        <w:rPr>
          <w:rFonts w:ascii="Tahoma" w:hAnsi="Tahoma" w:cs="Tahoma"/>
          <w:sz w:val="22"/>
          <w:szCs w:val="22"/>
        </w:rPr>
      </w:pPr>
    </w:p>
    <w:p w:rsidR="006857B1" w:rsidRPr="00D224FF" w:rsidRDefault="006857B1" w:rsidP="00790B41">
      <w:pPr>
        <w:jc w:val="both"/>
        <w:rPr>
          <w:rFonts w:ascii="Tahoma" w:hAnsi="Tahoma" w:cs="Tahoma"/>
          <w:sz w:val="22"/>
          <w:szCs w:val="22"/>
        </w:rPr>
      </w:pPr>
    </w:p>
    <w:p w:rsidR="006857B1" w:rsidRPr="00D224FF" w:rsidRDefault="006857B1" w:rsidP="00790B41">
      <w:pPr>
        <w:jc w:val="both"/>
        <w:rPr>
          <w:rFonts w:ascii="Tahoma" w:hAnsi="Tahoma" w:cs="Tahoma"/>
          <w:sz w:val="22"/>
          <w:szCs w:val="22"/>
        </w:rPr>
      </w:pPr>
    </w:p>
    <w:p w:rsidR="006857B1" w:rsidRPr="00D224FF" w:rsidRDefault="006857B1" w:rsidP="00790B41">
      <w:pPr>
        <w:jc w:val="both"/>
        <w:rPr>
          <w:rFonts w:ascii="Tahoma" w:hAnsi="Tahoma" w:cs="Tahoma"/>
          <w:sz w:val="22"/>
          <w:szCs w:val="22"/>
        </w:rPr>
      </w:pPr>
    </w:p>
    <w:p w:rsidR="006857B1" w:rsidRPr="00D224FF" w:rsidRDefault="006857B1" w:rsidP="00790B41">
      <w:pPr>
        <w:jc w:val="both"/>
        <w:rPr>
          <w:rFonts w:ascii="Tahoma" w:hAnsi="Tahoma" w:cs="Tahoma"/>
          <w:sz w:val="22"/>
          <w:szCs w:val="22"/>
        </w:rPr>
      </w:pPr>
    </w:p>
    <w:p w:rsidR="006857B1" w:rsidRPr="00D224FF" w:rsidRDefault="006857B1" w:rsidP="00790B41">
      <w:pPr>
        <w:jc w:val="both"/>
        <w:rPr>
          <w:rFonts w:ascii="Tahoma" w:hAnsi="Tahoma" w:cs="Tahoma"/>
          <w:sz w:val="22"/>
          <w:szCs w:val="22"/>
        </w:rPr>
      </w:pPr>
    </w:p>
    <w:p w:rsidR="006857B1" w:rsidRPr="00D224FF" w:rsidRDefault="006857B1" w:rsidP="00790B41">
      <w:pPr>
        <w:jc w:val="both"/>
        <w:rPr>
          <w:rFonts w:ascii="Tahoma" w:hAnsi="Tahoma" w:cs="Tahoma"/>
          <w:sz w:val="22"/>
          <w:szCs w:val="22"/>
        </w:rPr>
      </w:pPr>
    </w:p>
    <w:p w:rsidR="0064714C" w:rsidRPr="00D224FF" w:rsidRDefault="0064714C" w:rsidP="0064714C">
      <w:pPr>
        <w:pStyle w:val="Nadpis1"/>
        <w:rPr>
          <w:rFonts w:ascii="Tahoma" w:hAnsi="Tahoma" w:cs="Tahoma"/>
          <w:caps/>
          <w:color w:val="auto"/>
          <w:sz w:val="22"/>
          <w:szCs w:val="22"/>
        </w:rPr>
      </w:pPr>
      <w:r w:rsidRPr="00D224FF">
        <w:rPr>
          <w:rFonts w:ascii="Tahoma" w:hAnsi="Tahoma" w:cs="Tahoma"/>
          <w:caps/>
          <w:color w:val="auto"/>
          <w:sz w:val="22"/>
          <w:szCs w:val="22"/>
        </w:rPr>
        <w:t>Informácie o vývoji účtovnej jednotky a o stave,</w:t>
      </w:r>
      <w:r w:rsidR="00C67371" w:rsidRPr="00D224FF">
        <w:rPr>
          <w:rFonts w:ascii="Tahoma" w:hAnsi="Tahoma" w:cs="Tahoma"/>
          <w:caps/>
          <w:color w:val="auto"/>
          <w:sz w:val="22"/>
          <w:szCs w:val="22"/>
        </w:rPr>
        <w:t xml:space="preserve"> </w:t>
      </w:r>
      <w:r w:rsidRPr="00D224FF">
        <w:rPr>
          <w:rFonts w:ascii="Tahoma" w:hAnsi="Tahoma" w:cs="Tahoma"/>
          <w:caps/>
          <w:color w:val="auto"/>
          <w:sz w:val="22"/>
          <w:szCs w:val="22"/>
        </w:rPr>
        <w:t xml:space="preserve"> v ktorom sa nachádza</w:t>
      </w:r>
    </w:p>
    <w:p w:rsidR="0064714C" w:rsidRPr="00D224FF" w:rsidRDefault="0064714C" w:rsidP="0064714C">
      <w:pPr>
        <w:rPr>
          <w:rFonts w:ascii="Tahoma" w:hAnsi="Tahoma" w:cs="Tahoma"/>
          <w:b/>
          <w:bCs/>
          <w:iCs/>
          <w:sz w:val="22"/>
          <w:szCs w:val="22"/>
        </w:rPr>
      </w:pPr>
    </w:p>
    <w:p w:rsidR="00495520" w:rsidRPr="00D224FF" w:rsidRDefault="00495520" w:rsidP="0064714C">
      <w:pPr>
        <w:jc w:val="both"/>
        <w:rPr>
          <w:rFonts w:ascii="Tahoma" w:hAnsi="Tahoma" w:cs="Tahoma"/>
          <w:sz w:val="22"/>
          <w:szCs w:val="22"/>
        </w:rPr>
      </w:pPr>
    </w:p>
    <w:p w:rsidR="00FC1D92" w:rsidRPr="00D224FF" w:rsidRDefault="00FC1D92" w:rsidP="0064714C">
      <w:pPr>
        <w:jc w:val="both"/>
        <w:rPr>
          <w:rFonts w:ascii="Tahoma" w:hAnsi="Tahoma" w:cs="Tahoma"/>
          <w:sz w:val="22"/>
          <w:szCs w:val="22"/>
        </w:rPr>
      </w:pPr>
      <w:r w:rsidRPr="00D224FF">
        <w:rPr>
          <w:rFonts w:ascii="Tahoma" w:hAnsi="Tahoma" w:cs="Tahoma"/>
          <w:sz w:val="22"/>
          <w:szCs w:val="22"/>
        </w:rPr>
        <w:t xml:space="preserve">V roku 1980 malí a strední predajcovia z oblasti spotrebnej elektroniky a domácich spotrebičov v Európe pocítili potrebu reagovať na celosvetovú globalizáciu a s tým spojené zmeny obchodného prostredia. Potrebovali vytvoriť nový obchodný model, ktorý by im umožnil byť konkurencieschopnými v novom, meniacom sa prostredí, ale zároveň im ponechal výhody ako je kvalitný personál, zákaznícky servis a produktoví experti. Riešením týchto požiadaviek bolo spojenie nezávislých predajní do jednej siete  a vytvorenie veľkej nákupnej skupiny. Táto vízia sa prvýkrát uskutočnila v roku 1990, kedy sa obchodné skupiny v 5 štátoch Európy spojili a vytvorili spoločnosť </w:t>
      </w:r>
      <w:hyperlink r:id="rId10" w:tooltip="ECS Intl" w:history="1">
        <w:r w:rsidRPr="00D224FF">
          <w:rPr>
            <w:rFonts w:ascii="Tahoma" w:hAnsi="Tahoma" w:cs="Tahoma"/>
            <w:sz w:val="22"/>
            <w:szCs w:val="22"/>
            <w:u w:val="single"/>
          </w:rPr>
          <w:t>Euronics International</w:t>
        </w:r>
      </w:hyperlink>
      <w:r w:rsidRPr="00D224FF">
        <w:rPr>
          <w:rFonts w:ascii="Tahoma" w:hAnsi="Tahoma" w:cs="Tahoma"/>
          <w:sz w:val="22"/>
          <w:szCs w:val="22"/>
        </w:rPr>
        <w:t> (zakladajúce štáty: Belgicko, Nemecko, Španielsko, Taliansko a Holandsko).</w:t>
      </w:r>
    </w:p>
    <w:p w:rsidR="00FC1D92" w:rsidRPr="00D224FF" w:rsidRDefault="00FC1D92" w:rsidP="00FC1D92">
      <w:pPr>
        <w:pStyle w:val="Normlnywebov"/>
        <w:jc w:val="both"/>
        <w:rPr>
          <w:rFonts w:ascii="Tahoma" w:hAnsi="Tahoma" w:cs="Tahoma"/>
          <w:b/>
          <w:sz w:val="22"/>
          <w:szCs w:val="22"/>
        </w:rPr>
      </w:pPr>
      <w:r w:rsidRPr="00D224FF">
        <w:rPr>
          <w:rFonts w:ascii="Tahoma" w:hAnsi="Tahoma" w:cs="Tahoma"/>
          <w:sz w:val="22"/>
          <w:szCs w:val="22"/>
        </w:rPr>
        <w:t>V súčasnosti sa v medzinárodnej skupine Euronics nachádza </w:t>
      </w:r>
      <w:r w:rsidRPr="00D224FF">
        <w:rPr>
          <w:rStyle w:val="Siln"/>
          <w:rFonts w:ascii="Tahoma" w:hAnsi="Tahoma" w:cs="Tahoma"/>
          <w:b w:val="0"/>
          <w:sz w:val="22"/>
          <w:szCs w:val="22"/>
        </w:rPr>
        <w:t>31 členských štátov:</w:t>
      </w:r>
    </w:p>
    <w:p w:rsidR="00FC1D92" w:rsidRPr="00D224FF" w:rsidRDefault="00FC1D92" w:rsidP="00FC1D92">
      <w:pPr>
        <w:pStyle w:val="Normlnywebov"/>
        <w:jc w:val="both"/>
        <w:rPr>
          <w:rFonts w:ascii="Tahoma" w:hAnsi="Tahoma" w:cs="Tahoma"/>
          <w:b/>
          <w:sz w:val="22"/>
          <w:szCs w:val="22"/>
        </w:rPr>
      </w:pPr>
      <w:r w:rsidRPr="00D224FF">
        <w:rPr>
          <w:rStyle w:val="Siln"/>
          <w:rFonts w:ascii="Tahoma" w:hAnsi="Tahoma" w:cs="Tahoma"/>
          <w:b w:val="0"/>
          <w:sz w:val="22"/>
          <w:szCs w:val="22"/>
        </w:rPr>
        <w:t>Belgicko, Nemecko, Španielsko, Taliansko, Holandsko, Luxembursko, Francúzsko, UK, Írsko, Portugalsko, Nórsko, Švédsko, Fínsko, Rakúsko, Švajčiarsko, Rusko, Česká republika, Slovensko, Poľsko, Grécko,  Maďarsko, Chorvátsko, Albánsko, Cyprus, Litva, Lotyšsko, Estónsko, Austrália, nový Zéland, Ukrajina, Moldavsko.</w:t>
      </w:r>
    </w:p>
    <w:p w:rsidR="00FC1D92" w:rsidRPr="00D224FF" w:rsidRDefault="00FC1D92" w:rsidP="00FC1D92">
      <w:pPr>
        <w:pStyle w:val="Normlnywebov"/>
        <w:jc w:val="both"/>
        <w:rPr>
          <w:rFonts w:ascii="Tahoma" w:hAnsi="Tahoma" w:cs="Tahoma"/>
          <w:sz w:val="22"/>
          <w:szCs w:val="22"/>
        </w:rPr>
      </w:pPr>
      <w:r w:rsidRPr="00D224FF">
        <w:rPr>
          <w:rFonts w:ascii="Tahoma" w:hAnsi="Tahoma" w:cs="Tahoma"/>
          <w:sz w:val="22"/>
          <w:szCs w:val="22"/>
        </w:rPr>
        <w:t xml:space="preserve">Spoločnosť EURONICS SK, a.s pôsobí na slovenskom trhu takmer jedno desaťročie.  Poslaním Spoločnosti je spájanie slovenských predajní elektrotechniky a domácich spotrebičov do spoločnej predajnej siete. </w:t>
      </w:r>
    </w:p>
    <w:p w:rsidR="00B65025" w:rsidRPr="002F3008" w:rsidRDefault="00B65025" w:rsidP="00B65025">
      <w:pPr>
        <w:jc w:val="both"/>
        <w:rPr>
          <w:rFonts w:ascii="Tahoma" w:hAnsi="Tahoma" w:cs="Tahoma"/>
          <w:sz w:val="22"/>
          <w:szCs w:val="22"/>
        </w:rPr>
      </w:pPr>
      <w:r w:rsidRPr="00D224FF">
        <w:rPr>
          <w:rFonts w:ascii="Tahoma" w:hAnsi="Tahoma" w:cs="Tahoma"/>
          <w:sz w:val="22"/>
          <w:szCs w:val="22"/>
        </w:rPr>
        <w:t>Je vytvorená z nezávislých predajcov – majiteľov predajní, ktorí majú obsiahle informácie o slovenskom trhu. Vďaka nim vedia svojim zákazníkom ponúknuť poradenstvo, ktoré vyplýva zo znalosti lokálnych</w:t>
      </w:r>
      <w:r w:rsidRPr="002F3008">
        <w:rPr>
          <w:rFonts w:ascii="Tahoma" w:hAnsi="Tahoma" w:cs="Tahoma"/>
          <w:sz w:val="22"/>
          <w:szCs w:val="22"/>
        </w:rPr>
        <w:t xml:space="preserve"> potrieb a očakávaní zákazníkov v kombinácii s cenami, aké vie ponúknuť iba silný celonárodný partner. Koncept EURONICS spája globálne výhody nákupu produktov vo veľkých množstvách a využívanie znalostí o lokálnych trhoch. V oblasti elektroniky je EURONICS kľúčovým zákazníkom najväčších európskych výrobcov.</w:t>
      </w:r>
    </w:p>
    <w:p w:rsidR="00B65025" w:rsidRPr="002F3008" w:rsidRDefault="00B65025" w:rsidP="00B65025">
      <w:pPr>
        <w:jc w:val="both"/>
        <w:rPr>
          <w:rFonts w:ascii="Tahoma" w:hAnsi="Tahoma" w:cs="Tahoma"/>
          <w:sz w:val="22"/>
          <w:szCs w:val="22"/>
        </w:rPr>
      </w:pPr>
      <w:r w:rsidRPr="002F3008">
        <w:rPr>
          <w:rFonts w:ascii="Tahoma" w:hAnsi="Tahoma" w:cs="Tahoma"/>
          <w:sz w:val="22"/>
          <w:szCs w:val="22"/>
        </w:rPr>
        <w:br/>
      </w:r>
      <w:r w:rsidRPr="002F3008">
        <w:rPr>
          <w:rStyle w:val="Siln"/>
          <w:rFonts w:ascii="Tahoma" w:hAnsi="Tahoma" w:cs="Tahoma"/>
          <w:sz w:val="22"/>
          <w:szCs w:val="22"/>
        </w:rPr>
        <w:t xml:space="preserve">EURONICS SK </w:t>
      </w:r>
      <w:r w:rsidRPr="002F3008">
        <w:rPr>
          <w:rFonts w:ascii="Tahoma" w:hAnsi="Tahoma" w:cs="Tahoma"/>
          <w:sz w:val="22"/>
          <w:szCs w:val="22"/>
        </w:rPr>
        <w:t xml:space="preserve"> je súčasťou medzinárodnej organizácie Euronics International Ltd. so sídlom v Amsterdame, </w:t>
      </w:r>
      <w:r w:rsidRPr="002F3008">
        <w:rPr>
          <w:rStyle w:val="Siln"/>
          <w:rFonts w:ascii="Tahoma" w:hAnsi="Tahoma" w:cs="Tahoma"/>
          <w:sz w:val="22"/>
          <w:szCs w:val="22"/>
        </w:rPr>
        <w:t>na Slovensku pôsobí od roku 2004</w:t>
      </w:r>
      <w:r w:rsidRPr="002F3008">
        <w:rPr>
          <w:rFonts w:ascii="Tahoma" w:hAnsi="Tahoma" w:cs="Tahoma"/>
          <w:sz w:val="22"/>
          <w:szCs w:val="22"/>
        </w:rPr>
        <w:t xml:space="preserve">. Od svojho vzniku sa Spoločnosť veľmi rýchle rozrastala - počtom členov, kvalitou predajní, ponukou sortimentu i obratom. EURONICS  je pre slovenského zákazníka istota, že v predajniach zapojených do tejto siete nájde tovar svetových značiek, kvalitné poradenské služby, záručný i pozáručný servis, zaujímavé cenové akcie i vernostné programy. </w:t>
      </w:r>
    </w:p>
    <w:p w:rsidR="00B65025" w:rsidRPr="002F3008" w:rsidRDefault="00B65025" w:rsidP="00B65025">
      <w:pPr>
        <w:jc w:val="both"/>
        <w:rPr>
          <w:rFonts w:ascii="Tahoma" w:hAnsi="Tahoma" w:cs="Tahoma"/>
          <w:sz w:val="22"/>
          <w:szCs w:val="22"/>
        </w:rPr>
      </w:pPr>
      <w:r w:rsidRPr="002F3008">
        <w:rPr>
          <w:rFonts w:ascii="Tahoma" w:hAnsi="Tahoma" w:cs="Tahoma"/>
          <w:sz w:val="22"/>
          <w:szCs w:val="22"/>
        </w:rPr>
        <w:br/>
        <w:t>Svojím postavením na lokálnom trhu, počtom veľkoplošných predajní i priemernou veľkosťou predajní dosahuje EURONIS SK v rámci celoeurópskej skupiny Euronics vysoké kvantitatívne i kvalitatívne ukazovatele.</w:t>
      </w:r>
    </w:p>
    <w:p w:rsidR="00B60DFB" w:rsidRPr="002F3008" w:rsidRDefault="00B60DFB" w:rsidP="00B65025">
      <w:pPr>
        <w:jc w:val="both"/>
        <w:rPr>
          <w:rFonts w:ascii="Tahoma" w:hAnsi="Tahoma" w:cs="Tahoma"/>
          <w:sz w:val="22"/>
          <w:szCs w:val="22"/>
        </w:rPr>
      </w:pPr>
    </w:p>
    <w:p w:rsidR="00B60DFB" w:rsidRPr="00FB7553" w:rsidRDefault="00B60DFB" w:rsidP="00B65025">
      <w:pPr>
        <w:jc w:val="both"/>
        <w:rPr>
          <w:rFonts w:ascii="Tahoma" w:hAnsi="Tahoma" w:cs="Tahoma"/>
          <w:color w:val="FF0000"/>
          <w:sz w:val="22"/>
          <w:szCs w:val="22"/>
        </w:rPr>
      </w:pPr>
      <w:r w:rsidRPr="002F3008">
        <w:rPr>
          <w:rFonts w:ascii="Tahoma" w:hAnsi="Tahoma" w:cs="Tahoma"/>
          <w:sz w:val="22"/>
          <w:szCs w:val="22"/>
        </w:rPr>
        <w:t>Organizačne je Spoločnosť členená na centrálu a samostatné predajne, ktoré sú členmi siete EURONICS. V súčasno</w:t>
      </w:r>
      <w:r w:rsidR="000D52EE" w:rsidRPr="002F3008">
        <w:rPr>
          <w:rFonts w:ascii="Tahoma" w:hAnsi="Tahoma" w:cs="Tahoma"/>
          <w:sz w:val="22"/>
          <w:szCs w:val="22"/>
        </w:rPr>
        <w:t>sti spoločnosť eviduje</w:t>
      </w:r>
      <w:r w:rsidR="002A71AA">
        <w:rPr>
          <w:rFonts w:ascii="Tahoma" w:hAnsi="Tahoma" w:cs="Tahoma"/>
          <w:sz w:val="22"/>
          <w:szCs w:val="22"/>
        </w:rPr>
        <w:t xml:space="preserve"> viac ako</w:t>
      </w:r>
      <w:r w:rsidR="000D52EE" w:rsidRPr="002F3008">
        <w:rPr>
          <w:rFonts w:ascii="Tahoma" w:hAnsi="Tahoma" w:cs="Tahoma"/>
          <w:sz w:val="22"/>
          <w:szCs w:val="22"/>
        </w:rPr>
        <w:t xml:space="preserve"> </w:t>
      </w:r>
      <w:r w:rsidRPr="002F3008">
        <w:rPr>
          <w:rFonts w:ascii="Tahoma" w:hAnsi="Tahoma" w:cs="Tahoma"/>
          <w:sz w:val="22"/>
          <w:szCs w:val="22"/>
        </w:rPr>
        <w:t xml:space="preserve"> </w:t>
      </w:r>
      <w:r w:rsidR="002F3008" w:rsidRPr="002A71AA">
        <w:rPr>
          <w:rFonts w:ascii="Tahoma" w:hAnsi="Tahoma" w:cs="Tahoma"/>
          <w:sz w:val="22"/>
          <w:szCs w:val="22"/>
        </w:rPr>
        <w:t>5</w:t>
      </w:r>
      <w:r w:rsidR="002A71AA" w:rsidRPr="002A71AA">
        <w:rPr>
          <w:rFonts w:ascii="Tahoma" w:hAnsi="Tahoma" w:cs="Tahoma"/>
          <w:sz w:val="22"/>
          <w:szCs w:val="22"/>
        </w:rPr>
        <w:t>0</w:t>
      </w:r>
      <w:r w:rsidRPr="002A71AA">
        <w:rPr>
          <w:rFonts w:ascii="Tahoma" w:hAnsi="Tahoma" w:cs="Tahoma"/>
          <w:sz w:val="22"/>
          <w:szCs w:val="22"/>
        </w:rPr>
        <w:t xml:space="preserve"> predajní po celom Sloven</w:t>
      </w:r>
      <w:r w:rsidR="00643289" w:rsidRPr="002A71AA">
        <w:rPr>
          <w:rFonts w:ascii="Tahoma" w:hAnsi="Tahoma" w:cs="Tahoma"/>
          <w:sz w:val="22"/>
          <w:szCs w:val="22"/>
        </w:rPr>
        <w:t>s</w:t>
      </w:r>
      <w:r w:rsidRPr="002A71AA">
        <w:rPr>
          <w:rFonts w:ascii="Tahoma" w:hAnsi="Tahoma" w:cs="Tahoma"/>
          <w:sz w:val="22"/>
          <w:szCs w:val="22"/>
        </w:rPr>
        <w:t>ku</w:t>
      </w:r>
      <w:r w:rsidR="002466EE" w:rsidRPr="002A71AA">
        <w:rPr>
          <w:rFonts w:ascii="Tahoma" w:hAnsi="Tahoma" w:cs="Tahoma"/>
          <w:sz w:val="22"/>
          <w:szCs w:val="22"/>
        </w:rPr>
        <w:t>.</w:t>
      </w:r>
      <w:r w:rsidRPr="00FB7553">
        <w:rPr>
          <w:rFonts w:ascii="Tahoma" w:hAnsi="Tahoma" w:cs="Tahoma"/>
          <w:color w:val="FF0000"/>
          <w:sz w:val="22"/>
          <w:szCs w:val="22"/>
        </w:rPr>
        <w:t xml:space="preserve"> </w:t>
      </w:r>
    </w:p>
    <w:p w:rsidR="00B60DFB" w:rsidRPr="002F3008" w:rsidRDefault="00B60DFB" w:rsidP="000F4AB5">
      <w:pPr>
        <w:pStyle w:val="Normlnywebov"/>
        <w:jc w:val="both"/>
        <w:rPr>
          <w:rFonts w:ascii="Tahoma" w:hAnsi="Tahoma" w:cs="Tahoma"/>
          <w:sz w:val="22"/>
          <w:szCs w:val="22"/>
        </w:rPr>
      </w:pPr>
      <w:r w:rsidRPr="002F3008">
        <w:rPr>
          <w:rFonts w:ascii="Tahoma" w:hAnsi="Tahoma" w:cs="Tahoma"/>
          <w:sz w:val="22"/>
          <w:szCs w:val="22"/>
        </w:rPr>
        <w:t>Predajne EURONICS  sú väčšinou rodinné podniky, ktoré sú hrdé nielen na služby, ktoré poskytujú svojim dlhoročným zákazníkom, na znalosť potrieb a očakávaní zákazníkov, ale i na odborné vedomosti o ponúkaných produktoch. Keď vojdete do ľubovoľnej predajne EURONICS môžete si byť istý, že sa Vám bude venovať kvalifikovaný personál, v mnohých prípadoch sa môže stať, že budete hovoriť priamo s majiteľom predajne. Teda s niekým, kto Vám poskytne najlepšie rady i cenné informácie a bude sa snažiť vyjsť Vám maximálne v ústrety, aby ste z predajne odchádzali spokojný a s dobrým nákupom.</w:t>
      </w:r>
    </w:p>
    <w:p w:rsidR="00B60DFB" w:rsidRPr="002F3008" w:rsidRDefault="000F4AB5" w:rsidP="00B60DFB">
      <w:pPr>
        <w:pStyle w:val="Normlnywebov"/>
        <w:jc w:val="both"/>
        <w:rPr>
          <w:rFonts w:ascii="Tahoma" w:hAnsi="Tahoma" w:cs="Tahoma"/>
          <w:b/>
          <w:sz w:val="22"/>
          <w:szCs w:val="22"/>
        </w:rPr>
      </w:pPr>
      <w:r w:rsidRPr="002F3008">
        <w:rPr>
          <w:rStyle w:val="Siln"/>
          <w:rFonts w:ascii="Tahoma" w:hAnsi="Tahoma" w:cs="Tahoma"/>
          <w:b w:val="0"/>
          <w:sz w:val="22"/>
          <w:szCs w:val="22"/>
        </w:rPr>
        <w:t>A</w:t>
      </w:r>
      <w:r w:rsidR="00B60DFB" w:rsidRPr="002F3008">
        <w:rPr>
          <w:rStyle w:val="Siln"/>
          <w:rFonts w:ascii="Tahoma" w:hAnsi="Tahoma" w:cs="Tahoma"/>
          <w:b w:val="0"/>
          <w:sz w:val="22"/>
          <w:szCs w:val="22"/>
        </w:rPr>
        <w:t>ko zákazník EURONICS predajní získate hneď 2 výhody – služby, aké Vám môžu poskytnúť len lokálne predajne a zároveň výhodné ceny výrobkov dostupné vďaka nákupnej sile najväčšej európskej skupiny Euronics.</w:t>
      </w:r>
    </w:p>
    <w:p w:rsidR="0064714C" w:rsidRPr="002F3008" w:rsidRDefault="0064714C" w:rsidP="0064714C">
      <w:pPr>
        <w:jc w:val="both"/>
        <w:rPr>
          <w:rFonts w:ascii="Tahoma" w:hAnsi="Tahoma" w:cs="Tahoma"/>
          <w:sz w:val="22"/>
          <w:szCs w:val="22"/>
        </w:rPr>
      </w:pPr>
      <w:r w:rsidRPr="002F3008">
        <w:rPr>
          <w:rFonts w:ascii="Tahoma" w:hAnsi="Tahoma" w:cs="Tahoma"/>
          <w:sz w:val="22"/>
          <w:szCs w:val="22"/>
        </w:rPr>
        <w:t>Prostredníctvom svojich  obchodných miest ponúka pre dom</w:t>
      </w:r>
      <w:r w:rsidR="004534CD" w:rsidRPr="002F3008">
        <w:rPr>
          <w:rFonts w:ascii="Tahoma" w:hAnsi="Tahoma" w:cs="Tahoma"/>
          <w:sz w:val="22"/>
          <w:szCs w:val="22"/>
        </w:rPr>
        <w:t xml:space="preserve">ácnosti a firmy tovary bielej </w:t>
      </w:r>
      <w:r w:rsidRPr="002F3008">
        <w:rPr>
          <w:rFonts w:ascii="Tahoma" w:hAnsi="Tahoma" w:cs="Tahoma"/>
          <w:sz w:val="22"/>
          <w:szCs w:val="22"/>
        </w:rPr>
        <w:t xml:space="preserve">čiernej techniky </w:t>
      </w:r>
      <w:r w:rsidR="004534CD" w:rsidRPr="002F3008">
        <w:rPr>
          <w:rFonts w:ascii="Tahoma" w:hAnsi="Tahoma" w:cs="Tahoma"/>
          <w:sz w:val="22"/>
          <w:szCs w:val="22"/>
        </w:rPr>
        <w:t xml:space="preserve">, IT , telekomunikácií </w:t>
      </w:r>
      <w:r w:rsidRPr="002F3008">
        <w:rPr>
          <w:rFonts w:ascii="Tahoma" w:hAnsi="Tahoma" w:cs="Tahoma"/>
          <w:sz w:val="22"/>
          <w:szCs w:val="22"/>
        </w:rPr>
        <w:t xml:space="preserve">pre účely vybavenia domácnosti a firiem. </w:t>
      </w:r>
    </w:p>
    <w:p w:rsidR="005021AC" w:rsidRPr="002F3008" w:rsidRDefault="005021AC" w:rsidP="005021AC">
      <w:pPr>
        <w:tabs>
          <w:tab w:val="left" w:pos="9639"/>
        </w:tabs>
        <w:jc w:val="both"/>
        <w:rPr>
          <w:rFonts w:ascii="Tahoma" w:hAnsi="Tahoma" w:cs="Tahoma"/>
          <w:sz w:val="22"/>
          <w:szCs w:val="22"/>
        </w:rPr>
      </w:pPr>
    </w:p>
    <w:p w:rsidR="005021AC" w:rsidRPr="002F3008" w:rsidRDefault="005021AC" w:rsidP="005021AC">
      <w:pPr>
        <w:ind w:right="-99"/>
        <w:jc w:val="both"/>
        <w:rPr>
          <w:rStyle w:val="textnormalnormal1"/>
          <w:rFonts w:ascii="Tahoma" w:hAnsi="Tahoma" w:cs="Tahoma"/>
          <w:sz w:val="22"/>
          <w:szCs w:val="22"/>
        </w:rPr>
      </w:pPr>
      <w:r w:rsidRPr="002F3008">
        <w:rPr>
          <w:rStyle w:val="textnormalnormal1"/>
          <w:rFonts w:ascii="Tahoma" w:hAnsi="Tahoma" w:cs="Tahoma"/>
          <w:sz w:val="22"/>
          <w:szCs w:val="22"/>
        </w:rPr>
        <w:t xml:space="preserve">Hlavným cieľom </w:t>
      </w:r>
      <w:r w:rsidR="004D0FBB" w:rsidRPr="002F3008">
        <w:rPr>
          <w:rStyle w:val="textnormalnormal1"/>
          <w:rFonts w:ascii="Tahoma" w:hAnsi="Tahoma" w:cs="Tahoma"/>
          <w:sz w:val="22"/>
          <w:szCs w:val="22"/>
        </w:rPr>
        <w:t xml:space="preserve">je vytvorenie </w:t>
      </w:r>
      <w:r w:rsidRPr="002F3008">
        <w:rPr>
          <w:rStyle w:val="textnormalnormal1"/>
          <w:rFonts w:ascii="Tahoma" w:hAnsi="Tahoma" w:cs="Tahoma"/>
          <w:sz w:val="22"/>
          <w:szCs w:val="22"/>
        </w:rPr>
        <w:t xml:space="preserve"> pre nezávislých predajcov spotrebnej elektroniky konkurenčné podmienky, zefektívniť činnosť členov tým, že budú používať spoločné know – how a tiež tým</w:t>
      </w:r>
      <w:r w:rsidR="004D0FBB" w:rsidRPr="002F3008">
        <w:rPr>
          <w:rStyle w:val="textnormalnormal1"/>
          <w:rFonts w:ascii="Tahoma" w:hAnsi="Tahoma" w:cs="Tahoma"/>
          <w:sz w:val="22"/>
          <w:szCs w:val="22"/>
        </w:rPr>
        <w:t>,</w:t>
      </w:r>
      <w:r w:rsidRPr="002F3008">
        <w:rPr>
          <w:rStyle w:val="textnormalnormal1"/>
          <w:rFonts w:ascii="Tahoma" w:hAnsi="Tahoma" w:cs="Tahoma"/>
          <w:sz w:val="22"/>
          <w:szCs w:val="22"/>
        </w:rPr>
        <w:t xml:space="preserve"> že budú rovnaké činnosti robené centrálne pod silnou spoločnou značkou EURONICS.</w:t>
      </w:r>
    </w:p>
    <w:p w:rsidR="005021AC" w:rsidRPr="002F3008" w:rsidRDefault="005021AC" w:rsidP="005021AC">
      <w:pPr>
        <w:ind w:right="720"/>
        <w:jc w:val="both"/>
        <w:rPr>
          <w:rStyle w:val="textnormalnormal1"/>
          <w:rFonts w:ascii="Tahoma" w:hAnsi="Tahoma" w:cs="Tahoma"/>
          <w:sz w:val="22"/>
          <w:szCs w:val="22"/>
        </w:rPr>
      </w:pPr>
    </w:p>
    <w:p w:rsidR="005021AC" w:rsidRPr="002F3008" w:rsidRDefault="005021AC" w:rsidP="005021AC">
      <w:pPr>
        <w:ind w:right="720"/>
        <w:jc w:val="both"/>
        <w:rPr>
          <w:rStyle w:val="textnormalnormal1"/>
          <w:rFonts w:ascii="Tahoma" w:hAnsi="Tahoma" w:cs="Tahoma"/>
          <w:sz w:val="22"/>
          <w:szCs w:val="22"/>
        </w:rPr>
      </w:pPr>
      <w:r w:rsidRPr="002F3008">
        <w:rPr>
          <w:rStyle w:val="textnormalnormal1"/>
          <w:rFonts w:ascii="Tahoma" w:hAnsi="Tahoma" w:cs="Tahoma"/>
          <w:sz w:val="22"/>
          <w:szCs w:val="22"/>
        </w:rPr>
        <w:t xml:space="preserve">Sieť EURONICS  sa orientuje na nasledovné ciele : </w:t>
      </w:r>
    </w:p>
    <w:p w:rsidR="005021AC" w:rsidRPr="002F3008" w:rsidRDefault="005021AC" w:rsidP="005021AC">
      <w:pPr>
        <w:shd w:val="clear" w:color="auto" w:fill="FFFFFF"/>
        <w:ind w:left="-87" w:right="720"/>
        <w:jc w:val="both"/>
        <w:rPr>
          <w:rStyle w:val="textnormalnormal1"/>
          <w:rFonts w:ascii="Tahoma" w:hAnsi="Tahoma" w:cs="Tahoma"/>
          <w:sz w:val="22"/>
          <w:szCs w:val="22"/>
        </w:rPr>
      </w:pPr>
    </w:p>
    <w:p w:rsidR="005021AC" w:rsidRPr="002F3008" w:rsidRDefault="005021AC" w:rsidP="005021AC">
      <w:pPr>
        <w:numPr>
          <w:ilvl w:val="0"/>
          <w:numId w:val="12"/>
        </w:numPr>
        <w:ind w:right="720"/>
        <w:jc w:val="both"/>
        <w:rPr>
          <w:rStyle w:val="textnormalnormal1"/>
          <w:rFonts w:ascii="Tahoma" w:hAnsi="Tahoma" w:cs="Tahoma"/>
          <w:sz w:val="22"/>
          <w:szCs w:val="22"/>
        </w:rPr>
      </w:pPr>
      <w:r w:rsidRPr="002F3008">
        <w:rPr>
          <w:rStyle w:val="textnormalnormal1"/>
          <w:rFonts w:ascii="Tahoma" w:hAnsi="Tahoma" w:cs="Tahoma"/>
          <w:sz w:val="22"/>
          <w:szCs w:val="22"/>
        </w:rPr>
        <w:t xml:space="preserve">pôsobiť na globálnom trhu vo všetkých európskych krajinách – s cieľom zabezpečiť si vedúce postavenie na Európskom trhu, </w:t>
      </w:r>
    </w:p>
    <w:p w:rsidR="005021AC" w:rsidRPr="002F3008" w:rsidRDefault="005021AC" w:rsidP="005021AC">
      <w:pPr>
        <w:ind w:left="633" w:right="720"/>
        <w:jc w:val="both"/>
        <w:rPr>
          <w:rStyle w:val="textnormalnormal1"/>
          <w:rFonts w:ascii="Tahoma" w:hAnsi="Tahoma" w:cs="Tahoma"/>
          <w:sz w:val="22"/>
          <w:szCs w:val="22"/>
        </w:rPr>
      </w:pPr>
    </w:p>
    <w:p w:rsidR="005021AC" w:rsidRPr="002F3008" w:rsidRDefault="005021AC" w:rsidP="005021AC">
      <w:pPr>
        <w:numPr>
          <w:ilvl w:val="0"/>
          <w:numId w:val="12"/>
        </w:numPr>
        <w:ind w:right="720"/>
        <w:jc w:val="both"/>
        <w:rPr>
          <w:rStyle w:val="textnormalnormal1"/>
          <w:rFonts w:ascii="Tahoma" w:hAnsi="Tahoma" w:cs="Tahoma"/>
          <w:sz w:val="22"/>
          <w:szCs w:val="22"/>
        </w:rPr>
      </w:pPr>
      <w:r w:rsidRPr="002F3008">
        <w:rPr>
          <w:rStyle w:val="textnormalnormal1"/>
          <w:rFonts w:ascii="Tahoma" w:hAnsi="Tahoma" w:cs="Tahoma"/>
          <w:sz w:val="22"/>
          <w:szCs w:val="22"/>
        </w:rPr>
        <w:t>viesť  svojich zmluvných partnerov   k zmenám a pripraviť nezávislé maloobchodné predajne na nové trendy,</w:t>
      </w:r>
    </w:p>
    <w:p w:rsidR="005021AC" w:rsidRPr="002F3008" w:rsidRDefault="005021AC" w:rsidP="005021AC">
      <w:pPr>
        <w:ind w:left="633" w:right="720"/>
        <w:jc w:val="both"/>
        <w:rPr>
          <w:rStyle w:val="textnormalnormal1"/>
          <w:rFonts w:ascii="Tahoma" w:hAnsi="Tahoma" w:cs="Tahoma"/>
          <w:sz w:val="22"/>
          <w:szCs w:val="22"/>
        </w:rPr>
      </w:pPr>
    </w:p>
    <w:p w:rsidR="005021AC" w:rsidRPr="002F3008" w:rsidRDefault="005021AC" w:rsidP="005021AC">
      <w:pPr>
        <w:numPr>
          <w:ilvl w:val="0"/>
          <w:numId w:val="12"/>
        </w:numPr>
        <w:ind w:right="720"/>
        <w:jc w:val="both"/>
        <w:rPr>
          <w:rStyle w:val="textnormalnormal1"/>
          <w:rFonts w:ascii="Tahoma" w:hAnsi="Tahoma" w:cs="Tahoma"/>
          <w:sz w:val="22"/>
          <w:szCs w:val="22"/>
        </w:rPr>
      </w:pPr>
      <w:r w:rsidRPr="002F3008">
        <w:rPr>
          <w:rStyle w:val="textnormalnormal1"/>
          <w:rFonts w:ascii="Tahoma" w:hAnsi="Tahoma" w:cs="Tahoma"/>
          <w:sz w:val="22"/>
          <w:szCs w:val="22"/>
        </w:rPr>
        <w:t>ponúkať kvalitu a profesionálne služby pod  obchodnou značkou EURONICS,</w:t>
      </w:r>
    </w:p>
    <w:p w:rsidR="005021AC" w:rsidRPr="002F3008" w:rsidRDefault="005021AC" w:rsidP="005021AC">
      <w:pPr>
        <w:ind w:left="633" w:right="720"/>
        <w:jc w:val="both"/>
        <w:rPr>
          <w:rStyle w:val="textnormalnormal1"/>
          <w:rFonts w:ascii="Tahoma" w:hAnsi="Tahoma" w:cs="Tahoma"/>
          <w:sz w:val="22"/>
          <w:szCs w:val="22"/>
        </w:rPr>
      </w:pPr>
    </w:p>
    <w:p w:rsidR="005021AC" w:rsidRPr="002F3008" w:rsidRDefault="005021AC" w:rsidP="005021AC">
      <w:pPr>
        <w:numPr>
          <w:ilvl w:val="0"/>
          <w:numId w:val="12"/>
        </w:numPr>
        <w:ind w:right="720"/>
        <w:jc w:val="both"/>
        <w:rPr>
          <w:rStyle w:val="textnormalnormal1"/>
          <w:rFonts w:ascii="Tahoma" w:hAnsi="Tahoma" w:cs="Tahoma"/>
          <w:sz w:val="22"/>
          <w:szCs w:val="22"/>
        </w:rPr>
      </w:pPr>
      <w:r w:rsidRPr="002F3008">
        <w:rPr>
          <w:rStyle w:val="textnormalnormal1"/>
          <w:rFonts w:ascii="Tahoma" w:hAnsi="Tahoma" w:cs="Tahoma"/>
          <w:sz w:val="22"/>
          <w:szCs w:val="22"/>
        </w:rPr>
        <w:t>byť vysoko hodnotným partnerom pre dodávateľov a preferovanou voľbou spotrebiteľov,</w:t>
      </w:r>
    </w:p>
    <w:p w:rsidR="005021AC" w:rsidRPr="002F3008" w:rsidRDefault="005021AC" w:rsidP="005021AC">
      <w:pPr>
        <w:ind w:left="633" w:right="720"/>
        <w:jc w:val="both"/>
        <w:rPr>
          <w:rStyle w:val="textnormalnormal1"/>
          <w:rFonts w:ascii="Tahoma" w:hAnsi="Tahoma" w:cs="Tahoma"/>
          <w:sz w:val="22"/>
          <w:szCs w:val="22"/>
        </w:rPr>
      </w:pPr>
    </w:p>
    <w:p w:rsidR="005021AC" w:rsidRPr="002F3008" w:rsidRDefault="005021AC" w:rsidP="005021AC">
      <w:pPr>
        <w:numPr>
          <w:ilvl w:val="0"/>
          <w:numId w:val="12"/>
        </w:numPr>
        <w:ind w:right="720"/>
        <w:jc w:val="both"/>
        <w:rPr>
          <w:rStyle w:val="textnormalnormal1"/>
          <w:rFonts w:ascii="Tahoma" w:hAnsi="Tahoma" w:cs="Tahoma"/>
          <w:sz w:val="22"/>
          <w:szCs w:val="22"/>
        </w:rPr>
      </w:pPr>
      <w:r w:rsidRPr="002F3008">
        <w:rPr>
          <w:rStyle w:val="textnormalnormal1"/>
          <w:rFonts w:ascii="Tahoma" w:hAnsi="Tahoma" w:cs="Tahoma"/>
          <w:sz w:val="22"/>
          <w:szCs w:val="22"/>
        </w:rPr>
        <w:t>zohľadňovať národné špecifiká a jedným z dôležitých krokov je synchronizácia strategických plánov EURONICS International s plánmi jednotlivých národných organizácií.</w:t>
      </w:r>
    </w:p>
    <w:p w:rsidR="009B10A3" w:rsidRPr="002F3008" w:rsidRDefault="009B10A3" w:rsidP="009B10A3">
      <w:pPr>
        <w:pStyle w:val="Odsekzoznamu"/>
        <w:rPr>
          <w:rStyle w:val="textnormalnormal1"/>
          <w:rFonts w:ascii="Tahoma" w:hAnsi="Tahoma" w:cs="Tahoma"/>
          <w:sz w:val="22"/>
          <w:szCs w:val="22"/>
        </w:rPr>
      </w:pPr>
    </w:p>
    <w:p w:rsidR="005E19AC" w:rsidRPr="000B48EA" w:rsidRDefault="0064714C" w:rsidP="0064714C">
      <w:pPr>
        <w:pStyle w:val="Nadpis9"/>
        <w:jc w:val="both"/>
        <w:rPr>
          <w:rFonts w:ascii="Tahoma" w:hAnsi="Tahoma" w:cs="Tahoma"/>
          <w:b/>
        </w:rPr>
      </w:pPr>
      <w:r w:rsidRPr="000B48EA">
        <w:rPr>
          <w:rFonts w:ascii="Tahoma" w:hAnsi="Tahoma" w:cs="Tahoma"/>
          <w:b/>
        </w:rPr>
        <w:t>Sp</w:t>
      </w:r>
      <w:r w:rsidR="004D0FBB" w:rsidRPr="000B48EA">
        <w:rPr>
          <w:rFonts w:ascii="Tahoma" w:hAnsi="Tahoma" w:cs="Tahoma"/>
          <w:b/>
        </w:rPr>
        <w:t>r</w:t>
      </w:r>
      <w:r w:rsidRPr="000B48EA">
        <w:rPr>
          <w:rFonts w:ascii="Tahoma" w:hAnsi="Tahoma" w:cs="Tahoma"/>
          <w:b/>
        </w:rPr>
        <w:t>áva nezávislého audítora o overení účtovnej závierky zostavenej k 31.12.</w:t>
      </w:r>
      <w:r w:rsidR="00FB7553">
        <w:rPr>
          <w:rFonts w:ascii="Tahoma" w:hAnsi="Tahoma" w:cs="Tahoma"/>
          <w:b/>
        </w:rPr>
        <w:t>2015</w:t>
      </w:r>
    </w:p>
    <w:p w:rsidR="0064714C" w:rsidRDefault="0064714C" w:rsidP="0064714C">
      <w:pPr>
        <w:jc w:val="both"/>
        <w:rPr>
          <w:rFonts w:ascii="Tahoma" w:hAnsi="Tahoma" w:cs="Tahoma"/>
          <w:iCs/>
          <w:sz w:val="22"/>
          <w:szCs w:val="22"/>
        </w:rPr>
      </w:pPr>
      <w:r w:rsidRPr="000B48EA">
        <w:rPr>
          <w:rFonts w:ascii="Tahoma" w:hAnsi="Tahoma" w:cs="Tahoma"/>
          <w:iCs/>
          <w:sz w:val="22"/>
          <w:szCs w:val="22"/>
        </w:rPr>
        <w:t>Súčasťou výročnej správy je aj správa audítora. Audítor v audítorskej správe vyjadril stanovisko,  že účtovná závierka poskytuje vo všetkých významných súvislostiach pravdivý a verný obraz finančnej situácie spoločnosti a výsledku jej hospodárenia za rok  končiaci k uvedenému dátumu v súlade so zákonom o účtovníctve.</w:t>
      </w:r>
    </w:p>
    <w:p w:rsidR="00032E57" w:rsidRPr="000B48EA" w:rsidRDefault="00032E57" w:rsidP="0064714C">
      <w:pPr>
        <w:jc w:val="both"/>
        <w:rPr>
          <w:rFonts w:ascii="Tahoma" w:hAnsi="Tahoma" w:cs="Tahoma"/>
          <w:iCs/>
          <w:sz w:val="22"/>
          <w:szCs w:val="22"/>
        </w:rPr>
      </w:pPr>
    </w:p>
    <w:p w:rsidR="0064714C" w:rsidRPr="000B48EA" w:rsidRDefault="0064714C" w:rsidP="0064714C">
      <w:pPr>
        <w:rPr>
          <w:rFonts w:ascii="Tahoma" w:hAnsi="Tahoma" w:cs="Tahoma"/>
          <w:b/>
          <w:sz w:val="22"/>
          <w:szCs w:val="22"/>
        </w:rPr>
      </w:pPr>
      <w:r w:rsidRPr="000B48EA">
        <w:rPr>
          <w:rFonts w:ascii="Tahoma" w:hAnsi="Tahoma" w:cs="Tahoma"/>
          <w:b/>
          <w:sz w:val="22"/>
          <w:szCs w:val="22"/>
        </w:rPr>
        <w:t>Finančná analýza</w:t>
      </w:r>
    </w:p>
    <w:p w:rsidR="000F4AB5" w:rsidRPr="000B48EA" w:rsidRDefault="000F4AB5" w:rsidP="000F4AB5">
      <w:pPr>
        <w:jc w:val="both"/>
        <w:rPr>
          <w:rFonts w:ascii="Tahoma" w:hAnsi="Tahoma" w:cs="Tahoma"/>
          <w:sz w:val="22"/>
          <w:szCs w:val="22"/>
        </w:rPr>
      </w:pPr>
    </w:p>
    <w:p w:rsidR="00CF17A5" w:rsidRDefault="000F4AB5" w:rsidP="000F4AB5">
      <w:pPr>
        <w:jc w:val="both"/>
        <w:rPr>
          <w:rFonts w:ascii="Tahoma" w:hAnsi="Tahoma" w:cs="Tahoma"/>
          <w:sz w:val="22"/>
          <w:szCs w:val="22"/>
        </w:rPr>
      </w:pPr>
      <w:r w:rsidRPr="000B48EA">
        <w:rPr>
          <w:rFonts w:ascii="Tahoma" w:hAnsi="Tahoma" w:cs="Tahoma"/>
          <w:sz w:val="22"/>
          <w:szCs w:val="22"/>
        </w:rPr>
        <w:t xml:space="preserve">Tak ako je zrejmé z nasledujúcej tabuľky majetok Spoločnosti </w:t>
      </w:r>
      <w:r w:rsidR="00AF55F3">
        <w:rPr>
          <w:rFonts w:ascii="Tahoma" w:hAnsi="Tahoma" w:cs="Tahoma"/>
          <w:sz w:val="22"/>
          <w:szCs w:val="22"/>
        </w:rPr>
        <w:t xml:space="preserve">vzrástol </w:t>
      </w:r>
      <w:r w:rsidR="0027266F" w:rsidRPr="000B48EA">
        <w:rPr>
          <w:rFonts w:ascii="Tahoma" w:hAnsi="Tahoma" w:cs="Tahoma"/>
          <w:sz w:val="22"/>
          <w:szCs w:val="22"/>
        </w:rPr>
        <w:t xml:space="preserve"> </w:t>
      </w:r>
      <w:r w:rsidRPr="000B48EA">
        <w:rPr>
          <w:rFonts w:ascii="Tahoma" w:hAnsi="Tahoma" w:cs="Tahoma"/>
          <w:sz w:val="22"/>
          <w:szCs w:val="22"/>
        </w:rPr>
        <w:t xml:space="preserve"> o</w:t>
      </w:r>
      <w:r w:rsidR="00AF55F3">
        <w:rPr>
          <w:rFonts w:ascii="Tahoma" w:hAnsi="Tahoma" w:cs="Tahoma"/>
          <w:sz w:val="22"/>
          <w:szCs w:val="22"/>
        </w:rPr>
        <w:t xml:space="preserve"> necelých 3 % </w:t>
      </w:r>
      <w:r w:rsidRPr="000B48EA">
        <w:rPr>
          <w:rFonts w:ascii="Tahoma" w:hAnsi="Tahoma" w:cs="Tahoma"/>
          <w:sz w:val="22"/>
          <w:szCs w:val="22"/>
        </w:rPr>
        <w:t>v porovnaní s rokom 20</w:t>
      </w:r>
      <w:r w:rsidR="0027266F" w:rsidRPr="000B48EA">
        <w:rPr>
          <w:rFonts w:ascii="Tahoma" w:hAnsi="Tahoma" w:cs="Tahoma"/>
          <w:sz w:val="22"/>
          <w:szCs w:val="22"/>
        </w:rPr>
        <w:t>1</w:t>
      </w:r>
      <w:r w:rsidR="007377B7">
        <w:rPr>
          <w:rFonts w:ascii="Tahoma" w:hAnsi="Tahoma" w:cs="Tahoma"/>
          <w:sz w:val="22"/>
          <w:szCs w:val="22"/>
        </w:rPr>
        <w:t>4</w:t>
      </w:r>
      <w:r w:rsidRPr="000B48EA">
        <w:rPr>
          <w:rFonts w:ascii="Tahoma" w:hAnsi="Tahoma" w:cs="Tahoma"/>
          <w:sz w:val="22"/>
          <w:szCs w:val="22"/>
        </w:rPr>
        <w:t>.</w:t>
      </w:r>
      <w:r w:rsidR="00CF17A5" w:rsidRPr="000B48EA">
        <w:rPr>
          <w:rFonts w:ascii="Tahoma" w:hAnsi="Tahoma" w:cs="Tahoma"/>
          <w:sz w:val="22"/>
          <w:szCs w:val="22"/>
        </w:rPr>
        <w:t xml:space="preserve"> </w:t>
      </w:r>
      <w:r w:rsidR="00C90BDD">
        <w:rPr>
          <w:rFonts w:ascii="Tahoma" w:hAnsi="Tahoma" w:cs="Tahoma"/>
          <w:sz w:val="22"/>
          <w:szCs w:val="22"/>
        </w:rPr>
        <w:t xml:space="preserve"> </w:t>
      </w:r>
      <w:r w:rsidR="00CF17A5" w:rsidRPr="000B48EA">
        <w:rPr>
          <w:rFonts w:ascii="Tahoma" w:hAnsi="Tahoma" w:cs="Tahoma"/>
          <w:sz w:val="22"/>
          <w:szCs w:val="22"/>
        </w:rPr>
        <w:t>Dlhodobý hmotný majetok</w:t>
      </w:r>
      <w:r w:rsidR="00272558">
        <w:rPr>
          <w:rFonts w:ascii="Tahoma" w:hAnsi="Tahoma" w:cs="Tahoma"/>
          <w:sz w:val="22"/>
          <w:szCs w:val="22"/>
        </w:rPr>
        <w:t xml:space="preserve"> </w:t>
      </w:r>
      <w:r w:rsidR="00D00376">
        <w:rPr>
          <w:rFonts w:ascii="Tahoma" w:hAnsi="Tahoma" w:cs="Tahoma"/>
          <w:sz w:val="22"/>
          <w:szCs w:val="22"/>
        </w:rPr>
        <w:t xml:space="preserve">klesol </w:t>
      </w:r>
      <w:r w:rsidR="00CF17A5" w:rsidRPr="000B48EA">
        <w:rPr>
          <w:rFonts w:ascii="Tahoma" w:hAnsi="Tahoma" w:cs="Tahoma"/>
          <w:sz w:val="22"/>
          <w:szCs w:val="22"/>
        </w:rPr>
        <w:t xml:space="preserve"> v porovnaní s predchádzajúcim rokom o</w:t>
      </w:r>
      <w:r w:rsidR="007377B7">
        <w:rPr>
          <w:rFonts w:ascii="Tahoma" w:hAnsi="Tahoma" w:cs="Tahoma"/>
          <w:sz w:val="22"/>
          <w:szCs w:val="22"/>
        </w:rPr>
        <w:t> necelých 2</w:t>
      </w:r>
      <w:r w:rsidR="00AF55F3">
        <w:rPr>
          <w:rFonts w:ascii="Tahoma" w:hAnsi="Tahoma" w:cs="Tahoma"/>
          <w:sz w:val="22"/>
          <w:szCs w:val="22"/>
        </w:rPr>
        <w:t>2</w:t>
      </w:r>
      <w:r w:rsidR="007377B7">
        <w:rPr>
          <w:rFonts w:ascii="Tahoma" w:hAnsi="Tahoma" w:cs="Tahoma"/>
          <w:sz w:val="22"/>
          <w:szCs w:val="22"/>
        </w:rPr>
        <w:t xml:space="preserve"> %.</w:t>
      </w:r>
      <w:r w:rsidR="00D00376">
        <w:rPr>
          <w:rFonts w:ascii="Tahoma" w:hAnsi="Tahoma" w:cs="Tahoma"/>
          <w:sz w:val="22"/>
          <w:szCs w:val="22"/>
        </w:rPr>
        <w:t xml:space="preserve"> </w:t>
      </w:r>
      <w:r w:rsidR="00AF55F3">
        <w:rPr>
          <w:rFonts w:ascii="Tahoma" w:hAnsi="Tahoma" w:cs="Tahoma"/>
          <w:sz w:val="22"/>
          <w:szCs w:val="22"/>
        </w:rPr>
        <w:t xml:space="preserve">Oblasť obežného majetku </w:t>
      </w:r>
      <w:r w:rsidR="00005C30">
        <w:rPr>
          <w:rFonts w:ascii="Tahoma" w:hAnsi="Tahoma" w:cs="Tahoma"/>
          <w:sz w:val="22"/>
          <w:szCs w:val="22"/>
        </w:rPr>
        <w:t>zaznamenala nárast v porovnaní s predchádzajúcim rokom o 2 %.</w:t>
      </w:r>
      <w:r w:rsidR="00D00376">
        <w:rPr>
          <w:rFonts w:ascii="Tahoma" w:hAnsi="Tahoma" w:cs="Tahoma"/>
          <w:sz w:val="22"/>
          <w:szCs w:val="22"/>
        </w:rPr>
        <w:t xml:space="preserve"> </w:t>
      </w:r>
      <w:r w:rsidR="00005C30">
        <w:rPr>
          <w:rFonts w:ascii="Tahoma" w:hAnsi="Tahoma" w:cs="Tahoma"/>
          <w:sz w:val="22"/>
          <w:szCs w:val="22"/>
        </w:rPr>
        <w:t xml:space="preserve">V rámci obežných aktív spoločnosť zaznamenala významný nárast predovšetkým </w:t>
      </w:r>
      <w:r w:rsidR="00AF55F3">
        <w:rPr>
          <w:rFonts w:ascii="Tahoma" w:hAnsi="Tahoma" w:cs="Tahoma"/>
          <w:sz w:val="22"/>
          <w:szCs w:val="22"/>
        </w:rPr>
        <w:t xml:space="preserve"> v</w:t>
      </w:r>
      <w:r w:rsidR="00005C30">
        <w:rPr>
          <w:rFonts w:ascii="Tahoma" w:hAnsi="Tahoma" w:cs="Tahoma"/>
          <w:sz w:val="22"/>
          <w:szCs w:val="22"/>
        </w:rPr>
        <w:t xml:space="preserve"> oblasti </w:t>
      </w:r>
      <w:r w:rsidR="00AF55F3">
        <w:rPr>
          <w:rFonts w:ascii="Tahoma" w:hAnsi="Tahoma" w:cs="Tahoma"/>
          <w:sz w:val="22"/>
          <w:szCs w:val="22"/>
        </w:rPr>
        <w:t xml:space="preserve"> finančných účtoch a to vo výške 10 %</w:t>
      </w:r>
      <w:r w:rsidR="00005C30">
        <w:rPr>
          <w:rFonts w:ascii="Tahoma" w:hAnsi="Tahoma" w:cs="Tahoma"/>
          <w:sz w:val="22"/>
          <w:szCs w:val="22"/>
        </w:rPr>
        <w:t xml:space="preserve"> a v krátkodobých pohľadávkach vo výške 1 %.</w:t>
      </w:r>
      <w:r w:rsidR="00D00376">
        <w:rPr>
          <w:rFonts w:ascii="Tahoma" w:hAnsi="Tahoma" w:cs="Tahoma"/>
          <w:sz w:val="22"/>
          <w:szCs w:val="22"/>
        </w:rPr>
        <w:t xml:space="preserve"> Samozrejme vo všetkých ukazovateľoch sa jedná o statickú veličinu vypočítanú zo stavu majetku k 31.12. konkrétneho roka. </w:t>
      </w:r>
    </w:p>
    <w:p w:rsidR="00C90BDD" w:rsidRDefault="00C90BDD" w:rsidP="000F4AB5">
      <w:pPr>
        <w:jc w:val="both"/>
        <w:rPr>
          <w:rFonts w:ascii="Tahoma" w:hAnsi="Tahoma" w:cs="Tahoma"/>
          <w:sz w:val="22"/>
          <w:szCs w:val="22"/>
        </w:rPr>
      </w:pPr>
    </w:p>
    <w:p w:rsidR="00AF55F3" w:rsidRDefault="00AF55F3" w:rsidP="000F4AB5">
      <w:pPr>
        <w:jc w:val="both"/>
        <w:rPr>
          <w:rFonts w:ascii="Tahoma" w:hAnsi="Tahoma" w:cs="Tahoma"/>
          <w:sz w:val="22"/>
          <w:szCs w:val="22"/>
        </w:rPr>
      </w:pPr>
    </w:p>
    <w:p w:rsidR="00C90BDD" w:rsidRDefault="00C90BDD" w:rsidP="000F4AB5">
      <w:pPr>
        <w:jc w:val="both"/>
        <w:rPr>
          <w:rFonts w:ascii="Tahoma" w:hAnsi="Tahoma" w:cs="Tahoma"/>
          <w:sz w:val="22"/>
          <w:szCs w:val="22"/>
        </w:rPr>
      </w:pPr>
    </w:p>
    <w:p w:rsidR="00272558" w:rsidRDefault="00272558" w:rsidP="000F4AB5">
      <w:pPr>
        <w:jc w:val="both"/>
        <w:rPr>
          <w:rFonts w:ascii="Tahoma" w:hAnsi="Tahoma" w:cs="Tahoma"/>
          <w:sz w:val="22"/>
          <w:szCs w:val="22"/>
        </w:rPr>
      </w:pPr>
    </w:p>
    <w:p w:rsidR="00AF55F3" w:rsidRDefault="00AF55F3" w:rsidP="000F4AB5">
      <w:pPr>
        <w:jc w:val="both"/>
        <w:rPr>
          <w:rFonts w:ascii="Tahoma" w:hAnsi="Tahoma" w:cs="Tahoma"/>
          <w:sz w:val="22"/>
          <w:szCs w:val="22"/>
        </w:rPr>
      </w:pPr>
    </w:p>
    <w:tbl>
      <w:tblPr>
        <w:tblW w:w="9118" w:type="dxa"/>
        <w:tblInd w:w="70" w:type="dxa"/>
        <w:tblCellMar>
          <w:left w:w="70" w:type="dxa"/>
          <w:right w:w="70" w:type="dxa"/>
        </w:tblCellMar>
        <w:tblLook w:val="04A0"/>
      </w:tblPr>
      <w:tblGrid>
        <w:gridCol w:w="4874"/>
        <w:gridCol w:w="1092"/>
        <w:gridCol w:w="1132"/>
        <w:gridCol w:w="1010"/>
        <w:gridCol w:w="1010"/>
      </w:tblGrid>
      <w:tr w:rsidR="00AF55F3" w:rsidTr="00AF55F3">
        <w:trPr>
          <w:trHeight w:val="259"/>
        </w:trPr>
        <w:tc>
          <w:tcPr>
            <w:tcW w:w="4874" w:type="dxa"/>
            <w:tcBorders>
              <w:top w:val="nil"/>
              <w:left w:val="nil"/>
              <w:bottom w:val="single" w:sz="4" w:space="0" w:color="auto"/>
              <w:right w:val="single" w:sz="4" w:space="0" w:color="auto"/>
            </w:tcBorders>
            <w:shd w:val="clear" w:color="auto" w:fill="auto"/>
            <w:noWrap/>
            <w:vAlign w:val="bottom"/>
            <w:hideMark/>
          </w:tcPr>
          <w:p w:rsidR="00AF55F3" w:rsidRDefault="00AF55F3">
            <w:pPr>
              <w:rPr>
                <w:rFonts w:ascii="Arial" w:hAnsi="Arial" w:cs="Arial"/>
                <w:b/>
                <w:bCs/>
                <w:sz w:val="20"/>
                <w:szCs w:val="20"/>
              </w:rPr>
            </w:pPr>
            <w:r>
              <w:rPr>
                <w:rFonts w:ascii="Arial" w:hAnsi="Arial" w:cs="Arial"/>
                <w:b/>
                <w:bCs/>
                <w:sz w:val="20"/>
                <w:szCs w:val="20"/>
              </w:rPr>
              <w:t>Text položky   (EUR)</w:t>
            </w:r>
          </w:p>
        </w:tc>
        <w:tc>
          <w:tcPr>
            <w:tcW w:w="1092" w:type="dxa"/>
            <w:tcBorders>
              <w:top w:val="nil"/>
              <w:left w:val="nil"/>
              <w:bottom w:val="single" w:sz="4" w:space="0" w:color="auto"/>
              <w:right w:val="nil"/>
            </w:tcBorders>
            <w:shd w:val="clear" w:color="auto" w:fill="auto"/>
            <w:noWrap/>
            <w:vAlign w:val="bottom"/>
            <w:hideMark/>
          </w:tcPr>
          <w:p w:rsidR="00AF55F3" w:rsidRDefault="00AF55F3">
            <w:pPr>
              <w:jc w:val="right"/>
              <w:rPr>
                <w:rFonts w:ascii="Arial" w:hAnsi="Arial" w:cs="Arial"/>
                <w:b/>
                <w:bCs/>
                <w:sz w:val="20"/>
                <w:szCs w:val="20"/>
              </w:rPr>
            </w:pPr>
            <w:r>
              <w:rPr>
                <w:rFonts w:ascii="Arial" w:hAnsi="Arial" w:cs="Arial"/>
                <w:b/>
                <w:bCs/>
                <w:sz w:val="20"/>
                <w:szCs w:val="20"/>
              </w:rPr>
              <w:t>2012</w:t>
            </w:r>
          </w:p>
        </w:tc>
        <w:tc>
          <w:tcPr>
            <w:tcW w:w="1132" w:type="dxa"/>
            <w:tcBorders>
              <w:top w:val="nil"/>
              <w:left w:val="nil"/>
              <w:bottom w:val="single" w:sz="4" w:space="0" w:color="auto"/>
              <w:right w:val="nil"/>
            </w:tcBorders>
            <w:shd w:val="clear" w:color="auto" w:fill="auto"/>
            <w:noWrap/>
            <w:vAlign w:val="bottom"/>
            <w:hideMark/>
          </w:tcPr>
          <w:p w:rsidR="00AF55F3" w:rsidRDefault="00AF55F3">
            <w:pPr>
              <w:jc w:val="right"/>
              <w:rPr>
                <w:rFonts w:ascii="Arial" w:hAnsi="Arial" w:cs="Arial"/>
                <w:b/>
                <w:bCs/>
                <w:sz w:val="20"/>
                <w:szCs w:val="20"/>
              </w:rPr>
            </w:pPr>
            <w:r>
              <w:rPr>
                <w:rFonts w:ascii="Arial" w:hAnsi="Arial" w:cs="Arial"/>
                <w:b/>
                <w:bCs/>
                <w:sz w:val="20"/>
                <w:szCs w:val="20"/>
              </w:rPr>
              <w:t>2013</w:t>
            </w:r>
          </w:p>
        </w:tc>
        <w:tc>
          <w:tcPr>
            <w:tcW w:w="1010" w:type="dxa"/>
            <w:tcBorders>
              <w:top w:val="nil"/>
              <w:left w:val="nil"/>
              <w:bottom w:val="single" w:sz="4" w:space="0" w:color="auto"/>
              <w:right w:val="nil"/>
            </w:tcBorders>
            <w:shd w:val="clear" w:color="auto" w:fill="auto"/>
            <w:noWrap/>
            <w:vAlign w:val="bottom"/>
            <w:hideMark/>
          </w:tcPr>
          <w:p w:rsidR="00AF55F3" w:rsidRDefault="00AF55F3">
            <w:pPr>
              <w:jc w:val="right"/>
              <w:rPr>
                <w:rFonts w:ascii="Arial" w:hAnsi="Arial" w:cs="Arial"/>
                <w:b/>
                <w:bCs/>
                <w:sz w:val="20"/>
                <w:szCs w:val="20"/>
              </w:rPr>
            </w:pPr>
            <w:r>
              <w:rPr>
                <w:rFonts w:ascii="Arial" w:hAnsi="Arial" w:cs="Arial"/>
                <w:b/>
                <w:bCs/>
                <w:sz w:val="20"/>
                <w:szCs w:val="20"/>
              </w:rPr>
              <w:t>2014</w:t>
            </w:r>
          </w:p>
        </w:tc>
        <w:tc>
          <w:tcPr>
            <w:tcW w:w="1010" w:type="dxa"/>
            <w:tcBorders>
              <w:top w:val="nil"/>
              <w:left w:val="nil"/>
              <w:bottom w:val="single" w:sz="4" w:space="0" w:color="auto"/>
              <w:right w:val="nil"/>
            </w:tcBorders>
            <w:shd w:val="clear" w:color="auto" w:fill="auto"/>
            <w:noWrap/>
            <w:vAlign w:val="bottom"/>
            <w:hideMark/>
          </w:tcPr>
          <w:p w:rsidR="00AF55F3" w:rsidRDefault="00AF55F3">
            <w:pPr>
              <w:jc w:val="right"/>
              <w:rPr>
                <w:rFonts w:ascii="Arial" w:hAnsi="Arial" w:cs="Arial"/>
                <w:b/>
                <w:bCs/>
                <w:sz w:val="20"/>
                <w:szCs w:val="20"/>
              </w:rPr>
            </w:pPr>
            <w:r>
              <w:rPr>
                <w:rFonts w:ascii="Arial" w:hAnsi="Arial" w:cs="Arial"/>
                <w:b/>
                <w:bCs/>
                <w:sz w:val="20"/>
                <w:szCs w:val="20"/>
              </w:rPr>
              <w:t>2015</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SPOLU MAJETOK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976 379</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933 831</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926 920</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949 465</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Neobežný majetok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21 576</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25 955</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25 361</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19 781</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Dlhodobý nehmotný majetok </w:t>
            </w:r>
          </w:p>
        </w:tc>
        <w:tc>
          <w:tcPr>
            <w:tcW w:w="1092" w:type="dxa"/>
            <w:tcBorders>
              <w:top w:val="nil"/>
              <w:left w:val="nil"/>
              <w:bottom w:val="nil"/>
              <w:right w:val="nil"/>
            </w:tcBorders>
            <w:shd w:val="clear" w:color="auto" w:fill="auto"/>
            <w:noWrap/>
            <w:vAlign w:val="bottom"/>
            <w:hideMark/>
          </w:tcPr>
          <w:p w:rsidR="00AF55F3" w:rsidRDefault="00AF55F3">
            <w:pPr>
              <w:rPr>
                <w:rFonts w:ascii="Arial" w:hAnsi="Arial" w:cs="Arial"/>
                <w:sz w:val="20"/>
                <w:szCs w:val="20"/>
              </w:rPr>
            </w:pPr>
          </w:p>
        </w:tc>
        <w:tc>
          <w:tcPr>
            <w:tcW w:w="1132" w:type="dxa"/>
            <w:tcBorders>
              <w:top w:val="nil"/>
              <w:left w:val="nil"/>
              <w:bottom w:val="nil"/>
              <w:right w:val="nil"/>
            </w:tcBorders>
            <w:shd w:val="clear" w:color="auto" w:fill="auto"/>
            <w:noWrap/>
            <w:vAlign w:val="bottom"/>
            <w:hideMark/>
          </w:tcPr>
          <w:p w:rsidR="00AF55F3" w:rsidRDefault="00AF55F3">
            <w:pPr>
              <w:rPr>
                <w:rFonts w:ascii="Arial" w:hAnsi="Arial" w:cs="Arial"/>
                <w:sz w:val="20"/>
                <w:szCs w:val="20"/>
              </w:rPr>
            </w:pP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12 885</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14 095</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   Softvér</w:t>
            </w:r>
          </w:p>
        </w:tc>
        <w:tc>
          <w:tcPr>
            <w:tcW w:w="1092" w:type="dxa"/>
            <w:tcBorders>
              <w:top w:val="nil"/>
              <w:left w:val="nil"/>
              <w:bottom w:val="nil"/>
              <w:right w:val="nil"/>
            </w:tcBorders>
            <w:shd w:val="clear" w:color="auto" w:fill="auto"/>
            <w:noWrap/>
            <w:vAlign w:val="bottom"/>
            <w:hideMark/>
          </w:tcPr>
          <w:p w:rsidR="00AF55F3" w:rsidRDefault="00AF55F3">
            <w:pPr>
              <w:rPr>
                <w:rFonts w:ascii="Arial" w:hAnsi="Arial" w:cs="Arial"/>
                <w:sz w:val="20"/>
                <w:szCs w:val="20"/>
              </w:rPr>
            </w:pPr>
          </w:p>
        </w:tc>
        <w:tc>
          <w:tcPr>
            <w:tcW w:w="1132" w:type="dxa"/>
            <w:tcBorders>
              <w:top w:val="nil"/>
              <w:left w:val="nil"/>
              <w:bottom w:val="nil"/>
              <w:right w:val="nil"/>
            </w:tcBorders>
            <w:shd w:val="clear" w:color="auto" w:fill="auto"/>
            <w:noWrap/>
            <w:vAlign w:val="bottom"/>
            <w:hideMark/>
          </w:tcPr>
          <w:p w:rsidR="00AF55F3" w:rsidRDefault="00AF55F3">
            <w:pPr>
              <w:rPr>
                <w:rFonts w:ascii="Arial" w:hAnsi="Arial" w:cs="Arial"/>
                <w:sz w:val="20"/>
                <w:szCs w:val="20"/>
              </w:rPr>
            </w:pP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12 885</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14 095</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Dlhodobý hmotný majetok</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21 576</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25 955</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12 476</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5 686</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   Samostatné hnuteľné veci a súbory hnuteľných vecí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21 576</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25 955</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12 476</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5 686</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Obežný majetok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939 239</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891 516</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885 636</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906 788</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Zásoby</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10 208</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8 216</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10 301</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3 227</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   Materiál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10 208</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8 216</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10 301</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3 227</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Dlhodobé pohľadávky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545</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1 269</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1 625</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4 717</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   Odložená daňová pohľadávka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545</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1 269</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1 625</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4 717</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Krátkodobé pohľadávky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890 303</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844 133</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704 227</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712 723</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Pohľadávky z obchodného styku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822 491</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817 409</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674 731</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675 838</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   Ostatné pohľadávky z obchodného styku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822 491</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817 409</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655 600</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638 953</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   Daňové pohľadávky a dotácie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67 812</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26 724</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27 538</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28 280</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   Iné pohľadávky </w:t>
            </w:r>
          </w:p>
        </w:tc>
        <w:tc>
          <w:tcPr>
            <w:tcW w:w="1092" w:type="dxa"/>
            <w:tcBorders>
              <w:top w:val="nil"/>
              <w:left w:val="nil"/>
              <w:bottom w:val="nil"/>
              <w:right w:val="nil"/>
            </w:tcBorders>
            <w:shd w:val="clear" w:color="auto" w:fill="auto"/>
            <w:noWrap/>
            <w:vAlign w:val="bottom"/>
            <w:hideMark/>
          </w:tcPr>
          <w:p w:rsidR="00AF55F3" w:rsidRDefault="00AF55F3">
            <w:pPr>
              <w:rPr>
                <w:rFonts w:ascii="Arial" w:hAnsi="Arial" w:cs="Arial"/>
                <w:sz w:val="20"/>
                <w:szCs w:val="20"/>
              </w:rPr>
            </w:pPr>
          </w:p>
        </w:tc>
        <w:tc>
          <w:tcPr>
            <w:tcW w:w="1132" w:type="dxa"/>
            <w:tcBorders>
              <w:top w:val="nil"/>
              <w:left w:val="nil"/>
              <w:bottom w:val="nil"/>
              <w:right w:val="nil"/>
            </w:tcBorders>
            <w:shd w:val="clear" w:color="auto" w:fill="auto"/>
            <w:noWrap/>
            <w:vAlign w:val="bottom"/>
            <w:hideMark/>
          </w:tcPr>
          <w:p w:rsidR="00AF55F3" w:rsidRDefault="00AF55F3">
            <w:pPr>
              <w:rPr>
                <w:rFonts w:ascii="Arial" w:hAnsi="Arial" w:cs="Arial"/>
                <w:sz w:val="20"/>
                <w:szCs w:val="20"/>
              </w:rPr>
            </w:pP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1 958</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8 605</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Finančné účty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38 183</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37 898</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169 483</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186 121</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   Peniaze</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1 117</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813</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709</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1 011</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   Účty v bankách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37 066</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37 085</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168 774</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185 110</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Časové rozlíšenie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15 564</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16 360</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15 923</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22 896</w:t>
            </w:r>
          </w:p>
        </w:tc>
      </w:tr>
      <w:tr w:rsidR="00AF55F3" w:rsidTr="00AF55F3">
        <w:trPr>
          <w:trHeight w:val="259"/>
        </w:trPr>
        <w:tc>
          <w:tcPr>
            <w:tcW w:w="4874" w:type="dxa"/>
            <w:tcBorders>
              <w:top w:val="nil"/>
              <w:left w:val="nil"/>
              <w:bottom w:val="nil"/>
              <w:right w:val="single" w:sz="4" w:space="0" w:color="auto"/>
            </w:tcBorders>
            <w:shd w:val="clear" w:color="auto" w:fill="auto"/>
            <w:noWrap/>
            <w:vAlign w:val="bottom"/>
            <w:hideMark/>
          </w:tcPr>
          <w:p w:rsidR="00AF55F3" w:rsidRDefault="00AF55F3">
            <w:pPr>
              <w:rPr>
                <w:rFonts w:ascii="Arial" w:hAnsi="Arial" w:cs="Arial"/>
                <w:sz w:val="20"/>
                <w:szCs w:val="20"/>
              </w:rPr>
            </w:pPr>
            <w:r>
              <w:rPr>
                <w:rFonts w:ascii="Arial" w:hAnsi="Arial" w:cs="Arial"/>
                <w:sz w:val="20"/>
                <w:szCs w:val="20"/>
              </w:rPr>
              <w:t xml:space="preserve">   Náklady budúcich období krátkodobé </w:t>
            </w:r>
          </w:p>
        </w:tc>
        <w:tc>
          <w:tcPr>
            <w:tcW w:w="109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15 564</w:t>
            </w:r>
          </w:p>
        </w:tc>
        <w:tc>
          <w:tcPr>
            <w:tcW w:w="1132"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16 360</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15 923</w:t>
            </w:r>
          </w:p>
        </w:tc>
        <w:tc>
          <w:tcPr>
            <w:tcW w:w="1010" w:type="dxa"/>
            <w:tcBorders>
              <w:top w:val="nil"/>
              <w:left w:val="nil"/>
              <w:bottom w:val="nil"/>
              <w:right w:val="nil"/>
            </w:tcBorders>
            <w:shd w:val="clear" w:color="auto" w:fill="auto"/>
            <w:noWrap/>
            <w:vAlign w:val="bottom"/>
            <w:hideMark/>
          </w:tcPr>
          <w:p w:rsidR="00AF55F3" w:rsidRDefault="00AF55F3">
            <w:pPr>
              <w:jc w:val="right"/>
              <w:rPr>
                <w:rFonts w:ascii="Arial" w:hAnsi="Arial" w:cs="Arial"/>
                <w:sz w:val="20"/>
                <w:szCs w:val="20"/>
              </w:rPr>
            </w:pPr>
            <w:r>
              <w:rPr>
                <w:rFonts w:ascii="Arial" w:hAnsi="Arial" w:cs="Arial"/>
                <w:sz w:val="20"/>
                <w:szCs w:val="20"/>
              </w:rPr>
              <w:t>22 896</w:t>
            </w:r>
          </w:p>
        </w:tc>
      </w:tr>
    </w:tbl>
    <w:p w:rsidR="00AF55F3" w:rsidRDefault="00AF55F3" w:rsidP="000F4AB5">
      <w:pPr>
        <w:jc w:val="both"/>
        <w:rPr>
          <w:rFonts w:ascii="Tahoma" w:hAnsi="Tahoma" w:cs="Tahoma"/>
          <w:sz w:val="22"/>
          <w:szCs w:val="22"/>
        </w:rPr>
      </w:pPr>
    </w:p>
    <w:p w:rsidR="00AF55F3" w:rsidRDefault="00AF55F3" w:rsidP="000F4AB5">
      <w:pPr>
        <w:jc w:val="both"/>
        <w:rPr>
          <w:rFonts w:ascii="Tahoma" w:hAnsi="Tahoma" w:cs="Tahoma"/>
          <w:sz w:val="22"/>
          <w:szCs w:val="22"/>
        </w:rPr>
      </w:pPr>
    </w:p>
    <w:p w:rsidR="00D00376" w:rsidRDefault="000F4AB5" w:rsidP="00D00376">
      <w:pPr>
        <w:jc w:val="both"/>
        <w:rPr>
          <w:rFonts w:ascii="Tahoma" w:hAnsi="Tahoma" w:cs="Tahoma"/>
          <w:sz w:val="22"/>
          <w:szCs w:val="22"/>
        </w:rPr>
      </w:pPr>
      <w:r w:rsidRPr="000B48EA">
        <w:rPr>
          <w:rFonts w:ascii="Tahoma" w:hAnsi="Tahoma" w:cs="Tahoma"/>
          <w:sz w:val="22"/>
          <w:szCs w:val="22"/>
        </w:rPr>
        <w:t>Stupeň krytia záväzkov</w:t>
      </w:r>
      <w:r w:rsidR="00D00376">
        <w:rPr>
          <w:rFonts w:ascii="Tahoma" w:hAnsi="Tahoma" w:cs="Tahoma"/>
          <w:sz w:val="22"/>
          <w:szCs w:val="22"/>
        </w:rPr>
        <w:t xml:space="preserve"> vyjadruje likvidita. </w:t>
      </w:r>
      <w:r w:rsidR="00D00376" w:rsidRPr="000B48EA">
        <w:rPr>
          <w:rFonts w:ascii="Tahoma" w:hAnsi="Tahoma" w:cs="Tahoma"/>
          <w:sz w:val="22"/>
          <w:szCs w:val="22"/>
        </w:rPr>
        <w:t xml:space="preserve">Pod pojmom likvidita sa označuje speňažiteľnosť aktív, schopnosť splatiť záväzok veriteľovi, schopnosť spoločnosti uhradiť splatné záväzky, vlastnosť aktíva/majetku, ktorá umožňuje vymeniť ho za hotovosť bez straty hodnoty, pri čo najnižších transakčných nákladoch. Pojmami likvidita a solventnosť sa charakterizuje úroveň úhrady záväzkov. Likvidita sa viaže k dlhšiemu obdobiu, solventnosť predstavuje momentálnu schopnosť úhrady. Likvidita je ovplyvnená najmä štruktúrou majetku a primeraným a pravidelným prítokom peňažných prostriedkov. </w:t>
      </w:r>
    </w:p>
    <w:p w:rsidR="00857265" w:rsidRDefault="00857265" w:rsidP="00D00376">
      <w:pPr>
        <w:jc w:val="both"/>
        <w:rPr>
          <w:rFonts w:ascii="Tahoma" w:hAnsi="Tahoma" w:cs="Tahoma"/>
          <w:sz w:val="22"/>
          <w:szCs w:val="22"/>
        </w:rPr>
      </w:pPr>
    </w:p>
    <w:p w:rsidR="00857265" w:rsidRDefault="002A71AA" w:rsidP="00D00376">
      <w:pPr>
        <w:jc w:val="both"/>
        <w:rPr>
          <w:rFonts w:ascii="Tahoma" w:hAnsi="Tahoma" w:cs="Tahoma"/>
          <w:sz w:val="22"/>
          <w:szCs w:val="22"/>
        </w:rPr>
      </w:pPr>
      <w:r>
        <w:rPr>
          <w:noProof/>
        </w:rPr>
        <w:drawing>
          <wp:inline distT="0" distB="0" distL="0" distR="0">
            <wp:extent cx="4206240" cy="2443480"/>
            <wp:effectExtent l="19050" t="0" r="3810" b="0"/>
            <wp:docPr id="2" name="Graf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f 1"/>
                    <pic:cNvPicPr>
                      <a:picLocks noChangeArrowheads="1"/>
                    </pic:cNvPicPr>
                  </pic:nvPicPr>
                  <pic:blipFill>
                    <a:blip r:embed="rId11" cstate="print"/>
                    <a:srcRect/>
                    <a:stretch>
                      <a:fillRect/>
                    </a:stretch>
                  </pic:blipFill>
                  <pic:spPr bwMode="auto">
                    <a:xfrm>
                      <a:off x="0" y="0"/>
                      <a:ext cx="4206240" cy="2443480"/>
                    </a:xfrm>
                    <a:prstGeom prst="rect">
                      <a:avLst/>
                    </a:prstGeom>
                    <a:noFill/>
                    <a:ln w="9525">
                      <a:noFill/>
                      <a:miter lim="800000"/>
                      <a:headEnd/>
                      <a:tailEnd/>
                    </a:ln>
                  </pic:spPr>
                </pic:pic>
              </a:graphicData>
            </a:graphic>
          </wp:inline>
        </w:drawing>
      </w:r>
    </w:p>
    <w:p w:rsidR="00857265" w:rsidRPr="000B48EA" w:rsidRDefault="00857265" w:rsidP="00D00376">
      <w:pPr>
        <w:jc w:val="both"/>
        <w:rPr>
          <w:rFonts w:ascii="Tahoma" w:hAnsi="Tahoma" w:cs="Tahoma"/>
          <w:sz w:val="22"/>
          <w:szCs w:val="22"/>
        </w:rPr>
      </w:pPr>
    </w:p>
    <w:p w:rsidR="00272558" w:rsidRDefault="00272558" w:rsidP="000F4AB5">
      <w:pPr>
        <w:jc w:val="both"/>
        <w:rPr>
          <w:rFonts w:ascii="Tahoma" w:hAnsi="Tahoma" w:cs="Tahoma"/>
          <w:sz w:val="22"/>
          <w:szCs w:val="22"/>
        </w:rPr>
      </w:pPr>
    </w:p>
    <w:p w:rsidR="00D00376" w:rsidRDefault="00D00376" w:rsidP="000F4AB5">
      <w:pPr>
        <w:jc w:val="both"/>
        <w:rPr>
          <w:rFonts w:ascii="Tahoma" w:hAnsi="Tahoma" w:cs="Tahoma"/>
          <w:sz w:val="22"/>
          <w:szCs w:val="22"/>
        </w:rPr>
      </w:pPr>
    </w:p>
    <w:p w:rsidR="00D00376" w:rsidRDefault="00D00376" w:rsidP="000F4AB5">
      <w:pPr>
        <w:jc w:val="both"/>
        <w:rPr>
          <w:rFonts w:ascii="Tahoma" w:hAnsi="Tahoma" w:cs="Tahoma"/>
          <w:sz w:val="22"/>
          <w:szCs w:val="22"/>
        </w:rPr>
      </w:pPr>
      <w:r>
        <w:rPr>
          <w:rFonts w:ascii="Tahoma" w:hAnsi="Tahoma" w:cs="Tahoma"/>
          <w:sz w:val="22"/>
          <w:szCs w:val="22"/>
        </w:rPr>
        <w:t>V číselnom vyjadrení nasledovne:</w:t>
      </w:r>
    </w:p>
    <w:p w:rsidR="00857265" w:rsidRDefault="00857265" w:rsidP="000F4AB5">
      <w:pPr>
        <w:jc w:val="both"/>
        <w:rPr>
          <w:rFonts w:ascii="Tahoma" w:hAnsi="Tahoma" w:cs="Tahoma"/>
          <w:sz w:val="22"/>
          <w:szCs w:val="22"/>
        </w:rPr>
      </w:pPr>
    </w:p>
    <w:tbl>
      <w:tblPr>
        <w:tblW w:w="5680" w:type="dxa"/>
        <w:tblInd w:w="70" w:type="dxa"/>
        <w:tblCellMar>
          <w:left w:w="70" w:type="dxa"/>
          <w:right w:w="70" w:type="dxa"/>
        </w:tblCellMar>
        <w:tblLook w:val="04A0"/>
      </w:tblPr>
      <w:tblGrid>
        <w:gridCol w:w="1808"/>
        <w:gridCol w:w="968"/>
        <w:gridCol w:w="968"/>
        <w:gridCol w:w="968"/>
        <w:gridCol w:w="968"/>
      </w:tblGrid>
      <w:tr w:rsidR="00857265" w:rsidTr="00857265">
        <w:trPr>
          <w:trHeight w:val="255"/>
        </w:trPr>
        <w:tc>
          <w:tcPr>
            <w:tcW w:w="1808" w:type="dxa"/>
            <w:tcBorders>
              <w:top w:val="nil"/>
              <w:left w:val="nil"/>
              <w:bottom w:val="single" w:sz="4" w:space="0" w:color="auto"/>
              <w:right w:val="single" w:sz="4" w:space="0" w:color="auto"/>
            </w:tcBorders>
            <w:shd w:val="clear" w:color="auto" w:fill="auto"/>
            <w:noWrap/>
            <w:vAlign w:val="bottom"/>
            <w:hideMark/>
          </w:tcPr>
          <w:p w:rsidR="00857265" w:rsidRDefault="00857265">
            <w:pPr>
              <w:rPr>
                <w:rFonts w:ascii="Arial" w:hAnsi="Arial" w:cs="Arial"/>
                <w:b/>
                <w:bCs/>
                <w:sz w:val="20"/>
                <w:szCs w:val="20"/>
              </w:rPr>
            </w:pPr>
            <w:r>
              <w:rPr>
                <w:rFonts w:ascii="Arial" w:hAnsi="Arial" w:cs="Arial"/>
                <w:b/>
                <w:bCs/>
                <w:sz w:val="20"/>
                <w:szCs w:val="20"/>
              </w:rPr>
              <w:t>Text</w:t>
            </w:r>
          </w:p>
        </w:tc>
        <w:tc>
          <w:tcPr>
            <w:tcW w:w="968" w:type="dxa"/>
            <w:tcBorders>
              <w:top w:val="nil"/>
              <w:left w:val="nil"/>
              <w:bottom w:val="single" w:sz="4" w:space="0" w:color="auto"/>
              <w:right w:val="nil"/>
            </w:tcBorders>
            <w:shd w:val="clear" w:color="auto" w:fill="auto"/>
            <w:noWrap/>
            <w:vAlign w:val="bottom"/>
            <w:hideMark/>
          </w:tcPr>
          <w:p w:rsidR="00857265" w:rsidRDefault="00857265">
            <w:pPr>
              <w:jc w:val="right"/>
              <w:rPr>
                <w:rFonts w:ascii="Arial" w:hAnsi="Arial" w:cs="Arial"/>
                <w:b/>
                <w:bCs/>
                <w:sz w:val="20"/>
                <w:szCs w:val="20"/>
              </w:rPr>
            </w:pPr>
            <w:r>
              <w:rPr>
                <w:rFonts w:ascii="Arial" w:hAnsi="Arial" w:cs="Arial"/>
                <w:b/>
                <w:bCs/>
                <w:sz w:val="20"/>
                <w:szCs w:val="20"/>
              </w:rPr>
              <w:t>2012</w:t>
            </w:r>
          </w:p>
        </w:tc>
        <w:tc>
          <w:tcPr>
            <w:tcW w:w="968" w:type="dxa"/>
            <w:tcBorders>
              <w:top w:val="nil"/>
              <w:left w:val="nil"/>
              <w:bottom w:val="single" w:sz="4" w:space="0" w:color="auto"/>
              <w:right w:val="nil"/>
            </w:tcBorders>
            <w:shd w:val="clear" w:color="auto" w:fill="auto"/>
            <w:noWrap/>
            <w:vAlign w:val="bottom"/>
            <w:hideMark/>
          </w:tcPr>
          <w:p w:rsidR="00857265" w:rsidRDefault="00857265">
            <w:pPr>
              <w:jc w:val="right"/>
              <w:rPr>
                <w:rFonts w:ascii="Arial" w:hAnsi="Arial" w:cs="Arial"/>
                <w:b/>
                <w:bCs/>
                <w:sz w:val="20"/>
                <w:szCs w:val="20"/>
              </w:rPr>
            </w:pPr>
            <w:r>
              <w:rPr>
                <w:rFonts w:ascii="Arial" w:hAnsi="Arial" w:cs="Arial"/>
                <w:b/>
                <w:bCs/>
                <w:sz w:val="20"/>
                <w:szCs w:val="20"/>
              </w:rPr>
              <w:t>2013</w:t>
            </w:r>
          </w:p>
        </w:tc>
        <w:tc>
          <w:tcPr>
            <w:tcW w:w="968" w:type="dxa"/>
            <w:tcBorders>
              <w:top w:val="nil"/>
              <w:left w:val="nil"/>
              <w:bottom w:val="single" w:sz="4" w:space="0" w:color="auto"/>
              <w:right w:val="nil"/>
            </w:tcBorders>
            <w:shd w:val="clear" w:color="auto" w:fill="auto"/>
            <w:noWrap/>
            <w:vAlign w:val="bottom"/>
            <w:hideMark/>
          </w:tcPr>
          <w:p w:rsidR="00857265" w:rsidRDefault="00857265">
            <w:pPr>
              <w:jc w:val="right"/>
              <w:rPr>
                <w:rFonts w:ascii="Arial" w:hAnsi="Arial" w:cs="Arial"/>
                <w:b/>
                <w:bCs/>
                <w:sz w:val="20"/>
                <w:szCs w:val="20"/>
              </w:rPr>
            </w:pPr>
            <w:r>
              <w:rPr>
                <w:rFonts w:ascii="Arial" w:hAnsi="Arial" w:cs="Arial"/>
                <w:b/>
                <w:bCs/>
                <w:sz w:val="20"/>
                <w:szCs w:val="20"/>
              </w:rPr>
              <w:t>2014</w:t>
            </w:r>
          </w:p>
        </w:tc>
        <w:tc>
          <w:tcPr>
            <w:tcW w:w="968" w:type="dxa"/>
            <w:tcBorders>
              <w:top w:val="nil"/>
              <w:left w:val="nil"/>
              <w:bottom w:val="single" w:sz="4" w:space="0" w:color="auto"/>
              <w:right w:val="nil"/>
            </w:tcBorders>
            <w:shd w:val="clear" w:color="auto" w:fill="auto"/>
            <w:noWrap/>
            <w:vAlign w:val="bottom"/>
            <w:hideMark/>
          </w:tcPr>
          <w:p w:rsidR="00857265" w:rsidRDefault="00857265">
            <w:pPr>
              <w:jc w:val="right"/>
              <w:rPr>
                <w:rFonts w:ascii="Arial" w:hAnsi="Arial" w:cs="Arial"/>
                <w:b/>
                <w:bCs/>
                <w:sz w:val="20"/>
                <w:szCs w:val="20"/>
              </w:rPr>
            </w:pPr>
            <w:r>
              <w:rPr>
                <w:rFonts w:ascii="Arial" w:hAnsi="Arial" w:cs="Arial"/>
                <w:b/>
                <w:bCs/>
                <w:sz w:val="20"/>
                <w:szCs w:val="20"/>
              </w:rPr>
              <w:t>2015</w:t>
            </w:r>
          </w:p>
        </w:tc>
      </w:tr>
      <w:tr w:rsidR="00857265" w:rsidTr="00857265">
        <w:trPr>
          <w:trHeight w:val="255"/>
        </w:trPr>
        <w:tc>
          <w:tcPr>
            <w:tcW w:w="1808" w:type="dxa"/>
            <w:tcBorders>
              <w:top w:val="nil"/>
              <w:left w:val="nil"/>
              <w:bottom w:val="nil"/>
              <w:right w:val="single" w:sz="4" w:space="0" w:color="auto"/>
            </w:tcBorders>
            <w:shd w:val="clear" w:color="auto" w:fill="auto"/>
            <w:noWrap/>
            <w:vAlign w:val="bottom"/>
            <w:hideMark/>
          </w:tcPr>
          <w:p w:rsidR="00857265" w:rsidRDefault="00857265">
            <w:pPr>
              <w:rPr>
                <w:rFonts w:ascii="Arial" w:hAnsi="Arial" w:cs="Arial"/>
                <w:sz w:val="20"/>
                <w:szCs w:val="20"/>
              </w:rPr>
            </w:pPr>
            <w:r>
              <w:rPr>
                <w:rFonts w:ascii="Arial" w:hAnsi="Arial" w:cs="Arial"/>
                <w:sz w:val="20"/>
                <w:szCs w:val="20"/>
              </w:rPr>
              <w:t>Okamžitá likvidita</w:t>
            </w:r>
          </w:p>
        </w:tc>
        <w:tc>
          <w:tcPr>
            <w:tcW w:w="9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0,04</w:t>
            </w:r>
          </w:p>
        </w:tc>
        <w:tc>
          <w:tcPr>
            <w:tcW w:w="9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0,05</w:t>
            </w:r>
          </w:p>
        </w:tc>
        <w:tc>
          <w:tcPr>
            <w:tcW w:w="9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0,21</w:t>
            </w:r>
          </w:p>
        </w:tc>
        <w:tc>
          <w:tcPr>
            <w:tcW w:w="9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0,23</w:t>
            </w:r>
          </w:p>
        </w:tc>
      </w:tr>
      <w:tr w:rsidR="00857265" w:rsidTr="00857265">
        <w:trPr>
          <w:trHeight w:val="255"/>
        </w:trPr>
        <w:tc>
          <w:tcPr>
            <w:tcW w:w="1808" w:type="dxa"/>
            <w:tcBorders>
              <w:top w:val="nil"/>
              <w:left w:val="nil"/>
              <w:bottom w:val="nil"/>
              <w:right w:val="single" w:sz="4" w:space="0" w:color="auto"/>
            </w:tcBorders>
            <w:shd w:val="clear" w:color="auto" w:fill="auto"/>
            <w:noWrap/>
            <w:vAlign w:val="bottom"/>
            <w:hideMark/>
          </w:tcPr>
          <w:p w:rsidR="00857265" w:rsidRDefault="00857265">
            <w:pPr>
              <w:rPr>
                <w:rFonts w:ascii="Arial" w:hAnsi="Arial" w:cs="Arial"/>
                <w:sz w:val="20"/>
                <w:szCs w:val="20"/>
              </w:rPr>
            </w:pPr>
            <w:r>
              <w:rPr>
                <w:rFonts w:ascii="Arial" w:hAnsi="Arial" w:cs="Arial"/>
                <w:sz w:val="20"/>
                <w:szCs w:val="20"/>
              </w:rPr>
              <w:t>Bežná likvidita</w:t>
            </w:r>
          </w:p>
        </w:tc>
        <w:tc>
          <w:tcPr>
            <w:tcW w:w="9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1,06</w:t>
            </w:r>
          </w:p>
        </w:tc>
        <w:tc>
          <w:tcPr>
            <w:tcW w:w="9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1,07</w:t>
            </w:r>
          </w:p>
        </w:tc>
        <w:tc>
          <w:tcPr>
            <w:tcW w:w="9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1,07</w:t>
            </w:r>
          </w:p>
        </w:tc>
        <w:tc>
          <w:tcPr>
            <w:tcW w:w="9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1,12</w:t>
            </w:r>
          </w:p>
        </w:tc>
      </w:tr>
      <w:tr w:rsidR="00857265" w:rsidTr="00857265">
        <w:trPr>
          <w:trHeight w:val="255"/>
        </w:trPr>
        <w:tc>
          <w:tcPr>
            <w:tcW w:w="1808" w:type="dxa"/>
            <w:tcBorders>
              <w:top w:val="nil"/>
              <w:left w:val="nil"/>
              <w:bottom w:val="nil"/>
              <w:right w:val="single" w:sz="4" w:space="0" w:color="auto"/>
            </w:tcBorders>
            <w:shd w:val="clear" w:color="auto" w:fill="auto"/>
            <w:noWrap/>
            <w:vAlign w:val="bottom"/>
            <w:hideMark/>
          </w:tcPr>
          <w:p w:rsidR="00857265" w:rsidRDefault="00857265">
            <w:pPr>
              <w:rPr>
                <w:rFonts w:ascii="Arial" w:hAnsi="Arial" w:cs="Arial"/>
                <w:sz w:val="20"/>
                <w:szCs w:val="20"/>
              </w:rPr>
            </w:pPr>
            <w:r>
              <w:rPr>
                <w:rFonts w:ascii="Arial" w:hAnsi="Arial" w:cs="Arial"/>
                <w:sz w:val="20"/>
                <w:szCs w:val="20"/>
              </w:rPr>
              <w:t>Celková likvidita</w:t>
            </w:r>
          </w:p>
        </w:tc>
        <w:tc>
          <w:tcPr>
            <w:tcW w:w="9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1,07</w:t>
            </w:r>
          </w:p>
        </w:tc>
        <w:tc>
          <w:tcPr>
            <w:tcW w:w="9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1,08</w:t>
            </w:r>
          </w:p>
        </w:tc>
        <w:tc>
          <w:tcPr>
            <w:tcW w:w="9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1,08</w:t>
            </w:r>
          </w:p>
        </w:tc>
        <w:tc>
          <w:tcPr>
            <w:tcW w:w="9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1,12</w:t>
            </w:r>
          </w:p>
        </w:tc>
      </w:tr>
    </w:tbl>
    <w:p w:rsidR="00857265" w:rsidRDefault="00857265" w:rsidP="000F4AB5">
      <w:pPr>
        <w:jc w:val="both"/>
        <w:rPr>
          <w:rFonts w:ascii="Tahoma" w:hAnsi="Tahoma" w:cs="Tahoma"/>
          <w:sz w:val="22"/>
          <w:szCs w:val="22"/>
        </w:rPr>
      </w:pPr>
    </w:p>
    <w:p w:rsidR="00857265" w:rsidRDefault="00857265" w:rsidP="000F4AB5">
      <w:pPr>
        <w:jc w:val="both"/>
        <w:rPr>
          <w:rFonts w:ascii="Tahoma" w:hAnsi="Tahoma" w:cs="Tahoma"/>
          <w:sz w:val="22"/>
          <w:szCs w:val="22"/>
        </w:rPr>
      </w:pPr>
    </w:p>
    <w:p w:rsidR="000F4AB5" w:rsidRPr="000B48EA" w:rsidRDefault="000F4AB5" w:rsidP="000F4AB5">
      <w:pPr>
        <w:jc w:val="both"/>
        <w:rPr>
          <w:rFonts w:ascii="Tahoma" w:hAnsi="Tahoma" w:cs="Tahoma"/>
          <w:sz w:val="22"/>
          <w:szCs w:val="22"/>
        </w:rPr>
      </w:pPr>
      <w:r w:rsidRPr="000B48EA">
        <w:rPr>
          <w:rFonts w:ascii="Tahoma" w:hAnsi="Tahoma" w:cs="Tahoma"/>
          <w:sz w:val="22"/>
          <w:szCs w:val="22"/>
        </w:rPr>
        <w:t>Ukazovatele likvidity, vypočítané ako pomer obežných aktív, príp. ich zložiek ku krátkodobým záväzkom, vyjadrujú stupeň krytia splatných záväzkov viac či menej likvidnými obežnými aktívami.</w:t>
      </w:r>
    </w:p>
    <w:p w:rsidR="000F4AB5" w:rsidRPr="000B48EA" w:rsidRDefault="000F4AB5" w:rsidP="000F4AB5">
      <w:pPr>
        <w:jc w:val="both"/>
        <w:rPr>
          <w:rFonts w:ascii="Tahoma" w:hAnsi="Tahoma" w:cs="Tahoma"/>
          <w:sz w:val="22"/>
          <w:szCs w:val="22"/>
        </w:rPr>
      </w:pPr>
    </w:p>
    <w:p w:rsidR="000F4AB5" w:rsidRPr="000B48EA" w:rsidRDefault="000F4AB5" w:rsidP="000F4AB5">
      <w:pPr>
        <w:jc w:val="both"/>
        <w:rPr>
          <w:rFonts w:ascii="Tahoma" w:hAnsi="Tahoma" w:cs="Tahoma"/>
          <w:sz w:val="22"/>
          <w:szCs w:val="22"/>
        </w:rPr>
      </w:pPr>
      <w:r w:rsidRPr="000B48EA">
        <w:rPr>
          <w:rFonts w:ascii="Tahoma" w:hAnsi="Tahoma" w:cs="Tahoma"/>
          <w:sz w:val="22"/>
          <w:szCs w:val="22"/>
        </w:rPr>
        <w:t>Okamžitá likvidita, nazývaná aj likvidita I. stupňa (cash ratio), vypočítaná ako pomer finančného majetku ku krátkodobým záväzkom, vyjadruje vlastne solventnosť. Jeho ideálna hodnota je 1, vtedy je k dispozícii toľko platobných prostriedkov, koľko činia záväzky. Vypovedá o vzťahu medzi najlikvidnejšou časťou majetku a krátkodobými záväzkami. Za optimálne hodnoty sú považované hodnoty z intervalu 0,8 – 1,0.</w:t>
      </w:r>
      <w:r w:rsidR="00D00376">
        <w:rPr>
          <w:rFonts w:ascii="Tahoma" w:hAnsi="Tahoma" w:cs="Tahoma"/>
          <w:sz w:val="22"/>
          <w:szCs w:val="22"/>
        </w:rPr>
        <w:t xml:space="preserve"> Z dosiahnutých výsledkov je zrejmé, že ukazovateľ okamžitej likvidity v Spoločnosti nedosahuje doporučované hodnoty.</w:t>
      </w:r>
    </w:p>
    <w:p w:rsidR="000F4AB5" w:rsidRPr="000B48EA" w:rsidRDefault="000F4AB5" w:rsidP="000F4AB5">
      <w:pPr>
        <w:rPr>
          <w:rFonts w:ascii="Tahoma" w:hAnsi="Tahoma" w:cs="Tahoma"/>
          <w:sz w:val="22"/>
          <w:szCs w:val="22"/>
        </w:rPr>
      </w:pPr>
    </w:p>
    <w:p w:rsidR="000F4AB5" w:rsidRPr="000B48EA" w:rsidRDefault="000F4AB5" w:rsidP="000F4AB5">
      <w:pPr>
        <w:jc w:val="both"/>
        <w:rPr>
          <w:rFonts w:ascii="Tahoma" w:hAnsi="Tahoma" w:cs="Tahoma"/>
          <w:sz w:val="22"/>
          <w:szCs w:val="22"/>
        </w:rPr>
      </w:pPr>
      <w:r w:rsidRPr="000B48EA">
        <w:rPr>
          <w:rFonts w:ascii="Tahoma" w:hAnsi="Tahoma" w:cs="Tahoma"/>
          <w:sz w:val="22"/>
          <w:szCs w:val="22"/>
        </w:rPr>
        <w:t>Bežná (pohotová) likvidita, nazývaná aj likvidita II. stupňa (quick ratio), vypočítaná ako pomer súčtu finančného majetku a krátkodobých pohľadávok ku krátkodobým záväzkom, neberie pri výpočte do úvahy zásoby, nakoľko predstavujú najproblematickejšiu časť obežných aktív. S ich premenou na platobné prostriedky môžu byť spojené značné straty. Za ideálnu hodnotu ukazovateľa sa považuje 1,5. Za optimálne hodnoty sú považované hodnoty z intervalu 1 – 2.</w:t>
      </w:r>
      <w:r w:rsidR="00D00376">
        <w:rPr>
          <w:rFonts w:ascii="Tahoma" w:hAnsi="Tahoma" w:cs="Tahoma"/>
          <w:sz w:val="22"/>
          <w:szCs w:val="22"/>
        </w:rPr>
        <w:t xml:space="preserve"> Z výsledkov je zrejmé, že bežná likvidita vykázala v Spoločnosti za všetky sledované účtovné obdobia dosahuje doporučované hodnoty. </w:t>
      </w:r>
      <w:r w:rsidRPr="000B48EA">
        <w:rPr>
          <w:rFonts w:ascii="Tahoma" w:hAnsi="Tahoma" w:cs="Tahoma"/>
          <w:sz w:val="22"/>
          <w:szCs w:val="22"/>
        </w:rPr>
        <w:t xml:space="preserve">    </w:t>
      </w:r>
    </w:p>
    <w:p w:rsidR="000F4AB5" w:rsidRPr="000B48EA" w:rsidRDefault="000F4AB5" w:rsidP="000F4AB5">
      <w:pPr>
        <w:rPr>
          <w:rFonts w:ascii="Tahoma" w:hAnsi="Tahoma" w:cs="Tahoma"/>
          <w:sz w:val="22"/>
          <w:szCs w:val="22"/>
        </w:rPr>
      </w:pPr>
    </w:p>
    <w:p w:rsidR="000F4AB5" w:rsidRPr="000B48EA" w:rsidRDefault="000F4AB5" w:rsidP="000F4AB5">
      <w:pPr>
        <w:jc w:val="both"/>
        <w:rPr>
          <w:rFonts w:ascii="Tahoma" w:hAnsi="Tahoma" w:cs="Tahoma"/>
          <w:sz w:val="22"/>
          <w:szCs w:val="22"/>
        </w:rPr>
      </w:pPr>
      <w:r w:rsidRPr="000B48EA">
        <w:rPr>
          <w:rFonts w:ascii="Tahoma" w:hAnsi="Tahoma" w:cs="Tahoma"/>
          <w:sz w:val="22"/>
          <w:szCs w:val="22"/>
        </w:rPr>
        <w:t>Celková likvidita, nazývaná aj likvidita III. stupňa (current ratio), vypočítaná ako pomer obežných aktív bez dlhodobých záväzkov ku krátkodobým záväzkom, rozširuje výpočet bežnej likvidity o vplyv zásob. Za ideálnu hodnotu ukazovateľa sa považuje 2,5. Za optimálne hodnoty sú považované hodnoty z intervalu 1,5 – 4.</w:t>
      </w:r>
      <w:r w:rsidR="00D00376">
        <w:rPr>
          <w:rFonts w:ascii="Tahoma" w:hAnsi="Tahoma" w:cs="Tahoma"/>
          <w:sz w:val="22"/>
          <w:szCs w:val="22"/>
        </w:rPr>
        <w:t xml:space="preserve"> Možno konštatovať, že Spoločnosť sa vo všetkých účtovných obdobiach približuje k spodnému intervalu optimálnej hodnoty celkovej likvidity.</w:t>
      </w:r>
    </w:p>
    <w:p w:rsidR="000F4AB5" w:rsidRPr="000B48EA" w:rsidRDefault="000F4AB5" w:rsidP="000F4AB5">
      <w:pPr>
        <w:rPr>
          <w:rFonts w:ascii="Tahoma" w:hAnsi="Tahoma" w:cs="Tahoma"/>
          <w:sz w:val="22"/>
          <w:szCs w:val="22"/>
        </w:rPr>
      </w:pPr>
    </w:p>
    <w:p w:rsidR="0027266F" w:rsidRPr="000B48EA" w:rsidRDefault="000F4AB5" w:rsidP="000F4AB5">
      <w:pPr>
        <w:jc w:val="both"/>
        <w:rPr>
          <w:rFonts w:ascii="Tahoma" w:hAnsi="Tahoma" w:cs="Tahoma"/>
          <w:sz w:val="22"/>
          <w:szCs w:val="22"/>
        </w:rPr>
      </w:pPr>
      <w:r w:rsidRPr="000B48EA">
        <w:rPr>
          <w:rFonts w:ascii="Tahoma" w:hAnsi="Tahoma" w:cs="Tahoma"/>
          <w:sz w:val="22"/>
          <w:szCs w:val="22"/>
        </w:rPr>
        <w:t xml:space="preserve">Cieľom plánovania likvidity v Spoločnosti je zabezpečiť dostatok likvidných prostriedkov. Je to pomerne zložitý proces ovplyvňovaný nielen výkyvmi v ekonomike Spoločnosti , ale aj náhle zmeny vonkajších podmienok, čo sa snaží Spoločnosť prekonať vytvorením </w:t>
      </w:r>
      <w:r w:rsidR="0027266F" w:rsidRPr="000B48EA">
        <w:rPr>
          <w:rFonts w:ascii="Tahoma" w:hAnsi="Tahoma" w:cs="Tahoma"/>
          <w:sz w:val="22"/>
          <w:szCs w:val="22"/>
        </w:rPr>
        <w:t xml:space="preserve"> vlastných rezerv a plánovaným cash flow.</w:t>
      </w:r>
    </w:p>
    <w:p w:rsidR="0027266F" w:rsidRPr="000B48EA" w:rsidRDefault="0027266F" w:rsidP="000F4AB5">
      <w:pPr>
        <w:jc w:val="both"/>
        <w:rPr>
          <w:rFonts w:ascii="Tahoma" w:hAnsi="Tahoma" w:cs="Tahoma"/>
          <w:sz w:val="22"/>
          <w:szCs w:val="22"/>
        </w:rPr>
      </w:pPr>
    </w:p>
    <w:p w:rsidR="000F4AB5" w:rsidRDefault="000F4AB5" w:rsidP="000F4AB5">
      <w:pPr>
        <w:jc w:val="both"/>
        <w:rPr>
          <w:rFonts w:ascii="Tahoma" w:hAnsi="Tahoma" w:cs="Tahoma"/>
          <w:sz w:val="22"/>
          <w:szCs w:val="22"/>
        </w:rPr>
      </w:pPr>
      <w:r w:rsidRPr="000B48EA">
        <w:rPr>
          <w:rFonts w:ascii="Tahoma" w:hAnsi="Tahoma" w:cs="Tahoma"/>
          <w:sz w:val="22"/>
          <w:szCs w:val="22"/>
        </w:rPr>
        <w:t>Prostredníctvom ukazovateľov aktivity je možné v Spoločnosti skúmať  stupeň využitia obežného majetku.  Boli vypočítané nasledovné ukazovatele:</w:t>
      </w:r>
    </w:p>
    <w:p w:rsidR="00857265" w:rsidRDefault="00857265" w:rsidP="000F4AB5">
      <w:pPr>
        <w:jc w:val="both"/>
        <w:rPr>
          <w:rFonts w:ascii="Tahoma" w:hAnsi="Tahoma" w:cs="Tahoma"/>
          <w:sz w:val="22"/>
          <w:szCs w:val="22"/>
        </w:rPr>
      </w:pPr>
    </w:p>
    <w:tbl>
      <w:tblPr>
        <w:tblW w:w="6380" w:type="dxa"/>
        <w:tblInd w:w="70" w:type="dxa"/>
        <w:tblCellMar>
          <w:left w:w="70" w:type="dxa"/>
          <w:right w:w="70" w:type="dxa"/>
        </w:tblCellMar>
        <w:tblLook w:val="04A0"/>
      </w:tblPr>
      <w:tblGrid>
        <w:gridCol w:w="3288"/>
        <w:gridCol w:w="768"/>
        <w:gridCol w:w="808"/>
        <w:gridCol w:w="808"/>
        <w:gridCol w:w="752"/>
      </w:tblGrid>
      <w:tr w:rsidR="00857265" w:rsidTr="00857265">
        <w:trPr>
          <w:trHeight w:val="270"/>
        </w:trPr>
        <w:tc>
          <w:tcPr>
            <w:tcW w:w="3288" w:type="dxa"/>
            <w:tcBorders>
              <w:top w:val="nil"/>
              <w:left w:val="nil"/>
              <w:bottom w:val="single" w:sz="8" w:space="0" w:color="auto"/>
              <w:right w:val="single" w:sz="8" w:space="0" w:color="auto"/>
            </w:tcBorders>
            <w:shd w:val="clear" w:color="auto" w:fill="auto"/>
            <w:noWrap/>
            <w:vAlign w:val="center"/>
            <w:hideMark/>
          </w:tcPr>
          <w:p w:rsidR="00857265" w:rsidRDefault="00857265">
            <w:pPr>
              <w:rPr>
                <w:rFonts w:ascii="Arial" w:hAnsi="Arial" w:cs="Arial"/>
                <w:b/>
                <w:bCs/>
                <w:sz w:val="20"/>
                <w:szCs w:val="20"/>
              </w:rPr>
            </w:pPr>
            <w:r>
              <w:rPr>
                <w:rFonts w:ascii="Arial" w:hAnsi="Arial" w:cs="Arial"/>
                <w:b/>
                <w:bCs/>
                <w:sz w:val="20"/>
                <w:szCs w:val="20"/>
              </w:rPr>
              <w:t xml:space="preserve">ukazovatele aktivity </w:t>
            </w:r>
          </w:p>
        </w:tc>
        <w:tc>
          <w:tcPr>
            <w:tcW w:w="768" w:type="dxa"/>
            <w:tcBorders>
              <w:top w:val="nil"/>
              <w:left w:val="nil"/>
              <w:bottom w:val="single" w:sz="8" w:space="0" w:color="auto"/>
              <w:right w:val="nil"/>
            </w:tcBorders>
            <w:shd w:val="clear" w:color="auto" w:fill="auto"/>
            <w:noWrap/>
            <w:vAlign w:val="center"/>
            <w:hideMark/>
          </w:tcPr>
          <w:p w:rsidR="00857265" w:rsidRDefault="00857265">
            <w:pPr>
              <w:jc w:val="center"/>
              <w:rPr>
                <w:rFonts w:ascii="Arial" w:hAnsi="Arial" w:cs="Arial"/>
                <w:b/>
                <w:bCs/>
                <w:sz w:val="20"/>
                <w:szCs w:val="20"/>
              </w:rPr>
            </w:pPr>
            <w:r>
              <w:rPr>
                <w:rFonts w:ascii="Arial" w:hAnsi="Arial" w:cs="Arial"/>
                <w:b/>
                <w:bCs/>
                <w:sz w:val="20"/>
                <w:szCs w:val="20"/>
              </w:rPr>
              <w:t>2012</w:t>
            </w:r>
          </w:p>
        </w:tc>
        <w:tc>
          <w:tcPr>
            <w:tcW w:w="808" w:type="dxa"/>
            <w:tcBorders>
              <w:top w:val="nil"/>
              <w:left w:val="nil"/>
              <w:bottom w:val="single" w:sz="8" w:space="0" w:color="auto"/>
              <w:right w:val="nil"/>
            </w:tcBorders>
            <w:shd w:val="clear" w:color="auto" w:fill="auto"/>
            <w:noWrap/>
            <w:vAlign w:val="center"/>
            <w:hideMark/>
          </w:tcPr>
          <w:p w:rsidR="00857265" w:rsidRDefault="00857265">
            <w:pPr>
              <w:jc w:val="center"/>
              <w:rPr>
                <w:rFonts w:ascii="Arial" w:hAnsi="Arial" w:cs="Arial"/>
                <w:b/>
                <w:bCs/>
                <w:sz w:val="20"/>
                <w:szCs w:val="20"/>
              </w:rPr>
            </w:pPr>
            <w:r>
              <w:rPr>
                <w:rFonts w:ascii="Arial" w:hAnsi="Arial" w:cs="Arial"/>
                <w:b/>
                <w:bCs/>
                <w:sz w:val="20"/>
                <w:szCs w:val="20"/>
              </w:rPr>
              <w:t>2013</w:t>
            </w:r>
          </w:p>
        </w:tc>
        <w:tc>
          <w:tcPr>
            <w:tcW w:w="808" w:type="dxa"/>
            <w:tcBorders>
              <w:top w:val="nil"/>
              <w:left w:val="nil"/>
              <w:bottom w:val="single" w:sz="8" w:space="0" w:color="auto"/>
              <w:right w:val="nil"/>
            </w:tcBorders>
            <w:shd w:val="clear" w:color="auto" w:fill="auto"/>
            <w:noWrap/>
            <w:vAlign w:val="center"/>
            <w:hideMark/>
          </w:tcPr>
          <w:p w:rsidR="00857265" w:rsidRDefault="00857265">
            <w:pPr>
              <w:jc w:val="center"/>
              <w:rPr>
                <w:rFonts w:ascii="Arial" w:hAnsi="Arial" w:cs="Arial"/>
                <w:b/>
                <w:bCs/>
                <w:sz w:val="20"/>
                <w:szCs w:val="20"/>
              </w:rPr>
            </w:pPr>
            <w:r>
              <w:rPr>
                <w:rFonts w:ascii="Arial" w:hAnsi="Arial" w:cs="Arial"/>
                <w:b/>
                <w:bCs/>
                <w:sz w:val="20"/>
                <w:szCs w:val="20"/>
              </w:rPr>
              <w:t>2014</w:t>
            </w:r>
          </w:p>
        </w:tc>
        <w:tc>
          <w:tcPr>
            <w:tcW w:w="708" w:type="dxa"/>
            <w:tcBorders>
              <w:top w:val="nil"/>
              <w:left w:val="nil"/>
              <w:bottom w:val="single" w:sz="8" w:space="0" w:color="auto"/>
              <w:right w:val="nil"/>
            </w:tcBorders>
            <w:shd w:val="clear" w:color="auto" w:fill="auto"/>
            <w:noWrap/>
            <w:vAlign w:val="center"/>
            <w:hideMark/>
          </w:tcPr>
          <w:p w:rsidR="00857265" w:rsidRDefault="00857265">
            <w:pPr>
              <w:jc w:val="center"/>
              <w:rPr>
                <w:rFonts w:ascii="Arial" w:hAnsi="Arial" w:cs="Arial"/>
                <w:b/>
                <w:bCs/>
                <w:sz w:val="20"/>
                <w:szCs w:val="20"/>
              </w:rPr>
            </w:pPr>
            <w:r>
              <w:rPr>
                <w:rFonts w:ascii="Arial" w:hAnsi="Arial" w:cs="Arial"/>
                <w:b/>
                <w:bCs/>
                <w:sz w:val="20"/>
                <w:szCs w:val="20"/>
              </w:rPr>
              <w:t>2015</w:t>
            </w:r>
          </w:p>
        </w:tc>
      </w:tr>
      <w:tr w:rsidR="00857265" w:rsidTr="00857265">
        <w:trPr>
          <w:trHeight w:val="255"/>
        </w:trPr>
        <w:tc>
          <w:tcPr>
            <w:tcW w:w="3288" w:type="dxa"/>
            <w:tcBorders>
              <w:top w:val="nil"/>
              <w:left w:val="nil"/>
              <w:bottom w:val="nil"/>
              <w:right w:val="single" w:sz="8" w:space="0" w:color="auto"/>
            </w:tcBorders>
            <w:shd w:val="clear" w:color="auto" w:fill="auto"/>
            <w:noWrap/>
            <w:vAlign w:val="center"/>
            <w:hideMark/>
          </w:tcPr>
          <w:p w:rsidR="00857265" w:rsidRDefault="00857265">
            <w:pPr>
              <w:rPr>
                <w:rFonts w:ascii="Arial" w:hAnsi="Arial" w:cs="Arial"/>
                <w:sz w:val="20"/>
                <w:szCs w:val="20"/>
              </w:rPr>
            </w:pPr>
            <w:r>
              <w:rPr>
                <w:rFonts w:ascii="Arial" w:hAnsi="Arial" w:cs="Arial"/>
                <w:sz w:val="20"/>
                <w:szCs w:val="20"/>
              </w:rPr>
              <w:t>Obrat pohľadávok</w:t>
            </w:r>
          </w:p>
        </w:tc>
        <w:tc>
          <w:tcPr>
            <w:tcW w:w="7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3,72</w:t>
            </w:r>
          </w:p>
        </w:tc>
        <w:tc>
          <w:tcPr>
            <w:tcW w:w="80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2,95</w:t>
            </w:r>
          </w:p>
        </w:tc>
        <w:tc>
          <w:tcPr>
            <w:tcW w:w="80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3,37</w:t>
            </w:r>
          </w:p>
        </w:tc>
        <w:tc>
          <w:tcPr>
            <w:tcW w:w="70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3,46</w:t>
            </w:r>
          </w:p>
        </w:tc>
      </w:tr>
      <w:tr w:rsidR="00857265" w:rsidTr="00857265">
        <w:trPr>
          <w:trHeight w:val="255"/>
        </w:trPr>
        <w:tc>
          <w:tcPr>
            <w:tcW w:w="3288" w:type="dxa"/>
            <w:tcBorders>
              <w:top w:val="nil"/>
              <w:left w:val="nil"/>
              <w:bottom w:val="nil"/>
              <w:right w:val="single" w:sz="8" w:space="0" w:color="auto"/>
            </w:tcBorders>
            <w:shd w:val="clear" w:color="auto" w:fill="auto"/>
            <w:noWrap/>
            <w:vAlign w:val="center"/>
            <w:hideMark/>
          </w:tcPr>
          <w:p w:rsidR="00857265" w:rsidRDefault="00857265">
            <w:pPr>
              <w:rPr>
                <w:rFonts w:ascii="Arial" w:hAnsi="Arial" w:cs="Arial"/>
                <w:sz w:val="20"/>
                <w:szCs w:val="20"/>
              </w:rPr>
            </w:pPr>
            <w:r>
              <w:rPr>
                <w:rFonts w:ascii="Arial" w:hAnsi="Arial" w:cs="Arial"/>
                <w:sz w:val="20"/>
                <w:szCs w:val="20"/>
              </w:rPr>
              <w:t>Priemerná doba inkasa pohľadávok</w:t>
            </w:r>
          </w:p>
        </w:tc>
        <w:tc>
          <w:tcPr>
            <w:tcW w:w="76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98</w:t>
            </w:r>
          </w:p>
        </w:tc>
        <w:tc>
          <w:tcPr>
            <w:tcW w:w="80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123,7</w:t>
            </w:r>
          </w:p>
        </w:tc>
        <w:tc>
          <w:tcPr>
            <w:tcW w:w="80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108,31</w:t>
            </w:r>
          </w:p>
        </w:tc>
        <w:tc>
          <w:tcPr>
            <w:tcW w:w="708" w:type="dxa"/>
            <w:tcBorders>
              <w:top w:val="nil"/>
              <w:left w:val="nil"/>
              <w:bottom w:val="nil"/>
              <w:right w:val="nil"/>
            </w:tcBorders>
            <w:shd w:val="clear" w:color="auto" w:fill="auto"/>
            <w:noWrap/>
            <w:vAlign w:val="bottom"/>
            <w:hideMark/>
          </w:tcPr>
          <w:p w:rsidR="00857265" w:rsidRDefault="00857265">
            <w:pPr>
              <w:jc w:val="right"/>
              <w:rPr>
                <w:rFonts w:ascii="Arial" w:hAnsi="Arial" w:cs="Arial"/>
                <w:sz w:val="20"/>
                <w:szCs w:val="20"/>
              </w:rPr>
            </w:pPr>
            <w:r>
              <w:rPr>
                <w:rFonts w:ascii="Arial" w:hAnsi="Arial" w:cs="Arial"/>
                <w:sz w:val="20"/>
                <w:szCs w:val="20"/>
              </w:rPr>
              <w:t>105,51</w:t>
            </w:r>
          </w:p>
        </w:tc>
      </w:tr>
      <w:tr w:rsidR="00857265" w:rsidTr="00AF55F3">
        <w:trPr>
          <w:trHeight w:val="255"/>
        </w:trPr>
        <w:tc>
          <w:tcPr>
            <w:tcW w:w="3288" w:type="dxa"/>
            <w:tcBorders>
              <w:top w:val="nil"/>
              <w:left w:val="nil"/>
              <w:bottom w:val="nil"/>
              <w:right w:val="single" w:sz="8" w:space="0" w:color="auto"/>
            </w:tcBorders>
            <w:shd w:val="clear" w:color="auto" w:fill="auto"/>
            <w:noWrap/>
            <w:vAlign w:val="center"/>
          </w:tcPr>
          <w:p w:rsidR="00857265" w:rsidRDefault="00857265">
            <w:pPr>
              <w:rPr>
                <w:rFonts w:ascii="Arial" w:hAnsi="Arial" w:cs="Arial"/>
                <w:sz w:val="20"/>
                <w:szCs w:val="20"/>
              </w:rPr>
            </w:pPr>
          </w:p>
        </w:tc>
        <w:tc>
          <w:tcPr>
            <w:tcW w:w="768" w:type="dxa"/>
            <w:tcBorders>
              <w:top w:val="nil"/>
              <w:left w:val="nil"/>
              <w:bottom w:val="nil"/>
              <w:right w:val="nil"/>
            </w:tcBorders>
            <w:shd w:val="clear" w:color="auto" w:fill="auto"/>
            <w:noWrap/>
            <w:vAlign w:val="bottom"/>
          </w:tcPr>
          <w:p w:rsidR="00857265" w:rsidRDefault="00857265">
            <w:pPr>
              <w:jc w:val="right"/>
              <w:rPr>
                <w:rFonts w:ascii="Arial" w:hAnsi="Arial" w:cs="Arial"/>
                <w:sz w:val="20"/>
                <w:szCs w:val="20"/>
              </w:rPr>
            </w:pPr>
          </w:p>
        </w:tc>
        <w:tc>
          <w:tcPr>
            <w:tcW w:w="808" w:type="dxa"/>
            <w:tcBorders>
              <w:top w:val="nil"/>
              <w:left w:val="nil"/>
              <w:bottom w:val="nil"/>
              <w:right w:val="nil"/>
            </w:tcBorders>
            <w:shd w:val="clear" w:color="auto" w:fill="auto"/>
            <w:noWrap/>
            <w:vAlign w:val="bottom"/>
          </w:tcPr>
          <w:p w:rsidR="00857265" w:rsidRDefault="00857265">
            <w:pPr>
              <w:jc w:val="right"/>
              <w:rPr>
                <w:rFonts w:ascii="Arial" w:hAnsi="Arial" w:cs="Arial"/>
                <w:sz w:val="20"/>
                <w:szCs w:val="20"/>
              </w:rPr>
            </w:pPr>
          </w:p>
        </w:tc>
        <w:tc>
          <w:tcPr>
            <w:tcW w:w="808" w:type="dxa"/>
            <w:tcBorders>
              <w:top w:val="nil"/>
              <w:left w:val="nil"/>
              <w:bottom w:val="nil"/>
              <w:right w:val="nil"/>
            </w:tcBorders>
            <w:shd w:val="clear" w:color="auto" w:fill="auto"/>
            <w:noWrap/>
            <w:vAlign w:val="bottom"/>
          </w:tcPr>
          <w:p w:rsidR="00857265" w:rsidRDefault="00857265">
            <w:pPr>
              <w:jc w:val="right"/>
              <w:rPr>
                <w:rFonts w:ascii="Arial" w:hAnsi="Arial" w:cs="Arial"/>
                <w:sz w:val="20"/>
                <w:szCs w:val="20"/>
              </w:rPr>
            </w:pPr>
          </w:p>
        </w:tc>
        <w:tc>
          <w:tcPr>
            <w:tcW w:w="708" w:type="dxa"/>
            <w:tcBorders>
              <w:top w:val="nil"/>
              <w:left w:val="nil"/>
              <w:bottom w:val="nil"/>
              <w:right w:val="nil"/>
            </w:tcBorders>
            <w:shd w:val="clear" w:color="auto" w:fill="auto"/>
            <w:noWrap/>
            <w:vAlign w:val="bottom"/>
          </w:tcPr>
          <w:p w:rsidR="00857265" w:rsidRDefault="00857265">
            <w:pPr>
              <w:jc w:val="right"/>
              <w:rPr>
                <w:rFonts w:ascii="Arial" w:hAnsi="Arial" w:cs="Arial"/>
                <w:sz w:val="20"/>
                <w:szCs w:val="20"/>
              </w:rPr>
            </w:pPr>
          </w:p>
        </w:tc>
      </w:tr>
    </w:tbl>
    <w:p w:rsidR="00857265" w:rsidRDefault="00857265" w:rsidP="000F4AB5">
      <w:pPr>
        <w:jc w:val="both"/>
        <w:rPr>
          <w:rFonts w:ascii="Tahoma" w:hAnsi="Tahoma" w:cs="Tahoma"/>
          <w:sz w:val="22"/>
          <w:szCs w:val="22"/>
        </w:rPr>
      </w:pPr>
    </w:p>
    <w:p w:rsidR="00857265" w:rsidRDefault="004F53EB" w:rsidP="004F53EB">
      <w:pPr>
        <w:autoSpaceDE w:val="0"/>
        <w:autoSpaceDN w:val="0"/>
        <w:adjustRightInd w:val="0"/>
        <w:jc w:val="both"/>
        <w:rPr>
          <w:rFonts w:ascii="Tahoma" w:hAnsi="Tahoma" w:cs="Tahoma"/>
          <w:iCs/>
          <w:sz w:val="22"/>
          <w:szCs w:val="22"/>
        </w:rPr>
      </w:pPr>
      <w:r w:rsidRPr="004F53EB">
        <w:rPr>
          <w:rFonts w:ascii="Tahoma" w:hAnsi="Tahoma" w:cs="Tahoma"/>
          <w:iCs/>
          <w:sz w:val="22"/>
          <w:szCs w:val="22"/>
        </w:rPr>
        <w:t xml:space="preserve">Ukazovateľ obrat pohľadávok udáva priemerný počet pohľadávok za rok. </w:t>
      </w:r>
      <w:r w:rsidR="000F4AB5" w:rsidRPr="004F53EB">
        <w:rPr>
          <w:rFonts w:ascii="Tahoma" w:hAnsi="Tahoma" w:cs="Tahoma"/>
          <w:iCs/>
          <w:sz w:val="22"/>
          <w:szCs w:val="22"/>
        </w:rPr>
        <w:t xml:space="preserve">Z uvedených výstupov je zrejmé, že platobná disciplína odberateľov sa </w:t>
      </w:r>
      <w:r w:rsidRPr="004F53EB">
        <w:rPr>
          <w:rFonts w:ascii="Tahoma" w:hAnsi="Tahoma" w:cs="Tahoma"/>
          <w:iCs/>
          <w:sz w:val="22"/>
          <w:szCs w:val="22"/>
        </w:rPr>
        <w:t>zlepšila v porovnaní s predchádzajúcim rokom o</w:t>
      </w:r>
      <w:r w:rsidR="00857265">
        <w:rPr>
          <w:rFonts w:ascii="Tahoma" w:hAnsi="Tahoma" w:cs="Tahoma"/>
          <w:iCs/>
          <w:sz w:val="22"/>
          <w:szCs w:val="22"/>
        </w:rPr>
        <w:t xml:space="preserve"> necelých 3 % </w:t>
      </w:r>
      <w:r w:rsidRPr="004F53EB">
        <w:rPr>
          <w:rFonts w:ascii="Tahoma" w:hAnsi="Tahoma" w:cs="Tahoma"/>
          <w:iCs/>
          <w:sz w:val="22"/>
          <w:szCs w:val="22"/>
        </w:rPr>
        <w:t xml:space="preserve">a ukazovateľ udáva, </w:t>
      </w:r>
      <w:r w:rsidRPr="004F53EB">
        <w:rPr>
          <w:rFonts w:ascii="Tahoma" w:hAnsi="Tahoma" w:cs="Tahoma"/>
          <w:sz w:val="22"/>
          <w:szCs w:val="22"/>
        </w:rPr>
        <w:t xml:space="preserve"> koľko dní v priemere trvá, kým sa peniaze viazané v pohľadávkach zinkasujú. Vypovedá o platobnej disciplíne odberateľov.</w:t>
      </w:r>
      <w:r w:rsidR="00C724AD" w:rsidRPr="004F53EB">
        <w:rPr>
          <w:rFonts w:ascii="Tahoma" w:hAnsi="Tahoma" w:cs="Tahoma"/>
          <w:iCs/>
          <w:sz w:val="22"/>
          <w:szCs w:val="22"/>
        </w:rPr>
        <w:t xml:space="preserve"> </w:t>
      </w:r>
    </w:p>
    <w:p w:rsidR="00AF55F3" w:rsidRDefault="00AF55F3" w:rsidP="004F53EB">
      <w:pPr>
        <w:autoSpaceDE w:val="0"/>
        <w:autoSpaceDN w:val="0"/>
        <w:adjustRightInd w:val="0"/>
        <w:jc w:val="both"/>
        <w:rPr>
          <w:rFonts w:ascii="Tahoma" w:hAnsi="Tahoma" w:cs="Tahoma"/>
          <w:iCs/>
          <w:sz w:val="22"/>
          <w:szCs w:val="22"/>
        </w:rPr>
      </w:pPr>
    </w:p>
    <w:p w:rsidR="000F4AB5" w:rsidRDefault="000F4AB5" w:rsidP="000F4AB5">
      <w:pPr>
        <w:jc w:val="both"/>
        <w:rPr>
          <w:rFonts w:ascii="Tahoma" w:hAnsi="Tahoma" w:cs="Tahoma"/>
          <w:iCs/>
          <w:sz w:val="22"/>
          <w:szCs w:val="22"/>
        </w:rPr>
      </w:pPr>
      <w:r w:rsidRPr="000B48EA">
        <w:rPr>
          <w:rFonts w:ascii="Tahoma" w:hAnsi="Tahoma" w:cs="Tahoma"/>
          <w:iCs/>
          <w:sz w:val="22"/>
          <w:szCs w:val="22"/>
        </w:rPr>
        <w:t xml:space="preserve">V oblasti zdrojov krytia majetku Spoločnosť zaznamenala </w:t>
      </w:r>
      <w:r w:rsidR="004F53EB">
        <w:rPr>
          <w:rFonts w:ascii="Tahoma" w:hAnsi="Tahoma" w:cs="Tahoma"/>
          <w:iCs/>
          <w:sz w:val="22"/>
          <w:szCs w:val="22"/>
        </w:rPr>
        <w:t xml:space="preserve">  zvýšenie </w:t>
      </w:r>
      <w:r w:rsidR="00B8343B" w:rsidRPr="000B48EA">
        <w:rPr>
          <w:rFonts w:ascii="Tahoma" w:hAnsi="Tahoma" w:cs="Tahoma"/>
          <w:iCs/>
          <w:sz w:val="22"/>
          <w:szCs w:val="22"/>
        </w:rPr>
        <w:t xml:space="preserve"> </w:t>
      </w:r>
      <w:r w:rsidRPr="000B48EA">
        <w:rPr>
          <w:rFonts w:ascii="Tahoma" w:hAnsi="Tahoma" w:cs="Tahoma"/>
          <w:iCs/>
          <w:sz w:val="22"/>
          <w:szCs w:val="22"/>
        </w:rPr>
        <w:t>vlastných zdrojov krytia oproti minulému účtovnému obdobiu</w:t>
      </w:r>
      <w:r w:rsidR="0012687D">
        <w:rPr>
          <w:rFonts w:ascii="Tahoma" w:hAnsi="Tahoma" w:cs="Tahoma"/>
          <w:iCs/>
          <w:sz w:val="22"/>
          <w:szCs w:val="22"/>
        </w:rPr>
        <w:t xml:space="preserve"> vo výške </w:t>
      </w:r>
      <w:r w:rsidR="00005C30">
        <w:rPr>
          <w:rFonts w:ascii="Tahoma" w:hAnsi="Tahoma" w:cs="Tahoma"/>
          <w:iCs/>
          <w:sz w:val="22"/>
          <w:szCs w:val="22"/>
        </w:rPr>
        <w:t>12</w:t>
      </w:r>
      <w:r w:rsidR="0012687D" w:rsidRPr="006B07EC">
        <w:rPr>
          <w:rFonts w:ascii="Tahoma" w:hAnsi="Tahoma" w:cs="Tahoma"/>
          <w:iCs/>
          <w:sz w:val="22"/>
          <w:szCs w:val="22"/>
        </w:rPr>
        <w:t xml:space="preserve"> %.</w:t>
      </w:r>
      <w:r w:rsidR="0012687D">
        <w:rPr>
          <w:rFonts w:ascii="Tahoma" w:hAnsi="Tahoma" w:cs="Tahoma"/>
          <w:iCs/>
          <w:sz w:val="22"/>
          <w:szCs w:val="22"/>
        </w:rPr>
        <w:t xml:space="preserve">  Cudzie zdroje financovania potrieb spoločnosti klesli v minimálnej výške. Pozitívne je, že v súčasnej situácie nemali tendenciu rastu. </w:t>
      </w:r>
      <w:r w:rsidR="00B8343B" w:rsidRPr="000B48EA">
        <w:rPr>
          <w:rFonts w:ascii="Tahoma" w:hAnsi="Tahoma" w:cs="Tahoma"/>
          <w:iCs/>
          <w:sz w:val="22"/>
          <w:szCs w:val="22"/>
        </w:rPr>
        <w:t>Štruktúra zdrojov krytia potrieb spoločnosti je nasledovná:</w:t>
      </w:r>
      <w:r w:rsidRPr="000B48EA">
        <w:rPr>
          <w:rFonts w:ascii="Tahoma" w:hAnsi="Tahoma" w:cs="Tahoma"/>
          <w:iCs/>
          <w:sz w:val="22"/>
          <w:szCs w:val="22"/>
        </w:rPr>
        <w:t xml:space="preserve"> </w:t>
      </w:r>
    </w:p>
    <w:p w:rsidR="0012687D" w:rsidRDefault="0012687D" w:rsidP="000F4AB5">
      <w:pPr>
        <w:jc w:val="both"/>
        <w:rPr>
          <w:rFonts w:ascii="Tahoma" w:hAnsi="Tahoma" w:cs="Tahoma"/>
          <w:iCs/>
          <w:sz w:val="22"/>
          <w:szCs w:val="22"/>
        </w:rPr>
      </w:pPr>
    </w:p>
    <w:p w:rsidR="0012687D" w:rsidRDefault="0012687D" w:rsidP="000F4AB5">
      <w:pPr>
        <w:jc w:val="both"/>
        <w:rPr>
          <w:rFonts w:ascii="Tahoma" w:hAnsi="Tahoma" w:cs="Tahoma"/>
          <w:iCs/>
          <w:sz w:val="22"/>
          <w:szCs w:val="22"/>
        </w:rPr>
      </w:pPr>
    </w:p>
    <w:tbl>
      <w:tblPr>
        <w:tblW w:w="5000" w:type="pct"/>
        <w:tblCellMar>
          <w:left w:w="70" w:type="dxa"/>
          <w:right w:w="70" w:type="dxa"/>
        </w:tblCellMar>
        <w:tblLook w:val="04A0"/>
      </w:tblPr>
      <w:tblGrid>
        <w:gridCol w:w="4749"/>
        <w:gridCol w:w="1111"/>
        <w:gridCol w:w="1111"/>
        <w:gridCol w:w="1111"/>
        <w:gridCol w:w="1111"/>
        <w:gridCol w:w="188"/>
      </w:tblGrid>
      <w:tr w:rsidR="0012687D" w:rsidTr="0012687D">
        <w:trPr>
          <w:trHeight w:val="255"/>
        </w:trPr>
        <w:tc>
          <w:tcPr>
            <w:tcW w:w="2530" w:type="pct"/>
            <w:tcBorders>
              <w:top w:val="nil"/>
              <w:left w:val="nil"/>
              <w:bottom w:val="single" w:sz="4" w:space="0" w:color="auto"/>
              <w:right w:val="single" w:sz="4" w:space="0" w:color="auto"/>
            </w:tcBorders>
            <w:shd w:val="clear" w:color="auto" w:fill="auto"/>
            <w:noWrap/>
            <w:vAlign w:val="bottom"/>
            <w:hideMark/>
          </w:tcPr>
          <w:p w:rsidR="0012687D" w:rsidRDefault="0012687D">
            <w:pPr>
              <w:rPr>
                <w:rFonts w:ascii="Arial" w:hAnsi="Arial" w:cs="Arial"/>
                <w:b/>
                <w:bCs/>
                <w:sz w:val="20"/>
                <w:szCs w:val="20"/>
              </w:rPr>
            </w:pPr>
            <w:r>
              <w:rPr>
                <w:rFonts w:ascii="Arial" w:hAnsi="Arial" w:cs="Arial"/>
                <w:b/>
                <w:bCs/>
                <w:sz w:val="20"/>
                <w:szCs w:val="20"/>
              </w:rPr>
              <w:t>Text položky   (EUR)</w:t>
            </w:r>
          </w:p>
        </w:tc>
        <w:tc>
          <w:tcPr>
            <w:tcW w:w="592" w:type="pct"/>
            <w:tcBorders>
              <w:top w:val="nil"/>
              <w:left w:val="nil"/>
              <w:bottom w:val="single" w:sz="4" w:space="0" w:color="auto"/>
              <w:right w:val="nil"/>
            </w:tcBorders>
            <w:shd w:val="clear" w:color="auto" w:fill="auto"/>
            <w:noWrap/>
            <w:vAlign w:val="bottom"/>
            <w:hideMark/>
          </w:tcPr>
          <w:p w:rsidR="0012687D" w:rsidRDefault="0012687D">
            <w:pPr>
              <w:jc w:val="right"/>
              <w:rPr>
                <w:rFonts w:ascii="Arial" w:hAnsi="Arial" w:cs="Arial"/>
                <w:b/>
                <w:bCs/>
                <w:sz w:val="20"/>
                <w:szCs w:val="20"/>
              </w:rPr>
            </w:pPr>
            <w:r>
              <w:rPr>
                <w:rFonts w:ascii="Arial" w:hAnsi="Arial" w:cs="Arial"/>
                <w:b/>
                <w:bCs/>
                <w:sz w:val="20"/>
                <w:szCs w:val="20"/>
              </w:rPr>
              <w:t>2012</w:t>
            </w:r>
          </w:p>
        </w:tc>
        <w:tc>
          <w:tcPr>
            <w:tcW w:w="592" w:type="pct"/>
            <w:tcBorders>
              <w:top w:val="nil"/>
              <w:left w:val="nil"/>
              <w:bottom w:val="single" w:sz="4" w:space="0" w:color="auto"/>
              <w:right w:val="nil"/>
            </w:tcBorders>
            <w:shd w:val="clear" w:color="auto" w:fill="auto"/>
            <w:noWrap/>
            <w:vAlign w:val="bottom"/>
            <w:hideMark/>
          </w:tcPr>
          <w:p w:rsidR="0012687D" w:rsidRDefault="0012687D">
            <w:pPr>
              <w:jc w:val="right"/>
              <w:rPr>
                <w:rFonts w:ascii="Arial" w:hAnsi="Arial" w:cs="Arial"/>
                <w:b/>
                <w:bCs/>
                <w:sz w:val="20"/>
                <w:szCs w:val="20"/>
              </w:rPr>
            </w:pPr>
            <w:r>
              <w:rPr>
                <w:rFonts w:ascii="Arial" w:hAnsi="Arial" w:cs="Arial"/>
                <w:b/>
                <w:bCs/>
                <w:sz w:val="20"/>
                <w:szCs w:val="20"/>
              </w:rPr>
              <w:t>2013</w:t>
            </w:r>
          </w:p>
        </w:tc>
        <w:tc>
          <w:tcPr>
            <w:tcW w:w="592" w:type="pct"/>
            <w:tcBorders>
              <w:top w:val="nil"/>
              <w:left w:val="nil"/>
              <w:bottom w:val="single" w:sz="4" w:space="0" w:color="auto"/>
              <w:right w:val="nil"/>
            </w:tcBorders>
            <w:shd w:val="clear" w:color="auto" w:fill="auto"/>
            <w:noWrap/>
            <w:vAlign w:val="bottom"/>
            <w:hideMark/>
          </w:tcPr>
          <w:p w:rsidR="0012687D" w:rsidRDefault="0012687D">
            <w:pPr>
              <w:jc w:val="right"/>
              <w:rPr>
                <w:rFonts w:ascii="Arial" w:hAnsi="Arial" w:cs="Arial"/>
                <w:b/>
                <w:bCs/>
                <w:sz w:val="20"/>
                <w:szCs w:val="20"/>
              </w:rPr>
            </w:pPr>
            <w:r>
              <w:rPr>
                <w:rFonts w:ascii="Arial" w:hAnsi="Arial" w:cs="Arial"/>
                <w:b/>
                <w:bCs/>
                <w:sz w:val="20"/>
                <w:szCs w:val="20"/>
              </w:rPr>
              <w:t>2014</w:t>
            </w:r>
          </w:p>
        </w:tc>
        <w:tc>
          <w:tcPr>
            <w:tcW w:w="592" w:type="pct"/>
            <w:tcBorders>
              <w:top w:val="nil"/>
              <w:left w:val="nil"/>
              <w:bottom w:val="single" w:sz="4" w:space="0" w:color="auto"/>
              <w:right w:val="nil"/>
            </w:tcBorders>
            <w:shd w:val="clear" w:color="auto" w:fill="auto"/>
            <w:noWrap/>
            <w:vAlign w:val="bottom"/>
            <w:hideMark/>
          </w:tcPr>
          <w:p w:rsidR="0012687D" w:rsidRDefault="0012687D">
            <w:pPr>
              <w:jc w:val="right"/>
              <w:rPr>
                <w:rFonts w:ascii="Arial" w:hAnsi="Arial" w:cs="Arial"/>
                <w:b/>
                <w:bCs/>
                <w:sz w:val="20"/>
                <w:szCs w:val="20"/>
              </w:rPr>
            </w:pPr>
            <w:r>
              <w:rPr>
                <w:rFonts w:ascii="Arial" w:hAnsi="Arial" w:cs="Arial"/>
                <w:b/>
                <w:bCs/>
                <w:sz w:val="20"/>
                <w:szCs w:val="20"/>
              </w:rPr>
              <w:t>2015</w:t>
            </w:r>
          </w:p>
        </w:tc>
        <w:tc>
          <w:tcPr>
            <w:tcW w:w="100" w:type="pct"/>
            <w:tcBorders>
              <w:top w:val="nil"/>
              <w:left w:val="nil"/>
              <w:bottom w:val="nil"/>
              <w:right w:val="nil"/>
            </w:tcBorders>
            <w:shd w:val="clear" w:color="auto" w:fill="auto"/>
            <w:noWrap/>
            <w:vAlign w:val="bottom"/>
            <w:hideMark/>
          </w:tcPr>
          <w:p w:rsidR="0012687D" w:rsidRDefault="0012687D">
            <w:pPr>
              <w:rPr>
                <w:rFonts w:ascii="Arial" w:hAnsi="Arial" w:cs="Arial"/>
                <w:b/>
                <w:bCs/>
                <w:sz w:val="20"/>
                <w:szCs w:val="20"/>
              </w:rPr>
            </w:pPr>
          </w:p>
        </w:tc>
      </w:tr>
      <w:tr w:rsidR="0012687D" w:rsidTr="0012687D">
        <w:trPr>
          <w:trHeight w:val="255"/>
        </w:trPr>
        <w:tc>
          <w:tcPr>
            <w:tcW w:w="2530" w:type="pct"/>
            <w:tcBorders>
              <w:top w:val="nil"/>
              <w:left w:val="nil"/>
              <w:bottom w:val="nil"/>
              <w:right w:val="single" w:sz="4" w:space="0" w:color="auto"/>
            </w:tcBorders>
            <w:shd w:val="clear" w:color="auto" w:fill="auto"/>
            <w:noWrap/>
            <w:vAlign w:val="bottom"/>
            <w:hideMark/>
          </w:tcPr>
          <w:p w:rsidR="0012687D" w:rsidRDefault="0012687D">
            <w:pPr>
              <w:rPr>
                <w:rFonts w:ascii="Arial" w:hAnsi="Arial" w:cs="Arial"/>
                <w:sz w:val="20"/>
                <w:szCs w:val="20"/>
              </w:rPr>
            </w:pPr>
            <w:r>
              <w:rPr>
                <w:rFonts w:ascii="Arial" w:hAnsi="Arial" w:cs="Arial"/>
                <w:sz w:val="20"/>
                <w:szCs w:val="20"/>
              </w:rPr>
              <w:t xml:space="preserve">SPOLU VLASTNÉ IMANIE A ZÁVÄZKY </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976 379</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933 831</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926 920</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949 465</w:t>
            </w:r>
          </w:p>
        </w:tc>
        <w:tc>
          <w:tcPr>
            <w:tcW w:w="100" w:type="pct"/>
            <w:tcBorders>
              <w:top w:val="nil"/>
              <w:left w:val="nil"/>
              <w:bottom w:val="nil"/>
              <w:right w:val="nil"/>
            </w:tcBorders>
            <w:shd w:val="clear" w:color="auto" w:fill="auto"/>
            <w:noWrap/>
            <w:vAlign w:val="bottom"/>
          </w:tcPr>
          <w:p w:rsidR="0012687D" w:rsidRDefault="0012687D">
            <w:pPr>
              <w:jc w:val="right"/>
              <w:rPr>
                <w:rFonts w:ascii="Arial" w:hAnsi="Arial" w:cs="Arial"/>
                <w:sz w:val="20"/>
                <w:szCs w:val="20"/>
              </w:rPr>
            </w:pPr>
          </w:p>
        </w:tc>
      </w:tr>
      <w:tr w:rsidR="0012687D" w:rsidTr="0012687D">
        <w:trPr>
          <w:trHeight w:val="255"/>
        </w:trPr>
        <w:tc>
          <w:tcPr>
            <w:tcW w:w="2530" w:type="pct"/>
            <w:tcBorders>
              <w:top w:val="nil"/>
              <w:left w:val="nil"/>
              <w:bottom w:val="nil"/>
              <w:right w:val="single" w:sz="4" w:space="0" w:color="auto"/>
            </w:tcBorders>
            <w:shd w:val="clear" w:color="auto" w:fill="auto"/>
            <w:noWrap/>
            <w:vAlign w:val="bottom"/>
            <w:hideMark/>
          </w:tcPr>
          <w:p w:rsidR="0012687D" w:rsidRDefault="0012687D">
            <w:pPr>
              <w:rPr>
                <w:rFonts w:ascii="Arial" w:hAnsi="Arial" w:cs="Arial"/>
                <w:sz w:val="20"/>
                <w:szCs w:val="20"/>
              </w:rPr>
            </w:pPr>
            <w:r>
              <w:rPr>
                <w:rFonts w:ascii="Arial" w:hAnsi="Arial" w:cs="Arial"/>
                <w:sz w:val="20"/>
                <w:szCs w:val="20"/>
              </w:rPr>
              <w:t xml:space="preserve">Vlastné imanie </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90 354</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90 654</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96 514</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108 322</w:t>
            </w:r>
          </w:p>
        </w:tc>
        <w:tc>
          <w:tcPr>
            <w:tcW w:w="100" w:type="pct"/>
            <w:tcBorders>
              <w:top w:val="nil"/>
              <w:left w:val="nil"/>
              <w:bottom w:val="nil"/>
              <w:right w:val="nil"/>
            </w:tcBorders>
            <w:shd w:val="clear" w:color="auto" w:fill="auto"/>
            <w:noWrap/>
            <w:vAlign w:val="bottom"/>
          </w:tcPr>
          <w:p w:rsidR="0012687D" w:rsidRDefault="0012687D">
            <w:pPr>
              <w:jc w:val="right"/>
              <w:rPr>
                <w:rFonts w:ascii="Arial" w:hAnsi="Arial" w:cs="Arial"/>
                <w:sz w:val="20"/>
                <w:szCs w:val="20"/>
              </w:rPr>
            </w:pPr>
          </w:p>
        </w:tc>
      </w:tr>
      <w:tr w:rsidR="0012687D" w:rsidTr="0012687D">
        <w:trPr>
          <w:trHeight w:val="255"/>
        </w:trPr>
        <w:tc>
          <w:tcPr>
            <w:tcW w:w="2530" w:type="pct"/>
            <w:tcBorders>
              <w:top w:val="nil"/>
              <w:left w:val="nil"/>
              <w:bottom w:val="nil"/>
              <w:right w:val="single" w:sz="4" w:space="0" w:color="auto"/>
            </w:tcBorders>
            <w:shd w:val="clear" w:color="auto" w:fill="auto"/>
            <w:noWrap/>
            <w:vAlign w:val="bottom"/>
            <w:hideMark/>
          </w:tcPr>
          <w:p w:rsidR="0012687D" w:rsidRDefault="0012687D">
            <w:pPr>
              <w:rPr>
                <w:rFonts w:ascii="Arial" w:hAnsi="Arial" w:cs="Arial"/>
                <w:sz w:val="20"/>
                <w:szCs w:val="20"/>
              </w:rPr>
            </w:pPr>
            <w:r>
              <w:rPr>
                <w:rFonts w:ascii="Arial" w:hAnsi="Arial" w:cs="Arial"/>
                <w:sz w:val="20"/>
                <w:szCs w:val="20"/>
              </w:rPr>
              <w:t xml:space="preserve">Základné imanie </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66 400</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66 400</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66 400</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66 400</w:t>
            </w:r>
          </w:p>
        </w:tc>
        <w:tc>
          <w:tcPr>
            <w:tcW w:w="100" w:type="pct"/>
            <w:tcBorders>
              <w:top w:val="nil"/>
              <w:left w:val="nil"/>
              <w:bottom w:val="nil"/>
              <w:right w:val="nil"/>
            </w:tcBorders>
            <w:shd w:val="clear" w:color="auto" w:fill="auto"/>
            <w:noWrap/>
            <w:vAlign w:val="bottom"/>
          </w:tcPr>
          <w:p w:rsidR="0012687D" w:rsidRDefault="0012687D">
            <w:pPr>
              <w:jc w:val="right"/>
              <w:rPr>
                <w:rFonts w:ascii="Arial" w:hAnsi="Arial" w:cs="Arial"/>
                <w:sz w:val="20"/>
                <w:szCs w:val="20"/>
              </w:rPr>
            </w:pPr>
          </w:p>
        </w:tc>
      </w:tr>
      <w:tr w:rsidR="0012687D" w:rsidTr="0012687D">
        <w:trPr>
          <w:trHeight w:val="255"/>
        </w:trPr>
        <w:tc>
          <w:tcPr>
            <w:tcW w:w="2530" w:type="pct"/>
            <w:tcBorders>
              <w:top w:val="nil"/>
              <w:left w:val="nil"/>
              <w:bottom w:val="nil"/>
              <w:right w:val="single" w:sz="4" w:space="0" w:color="auto"/>
            </w:tcBorders>
            <w:shd w:val="clear" w:color="auto" w:fill="auto"/>
            <w:noWrap/>
            <w:vAlign w:val="bottom"/>
            <w:hideMark/>
          </w:tcPr>
          <w:p w:rsidR="0012687D" w:rsidRDefault="0012687D">
            <w:pPr>
              <w:rPr>
                <w:rFonts w:ascii="Arial" w:hAnsi="Arial" w:cs="Arial"/>
                <w:sz w:val="20"/>
                <w:szCs w:val="20"/>
              </w:rPr>
            </w:pPr>
            <w:r>
              <w:rPr>
                <w:rFonts w:ascii="Arial" w:hAnsi="Arial" w:cs="Arial"/>
                <w:sz w:val="20"/>
                <w:szCs w:val="20"/>
              </w:rPr>
              <w:t xml:space="preserve">Zákonné rezervné fondy </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13 279</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13 279</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13 279</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13 279</w:t>
            </w:r>
          </w:p>
        </w:tc>
        <w:tc>
          <w:tcPr>
            <w:tcW w:w="100" w:type="pct"/>
            <w:tcBorders>
              <w:top w:val="nil"/>
              <w:left w:val="nil"/>
              <w:bottom w:val="nil"/>
              <w:right w:val="nil"/>
            </w:tcBorders>
            <w:shd w:val="clear" w:color="auto" w:fill="auto"/>
            <w:noWrap/>
            <w:vAlign w:val="bottom"/>
          </w:tcPr>
          <w:p w:rsidR="0012687D" w:rsidRDefault="0012687D">
            <w:pPr>
              <w:jc w:val="right"/>
              <w:rPr>
                <w:rFonts w:ascii="Arial" w:hAnsi="Arial" w:cs="Arial"/>
                <w:sz w:val="20"/>
                <w:szCs w:val="20"/>
              </w:rPr>
            </w:pPr>
          </w:p>
        </w:tc>
      </w:tr>
      <w:tr w:rsidR="0012687D" w:rsidTr="0012687D">
        <w:trPr>
          <w:trHeight w:val="255"/>
        </w:trPr>
        <w:tc>
          <w:tcPr>
            <w:tcW w:w="2530" w:type="pct"/>
            <w:tcBorders>
              <w:top w:val="nil"/>
              <w:left w:val="nil"/>
              <w:bottom w:val="nil"/>
              <w:right w:val="single" w:sz="4" w:space="0" w:color="auto"/>
            </w:tcBorders>
            <w:shd w:val="clear" w:color="auto" w:fill="auto"/>
            <w:noWrap/>
            <w:vAlign w:val="bottom"/>
            <w:hideMark/>
          </w:tcPr>
          <w:p w:rsidR="0012687D" w:rsidRDefault="0012687D">
            <w:pPr>
              <w:rPr>
                <w:rFonts w:ascii="Arial" w:hAnsi="Arial" w:cs="Arial"/>
                <w:sz w:val="20"/>
                <w:szCs w:val="20"/>
              </w:rPr>
            </w:pPr>
            <w:r>
              <w:rPr>
                <w:rFonts w:ascii="Arial" w:hAnsi="Arial" w:cs="Arial"/>
                <w:sz w:val="20"/>
                <w:szCs w:val="20"/>
              </w:rPr>
              <w:t xml:space="preserve">Výsledok hospodárenia minulých rokov </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103 286</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10 675</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10 975</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16 852</w:t>
            </w:r>
          </w:p>
        </w:tc>
        <w:tc>
          <w:tcPr>
            <w:tcW w:w="100" w:type="pct"/>
            <w:tcBorders>
              <w:top w:val="nil"/>
              <w:left w:val="nil"/>
              <w:bottom w:val="nil"/>
              <w:right w:val="nil"/>
            </w:tcBorders>
            <w:shd w:val="clear" w:color="auto" w:fill="auto"/>
            <w:noWrap/>
            <w:vAlign w:val="bottom"/>
          </w:tcPr>
          <w:p w:rsidR="0012687D" w:rsidRDefault="0012687D">
            <w:pPr>
              <w:jc w:val="right"/>
              <w:rPr>
                <w:rFonts w:ascii="Arial" w:hAnsi="Arial" w:cs="Arial"/>
                <w:sz w:val="20"/>
                <w:szCs w:val="20"/>
              </w:rPr>
            </w:pPr>
          </w:p>
        </w:tc>
      </w:tr>
      <w:tr w:rsidR="0012687D" w:rsidTr="0012687D">
        <w:trPr>
          <w:trHeight w:val="255"/>
        </w:trPr>
        <w:tc>
          <w:tcPr>
            <w:tcW w:w="2530" w:type="pct"/>
            <w:tcBorders>
              <w:top w:val="nil"/>
              <w:left w:val="nil"/>
              <w:bottom w:val="nil"/>
              <w:right w:val="single" w:sz="4" w:space="0" w:color="auto"/>
            </w:tcBorders>
            <w:shd w:val="clear" w:color="auto" w:fill="auto"/>
            <w:noWrap/>
            <w:vAlign w:val="bottom"/>
            <w:hideMark/>
          </w:tcPr>
          <w:p w:rsidR="0012687D" w:rsidRDefault="0012687D">
            <w:pPr>
              <w:rPr>
                <w:rFonts w:ascii="Arial" w:hAnsi="Arial" w:cs="Arial"/>
                <w:sz w:val="20"/>
                <w:szCs w:val="20"/>
              </w:rPr>
            </w:pPr>
            <w:r>
              <w:rPr>
                <w:rFonts w:ascii="Arial" w:hAnsi="Arial" w:cs="Arial"/>
                <w:sz w:val="20"/>
                <w:szCs w:val="20"/>
              </w:rPr>
              <w:t>HV  za účtovné obdobie po zdanení /+-/</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-92 611</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300</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5 860</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11 791</w:t>
            </w:r>
          </w:p>
        </w:tc>
        <w:tc>
          <w:tcPr>
            <w:tcW w:w="100" w:type="pct"/>
            <w:tcBorders>
              <w:top w:val="nil"/>
              <w:left w:val="nil"/>
              <w:bottom w:val="nil"/>
              <w:right w:val="nil"/>
            </w:tcBorders>
            <w:shd w:val="clear" w:color="auto" w:fill="auto"/>
            <w:noWrap/>
            <w:vAlign w:val="bottom"/>
          </w:tcPr>
          <w:p w:rsidR="0012687D" w:rsidRDefault="0012687D">
            <w:pPr>
              <w:jc w:val="right"/>
              <w:rPr>
                <w:rFonts w:ascii="Arial" w:hAnsi="Arial" w:cs="Arial"/>
                <w:sz w:val="20"/>
                <w:szCs w:val="20"/>
              </w:rPr>
            </w:pPr>
          </w:p>
        </w:tc>
      </w:tr>
      <w:tr w:rsidR="0012687D" w:rsidTr="0012687D">
        <w:trPr>
          <w:trHeight w:val="255"/>
        </w:trPr>
        <w:tc>
          <w:tcPr>
            <w:tcW w:w="2530" w:type="pct"/>
            <w:tcBorders>
              <w:top w:val="nil"/>
              <w:left w:val="nil"/>
              <w:bottom w:val="nil"/>
              <w:right w:val="single" w:sz="4" w:space="0" w:color="auto"/>
            </w:tcBorders>
            <w:shd w:val="clear" w:color="auto" w:fill="auto"/>
            <w:noWrap/>
            <w:vAlign w:val="bottom"/>
            <w:hideMark/>
          </w:tcPr>
          <w:p w:rsidR="0012687D" w:rsidRDefault="0012687D">
            <w:pPr>
              <w:rPr>
                <w:rFonts w:ascii="Arial" w:hAnsi="Arial" w:cs="Arial"/>
                <w:sz w:val="20"/>
                <w:szCs w:val="20"/>
              </w:rPr>
            </w:pPr>
            <w:r>
              <w:rPr>
                <w:rFonts w:ascii="Arial" w:hAnsi="Arial" w:cs="Arial"/>
                <w:sz w:val="20"/>
                <w:szCs w:val="20"/>
              </w:rPr>
              <w:t xml:space="preserve">Záväzky </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886 025</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843 177</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830 406</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830 208</w:t>
            </w:r>
          </w:p>
        </w:tc>
        <w:tc>
          <w:tcPr>
            <w:tcW w:w="100" w:type="pct"/>
            <w:tcBorders>
              <w:top w:val="nil"/>
              <w:left w:val="nil"/>
              <w:bottom w:val="nil"/>
              <w:right w:val="nil"/>
            </w:tcBorders>
            <w:shd w:val="clear" w:color="auto" w:fill="auto"/>
            <w:noWrap/>
            <w:vAlign w:val="bottom"/>
          </w:tcPr>
          <w:p w:rsidR="0012687D" w:rsidRDefault="0012687D">
            <w:pPr>
              <w:jc w:val="right"/>
              <w:rPr>
                <w:rFonts w:ascii="Arial" w:hAnsi="Arial" w:cs="Arial"/>
                <w:sz w:val="20"/>
                <w:szCs w:val="20"/>
              </w:rPr>
            </w:pPr>
          </w:p>
        </w:tc>
      </w:tr>
      <w:tr w:rsidR="0012687D" w:rsidTr="0012687D">
        <w:trPr>
          <w:trHeight w:val="255"/>
        </w:trPr>
        <w:tc>
          <w:tcPr>
            <w:tcW w:w="2530" w:type="pct"/>
            <w:tcBorders>
              <w:top w:val="nil"/>
              <w:left w:val="nil"/>
              <w:bottom w:val="nil"/>
              <w:right w:val="single" w:sz="4" w:space="0" w:color="auto"/>
            </w:tcBorders>
            <w:shd w:val="clear" w:color="auto" w:fill="auto"/>
            <w:noWrap/>
            <w:vAlign w:val="bottom"/>
            <w:hideMark/>
          </w:tcPr>
          <w:p w:rsidR="0012687D" w:rsidRDefault="0012687D">
            <w:pPr>
              <w:rPr>
                <w:rFonts w:ascii="Arial" w:hAnsi="Arial" w:cs="Arial"/>
                <w:sz w:val="20"/>
                <w:szCs w:val="20"/>
              </w:rPr>
            </w:pPr>
            <w:r>
              <w:rPr>
                <w:rFonts w:ascii="Arial" w:hAnsi="Arial" w:cs="Arial"/>
                <w:sz w:val="20"/>
                <w:szCs w:val="20"/>
              </w:rPr>
              <w:t>Dlhodobé záväzky</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1 910</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2 443</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5 395</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3 401</w:t>
            </w:r>
          </w:p>
        </w:tc>
        <w:tc>
          <w:tcPr>
            <w:tcW w:w="100" w:type="pct"/>
            <w:tcBorders>
              <w:top w:val="nil"/>
              <w:left w:val="nil"/>
              <w:bottom w:val="nil"/>
              <w:right w:val="nil"/>
            </w:tcBorders>
            <w:shd w:val="clear" w:color="auto" w:fill="auto"/>
            <w:noWrap/>
            <w:vAlign w:val="bottom"/>
          </w:tcPr>
          <w:p w:rsidR="0012687D" w:rsidRDefault="0012687D">
            <w:pPr>
              <w:jc w:val="right"/>
              <w:rPr>
                <w:rFonts w:ascii="Arial" w:hAnsi="Arial" w:cs="Arial"/>
                <w:sz w:val="20"/>
                <w:szCs w:val="20"/>
              </w:rPr>
            </w:pPr>
          </w:p>
        </w:tc>
      </w:tr>
      <w:tr w:rsidR="0012687D" w:rsidTr="0012687D">
        <w:trPr>
          <w:trHeight w:val="255"/>
        </w:trPr>
        <w:tc>
          <w:tcPr>
            <w:tcW w:w="2530" w:type="pct"/>
            <w:tcBorders>
              <w:top w:val="nil"/>
              <w:left w:val="nil"/>
              <w:bottom w:val="nil"/>
              <w:right w:val="single" w:sz="4" w:space="0" w:color="auto"/>
            </w:tcBorders>
            <w:shd w:val="clear" w:color="auto" w:fill="auto"/>
            <w:noWrap/>
            <w:vAlign w:val="bottom"/>
            <w:hideMark/>
          </w:tcPr>
          <w:p w:rsidR="0012687D" w:rsidRDefault="0012687D">
            <w:pPr>
              <w:rPr>
                <w:rFonts w:ascii="Arial" w:hAnsi="Arial" w:cs="Arial"/>
                <w:sz w:val="20"/>
                <w:szCs w:val="20"/>
              </w:rPr>
            </w:pPr>
            <w:r>
              <w:rPr>
                <w:rFonts w:ascii="Arial" w:hAnsi="Arial" w:cs="Arial"/>
                <w:sz w:val="20"/>
                <w:szCs w:val="20"/>
              </w:rPr>
              <w:t>Dlhodobé rezervy</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412</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376</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349</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349</w:t>
            </w:r>
          </w:p>
        </w:tc>
        <w:tc>
          <w:tcPr>
            <w:tcW w:w="100" w:type="pct"/>
            <w:tcBorders>
              <w:top w:val="nil"/>
              <w:left w:val="nil"/>
              <w:bottom w:val="nil"/>
              <w:right w:val="nil"/>
            </w:tcBorders>
            <w:shd w:val="clear" w:color="auto" w:fill="auto"/>
            <w:noWrap/>
            <w:vAlign w:val="bottom"/>
          </w:tcPr>
          <w:p w:rsidR="0012687D" w:rsidRDefault="0012687D">
            <w:pPr>
              <w:jc w:val="right"/>
              <w:rPr>
                <w:rFonts w:ascii="Arial" w:hAnsi="Arial" w:cs="Arial"/>
                <w:sz w:val="20"/>
                <w:szCs w:val="20"/>
              </w:rPr>
            </w:pPr>
          </w:p>
        </w:tc>
      </w:tr>
      <w:tr w:rsidR="0012687D" w:rsidTr="0012687D">
        <w:trPr>
          <w:trHeight w:val="255"/>
        </w:trPr>
        <w:tc>
          <w:tcPr>
            <w:tcW w:w="2530" w:type="pct"/>
            <w:tcBorders>
              <w:top w:val="nil"/>
              <w:left w:val="nil"/>
              <w:bottom w:val="nil"/>
              <w:right w:val="single" w:sz="4" w:space="0" w:color="auto"/>
            </w:tcBorders>
            <w:shd w:val="clear" w:color="auto" w:fill="auto"/>
            <w:noWrap/>
            <w:vAlign w:val="bottom"/>
            <w:hideMark/>
          </w:tcPr>
          <w:p w:rsidR="0012687D" w:rsidRDefault="0012687D">
            <w:pPr>
              <w:rPr>
                <w:rFonts w:ascii="Arial" w:hAnsi="Arial" w:cs="Arial"/>
                <w:sz w:val="20"/>
                <w:szCs w:val="20"/>
              </w:rPr>
            </w:pPr>
            <w:r>
              <w:rPr>
                <w:rFonts w:ascii="Arial" w:hAnsi="Arial" w:cs="Arial"/>
                <w:sz w:val="20"/>
                <w:szCs w:val="20"/>
              </w:rPr>
              <w:t xml:space="preserve">Krátkodobé záväzky </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876 469</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835 548</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820 453</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809 863</w:t>
            </w:r>
          </w:p>
        </w:tc>
        <w:tc>
          <w:tcPr>
            <w:tcW w:w="100" w:type="pct"/>
            <w:tcBorders>
              <w:top w:val="nil"/>
              <w:left w:val="nil"/>
              <w:bottom w:val="nil"/>
              <w:right w:val="nil"/>
            </w:tcBorders>
            <w:shd w:val="clear" w:color="auto" w:fill="auto"/>
            <w:noWrap/>
            <w:vAlign w:val="bottom"/>
          </w:tcPr>
          <w:p w:rsidR="0012687D" w:rsidRDefault="0012687D">
            <w:pPr>
              <w:jc w:val="right"/>
              <w:rPr>
                <w:rFonts w:ascii="Arial" w:hAnsi="Arial" w:cs="Arial"/>
                <w:sz w:val="20"/>
                <w:szCs w:val="20"/>
              </w:rPr>
            </w:pPr>
          </w:p>
        </w:tc>
      </w:tr>
      <w:tr w:rsidR="0012687D" w:rsidTr="0012687D">
        <w:trPr>
          <w:trHeight w:val="255"/>
        </w:trPr>
        <w:tc>
          <w:tcPr>
            <w:tcW w:w="2530" w:type="pct"/>
            <w:tcBorders>
              <w:top w:val="nil"/>
              <w:left w:val="nil"/>
              <w:bottom w:val="nil"/>
              <w:right w:val="single" w:sz="4" w:space="0" w:color="auto"/>
            </w:tcBorders>
            <w:shd w:val="clear" w:color="auto" w:fill="auto"/>
            <w:noWrap/>
            <w:vAlign w:val="bottom"/>
            <w:hideMark/>
          </w:tcPr>
          <w:p w:rsidR="0012687D" w:rsidRDefault="0012687D">
            <w:pPr>
              <w:rPr>
                <w:rFonts w:ascii="Arial" w:hAnsi="Arial" w:cs="Arial"/>
                <w:sz w:val="20"/>
                <w:szCs w:val="20"/>
              </w:rPr>
            </w:pPr>
            <w:r>
              <w:rPr>
                <w:rFonts w:ascii="Arial" w:hAnsi="Arial" w:cs="Arial"/>
                <w:sz w:val="20"/>
                <w:szCs w:val="20"/>
              </w:rPr>
              <w:t>Krátkodobé rezervy</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7 234</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4 810</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4 209</w:t>
            </w: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16 595</w:t>
            </w:r>
          </w:p>
        </w:tc>
        <w:tc>
          <w:tcPr>
            <w:tcW w:w="100" w:type="pct"/>
            <w:tcBorders>
              <w:top w:val="nil"/>
              <w:left w:val="nil"/>
              <w:bottom w:val="nil"/>
              <w:right w:val="nil"/>
            </w:tcBorders>
            <w:shd w:val="clear" w:color="auto" w:fill="auto"/>
            <w:noWrap/>
            <w:vAlign w:val="bottom"/>
          </w:tcPr>
          <w:p w:rsidR="0012687D" w:rsidRDefault="0012687D">
            <w:pPr>
              <w:jc w:val="right"/>
              <w:rPr>
                <w:rFonts w:ascii="Arial" w:hAnsi="Arial" w:cs="Arial"/>
                <w:sz w:val="20"/>
                <w:szCs w:val="20"/>
              </w:rPr>
            </w:pPr>
          </w:p>
        </w:tc>
      </w:tr>
      <w:tr w:rsidR="0012687D" w:rsidTr="0012687D">
        <w:trPr>
          <w:trHeight w:val="255"/>
        </w:trPr>
        <w:tc>
          <w:tcPr>
            <w:tcW w:w="2530" w:type="pct"/>
            <w:tcBorders>
              <w:top w:val="nil"/>
              <w:left w:val="nil"/>
              <w:bottom w:val="nil"/>
              <w:right w:val="nil"/>
            </w:tcBorders>
            <w:shd w:val="clear" w:color="auto" w:fill="auto"/>
            <w:noWrap/>
            <w:vAlign w:val="bottom"/>
            <w:hideMark/>
          </w:tcPr>
          <w:p w:rsidR="0012687D" w:rsidRDefault="0012687D">
            <w:pPr>
              <w:rPr>
                <w:rFonts w:ascii="Arial" w:hAnsi="Arial" w:cs="Arial"/>
                <w:sz w:val="20"/>
                <w:szCs w:val="20"/>
              </w:rPr>
            </w:pPr>
            <w:r>
              <w:rPr>
                <w:rFonts w:ascii="Arial" w:hAnsi="Arial" w:cs="Arial"/>
                <w:sz w:val="20"/>
                <w:szCs w:val="20"/>
              </w:rPr>
              <w:t>Časové rozlíšenie</w:t>
            </w:r>
          </w:p>
        </w:tc>
        <w:tc>
          <w:tcPr>
            <w:tcW w:w="592" w:type="pct"/>
            <w:tcBorders>
              <w:top w:val="nil"/>
              <w:left w:val="nil"/>
              <w:bottom w:val="nil"/>
              <w:right w:val="nil"/>
            </w:tcBorders>
            <w:shd w:val="clear" w:color="auto" w:fill="auto"/>
            <w:noWrap/>
            <w:vAlign w:val="bottom"/>
            <w:hideMark/>
          </w:tcPr>
          <w:p w:rsidR="0012687D" w:rsidRDefault="0012687D">
            <w:pPr>
              <w:rPr>
                <w:rFonts w:ascii="Arial" w:hAnsi="Arial" w:cs="Arial"/>
                <w:sz w:val="20"/>
                <w:szCs w:val="20"/>
              </w:rPr>
            </w:pPr>
          </w:p>
        </w:tc>
        <w:tc>
          <w:tcPr>
            <w:tcW w:w="592" w:type="pct"/>
            <w:tcBorders>
              <w:top w:val="nil"/>
              <w:left w:val="nil"/>
              <w:bottom w:val="nil"/>
              <w:right w:val="nil"/>
            </w:tcBorders>
            <w:shd w:val="clear" w:color="auto" w:fill="auto"/>
            <w:noWrap/>
            <w:vAlign w:val="bottom"/>
            <w:hideMark/>
          </w:tcPr>
          <w:p w:rsidR="0012687D" w:rsidRDefault="0012687D">
            <w:pPr>
              <w:rPr>
                <w:rFonts w:ascii="Arial" w:hAnsi="Arial" w:cs="Arial"/>
                <w:sz w:val="20"/>
                <w:szCs w:val="20"/>
              </w:rPr>
            </w:pPr>
          </w:p>
        </w:tc>
        <w:tc>
          <w:tcPr>
            <w:tcW w:w="592" w:type="pct"/>
            <w:tcBorders>
              <w:top w:val="nil"/>
              <w:left w:val="nil"/>
              <w:bottom w:val="nil"/>
              <w:right w:val="nil"/>
            </w:tcBorders>
            <w:shd w:val="clear" w:color="auto" w:fill="auto"/>
            <w:noWrap/>
            <w:vAlign w:val="bottom"/>
            <w:hideMark/>
          </w:tcPr>
          <w:p w:rsidR="0012687D" w:rsidRDefault="0012687D">
            <w:pPr>
              <w:rPr>
                <w:rFonts w:ascii="Arial" w:hAnsi="Arial" w:cs="Arial"/>
                <w:sz w:val="20"/>
                <w:szCs w:val="20"/>
              </w:rPr>
            </w:pPr>
          </w:p>
        </w:tc>
        <w:tc>
          <w:tcPr>
            <w:tcW w:w="592" w:type="pct"/>
            <w:tcBorders>
              <w:top w:val="nil"/>
              <w:left w:val="nil"/>
              <w:bottom w:val="nil"/>
              <w:right w:val="nil"/>
            </w:tcBorders>
            <w:shd w:val="clear" w:color="auto" w:fill="auto"/>
            <w:noWrap/>
            <w:vAlign w:val="bottom"/>
            <w:hideMark/>
          </w:tcPr>
          <w:p w:rsidR="0012687D" w:rsidRDefault="0012687D">
            <w:pPr>
              <w:jc w:val="right"/>
              <w:rPr>
                <w:rFonts w:ascii="Arial" w:hAnsi="Arial" w:cs="Arial"/>
                <w:sz w:val="20"/>
                <w:szCs w:val="20"/>
              </w:rPr>
            </w:pPr>
            <w:r>
              <w:rPr>
                <w:rFonts w:ascii="Arial" w:hAnsi="Arial" w:cs="Arial"/>
                <w:sz w:val="20"/>
                <w:szCs w:val="20"/>
              </w:rPr>
              <w:t>10 935</w:t>
            </w:r>
          </w:p>
        </w:tc>
        <w:tc>
          <w:tcPr>
            <w:tcW w:w="100" w:type="pct"/>
            <w:tcBorders>
              <w:top w:val="nil"/>
              <w:left w:val="nil"/>
              <w:bottom w:val="nil"/>
              <w:right w:val="nil"/>
            </w:tcBorders>
            <w:shd w:val="clear" w:color="auto" w:fill="auto"/>
            <w:noWrap/>
            <w:vAlign w:val="bottom"/>
          </w:tcPr>
          <w:p w:rsidR="0012687D" w:rsidRDefault="0012687D">
            <w:pPr>
              <w:rPr>
                <w:rFonts w:ascii="Arial" w:hAnsi="Arial" w:cs="Arial"/>
                <w:sz w:val="20"/>
                <w:szCs w:val="20"/>
              </w:rPr>
            </w:pPr>
          </w:p>
        </w:tc>
      </w:tr>
    </w:tbl>
    <w:p w:rsidR="0012687D" w:rsidRDefault="0012687D" w:rsidP="000F4AB5">
      <w:pPr>
        <w:jc w:val="both"/>
        <w:rPr>
          <w:rFonts w:ascii="Tahoma" w:hAnsi="Tahoma" w:cs="Tahoma"/>
          <w:iCs/>
          <w:sz w:val="22"/>
          <w:szCs w:val="22"/>
        </w:rPr>
      </w:pPr>
    </w:p>
    <w:p w:rsidR="003A0038" w:rsidRPr="000B48EA" w:rsidRDefault="003A0038" w:rsidP="000F4AB5">
      <w:pPr>
        <w:jc w:val="both"/>
        <w:rPr>
          <w:rFonts w:ascii="Tahoma" w:hAnsi="Tahoma" w:cs="Tahoma"/>
          <w:iCs/>
          <w:sz w:val="22"/>
          <w:szCs w:val="22"/>
        </w:rPr>
      </w:pPr>
    </w:p>
    <w:p w:rsidR="000F4AB5" w:rsidRDefault="002006E8" w:rsidP="000F4AB5">
      <w:pPr>
        <w:jc w:val="both"/>
        <w:rPr>
          <w:rFonts w:ascii="Tahoma" w:hAnsi="Tahoma" w:cs="Tahoma"/>
          <w:sz w:val="22"/>
          <w:szCs w:val="22"/>
        </w:rPr>
      </w:pPr>
      <w:r>
        <w:rPr>
          <w:rFonts w:ascii="Tahoma" w:hAnsi="Tahoma" w:cs="Tahoma"/>
          <w:iCs/>
          <w:sz w:val="22"/>
          <w:szCs w:val="22"/>
        </w:rPr>
        <w:t>Rozhodujúcu zložku  záväzkov predstavujú krátkodobé záväzky, ktoré v porovnaní s predchádzajúcim rokom zaznamenali zníženie o </w:t>
      </w:r>
      <w:r w:rsidR="0012687D">
        <w:rPr>
          <w:rFonts w:ascii="Tahoma" w:hAnsi="Tahoma" w:cs="Tahoma"/>
          <w:iCs/>
          <w:sz w:val="22"/>
          <w:szCs w:val="22"/>
        </w:rPr>
        <w:t>1</w:t>
      </w:r>
      <w:r>
        <w:rPr>
          <w:rFonts w:ascii="Tahoma" w:hAnsi="Tahoma" w:cs="Tahoma"/>
          <w:iCs/>
          <w:sz w:val="22"/>
          <w:szCs w:val="22"/>
        </w:rPr>
        <w:t xml:space="preserve"> %. </w:t>
      </w:r>
      <w:r w:rsidR="000F4AB5" w:rsidRPr="000B48EA">
        <w:rPr>
          <w:rFonts w:ascii="Tahoma" w:hAnsi="Tahoma" w:cs="Tahoma"/>
          <w:sz w:val="22"/>
          <w:szCs w:val="22"/>
        </w:rPr>
        <w:t>Pri výpočte štruktúry finančných zdrojov boli vyčíslené nasledovné ukazovatele:</w:t>
      </w:r>
    </w:p>
    <w:p w:rsidR="00991478" w:rsidRDefault="00991478" w:rsidP="000F4AB5">
      <w:pPr>
        <w:jc w:val="both"/>
        <w:rPr>
          <w:rFonts w:ascii="Tahoma" w:hAnsi="Tahoma" w:cs="Tahoma"/>
          <w:sz w:val="22"/>
          <w:szCs w:val="22"/>
        </w:rPr>
      </w:pPr>
    </w:p>
    <w:tbl>
      <w:tblPr>
        <w:tblW w:w="7280" w:type="dxa"/>
        <w:tblInd w:w="70" w:type="dxa"/>
        <w:tblCellMar>
          <w:left w:w="70" w:type="dxa"/>
          <w:right w:w="70" w:type="dxa"/>
        </w:tblCellMar>
        <w:tblLook w:val="04A0"/>
      </w:tblPr>
      <w:tblGrid>
        <w:gridCol w:w="3608"/>
        <w:gridCol w:w="968"/>
        <w:gridCol w:w="968"/>
        <w:gridCol w:w="968"/>
        <w:gridCol w:w="768"/>
      </w:tblGrid>
      <w:tr w:rsidR="00991478" w:rsidTr="00991478">
        <w:trPr>
          <w:trHeight w:val="270"/>
        </w:trPr>
        <w:tc>
          <w:tcPr>
            <w:tcW w:w="3608" w:type="dxa"/>
            <w:tcBorders>
              <w:top w:val="nil"/>
              <w:left w:val="nil"/>
              <w:bottom w:val="single" w:sz="8" w:space="0" w:color="auto"/>
              <w:right w:val="single" w:sz="8" w:space="0" w:color="auto"/>
            </w:tcBorders>
            <w:shd w:val="clear" w:color="auto" w:fill="auto"/>
            <w:noWrap/>
            <w:vAlign w:val="bottom"/>
            <w:hideMark/>
          </w:tcPr>
          <w:p w:rsidR="00991478" w:rsidRDefault="00991478">
            <w:pPr>
              <w:rPr>
                <w:rFonts w:ascii="Arial" w:hAnsi="Arial" w:cs="Arial"/>
                <w:b/>
                <w:bCs/>
                <w:sz w:val="20"/>
                <w:szCs w:val="20"/>
              </w:rPr>
            </w:pPr>
            <w:r>
              <w:rPr>
                <w:rFonts w:ascii="Arial" w:hAnsi="Arial" w:cs="Arial"/>
                <w:b/>
                <w:bCs/>
                <w:sz w:val="20"/>
                <w:szCs w:val="20"/>
              </w:rPr>
              <w:t xml:space="preserve">ukazovateľ </w:t>
            </w:r>
          </w:p>
        </w:tc>
        <w:tc>
          <w:tcPr>
            <w:tcW w:w="968" w:type="dxa"/>
            <w:tcBorders>
              <w:top w:val="nil"/>
              <w:left w:val="nil"/>
              <w:bottom w:val="single" w:sz="8" w:space="0" w:color="auto"/>
              <w:right w:val="nil"/>
            </w:tcBorders>
            <w:shd w:val="clear" w:color="auto" w:fill="auto"/>
            <w:noWrap/>
            <w:vAlign w:val="bottom"/>
            <w:hideMark/>
          </w:tcPr>
          <w:p w:rsidR="00991478" w:rsidRDefault="00991478">
            <w:pPr>
              <w:jc w:val="center"/>
              <w:rPr>
                <w:rFonts w:ascii="Arial" w:hAnsi="Arial" w:cs="Arial"/>
                <w:b/>
                <w:bCs/>
                <w:sz w:val="20"/>
                <w:szCs w:val="20"/>
              </w:rPr>
            </w:pPr>
            <w:r>
              <w:rPr>
                <w:rFonts w:ascii="Arial" w:hAnsi="Arial" w:cs="Arial"/>
                <w:b/>
                <w:bCs/>
                <w:sz w:val="20"/>
                <w:szCs w:val="20"/>
              </w:rPr>
              <w:t>2012</w:t>
            </w:r>
          </w:p>
        </w:tc>
        <w:tc>
          <w:tcPr>
            <w:tcW w:w="968" w:type="dxa"/>
            <w:tcBorders>
              <w:top w:val="nil"/>
              <w:left w:val="nil"/>
              <w:bottom w:val="single" w:sz="8" w:space="0" w:color="auto"/>
              <w:right w:val="nil"/>
            </w:tcBorders>
            <w:shd w:val="clear" w:color="auto" w:fill="auto"/>
            <w:noWrap/>
            <w:vAlign w:val="bottom"/>
            <w:hideMark/>
          </w:tcPr>
          <w:p w:rsidR="00991478" w:rsidRDefault="00991478">
            <w:pPr>
              <w:jc w:val="center"/>
              <w:rPr>
                <w:rFonts w:ascii="Arial" w:hAnsi="Arial" w:cs="Arial"/>
                <w:b/>
                <w:bCs/>
                <w:sz w:val="20"/>
                <w:szCs w:val="20"/>
              </w:rPr>
            </w:pPr>
            <w:r>
              <w:rPr>
                <w:rFonts w:ascii="Arial" w:hAnsi="Arial" w:cs="Arial"/>
                <w:b/>
                <w:bCs/>
                <w:sz w:val="20"/>
                <w:szCs w:val="20"/>
              </w:rPr>
              <w:t>2013</w:t>
            </w:r>
          </w:p>
        </w:tc>
        <w:tc>
          <w:tcPr>
            <w:tcW w:w="968" w:type="dxa"/>
            <w:tcBorders>
              <w:top w:val="nil"/>
              <w:left w:val="nil"/>
              <w:bottom w:val="single" w:sz="8" w:space="0" w:color="auto"/>
              <w:right w:val="nil"/>
            </w:tcBorders>
            <w:shd w:val="clear" w:color="auto" w:fill="auto"/>
            <w:noWrap/>
            <w:vAlign w:val="bottom"/>
            <w:hideMark/>
          </w:tcPr>
          <w:p w:rsidR="00991478" w:rsidRDefault="00991478">
            <w:pPr>
              <w:jc w:val="center"/>
              <w:rPr>
                <w:rFonts w:ascii="Arial" w:hAnsi="Arial" w:cs="Arial"/>
                <w:b/>
                <w:bCs/>
                <w:sz w:val="20"/>
                <w:szCs w:val="20"/>
              </w:rPr>
            </w:pPr>
            <w:r>
              <w:rPr>
                <w:rFonts w:ascii="Arial" w:hAnsi="Arial" w:cs="Arial"/>
                <w:b/>
                <w:bCs/>
                <w:sz w:val="20"/>
                <w:szCs w:val="20"/>
              </w:rPr>
              <w:t>2014</w:t>
            </w:r>
          </w:p>
        </w:tc>
        <w:tc>
          <w:tcPr>
            <w:tcW w:w="768" w:type="dxa"/>
            <w:tcBorders>
              <w:top w:val="nil"/>
              <w:left w:val="nil"/>
              <w:bottom w:val="single" w:sz="8" w:space="0" w:color="auto"/>
              <w:right w:val="nil"/>
            </w:tcBorders>
            <w:shd w:val="clear" w:color="auto" w:fill="auto"/>
            <w:noWrap/>
            <w:vAlign w:val="bottom"/>
            <w:hideMark/>
          </w:tcPr>
          <w:p w:rsidR="00991478" w:rsidRDefault="00991478">
            <w:pPr>
              <w:jc w:val="center"/>
              <w:rPr>
                <w:rFonts w:ascii="Arial" w:hAnsi="Arial" w:cs="Arial"/>
                <w:b/>
                <w:bCs/>
                <w:sz w:val="20"/>
                <w:szCs w:val="20"/>
              </w:rPr>
            </w:pPr>
            <w:r>
              <w:rPr>
                <w:rFonts w:ascii="Arial" w:hAnsi="Arial" w:cs="Arial"/>
                <w:b/>
                <w:bCs/>
                <w:sz w:val="20"/>
                <w:szCs w:val="20"/>
              </w:rPr>
              <w:t>2015</w:t>
            </w:r>
          </w:p>
        </w:tc>
      </w:tr>
      <w:tr w:rsidR="00991478" w:rsidTr="00991478">
        <w:trPr>
          <w:trHeight w:val="255"/>
        </w:trPr>
        <w:tc>
          <w:tcPr>
            <w:tcW w:w="3608" w:type="dxa"/>
            <w:tcBorders>
              <w:top w:val="nil"/>
              <w:left w:val="nil"/>
              <w:bottom w:val="nil"/>
              <w:right w:val="single" w:sz="8" w:space="0" w:color="auto"/>
            </w:tcBorders>
            <w:shd w:val="clear" w:color="auto" w:fill="auto"/>
            <w:noWrap/>
            <w:vAlign w:val="bottom"/>
            <w:hideMark/>
          </w:tcPr>
          <w:p w:rsidR="00991478" w:rsidRDefault="00991478">
            <w:pPr>
              <w:rPr>
                <w:rFonts w:ascii="Arial" w:hAnsi="Arial" w:cs="Arial"/>
                <w:sz w:val="20"/>
                <w:szCs w:val="20"/>
              </w:rPr>
            </w:pPr>
            <w:r>
              <w:rPr>
                <w:rFonts w:ascii="Arial" w:hAnsi="Arial" w:cs="Arial"/>
                <w:sz w:val="20"/>
                <w:szCs w:val="20"/>
              </w:rPr>
              <w:t>Ukazovateľ finančnej samostatnosti</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0,09</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0,1</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0,1</w:t>
            </w:r>
          </w:p>
        </w:tc>
        <w:tc>
          <w:tcPr>
            <w:tcW w:w="7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0,11</w:t>
            </w:r>
          </w:p>
        </w:tc>
      </w:tr>
      <w:tr w:rsidR="00991478" w:rsidTr="00991478">
        <w:trPr>
          <w:trHeight w:val="255"/>
        </w:trPr>
        <w:tc>
          <w:tcPr>
            <w:tcW w:w="3608" w:type="dxa"/>
            <w:tcBorders>
              <w:top w:val="nil"/>
              <w:left w:val="nil"/>
              <w:bottom w:val="nil"/>
              <w:right w:val="single" w:sz="8" w:space="0" w:color="auto"/>
            </w:tcBorders>
            <w:shd w:val="clear" w:color="auto" w:fill="auto"/>
            <w:noWrap/>
            <w:vAlign w:val="bottom"/>
            <w:hideMark/>
          </w:tcPr>
          <w:p w:rsidR="00991478" w:rsidRDefault="00991478">
            <w:pPr>
              <w:rPr>
                <w:rFonts w:ascii="Arial" w:hAnsi="Arial" w:cs="Arial"/>
                <w:sz w:val="20"/>
                <w:szCs w:val="20"/>
              </w:rPr>
            </w:pPr>
            <w:r>
              <w:rPr>
                <w:rFonts w:ascii="Arial" w:hAnsi="Arial" w:cs="Arial"/>
                <w:sz w:val="20"/>
                <w:szCs w:val="20"/>
              </w:rPr>
              <w:t>Ukazovateľ finančnej stability</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0,09</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0,11</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0,11</w:t>
            </w:r>
          </w:p>
        </w:tc>
        <w:tc>
          <w:tcPr>
            <w:tcW w:w="7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0,12</w:t>
            </w:r>
          </w:p>
        </w:tc>
      </w:tr>
      <w:tr w:rsidR="00991478" w:rsidTr="00991478">
        <w:trPr>
          <w:trHeight w:val="255"/>
        </w:trPr>
        <w:tc>
          <w:tcPr>
            <w:tcW w:w="3608" w:type="dxa"/>
            <w:tcBorders>
              <w:top w:val="nil"/>
              <w:left w:val="nil"/>
              <w:bottom w:val="nil"/>
              <w:right w:val="single" w:sz="8" w:space="0" w:color="auto"/>
            </w:tcBorders>
            <w:shd w:val="clear" w:color="auto" w:fill="auto"/>
            <w:noWrap/>
            <w:vAlign w:val="bottom"/>
            <w:hideMark/>
          </w:tcPr>
          <w:p w:rsidR="00991478" w:rsidRDefault="00991478">
            <w:pPr>
              <w:rPr>
                <w:rFonts w:ascii="Arial" w:hAnsi="Arial" w:cs="Arial"/>
                <w:sz w:val="20"/>
                <w:szCs w:val="20"/>
              </w:rPr>
            </w:pPr>
            <w:r>
              <w:rPr>
                <w:rFonts w:ascii="Arial" w:hAnsi="Arial" w:cs="Arial"/>
                <w:sz w:val="20"/>
                <w:szCs w:val="20"/>
              </w:rPr>
              <w:t>Podiel cudzieho a vlastného kapitálu</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9,81</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9,3</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8,6</w:t>
            </w:r>
          </w:p>
        </w:tc>
        <w:tc>
          <w:tcPr>
            <w:tcW w:w="7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7,66</w:t>
            </w:r>
          </w:p>
        </w:tc>
      </w:tr>
      <w:tr w:rsidR="00991478" w:rsidTr="00991478">
        <w:trPr>
          <w:trHeight w:val="255"/>
        </w:trPr>
        <w:tc>
          <w:tcPr>
            <w:tcW w:w="3608" w:type="dxa"/>
            <w:tcBorders>
              <w:top w:val="nil"/>
              <w:left w:val="nil"/>
              <w:bottom w:val="nil"/>
              <w:right w:val="single" w:sz="8" w:space="0" w:color="auto"/>
            </w:tcBorders>
            <w:shd w:val="clear" w:color="auto" w:fill="auto"/>
            <w:noWrap/>
            <w:vAlign w:val="bottom"/>
            <w:hideMark/>
          </w:tcPr>
          <w:p w:rsidR="00991478" w:rsidRDefault="00991478">
            <w:pPr>
              <w:rPr>
                <w:rFonts w:ascii="Arial" w:hAnsi="Arial" w:cs="Arial"/>
                <w:sz w:val="20"/>
                <w:szCs w:val="20"/>
              </w:rPr>
            </w:pPr>
            <w:r>
              <w:rPr>
                <w:rFonts w:ascii="Arial" w:hAnsi="Arial" w:cs="Arial"/>
                <w:sz w:val="20"/>
                <w:szCs w:val="20"/>
              </w:rPr>
              <w:t>Podiel vlastného a cudzieho kapitálu</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0,1</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0,11</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0,12</w:t>
            </w:r>
          </w:p>
        </w:tc>
        <w:tc>
          <w:tcPr>
            <w:tcW w:w="7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0,13</w:t>
            </w:r>
          </w:p>
        </w:tc>
      </w:tr>
      <w:tr w:rsidR="00991478" w:rsidTr="00991478">
        <w:trPr>
          <w:trHeight w:val="255"/>
        </w:trPr>
        <w:tc>
          <w:tcPr>
            <w:tcW w:w="3608" w:type="dxa"/>
            <w:tcBorders>
              <w:top w:val="nil"/>
              <w:left w:val="nil"/>
              <w:bottom w:val="nil"/>
              <w:right w:val="single" w:sz="8" w:space="0" w:color="auto"/>
            </w:tcBorders>
            <w:shd w:val="clear" w:color="auto" w:fill="auto"/>
            <w:noWrap/>
            <w:vAlign w:val="bottom"/>
            <w:hideMark/>
          </w:tcPr>
          <w:p w:rsidR="00991478" w:rsidRDefault="00991478">
            <w:pPr>
              <w:rPr>
                <w:rFonts w:ascii="Arial" w:hAnsi="Arial" w:cs="Arial"/>
                <w:sz w:val="20"/>
                <w:szCs w:val="20"/>
              </w:rPr>
            </w:pPr>
            <w:r>
              <w:rPr>
                <w:rFonts w:ascii="Arial" w:hAnsi="Arial" w:cs="Arial"/>
                <w:sz w:val="20"/>
                <w:szCs w:val="20"/>
              </w:rPr>
              <w:t>Celková zadĺženosť</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0,91</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0,9</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0,9</w:t>
            </w:r>
          </w:p>
        </w:tc>
        <w:tc>
          <w:tcPr>
            <w:tcW w:w="7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0,87</w:t>
            </w:r>
          </w:p>
        </w:tc>
      </w:tr>
      <w:tr w:rsidR="00991478" w:rsidTr="00991478">
        <w:trPr>
          <w:trHeight w:val="255"/>
        </w:trPr>
        <w:tc>
          <w:tcPr>
            <w:tcW w:w="3608" w:type="dxa"/>
            <w:tcBorders>
              <w:top w:val="nil"/>
              <w:left w:val="nil"/>
              <w:bottom w:val="nil"/>
              <w:right w:val="single" w:sz="8" w:space="0" w:color="auto"/>
            </w:tcBorders>
            <w:shd w:val="clear" w:color="auto" w:fill="auto"/>
            <w:noWrap/>
            <w:vAlign w:val="bottom"/>
            <w:hideMark/>
          </w:tcPr>
          <w:p w:rsidR="00991478" w:rsidRDefault="00991478">
            <w:pPr>
              <w:rPr>
                <w:rFonts w:ascii="Arial" w:hAnsi="Arial" w:cs="Arial"/>
                <w:sz w:val="20"/>
                <w:szCs w:val="20"/>
              </w:rPr>
            </w:pPr>
            <w:r>
              <w:rPr>
                <w:rFonts w:ascii="Arial" w:hAnsi="Arial" w:cs="Arial"/>
                <w:sz w:val="20"/>
                <w:szCs w:val="20"/>
              </w:rPr>
              <w:t>Koeficient zadĺženosti</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1,1</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1,11</w:t>
            </w:r>
          </w:p>
        </w:tc>
        <w:tc>
          <w:tcPr>
            <w:tcW w:w="9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1,12</w:t>
            </w:r>
          </w:p>
        </w:tc>
        <w:tc>
          <w:tcPr>
            <w:tcW w:w="768" w:type="dxa"/>
            <w:tcBorders>
              <w:top w:val="nil"/>
              <w:left w:val="nil"/>
              <w:bottom w:val="nil"/>
              <w:right w:val="nil"/>
            </w:tcBorders>
            <w:shd w:val="clear" w:color="auto" w:fill="auto"/>
            <w:noWrap/>
            <w:vAlign w:val="bottom"/>
            <w:hideMark/>
          </w:tcPr>
          <w:p w:rsidR="00991478" w:rsidRDefault="00991478">
            <w:pPr>
              <w:jc w:val="right"/>
              <w:rPr>
                <w:rFonts w:ascii="Arial" w:hAnsi="Arial" w:cs="Arial"/>
                <w:sz w:val="20"/>
                <w:szCs w:val="20"/>
              </w:rPr>
            </w:pPr>
            <w:r>
              <w:rPr>
                <w:rFonts w:ascii="Arial" w:hAnsi="Arial" w:cs="Arial"/>
                <w:sz w:val="20"/>
                <w:szCs w:val="20"/>
              </w:rPr>
              <w:t>1,14</w:t>
            </w:r>
          </w:p>
        </w:tc>
      </w:tr>
    </w:tbl>
    <w:p w:rsidR="002006E8" w:rsidRDefault="002006E8" w:rsidP="000F4AB5">
      <w:pPr>
        <w:jc w:val="both"/>
        <w:rPr>
          <w:rFonts w:ascii="Tahoma" w:hAnsi="Tahoma" w:cs="Tahoma"/>
          <w:sz w:val="22"/>
          <w:szCs w:val="22"/>
        </w:rPr>
      </w:pPr>
    </w:p>
    <w:p w:rsidR="000F4AB5" w:rsidRDefault="000F4AB5" w:rsidP="000F4AB5">
      <w:pPr>
        <w:jc w:val="both"/>
        <w:rPr>
          <w:rFonts w:ascii="Tahoma" w:hAnsi="Tahoma" w:cs="Tahoma"/>
          <w:sz w:val="22"/>
          <w:szCs w:val="22"/>
        </w:rPr>
      </w:pPr>
      <w:r w:rsidRPr="000B48EA">
        <w:rPr>
          <w:rFonts w:ascii="Tahoma" w:hAnsi="Tahoma" w:cs="Tahoma"/>
          <w:sz w:val="22"/>
          <w:szCs w:val="22"/>
        </w:rPr>
        <w:t>Z uvedených výsledkov je zrejmé, akým smerom sa vyvíja povinnosť Spoločnosti vraca</w:t>
      </w:r>
      <w:r w:rsidR="00D92953">
        <w:rPr>
          <w:rFonts w:ascii="Tahoma" w:hAnsi="Tahoma" w:cs="Tahoma"/>
          <w:sz w:val="22"/>
          <w:szCs w:val="22"/>
        </w:rPr>
        <w:t>ť</w:t>
      </w:r>
      <w:r w:rsidRPr="000B48EA">
        <w:rPr>
          <w:rFonts w:ascii="Tahoma" w:hAnsi="Tahoma" w:cs="Tahoma"/>
          <w:sz w:val="22"/>
          <w:szCs w:val="22"/>
        </w:rPr>
        <w:t xml:space="preserve"> požičan</w:t>
      </w:r>
      <w:r w:rsidR="00D92953">
        <w:rPr>
          <w:rFonts w:ascii="Tahoma" w:hAnsi="Tahoma" w:cs="Tahoma"/>
          <w:sz w:val="22"/>
          <w:szCs w:val="22"/>
        </w:rPr>
        <w:t>é</w:t>
      </w:r>
      <w:r w:rsidRPr="000B48EA">
        <w:rPr>
          <w:rFonts w:ascii="Tahoma" w:hAnsi="Tahoma" w:cs="Tahoma"/>
          <w:sz w:val="22"/>
          <w:szCs w:val="22"/>
        </w:rPr>
        <w:t xml:space="preserve"> finančn</w:t>
      </w:r>
      <w:r w:rsidR="00D92953">
        <w:rPr>
          <w:rFonts w:ascii="Tahoma" w:hAnsi="Tahoma" w:cs="Tahoma"/>
          <w:sz w:val="22"/>
          <w:szCs w:val="22"/>
        </w:rPr>
        <w:t>é</w:t>
      </w:r>
      <w:r w:rsidRPr="000B48EA">
        <w:rPr>
          <w:rFonts w:ascii="Tahoma" w:hAnsi="Tahoma" w:cs="Tahoma"/>
          <w:sz w:val="22"/>
          <w:szCs w:val="22"/>
        </w:rPr>
        <w:t xml:space="preserve"> prostriedk</w:t>
      </w:r>
      <w:r w:rsidR="00D92953">
        <w:rPr>
          <w:rFonts w:ascii="Tahoma" w:hAnsi="Tahoma" w:cs="Tahoma"/>
          <w:sz w:val="22"/>
          <w:szCs w:val="22"/>
        </w:rPr>
        <w:t>y</w:t>
      </w:r>
      <w:r w:rsidRPr="000B48EA">
        <w:rPr>
          <w:rFonts w:ascii="Tahoma" w:hAnsi="Tahoma" w:cs="Tahoma"/>
          <w:sz w:val="22"/>
          <w:szCs w:val="22"/>
        </w:rPr>
        <w:t xml:space="preserve"> alebo ich ekvivalenty. Ukazovatele zadlženosti slúžia na monitorovanie štruktúry finančných zdrojov – vlastných a cudzích; merajú rozsah, v akom je Spoločnosť financovaná cudzími zdrojmi a ako je schopná pokryť dlžnícke záväzky. </w:t>
      </w:r>
    </w:p>
    <w:p w:rsidR="00D92953" w:rsidRDefault="00D92953" w:rsidP="000F4AB5">
      <w:pPr>
        <w:jc w:val="both"/>
        <w:rPr>
          <w:rFonts w:ascii="Tahoma" w:hAnsi="Tahoma" w:cs="Tahoma"/>
          <w:sz w:val="22"/>
          <w:szCs w:val="22"/>
        </w:rPr>
      </w:pPr>
    </w:p>
    <w:p w:rsidR="00D92953" w:rsidRPr="00D92953" w:rsidRDefault="00D92953" w:rsidP="00D92953">
      <w:pPr>
        <w:autoSpaceDE w:val="0"/>
        <w:autoSpaceDN w:val="0"/>
        <w:adjustRightInd w:val="0"/>
        <w:jc w:val="both"/>
        <w:rPr>
          <w:rFonts w:ascii="Tahoma" w:hAnsi="Tahoma" w:cs="Tahoma"/>
          <w:sz w:val="22"/>
          <w:szCs w:val="22"/>
        </w:rPr>
      </w:pPr>
      <w:r w:rsidRPr="00D92953">
        <w:rPr>
          <w:rFonts w:ascii="Tahoma" w:hAnsi="Tahoma" w:cs="Tahoma"/>
          <w:sz w:val="22"/>
          <w:szCs w:val="22"/>
        </w:rPr>
        <w:t>Ukazovateľ celková zadĺženosť vypovedá o stupni zadlženosti podniku, o rozsahu využívania dlhov na financovanie podniku. Za vysokú zadlženosť sa považuje úroveň viac ako 50% , max 70% celkového kapitálu. Kapitálová štruktúra je veľmi závislá od odvetvia, v ktorom podnik pôsobí.</w:t>
      </w:r>
    </w:p>
    <w:p w:rsidR="000F4AB5" w:rsidRDefault="000F4AB5" w:rsidP="000F4AB5">
      <w:pPr>
        <w:jc w:val="both"/>
        <w:rPr>
          <w:rFonts w:ascii="Tahoma" w:hAnsi="Tahoma" w:cs="Tahoma"/>
          <w:iCs/>
          <w:sz w:val="22"/>
          <w:szCs w:val="22"/>
        </w:rPr>
      </w:pPr>
    </w:p>
    <w:p w:rsidR="002F5B25" w:rsidRDefault="004218D8" w:rsidP="002F5B25">
      <w:pPr>
        <w:jc w:val="both"/>
        <w:rPr>
          <w:rFonts w:ascii="Tahoma" w:hAnsi="Tahoma" w:cs="Tahoma"/>
          <w:iCs/>
          <w:sz w:val="22"/>
          <w:szCs w:val="22"/>
        </w:rPr>
      </w:pPr>
      <w:r>
        <w:rPr>
          <w:rFonts w:ascii="Tahoma" w:hAnsi="Tahoma" w:cs="Tahoma"/>
          <w:iCs/>
          <w:sz w:val="22"/>
          <w:szCs w:val="22"/>
        </w:rPr>
        <w:t>D</w:t>
      </w:r>
      <w:r w:rsidR="00355038" w:rsidRPr="000B48EA">
        <w:rPr>
          <w:rFonts w:ascii="Tahoma" w:hAnsi="Tahoma" w:cs="Tahoma"/>
          <w:iCs/>
          <w:sz w:val="22"/>
          <w:szCs w:val="22"/>
        </w:rPr>
        <w:t>osiahnuté výnosy a náklady a ekonomické ukazovatele sú uvedené v nasledovnej tabuľke:</w:t>
      </w:r>
    </w:p>
    <w:p w:rsidR="00564896" w:rsidRDefault="00564896" w:rsidP="00564896">
      <w:pPr>
        <w:jc w:val="both"/>
        <w:rPr>
          <w:rFonts w:ascii="Arial" w:hAnsi="Arial" w:cs="Arial"/>
          <w:sz w:val="20"/>
          <w:szCs w:val="20"/>
        </w:rPr>
      </w:pPr>
    </w:p>
    <w:tbl>
      <w:tblPr>
        <w:tblW w:w="5000" w:type="pct"/>
        <w:tblCellMar>
          <w:left w:w="70" w:type="dxa"/>
          <w:right w:w="70" w:type="dxa"/>
        </w:tblCellMar>
        <w:tblLook w:val="04A0"/>
      </w:tblPr>
      <w:tblGrid>
        <w:gridCol w:w="5457"/>
        <w:gridCol w:w="955"/>
        <w:gridCol w:w="955"/>
        <w:gridCol w:w="1007"/>
        <w:gridCol w:w="1007"/>
      </w:tblGrid>
      <w:tr w:rsidR="00564896" w:rsidRPr="00564896" w:rsidTr="00564896">
        <w:trPr>
          <w:trHeight w:val="255"/>
        </w:trPr>
        <w:tc>
          <w:tcPr>
            <w:tcW w:w="2919" w:type="pct"/>
            <w:tcBorders>
              <w:top w:val="nil"/>
              <w:left w:val="nil"/>
              <w:bottom w:val="single" w:sz="4" w:space="0" w:color="auto"/>
              <w:right w:val="single" w:sz="4" w:space="0" w:color="auto"/>
            </w:tcBorders>
            <w:shd w:val="clear" w:color="auto" w:fill="auto"/>
            <w:noWrap/>
            <w:vAlign w:val="bottom"/>
            <w:hideMark/>
          </w:tcPr>
          <w:p w:rsidR="00564896" w:rsidRPr="00564896" w:rsidRDefault="00564896">
            <w:pPr>
              <w:rPr>
                <w:rFonts w:ascii="Arial Narrow" w:hAnsi="Arial Narrow" w:cs="Arial"/>
                <w:b/>
                <w:bCs/>
                <w:sz w:val="20"/>
                <w:szCs w:val="20"/>
              </w:rPr>
            </w:pPr>
            <w:r w:rsidRPr="00564896">
              <w:rPr>
                <w:rFonts w:ascii="Arial Narrow" w:hAnsi="Arial Narrow" w:cs="Arial"/>
                <w:b/>
                <w:bCs/>
                <w:sz w:val="20"/>
                <w:szCs w:val="20"/>
              </w:rPr>
              <w:t>Text</w:t>
            </w:r>
          </w:p>
        </w:tc>
        <w:tc>
          <w:tcPr>
            <w:tcW w:w="520" w:type="pct"/>
            <w:tcBorders>
              <w:top w:val="nil"/>
              <w:left w:val="nil"/>
              <w:bottom w:val="single" w:sz="4" w:space="0" w:color="auto"/>
              <w:right w:val="nil"/>
            </w:tcBorders>
            <w:shd w:val="clear" w:color="auto" w:fill="auto"/>
            <w:noWrap/>
            <w:vAlign w:val="bottom"/>
            <w:hideMark/>
          </w:tcPr>
          <w:p w:rsidR="00564896" w:rsidRPr="00564896" w:rsidRDefault="00564896">
            <w:pPr>
              <w:jc w:val="center"/>
              <w:rPr>
                <w:rFonts w:ascii="Arial Narrow" w:hAnsi="Arial Narrow" w:cs="Arial"/>
                <w:b/>
                <w:bCs/>
                <w:sz w:val="20"/>
                <w:szCs w:val="20"/>
              </w:rPr>
            </w:pPr>
            <w:r w:rsidRPr="00564896">
              <w:rPr>
                <w:rFonts w:ascii="Arial Narrow" w:hAnsi="Arial Narrow" w:cs="Arial"/>
                <w:b/>
                <w:bCs/>
                <w:sz w:val="20"/>
                <w:szCs w:val="20"/>
              </w:rPr>
              <w:t>2012</w:t>
            </w:r>
          </w:p>
        </w:tc>
        <w:tc>
          <w:tcPr>
            <w:tcW w:w="520" w:type="pct"/>
            <w:tcBorders>
              <w:top w:val="nil"/>
              <w:left w:val="nil"/>
              <w:bottom w:val="single" w:sz="4" w:space="0" w:color="auto"/>
              <w:right w:val="nil"/>
            </w:tcBorders>
            <w:shd w:val="clear" w:color="auto" w:fill="auto"/>
            <w:noWrap/>
            <w:vAlign w:val="bottom"/>
            <w:hideMark/>
          </w:tcPr>
          <w:p w:rsidR="00564896" w:rsidRPr="00564896" w:rsidRDefault="00564896">
            <w:pPr>
              <w:jc w:val="center"/>
              <w:rPr>
                <w:rFonts w:ascii="Arial Narrow" w:hAnsi="Arial Narrow" w:cs="Arial"/>
                <w:b/>
                <w:bCs/>
                <w:sz w:val="20"/>
                <w:szCs w:val="20"/>
              </w:rPr>
            </w:pPr>
            <w:r w:rsidRPr="00564896">
              <w:rPr>
                <w:rFonts w:ascii="Arial Narrow" w:hAnsi="Arial Narrow" w:cs="Arial"/>
                <w:b/>
                <w:bCs/>
                <w:sz w:val="20"/>
                <w:szCs w:val="20"/>
              </w:rPr>
              <w:t>2013</w:t>
            </w:r>
          </w:p>
        </w:tc>
        <w:tc>
          <w:tcPr>
            <w:tcW w:w="520" w:type="pct"/>
            <w:tcBorders>
              <w:top w:val="nil"/>
              <w:left w:val="nil"/>
              <w:bottom w:val="single" w:sz="4" w:space="0" w:color="auto"/>
              <w:right w:val="nil"/>
            </w:tcBorders>
            <w:shd w:val="clear" w:color="auto" w:fill="auto"/>
            <w:noWrap/>
            <w:vAlign w:val="bottom"/>
            <w:hideMark/>
          </w:tcPr>
          <w:p w:rsidR="00564896" w:rsidRPr="00564896" w:rsidRDefault="00564896">
            <w:pPr>
              <w:jc w:val="center"/>
              <w:rPr>
                <w:rFonts w:ascii="Arial Narrow" w:hAnsi="Arial Narrow" w:cs="Arial"/>
                <w:b/>
                <w:bCs/>
                <w:sz w:val="20"/>
                <w:szCs w:val="20"/>
              </w:rPr>
            </w:pPr>
            <w:r w:rsidRPr="00564896">
              <w:rPr>
                <w:rFonts w:ascii="Arial Narrow" w:hAnsi="Arial Narrow" w:cs="Arial"/>
                <w:b/>
                <w:bCs/>
                <w:sz w:val="20"/>
                <w:szCs w:val="20"/>
              </w:rPr>
              <w:t>20014</w:t>
            </w:r>
          </w:p>
        </w:tc>
        <w:tc>
          <w:tcPr>
            <w:tcW w:w="520" w:type="pct"/>
            <w:tcBorders>
              <w:top w:val="nil"/>
              <w:left w:val="nil"/>
              <w:bottom w:val="single" w:sz="4" w:space="0" w:color="auto"/>
              <w:right w:val="nil"/>
            </w:tcBorders>
            <w:shd w:val="clear" w:color="auto" w:fill="auto"/>
            <w:noWrap/>
            <w:vAlign w:val="bottom"/>
            <w:hideMark/>
          </w:tcPr>
          <w:p w:rsidR="00564896" w:rsidRPr="00564896" w:rsidRDefault="00564896">
            <w:pPr>
              <w:jc w:val="center"/>
              <w:rPr>
                <w:rFonts w:ascii="Arial Narrow" w:hAnsi="Arial Narrow" w:cs="Arial"/>
                <w:b/>
                <w:bCs/>
                <w:sz w:val="20"/>
                <w:szCs w:val="20"/>
              </w:rPr>
            </w:pPr>
            <w:r w:rsidRPr="00564896">
              <w:rPr>
                <w:rFonts w:ascii="Arial Narrow" w:hAnsi="Arial Narrow" w:cs="Arial"/>
                <w:b/>
                <w:bCs/>
                <w:sz w:val="20"/>
                <w:szCs w:val="20"/>
              </w:rPr>
              <w:t>2015</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Výnosy z hospodárskej činnosti</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6 448 332</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2 499 407</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2 392 192</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2 486 792</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 xml:space="preserve">Náklady na hospodársku činnosť </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3 423 452</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2 498 273</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2 382 430</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2 472 768</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Osobné náklady</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234 134</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221 770</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202 037</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199 864</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 xml:space="preserve">Odpisy a opravné položky k dlhod.nehmot.a hmot. majetku </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10 182</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12 152</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13 754</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12 736</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 xml:space="preserve">Výsledok hospodárenia z hospodárskej činnosti (+/-) </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-95 208</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1 134</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9 762</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14 024</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 xml:space="preserve">Pridaná hodnota </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178 446</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263 118</w:t>
            </w:r>
          </w:p>
        </w:tc>
        <w:tc>
          <w:tcPr>
            <w:tcW w:w="520" w:type="pct"/>
            <w:tcBorders>
              <w:top w:val="nil"/>
              <w:left w:val="nil"/>
              <w:bottom w:val="nil"/>
              <w:right w:val="nil"/>
            </w:tcBorders>
            <w:shd w:val="clear" w:color="auto" w:fill="auto"/>
            <w:noWrap/>
            <w:vAlign w:val="bottom"/>
            <w:hideMark/>
          </w:tcPr>
          <w:p w:rsidR="00564896" w:rsidRPr="00564896" w:rsidRDefault="006B07EC" w:rsidP="006B07EC">
            <w:pPr>
              <w:rPr>
                <w:rFonts w:ascii="Arial Narrow" w:hAnsi="Arial Narrow" w:cs="Arial"/>
                <w:sz w:val="20"/>
                <w:szCs w:val="20"/>
              </w:rPr>
            </w:pPr>
            <w:r>
              <w:rPr>
                <w:rFonts w:ascii="Arial Narrow" w:hAnsi="Arial Narrow" w:cs="Arial"/>
                <w:sz w:val="20"/>
                <w:szCs w:val="20"/>
              </w:rPr>
              <w:t xml:space="preserve">      230 763</w:t>
            </w:r>
          </w:p>
        </w:tc>
        <w:tc>
          <w:tcPr>
            <w:tcW w:w="520" w:type="pct"/>
            <w:tcBorders>
              <w:top w:val="nil"/>
              <w:left w:val="nil"/>
              <w:bottom w:val="nil"/>
              <w:right w:val="nil"/>
            </w:tcBorders>
            <w:shd w:val="clear" w:color="auto" w:fill="auto"/>
            <w:noWrap/>
            <w:vAlign w:val="bottom"/>
            <w:hideMark/>
          </w:tcPr>
          <w:p w:rsidR="00564896" w:rsidRPr="00564896" w:rsidRDefault="006B07EC">
            <w:pPr>
              <w:rPr>
                <w:rFonts w:ascii="Arial Narrow" w:hAnsi="Arial Narrow" w:cs="Arial"/>
                <w:sz w:val="20"/>
                <w:szCs w:val="20"/>
              </w:rPr>
            </w:pPr>
            <w:r>
              <w:rPr>
                <w:rFonts w:ascii="Arial Narrow" w:hAnsi="Arial Narrow" w:cs="Arial"/>
                <w:sz w:val="20"/>
                <w:szCs w:val="20"/>
              </w:rPr>
              <w:t xml:space="preserve">      240 847</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 xml:space="preserve">Výnosy z finančnej činnosti </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63</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20</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61</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20</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Výnosy z dlhodobého finančného majetku</w:t>
            </w:r>
          </w:p>
        </w:tc>
        <w:tc>
          <w:tcPr>
            <w:tcW w:w="520" w:type="pct"/>
            <w:tcBorders>
              <w:top w:val="nil"/>
              <w:left w:val="nil"/>
              <w:bottom w:val="nil"/>
              <w:right w:val="nil"/>
            </w:tcBorders>
            <w:shd w:val="clear" w:color="auto" w:fill="auto"/>
            <w:noWrap/>
            <w:vAlign w:val="bottom"/>
            <w:hideMark/>
          </w:tcPr>
          <w:p w:rsidR="00564896" w:rsidRPr="00564896" w:rsidRDefault="00564896">
            <w:pPr>
              <w:rPr>
                <w:rFonts w:ascii="Arial Narrow" w:hAnsi="Arial Narrow" w:cs="Arial"/>
                <w:sz w:val="20"/>
                <w:szCs w:val="20"/>
              </w:rPr>
            </w:pPr>
          </w:p>
        </w:tc>
        <w:tc>
          <w:tcPr>
            <w:tcW w:w="520" w:type="pct"/>
            <w:tcBorders>
              <w:top w:val="nil"/>
              <w:left w:val="nil"/>
              <w:bottom w:val="nil"/>
              <w:right w:val="nil"/>
            </w:tcBorders>
            <w:shd w:val="clear" w:color="auto" w:fill="auto"/>
            <w:noWrap/>
            <w:vAlign w:val="bottom"/>
            <w:hideMark/>
          </w:tcPr>
          <w:p w:rsidR="00564896" w:rsidRPr="00564896" w:rsidRDefault="00564896">
            <w:pPr>
              <w:rPr>
                <w:rFonts w:ascii="Arial Narrow" w:hAnsi="Arial Narrow" w:cs="Arial"/>
                <w:sz w:val="20"/>
                <w:szCs w:val="20"/>
              </w:rPr>
            </w:pPr>
          </w:p>
        </w:tc>
        <w:tc>
          <w:tcPr>
            <w:tcW w:w="520" w:type="pct"/>
            <w:tcBorders>
              <w:top w:val="nil"/>
              <w:left w:val="nil"/>
              <w:bottom w:val="nil"/>
              <w:right w:val="nil"/>
            </w:tcBorders>
            <w:shd w:val="clear" w:color="auto" w:fill="auto"/>
            <w:noWrap/>
            <w:vAlign w:val="bottom"/>
            <w:hideMark/>
          </w:tcPr>
          <w:p w:rsidR="00564896" w:rsidRPr="00564896" w:rsidRDefault="00564896">
            <w:pPr>
              <w:rPr>
                <w:rFonts w:ascii="Arial Narrow" w:hAnsi="Arial Narrow" w:cs="Arial"/>
                <w:sz w:val="20"/>
                <w:szCs w:val="20"/>
              </w:rPr>
            </w:pPr>
          </w:p>
        </w:tc>
        <w:tc>
          <w:tcPr>
            <w:tcW w:w="520" w:type="pct"/>
            <w:tcBorders>
              <w:top w:val="nil"/>
              <w:left w:val="nil"/>
              <w:bottom w:val="nil"/>
              <w:right w:val="nil"/>
            </w:tcBorders>
            <w:shd w:val="clear" w:color="auto" w:fill="auto"/>
            <w:noWrap/>
            <w:vAlign w:val="bottom"/>
            <w:hideMark/>
          </w:tcPr>
          <w:p w:rsidR="00564896" w:rsidRPr="00564896" w:rsidRDefault="00564896">
            <w:pPr>
              <w:rPr>
                <w:rFonts w:ascii="Arial Narrow" w:hAnsi="Arial Narrow" w:cs="Arial"/>
                <w:sz w:val="20"/>
                <w:szCs w:val="20"/>
              </w:rPr>
            </w:pP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 xml:space="preserve">Výnosy z krátkodobého finančného majetku </w:t>
            </w:r>
          </w:p>
        </w:tc>
        <w:tc>
          <w:tcPr>
            <w:tcW w:w="520" w:type="pct"/>
            <w:tcBorders>
              <w:top w:val="nil"/>
              <w:left w:val="nil"/>
              <w:bottom w:val="nil"/>
              <w:right w:val="nil"/>
            </w:tcBorders>
            <w:shd w:val="clear" w:color="auto" w:fill="auto"/>
            <w:noWrap/>
            <w:vAlign w:val="bottom"/>
            <w:hideMark/>
          </w:tcPr>
          <w:p w:rsidR="00564896" w:rsidRPr="00564896" w:rsidRDefault="00564896">
            <w:pPr>
              <w:rPr>
                <w:rFonts w:ascii="Arial Narrow" w:hAnsi="Arial Narrow" w:cs="Arial"/>
                <w:sz w:val="20"/>
                <w:szCs w:val="20"/>
              </w:rPr>
            </w:pPr>
          </w:p>
        </w:tc>
        <w:tc>
          <w:tcPr>
            <w:tcW w:w="520" w:type="pct"/>
            <w:tcBorders>
              <w:top w:val="nil"/>
              <w:left w:val="nil"/>
              <w:bottom w:val="nil"/>
              <w:right w:val="nil"/>
            </w:tcBorders>
            <w:shd w:val="clear" w:color="auto" w:fill="auto"/>
            <w:noWrap/>
            <w:vAlign w:val="bottom"/>
            <w:hideMark/>
          </w:tcPr>
          <w:p w:rsidR="00564896" w:rsidRPr="00564896" w:rsidRDefault="00564896">
            <w:pPr>
              <w:rPr>
                <w:rFonts w:ascii="Arial Narrow" w:hAnsi="Arial Narrow" w:cs="Arial"/>
                <w:sz w:val="20"/>
                <w:szCs w:val="20"/>
              </w:rPr>
            </w:pPr>
          </w:p>
        </w:tc>
        <w:tc>
          <w:tcPr>
            <w:tcW w:w="520" w:type="pct"/>
            <w:tcBorders>
              <w:top w:val="nil"/>
              <w:left w:val="nil"/>
              <w:bottom w:val="nil"/>
              <w:right w:val="nil"/>
            </w:tcBorders>
            <w:shd w:val="clear" w:color="auto" w:fill="auto"/>
            <w:noWrap/>
            <w:vAlign w:val="bottom"/>
            <w:hideMark/>
          </w:tcPr>
          <w:p w:rsidR="00564896" w:rsidRPr="00564896" w:rsidRDefault="00564896">
            <w:pPr>
              <w:rPr>
                <w:rFonts w:ascii="Arial Narrow" w:hAnsi="Arial Narrow" w:cs="Arial"/>
                <w:sz w:val="20"/>
                <w:szCs w:val="20"/>
              </w:rPr>
            </w:pPr>
          </w:p>
        </w:tc>
        <w:tc>
          <w:tcPr>
            <w:tcW w:w="520" w:type="pct"/>
            <w:tcBorders>
              <w:top w:val="nil"/>
              <w:left w:val="nil"/>
              <w:bottom w:val="nil"/>
              <w:right w:val="nil"/>
            </w:tcBorders>
            <w:shd w:val="clear" w:color="auto" w:fill="auto"/>
            <w:noWrap/>
            <w:vAlign w:val="bottom"/>
            <w:hideMark/>
          </w:tcPr>
          <w:p w:rsidR="00564896" w:rsidRPr="00564896" w:rsidRDefault="00564896">
            <w:pPr>
              <w:rPr>
                <w:rFonts w:ascii="Arial Narrow" w:hAnsi="Arial Narrow" w:cs="Arial"/>
                <w:sz w:val="20"/>
                <w:szCs w:val="20"/>
              </w:rPr>
            </w:pP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 xml:space="preserve">Výnosové úroky </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63</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20</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60</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20</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Náklady na finančnú činnosť</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846</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1 574</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964</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1 016</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Nákladové úroky</w:t>
            </w:r>
          </w:p>
        </w:tc>
        <w:tc>
          <w:tcPr>
            <w:tcW w:w="520" w:type="pct"/>
            <w:tcBorders>
              <w:top w:val="nil"/>
              <w:left w:val="nil"/>
              <w:bottom w:val="nil"/>
              <w:right w:val="nil"/>
            </w:tcBorders>
            <w:shd w:val="clear" w:color="auto" w:fill="auto"/>
            <w:noWrap/>
            <w:vAlign w:val="bottom"/>
            <w:hideMark/>
          </w:tcPr>
          <w:p w:rsidR="00564896" w:rsidRPr="00564896" w:rsidRDefault="00564896">
            <w:pPr>
              <w:rPr>
                <w:rFonts w:ascii="Arial Narrow" w:hAnsi="Arial Narrow" w:cs="Arial"/>
                <w:sz w:val="20"/>
                <w:szCs w:val="20"/>
              </w:rPr>
            </w:pP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812</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196</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282</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Výsledok hospodárenia z finančnej činnosti (+/-)</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-783</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-1 554</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-903</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-996</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Výsledok hospodárenia za účtovné obdobie pred zdanením (+/-)</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-95 991</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-420</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8 859</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13 028</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Daň z príjmov</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-3 380</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-720</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2 999</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1 237</w:t>
            </w:r>
          </w:p>
        </w:tc>
      </w:tr>
      <w:tr w:rsidR="00564896" w:rsidRPr="00564896" w:rsidTr="00564896">
        <w:trPr>
          <w:trHeight w:val="255"/>
        </w:trPr>
        <w:tc>
          <w:tcPr>
            <w:tcW w:w="2919" w:type="pct"/>
            <w:tcBorders>
              <w:top w:val="nil"/>
              <w:left w:val="nil"/>
              <w:bottom w:val="nil"/>
              <w:right w:val="single" w:sz="4" w:space="0" w:color="auto"/>
            </w:tcBorders>
            <w:shd w:val="clear" w:color="auto" w:fill="auto"/>
            <w:noWrap/>
            <w:vAlign w:val="bottom"/>
            <w:hideMark/>
          </w:tcPr>
          <w:p w:rsidR="00564896" w:rsidRPr="00564896" w:rsidRDefault="00564896">
            <w:pPr>
              <w:rPr>
                <w:rFonts w:ascii="Arial Narrow" w:hAnsi="Arial Narrow" w:cs="Arial"/>
                <w:sz w:val="20"/>
                <w:szCs w:val="20"/>
              </w:rPr>
            </w:pPr>
            <w:r w:rsidRPr="00564896">
              <w:rPr>
                <w:rFonts w:ascii="Arial Narrow" w:hAnsi="Arial Narrow" w:cs="Arial"/>
                <w:sz w:val="20"/>
                <w:szCs w:val="20"/>
              </w:rPr>
              <w:t>Výsledok hospodárenia za účtovné obdobie po zdanení (+/-)</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-92 611</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300</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5 860</w:t>
            </w:r>
          </w:p>
        </w:tc>
        <w:tc>
          <w:tcPr>
            <w:tcW w:w="520" w:type="pct"/>
            <w:tcBorders>
              <w:top w:val="nil"/>
              <w:left w:val="nil"/>
              <w:bottom w:val="nil"/>
              <w:right w:val="nil"/>
            </w:tcBorders>
            <w:shd w:val="clear" w:color="auto" w:fill="auto"/>
            <w:noWrap/>
            <w:vAlign w:val="bottom"/>
            <w:hideMark/>
          </w:tcPr>
          <w:p w:rsidR="00564896" w:rsidRPr="00564896" w:rsidRDefault="00564896">
            <w:pPr>
              <w:jc w:val="right"/>
              <w:rPr>
                <w:rFonts w:ascii="Arial Narrow" w:hAnsi="Arial Narrow" w:cs="Arial"/>
                <w:sz w:val="20"/>
                <w:szCs w:val="20"/>
              </w:rPr>
            </w:pPr>
            <w:r w:rsidRPr="00564896">
              <w:rPr>
                <w:rFonts w:ascii="Arial Narrow" w:hAnsi="Arial Narrow" w:cs="Arial"/>
                <w:sz w:val="20"/>
                <w:szCs w:val="20"/>
              </w:rPr>
              <w:t>11 791</w:t>
            </w:r>
          </w:p>
        </w:tc>
      </w:tr>
    </w:tbl>
    <w:p w:rsidR="00564896" w:rsidRDefault="00564896" w:rsidP="002F5B25">
      <w:pPr>
        <w:jc w:val="both"/>
        <w:rPr>
          <w:rFonts w:ascii="Tahoma" w:hAnsi="Tahoma" w:cs="Tahoma"/>
          <w:iCs/>
          <w:sz w:val="22"/>
          <w:szCs w:val="22"/>
        </w:rPr>
      </w:pPr>
    </w:p>
    <w:p w:rsidR="00D92953" w:rsidRDefault="00D92953" w:rsidP="002F5B25">
      <w:pPr>
        <w:jc w:val="both"/>
        <w:rPr>
          <w:rFonts w:ascii="Tahoma" w:hAnsi="Tahoma" w:cs="Tahoma"/>
          <w:iCs/>
          <w:sz w:val="22"/>
          <w:szCs w:val="22"/>
        </w:rPr>
      </w:pPr>
    </w:p>
    <w:p w:rsidR="00816A94" w:rsidRDefault="000F4AB5" w:rsidP="004E3254">
      <w:pPr>
        <w:jc w:val="both"/>
        <w:rPr>
          <w:rFonts w:ascii="Tahoma" w:hAnsi="Tahoma" w:cs="Tahoma"/>
          <w:sz w:val="22"/>
          <w:szCs w:val="22"/>
        </w:rPr>
      </w:pPr>
      <w:r w:rsidRPr="000B48EA">
        <w:rPr>
          <w:rFonts w:ascii="Tahoma" w:hAnsi="Tahoma" w:cs="Tahoma"/>
          <w:iCs/>
          <w:sz w:val="22"/>
          <w:szCs w:val="22"/>
        </w:rPr>
        <w:t xml:space="preserve">V roku </w:t>
      </w:r>
      <w:r w:rsidR="00FB7553">
        <w:rPr>
          <w:rFonts w:ascii="Tahoma" w:hAnsi="Tahoma" w:cs="Tahoma"/>
          <w:iCs/>
          <w:sz w:val="22"/>
          <w:szCs w:val="22"/>
        </w:rPr>
        <w:t>2015</w:t>
      </w:r>
      <w:r w:rsidR="001541EB" w:rsidRPr="000B48EA">
        <w:rPr>
          <w:rFonts w:ascii="Tahoma" w:hAnsi="Tahoma" w:cs="Tahoma"/>
          <w:iCs/>
          <w:sz w:val="22"/>
          <w:szCs w:val="22"/>
        </w:rPr>
        <w:t xml:space="preserve"> </w:t>
      </w:r>
      <w:r w:rsidR="00311F3C">
        <w:rPr>
          <w:rFonts w:ascii="Tahoma" w:hAnsi="Tahoma" w:cs="Tahoma"/>
          <w:iCs/>
          <w:sz w:val="22"/>
          <w:szCs w:val="22"/>
        </w:rPr>
        <w:t xml:space="preserve">celkovo výnosy z hospodárskej činnosti </w:t>
      </w:r>
      <w:r w:rsidR="001541EB" w:rsidRPr="000B48EA">
        <w:rPr>
          <w:rFonts w:ascii="Tahoma" w:hAnsi="Tahoma" w:cs="Tahoma"/>
          <w:iCs/>
          <w:sz w:val="22"/>
          <w:szCs w:val="22"/>
        </w:rPr>
        <w:t xml:space="preserve"> zaznamenali oproti roku 20</w:t>
      </w:r>
      <w:r w:rsidR="002F1316" w:rsidRPr="000B48EA">
        <w:rPr>
          <w:rFonts w:ascii="Tahoma" w:hAnsi="Tahoma" w:cs="Tahoma"/>
          <w:iCs/>
          <w:sz w:val="22"/>
          <w:szCs w:val="22"/>
        </w:rPr>
        <w:t>1</w:t>
      </w:r>
      <w:r w:rsidR="00564896">
        <w:rPr>
          <w:rFonts w:ascii="Tahoma" w:hAnsi="Tahoma" w:cs="Tahoma"/>
          <w:iCs/>
          <w:sz w:val="22"/>
          <w:szCs w:val="22"/>
        </w:rPr>
        <w:t>4</w:t>
      </w:r>
      <w:r w:rsidR="00927782">
        <w:rPr>
          <w:rFonts w:ascii="Tahoma" w:hAnsi="Tahoma" w:cs="Tahoma"/>
          <w:iCs/>
          <w:sz w:val="22"/>
          <w:szCs w:val="22"/>
        </w:rPr>
        <w:t xml:space="preserve"> nárast vo výške  </w:t>
      </w:r>
      <w:r w:rsidR="00311F3C">
        <w:rPr>
          <w:rFonts w:ascii="Tahoma" w:hAnsi="Tahoma" w:cs="Tahoma"/>
          <w:iCs/>
          <w:sz w:val="22"/>
          <w:szCs w:val="22"/>
        </w:rPr>
        <w:t xml:space="preserve">4%, </w:t>
      </w:r>
      <w:r w:rsidRPr="000B48EA">
        <w:rPr>
          <w:rFonts w:ascii="Tahoma" w:hAnsi="Tahoma" w:cs="Tahoma"/>
          <w:iCs/>
          <w:sz w:val="22"/>
          <w:szCs w:val="22"/>
        </w:rPr>
        <w:t xml:space="preserve"> </w:t>
      </w:r>
      <w:r w:rsidR="002F5B25" w:rsidRPr="000B48EA">
        <w:rPr>
          <w:rFonts w:ascii="Tahoma" w:hAnsi="Tahoma" w:cs="Tahoma"/>
          <w:iCs/>
          <w:sz w:val="22"/>
          <w:szCs w:val="22"/>
        </w:rPr>
        <w:t xml:space="preserve">pričom </w:t>
      </w:r>
      <w:r w:rsidR="00927782">
        <w:rPr>
          <w:rFonts w:ascii="Tahoma" w:hAnsi="Tahoma" w:cs="Tahoma"/>
          <w:iCs/>
          <w:sz w:val="22"/>
          <w:szCs w:val="22"/>
        </w:rPr>
        <w:t>súčasne náklady na hospodársku činnosť vzrástli 4 %.</w:t>
      </w:r>
      <w:r w:rsidR="004E3254" w:rsidRPr="000B48EA">
        <w:rPr>
          <w:rFonts w:ascii="Tahoma" w:hAnsi="Tahoma" w:cs="Tahoma"/>
          <w:sz w:val="22"/>
          <w:szCs w:val="22"/>
        </w:rPr>
        <w:t xml:space="preserve"> </w:t>
      </w:r>
    </w:p>
    <w:p w:rsidR="00311F3C" w:rsidRDefault="00311F3C" w:rsidP="004E3254">
      <w:pPr>
        <w:jc w:val="both"/>
        <w:rPr>
          <w:rFonts w:ascii="Tahoma" w:hAnsi="Tahoma" w:cs="Tahoma"/>
          <w:sz w:val="22"/>
          <w:szCs w:val="22"/>
        </w:rPr>
      </w:pPr>
    </w:p>
    <w:p w:rsidR="00315E79" w:rsidRDefault="00315E79" w:rsidP="00315E79">
      <w:pPr>
        <w:rPr>
          <w:rFonts w:ascii="Tahoma" w:hAnsi="Tahoma" w:cs="Tahoma"/>
          <w:sz w:val="22"/>
          <w:szCs w:val="22"/>
        </w:rPr>
      </w:pPr>
      <w:r w:rsidRPr="000B48EA">
        <w:rPr>
          <w:rFonts w:ascii="Tahoma" w:hAnsi="Tahoma" w:cs="Tahoma"/>
          <w:sz w:val="22"/>
          <w:szCs w:val="22"/>
        </w:rPr>
        <w:t>Vývoj tržieb</w:t>
      </w:r>
      <w:r>
        <w:rPr>
          <w:rFonts w:ascii="Tahoma" w:hAnsi="Tahoma" w:cs="Tahoma"/>
          <w:sz w:val="22"/>
          <w:szCs w:val="22"/>
        </w:rPr>
        <w:t xml:space="preserve"> za služby </w:t>
      </w:r>
      <w:r w:rsidRPr="000B48EA">
        <w:rPr>
          <w:rFonts w:ascii="Tahoma" w:hAnsi="Tahoma" w:cs="Tahoma"/>
          <w:sz w:val="22"/>
          <w:szCs w:val="22"/>
        </w:rPr>
        <w:t xml:space="preserve"> v absolútnej hodnote od roku 20</w:t>
      </w:r>
      <w:r>
        <w:rPr>
          <w:rFonts w:ascii="Tahoma" w:hAnsi="Tahoma" w:cs="Tahoma"/>
          <w:sz w:val="22"/>
          <w:szCs w:val="22"/>
        </w:rPr>
        <w:t>1</w:t>
      </w:r>
      <w:r w:rsidR="006B07EC">
        <w:rPr>
          <w:rFonts w:ascii="Tahoma" w:hAnsi="Tahoma" w:cs="Tahoma"/>
          <w:sz w:val="22"/>
          <w:szCs w:val="22"/>
        </w:rPr>
        <w:t>2</w:t>
      </w:r>
      <w:r w:rsidR="00D87A1B">
        <w:rPr>
          <w:rFonts w:ascii="Tahoma" w:hAnsi="Tahoma" w:cs="Tahoma"/>
          <w:sz w:val="22"/>
          <w:szCs w:val="22"/>
        </w:rPr>
        <w:t xml:space="preserve"> </w:t>
      </w:r>
      <w:r w:rsidRPr="000B48EA">
        <w:rPr>
          <w:rFonts w:ascii="Tahoma" w:hAnsi="Tahoma" w:cs="Tahoma"/>
          <w:sz w:val="22"/>
          <w:szCs w:val="22"/>
        </w:rPr>
        <w:t xml:space="preserve"> až do roku </w:t>
      </w:r>
      <w:r w:rsidR="00FB7553">
        <w:rPr>
          <w:rFonts w:ascii="Tahoma" w:hAnsi="Tahoma" w:cs="Tahoma"/>
          <w:sz w:val="22"/>
          <w:szCs w:val="22"/>
        </w:rPr>
        <w:t>2015</w:t>
      </w:r>
      <w:r w:rsidRPr="000B48EA">
        <w:rPr>
          <w:rFonts w:ascii="Tahoma" w:hAnsi="Tahoma" w:cs="Tahoma"/>
          <w:sz w:val="22"/>
          <w:szCs w:val="22"/>
        </w:rPr>
        <w:t xml:space="preserve"> zobrazuje nasledovný graf:</w:t>
      </w:r>
    </w:p>
    <w:p w:rsidR="00FB4914" w:rsidRDefault="00FB4914" w:rsidP="00315E79">
      <w:pPr>
        <w:rPr>
          <w:rFonts w:ascii="Tahoma" w:hAnsi="Tahoma" w:cs="Tahoma"/>
          <w:sz w:val="22"/>
          <w:szCs w:val="22"/>
        </w:rPr>
      </w:pPr>
    </w:p>
    <w:p w:rsidR="00FB4914" w:rsidRDefault="00FB4914" w:rsidP="00315E79">
      <w:pPr>
        <w:rPr>
          <w:rFonts w:ascii="Tahoma" w:hAnsi="Tahoma" w:cs="Tahoma"/>
          <w:sz w:val="22"/>
          <w:szCs w:val="22"/>
        </w:rPr>
      </w:pPr>
    </w:p>
    <w:p w:rsidR="00FB4914" w:rsidRDefault="002A71AA" w:rsidP="00315E79">
      <w:pPr>
        <w:rPr>
          <w:rFonts w:ascii="Tahoma" w:hAnsi="Tahoma" w:cs="Tahoma"/>
          <w:sz w:val="22"/>
          <w:szCs w:val="22"/>
        </w:rPr>
      </w:pPr>
      <w:r>
        <w:rPr>
          <w:noProof/>
        </w:rPr>
        <w:drawing>
          <wp:inline distT="0" distB="0" distL="0" distR="0">
            <wp:extent cx="3408680" cy="2070100"/>
            <wp:effectExtent l="19050" t="0" r="1270" b="0"/>
            <wp:docPr id="3" name="Obrázok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2" cstate="print"/>
                    <a:srcRect/>
                    <a:stretch>
                      <a:fillRect/>
                    </a:stretch>
                  </pic:blipFill>
                  <pic:spPr bwMode="auto">
                    <a:xfrm>
                      <a:off x="0" y="0"/>
                      <a:ext cx="3408680" cy="2070100"/>
                    </a:xfrm>
                    <a:prstGeom prst="rect">
                      <a:avLst/>
                    </a:prstGeom>
                    <a:noFill/>
                    <a:ln w="9525">
                      <a:noFill/>
                      <a:miter lim="800000"/>
                      <a:headEnd/>
                      <a:tailEnd/>
                    </a:ln>
                  </pic:spPr>
                </pic:pic>
              </a:graphicData>
            </a:graphic>
          </wp:inline>
        </w:drawing>
      </w:r>
    </w:p>
    <w:p w:rsidR="006B07EC" w:rsidRDefault="006B07EC" w:rsidP="00315E79">
      <w:pPr>
        <w:rPr>
          <w:rFonts w:ascii="Tahoma" w:hAnsi="Tahoma" w:cs="Tahoma"/>
          <w:sz w:val="22"/>
          <w:szCs w:val="22"/>
        </w:rPr>
      </w:pPr>
    </w:p>
    <w:p w:rsidR="006B07EC" w:rsidRDefault="006B07EC" w:rsidP="00315E79">
      <w:pPr>
        <w:rPr>
          <w:rFonts w:ascii="Tahoma" w:hAnsi="Tahoma" w:cs="Tahoma"/>
          <w:sz w:val="22"/>
          <w:szCs w:val="22"/>
        </w:rPr>
      </w:pPr>
    </w:p>
    <w:p w:rsidR="00315E79" w:rsidRDefault="00315E79" w:rsidP="00315E79">
      <w:pPr>
        <w:rPr>
          <w:rFonts w:ascii="Tahoma" w:hAnsi="Tahoma" w:cs="Tahoma"/>
          <w:sz w:val="22"/>
          <w:szCs w:val="22"/>
        </w:rPr>
      </w:pPr>
    </w:p>
    <w:p w:rsidR="00311F3C" w:rsidRDefault="00315E79" w:rsidP="00315E79">
      <w:pPr>
        <w:jc w:val="both"/>
        <w:rPr>
          <w:rFonts w:ascii="Tahoma" w:hAnsi="Tahoma" w:cs="Tahoma"/>
          <w:sz w:val="22"/>
          <w:szCs w:val="22"/>
        </w:rPr>
      </w:pPr>
      <w:r>
        <w:rPr>
          <w:rFonts w:ascii="Tahoma" w:hAnsi="Tahoma" w:cs="Tahoma"/>
          <w:sz w:val="22"/>
          <w:szCs w:val="22"/>
        </w:rPr>
        <w:t>Z výsledkov je zrejmé, že Spoločnosti  sa podarilo zastaviť prepad tržieb</w:t>
      </w:r>
      <w:r w:rsidR="00311F3C">
        <w:rPr>
          <w:rFonts w:ascii="Tahoma" w:hAnsi="Tahoma" w:cs="Tahoma"/>
          <w:sz w:val="22"/>
          <w:szCs w:val="22"/>
        </w:rPr>
        <w:t xml:space="preserve"> za služby. Tržby za služby vzrástli v porovnaní s predchádzajúcim rokom o 5 %.</w:t>
      </w:r>
      <w:r w:rsidR="00311F3C" w:rsidRPr="00311F3C">
        <w:rPr>
          <w:rFonts w:ascii="Tahoma" w:hAnsi="Tahoma" w:cs="Tahoma"/>
          <w:sz w:val="22"/>
          <w:szCs w:val="22"/>
        </w:rPr>
        <w:t xml:space="preserve"> </w:t>
      </w:r>
      <w:r w:rsidR="00311F3C" w:rsidRPr="000B48EA">
        <w:rPr>
          <w:rFonts w:ascii="Tahoma" w:hAnsi="Tahoma" w:cs="Tahoma"/>
          <w:sz w:val="22"/>
          <w:szCs w:val="22"/>
        </w:rPr>
        <w:t>Tržby za služby predstavovali tržby za sprostredkovanie, príspevok na marketing a splnenie ročných odmien za činnosť od sieťových dodávateľov</w:t>
      </w:r>
    </w:p>
    <w:p w:rsidR="00311F3C" w:rsidRDefault="00311F3C" w:rsidP="00315E79">
      <w:pPr>
        <w:jc w:val="both"/>
        <w:rPr>
          <w:rFonts w:ascii="Tahoma" w:hAnsi="Tahoma" w:cs="Tahoma"/>
          <w:sz w:val="22"/>
          <w:szCs w:val="22"/>
        </w:rPr>
      </w:pPr>
    </w:p>
    <w:p w:rsidR="00A03FFA" w:rsidRDefault="00A03FFA" w:rsidP="00315E79">
      <w:pPr>
        <w:jc w:val="both"/>
        <w:rPr>
          <w:rFonts w:ascii="Tahoma" w:hAnsi="Tahoma" w:cs="Tahoma"/>
          <w:sz w:val="22"/>
          <w:szCs w:val="22"/>
        </w:rPr>
      </w:pPr>
      <w:r>
        <w:rPr>
          <w:rFonts w:ascii="Tahoma" w:hAnsi="Tahoma" w:cs="Tahoma"/>
          <w:sz w:val="22"/>
          <w:szCs w:val="22"/>
        </w:rPr>
        <w:t xml:space="preserve">Spoločnosť v priebehu účtovného obdobia prijala opatrenia, ktorými sa postupne prispôsobuje zmeneným podmienkam na trhu. Opatrenia sú zamerané aj na negáciu dopadov pokračujúcej hospodárskej a finančnej krízy.  </w:t>
      </w:r>
    </w:p>
    <w:p w:rsidR="004218D8" w:rsidRDefault="004218D8" w:rsidP="00315E79">
      <w:pPr>
        <w:jc w:val="both"/>
        <w:rPr>
          <w:rFonts w:ascii="Tahoma" w:hAnsi="Tahoma" w:cs="Tahoma"/>
          <w:sz w:val="22"/>
          <w:szCs w:val="22"/>
        </w:rPr>
      </w:pPr>
    </w:p>
    <w:p w:rsidR="0025078F" w:rsidRPr="000B48EA" w:rsidRDefault="006B07EC" w:rsidP="002F5B25">
      <w:pPr>
        <w:jc w:val="both"/>
        <w:rPr>
          <w:rFonts w:ascii="Tahoma" w:hAnsi="Tahoma" w:cs="Tahoma"/>
          <w:sz w:val="22"/>
          <w:szCs w:val="22"/>
        </w:rPr>
      </w:pPr>
      <w:r>
        <w:rPr>
          <w:rFonts w:ascii="Tahoma" w:hAnsi="Tahoma" w:cs="Tahoma"/>
          <w:sz w:val="22"/>
          <w:szCs w:val="22"/>
        </w:rPr>
        <w:t>Náklady na hospodársku činnosť vzrástli o </w:t>
      </w:r>
      <w:r w:rsidR="00311F3C">
        <w:rPr>
          <w:rFonts w:ascii="Tahoma" w:hAnsi="Tahoma" w:cs="Tahoma"/>
          <w:sz w:val="22"/>
          <w:szCs w:val="22"/>
        </w:rPr>
        <w:t>4</w:t>
      </w:r>
      <w:r>
        <w:rPr>
          <w:rFonts w:ascii="Tahoma" w:hAnsi="Tahoma" w:cs="Tahoma"/>
          <w:sz w:val="22"/>
          <w:szCs w:val="22"/>
        </w:rPr>
        <w:t xml:space="preserve"> %. Rozhodujúcou zložkou nákladov sú náklady </w:t>
      </w:r>
      <w:r w:rsidR="00782231" w:rsidRPr="000B48EA">
        <w:rPr>
          <w:rFonts w:ascii="Tahoma" w:hAnsi="Tahoma" w:cs="Tahoma"/>
          <w:sz w:val="22"/>
          <w:szCs w:val="22"/>
        </w:rPr>
        <w:t xml:space="preserve"> </w:t>
      </w:r>
      <w:r w:rsidR="004E3254" w:rsidRPr="000B48EA">
        <w:rPr>
          <w:rFonts w:ascii="Tahoma" w:hAnsi="Tahoma" w:cs="Tahoma"/>
          <w:sz w:val="22"/>
          <w:szCs w:val="22"/>
        </w:rPr>
        <w:t xml:space="preserve"> na  ročné odmeny partnerov  siete E</w:t>
      </w:r>
      <w:r w:rsidR="00782231" w:rsidRPr="000B48EA">
        <w:rPr>
          <w:rFonts w:ascii="Tahoma" w:hAnsi="Tahoma" w:cs="Tahoma"/>
          <w:sz w:val="22"/>
          <w:szCs w:val="22"/>
        </w:rPr>
        <w:t>URONICS</w:t>
      </w:r>
      <w:r w:rsidR="002F1316" w:rsidRPr="000B48EA">
        <w:rPr>
          <w:rFonts w:ascii="Tahoma" w:hAnsi="Tahoma" w:cs="Tahoma"/>
          <w:sz w:val="22"/>
          <w:szCs w:val="22"/>
        </w:rPr>
        <w:t xml:space="preserve"> </w:t>
      </w:r>
      <w:r w:rsidR="004E3254" w:rsidRPr="000B48EA">
        <w:rPr>
          <w:rFonts w:ascii="Tahoma" w:hAnsi="Tahoma" w:cs="Tahoma"/>
          <w:sz w:val="22"/>
          <w:szCs w:val="22"/>
        </w:rPr>
        <w:t xml:space="preserve">SK, náklady za sprostredkovanie a náklady na propagáciu a podporu predaja. </w:t>
      </w:r>
      <w:r w:rsidR="002F5B25" w:rsidRPr="000B48EA">
        <w:rPr>
          <w:rFonts w:ascii="Tahoma" w:hAnsi="Tahoma" w:cs="Tahoma"/>
          <w:sz w:val="22"/>
          <w:szCs w:val="22"/>
        </w:rPr>
        <w:t xml:space="preserve"> </w:t>
      </w:r>
    </w:p>
    <w:p w:rsidR="00C14F68" w:rsidRDefault="00C14F68" w:rsidP="002F5B25">
      <w:pPr>
        <w:jc w:val="both"/>
        <w:rPr>
          <w:rFonts w:ascii="Tahoma" w:hAnsi="Tahoma" w:cs="Tahoma"/>
          <w:iCs/>
          <w:sz w:val="22"/>
          <w:szCs w:val="22"/>
        </w:rPr>
      </w:pPr>
    </w:p>
    <w:p w:rsidR="004218D8" w:rsidRDefault="004218D8" w:rsidP="002F5B25">
      <w:pPr>
        <w:jc w:val="both"/>
        <w:rPr>
          <w:rFonts w:ascii="Tahoma" w:hAnsi="Tahoma" w:cs="Tahoma"/>
          <w:iCs/>
          <w:sz w:val="22"/>
          <w:szCs w:val="22"/>
        </w:rPr>
      </w:pPr>
    </w:p>
    <w:p w:rsidR="004218D8" w:rsidRDefault="004218D8" w:rsidP="002F5B25">
      <w:pPr>
        <w:jc w:val="both"/>
        <w:rPr>
          <w:rFonts w:ascii="Tahoma" w:hAnsi="Tahoma" w:cs="Tahoma"/>
          <w:iCs/>
          <w:sz w:val="22"/>
          <w:szCs w:val="22"/>
        </w:rPr>
      </w:pPr>
    </w:p>
    <w:p w:rsidR="004218D8" w:rsidRDefault="004218D8" w:rsidP="002F5B25">
      <w:pPr>
        <w:jc w:val="both"/>
        <w:rPr>
          <w:rFonts w:ascii="Tahoma" w:hAnsi="Tahoma" w:cs="Tahoma"/>
          <w:iCs/>
          <w:sz w:val="22"/>
          <w:szCs w:val="22"/>
        </w:rPr>
      </w:pPr>
    </w:p>
    <w:p w:rsidR="004218D8" w:rsidRDefault="004218D8" w:rsidP="002F5B25">
      <w:pPr>
        <w:jc w:val="both"/>
        <w:rPr>
          <w:rFonts w:ascii="Tahoma" w:hAnsi="Tahoma" w:cs="Tahoma"/>
          <w:iCs/>
          <w:sz w:val="22"/>
          <w:szCs w:val="22"/>
        </w:rPr>
      </w:pPr>
    </w:p>
    <w:p w:rsidR="000F4AB5" w:rsidRDefault="000F4AB5" w:rsidP="000F4AB5">
      <w:pPr>
        <w:jc w:val="both"/>
        <w:rPr>
          <w:rFonts w:ascii="Tahoma" w:hAnsi="Tahoma" w:cs="Tahoma"/>
          <w:sz w:val="22"/>
          <w:szCs w:val="22"/>
        </w:rPr>
      </w:pPr>
      <w:r w:rsidRPr="000B48EA">
        <w:rPr>
          <w:rFonts w:ascii="Tahoma" w:hAnsi="Tahoma" w:cs="Tahoma"/>
          <w:sz w:val="22"/>
          <w:szCs w:val="22"/>
        </w:rPr>
        <w:t>Prostredníctvom ukazovateľa rentability (profitability rations) je demonštrovaný výsledok (výnosnosť) úsilia Spoločnosti. Boli vypočítané nasledovné ukazovatele:</w:t>
      </w:r>
    </w:p>
    <w:p w:rsidR="00311F3C" w:rsidRDefault="00311F3C" w:rsidP="000F4AB5">
      <w:pPr>
        <w:jc w:val="both"/>
        <w:rPr>
          <w:rFonts w:ascii="Tahoma" w:hAnsi="Tahoma" w:cs="Tahoma"/>
          <w:sz w:val="22"/>
          <w:szCs w:val="22"/>
        </w:rPr>
      </w:pPr>
    </w:p>
    <w:tbl>
      <w:tblPr>
        <w:tblW w:w="6620" w:type="dxa"/>
        <w:tblInd w:w="70" w:type="dxa"/>
        <w:tblCellMar>
          <w:left w:w="70" w:type="dxa"/>
          <w:right w:w="70" w:type="dxa"/>
        </w:tblCellMar>
        <w:tblLook w:val="04A0"/>
      </w:tblPr>
      <w:tblGrid>
        <w:gridCol w:w="2848"/>
        <w:gridCol w:w="948"/>
        <w:gridCol w:w="948"/>
        <w:gridCol w:w="888"/>
        <w:gridCol w:w="988"/>
      </w:tblGrid>
      <w:tr w:rsidR="00311F3C" w:rsidTr="00311F3C">
        <w:trPr>
          <w:trHeight w:val="270"/>
        </w:trPr>
        <w:tc>
          <w:tcPr>
            <w:tcW w:w="2848" w:type="dxa"/>
            <w:tcBorders>
              <w:top w:val="nil"/>
              <w:left w:val="nil"/>
              <w:bottom w:val="single" w:sz="8" w:space="0" w:color="auto"/>
              <w:right w:val="single" w:sz="4" w:space="0" w:color="auto"/>
            </w:tcBorders>
            <w:shd w:val="clear" w:color="auto" w:fill="auto"/>
            <w:noWrap/>
            <w:vAlign w:val="bottom"/>
            <w:hideMark/>
          </w:tcPr>
          <w:p w:rsidR="00311F3C" w:rsidRDefault="00311F3C">
            <w:pPr>
              <w:rPr>
                <w:rFonts w:ascii="Arial" w:hAnsi="Arial" w:cs="Arial"/>
                <w:b/>
                <w:bCs/>
                <w:sz w:val="20"/>
                <w:szCs w:val="20"/>
              </w:rPr>
            </w:pPr>
            <w:r>
              <w:rPr>
                <w:rFonts w:ascii="Arial" w:hAnsi="Arial" w:cs="Arial"/>
                <w:b/>
                <w:bCs/>
                <w:sz w:val="20"/>
                <w:szCs w:val="20"/>
              </w:rPr>
              <w:t xml:space="preserve">ukazovateľ rentability </w:t>
            </w:r>
          </w:p>
        </w:tc>
        <w:tc>
          <w:tcPr>
            <w:tcW w:w="948" w:type="dxa"/>
            <w:tcBorders>
              <w:top w:val="nil"/>
              <w:left w:val="nil"/>
              <w:bottom w:val="single" w:sz="8" w:space="0" w:color="auto"/>
              <w:right w:val="nil"/>
            </w:tcBorders>
            <w:shd w:val="clear" w:color="auto" w:fill="auto"/>
            <w:noWrap/>
            <w:vAlign w:val="bottom"/>
            <w:hideMark/>
          </w:tcPr>
          <w:p w:rsidR="00311F3C" w:rsidRDefault="00311F3C">
            <w:pPr>
              <w:jc w:val="right"/>
              <w:rPr>
                <w:rFonts w:ascii="Arial" w:hAnsi="Arial" w:cs="Arial"/>
                <w:b/>
                <w:bCs/>
                <w:sz w:val="20"/>
                <w:szCs w:val="20"/>
              </w:rPr>
            </w:pPr>
            <w:r>
              <w:rPr>
                <w:rFonts w:ascii="Arial" w:hAnsi="Arial" w:cs="Arial"/>
                <w:b/>
                <w:bCs/>
                <w:sz w:val="20"/>
                <w:szCs w:val="20"/>
              </w:rPr>
              <w:t>2012</w:t>
            </w:r>
          </w:p>
        </w:tc>
        <w:tc>
          <w:tcPr>
            <w:tcW w:w="948" w:type="dxa"/>
            <w:tcBorders>
              <w:top w:val="nil"/>
              <w:left w:val="nil"/>
              <w:bottom w:val="single" w:sz="8" w:space="0" w:color="auto"/>
              <w:right w:val="nil"/>
            </w:tcBorders>
            <w:shd w:val="clear" w:color="auto" w:fill="auto"/>
            <w:noWrap/>
            <w:vAlign w:val="bottom"/>
            <w:hideMark/>
          </w:tcPr>
          <w:p w:rsidR="00311F3C" w:rsidRDefault="00311F3C">
            <w:pPr>
              <w:jc w:val="right"/>
              <w:rPr>
                <w:rFonts w:ascii="Arial" w:hAnsi="Arial" w:cs="Arial"/>
                <w:b/>
                <w:bCs/>
                <w:sz w:val="20"/>
                <w:szCs w:val="20"/>
              </w:rPr>
            </w:pPr>
            <w:r>
              <w:rPr>
                <w:rFonts w:ascii="Arial" w:hAnsi="Arial" w:cs="Arial"/>
                <w:b/>
                <w:bCs/>
                <w:sz w:val="20"/>
                <w:szCs w:val="20"/>
              </w:rPr>
              <w:t>2013</w:t>
            </w:r>
          </w:p>
        </w:tc>
        <w:tc>
          <w:tcPr>
            <w:tcW w:w="888" w:type="dxa"/>
            <w:tcBorders>
              <w:top w:val="nil"/>
              <w:left w:val="nil"/>
              <w:bottom w:val="single" w:sz="8" w:space="0" w:color="auto"/>
              <w:right w:val="nil"/>
            </w:tcBorders>
            <w:shd w:val="clear" w:color="auto" w:fill="auto"/>
            <w:noWrap/>
            <w:vAlign w:val="bottom"/>
            <w:hideMark/>
          </w:tcPr>
          <w:p w:rsidR="00311F3C" w:rsidRDefault="00311F3C">
            <w:pPr>
              <w:jc w:val="right"/>
              <w:rPr>
                <w:rFonts w:ascii="Arial" w:hAnsi="Arial" w:cs="Arial"/>
                <w:b/>
                <w:bCs/>
                <w:sz w:val="20"/>
                <w:szCs w:val="20"/>
              </w:rPr>
            </w:pPr>
            <w:r>
              <w:rPr>
                <w:rFonts w:ascii="Arial" w:hAnsi="Arial" w:cs="Arial"/>
                <w:b/>
                <w:bCs/>
                <w:sz w:val="20"/>
                <w:szCs w:val="20"/>
              </w:rPr>
              <w:t>2014</w:t>
            </w:r>
          </w:p>
        </w:tc>
        <w:tc>
          <w:tcPr>
            <w:tcW w:w="988" w:type="dxa"/>
            <w:tcBorders>
              <w:top w:val="nil"/>
              <w:left w:val="nil"/>
              <w:bottom w:val="single" w:sz="8" w:space="0" w:color="auto"/>
              <w:right w:val="nil"/>
            </w:tcBorders>
            <w:shd w:val="clear" w:color="auto" w:fill="auto"/>
            <w:noWrap/>
            <w:vAlign w:val="bottom"/>
            <w:hideMark/>
          </w:tcPr>
          <w:p w:rsidR="00311F3C" w:rsidRDefault="00311F3C">
            <w:pPr>
              <w:jc w:val="right"/>
              <w:rPr>
                <w:rFonts w:ascii="Arial" w:hAnsi="Arial" w:cs="Arial"/>
                <w:b/>
                <w:bCs/>
                <w:sz w:val="20"/>
                <w:szCs w:val="20"/>
              </w:rPr>
            </w:pPr>
            <w:r>
              <w:rPr>
                <w:rFonts w:ascii="Arial" w:hAnsi="Arial" w:cs="Arial"/>
                <w:b/>
                <w:bCs/>
                <w:sz w:val="20"/>
                <w:szCs w:val="20"/>
              </w:rPr>
              <w:t>2015</w:t>
            </w:r>
          </w:p>
        </w:tc>
      </w:tr>
      <w:tr w:rsidR="00311F3C" w:rsidTr="00311F3C">
        <w:trPr>
          <w:trHeight w:val="255"/>
        </w:trPr>
        <w:tc>
          <w:tcPr>
            <w:tcW w:w="2848" w:type="dxa"/>
            <w:tcBorders>
              <w:top w:val="nil"/>
              <w:left w:val="nil"/>
              <w:bottom w:val="nil"/>
              <w:right w:val="single" w:sz="4" w:space="0" w:color="auto"/>
            </w:tcBorders>
            <w:shd w:val="clear" w:color="auto" w:fill="auto"/>
            <w:noWrap/>
            <w:vAlign w:val="bottom"/>
            <w:hideMark/>
          </w:tcPr>
          <w:p w:rsidR="00311F3C" w:rsidRDefault="00311F3C">
            <w:pPr>
              <w:rPr>
                <w:rFonts w:ascii="Arial" w:hAnsi="Arial" w:cs="Arial"/>
                <w:sz w:val="20"/>
                <w:szCs w:val="20"/>
              </w:rPr>
            </w:pPr>
            <w:r>
              <w:rPr>
                <w:rFonts w:ascii="Arial" w:hAnsi="Arial" w:cs="Arial"/>
                <w:sz w:val="20"/>
                <w:szCs w:val="20"/>
              </w:rPr>
              <w:t>Rentabilita celkového kapitálu</w:t>
            </w:r>
          </w:p>
        </w:tc>
        <w:tc>
          <w:tcPr>
            <w:tcW w:w="94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-0,09</w:t>
            </w:r>
          </w:p>
        </w:tc>
        <w:tc>
          <w:tcPr>
            <w:tcW w:w="94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w:t>
            </w:r>
          </w:p>
        </w:tc>
        <w:tc>
          <w:tcPr>
            <w:tcW w:w="88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0,01</w:t>
            </w:r>
          </w:p>
        </w:tc>
        <w:tc>
          <w:tcPr>
            <w:tcW w:w="98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0,01</w:t>
            </w:r>
          </w:p>
        </w:tc>
      </w:tr>
      <w:tr w:rsidR="00311F3C" w:rsidTr="00311F3C">
        <w:trPr>
          <w:trHeight w:val="255"/>
        </w:trPr>
        <w:tc>
          <w:tcPr>
            <w:tcW w:w="2848" w:type="dxa"/>
            <w:tcBorders>
              <w:top w:val="nil"/>
              <w:left w:val="nil"/>
              <w:bottom w:val="nil"/>
              <w:right w:val="single" w:sz="4" w:space="0" w:color="auto"/>
            </w:tcBorders>
            <w:shd w:val="clear" w:color="auto" w:fill="auto"/>
            <w:noWrap/>
            <w:vAlign w:val="bottom"/>
            <w:hideMark/>
          </w:tcPr>
          <w:p w:rsidR="00311F3C" w:rsidRDefault="00311F3C">
            <w:pPr>
              <w:rPr>
                <w:rFonts w:ascii="Arial" w:hAnsi="Arial" w:cs="Arial"/>
                <w:sz w:val="20"/>
                <w:szCs w:val="20"/>
              </w:rPr>
            </w:pPr>
            <w:r>
              <w:rPr>
                <w:rFonts w:ascii="Arial" w:hAnsi="Arial" w:cs="Arial"/>
                <w:sz w:val="20"/>
                <w:szCs w:val="20"/>
              </w:rPr>
              <w:t>Rentabilita vlastného kapitálu</w:t>
            </w:r>
          </w:p>
        </w:tc>
        <w:tc>
          <w:tcPr>
            <w:tcW w:w="94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-1,02</w:t>
            </w:r>
          </w:p>
        </w:tc>
        <w:tc>
          <w:tcPr>
            <w:tcW w:w="94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w:t>
            </w:r>
          </w:p>
        </w:tc>
        <w:tc>
          <w:tcPr>
            <w:tcW w:w="88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0,06</w:t>
            </w:r>
          </w:p>
        </w:tc>
        <w:tc>
          <w:tcPr>
            <w:tcW w:w="98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0,11</w:t>
            </w:r>
          </w:p>
        </w:tc>
      </w:tr>
      <w:tr w:rsidR="00311F3C" w:rsidTr="00311F3C">
        <w:trPr>
          <w:trHeight w:val="255"/>
        </w:trPr>
        <w:tc>
          <w:tcPr>
            <w:tcW w:w="2848" w:type="dxa"/>
            <w:tcBorders>
              <w:top w:val="nil"/>
              <w:left w:val="nil"/>
              <w:bottom w:val="nil"/>
              <w:right w:val="single" w:sz="4" w:space="0" w:color="auto"/>
            </w:tcBorders>
            <w:shd w:val="clear" w:color="auto" w:fill="auto"/>
            <w:noWrap/>
            <w:vAlign w:val="bottom"/>
            <w:hideMark/>
          </w:tcPr>
          <w:p w:rsidR="00311F3C" w:rsidRDefault="00311F3C">
            <w:pPr>
              <w:rPr>
                <w:rFonts w:ascii="Arial" w:hAnsi="Arial" w:cs="Arial"/>
                <w:sz w:val="20"/>
                <w:szCs w:val="20"/>
              </w:rPr>
            </w:pPr>
            <w:r>
              <w:rPr>
                <w:rFonts w:ascii="Arial" w:hAnsi="Arial" w:cs="Arial"/>
                <w:sz w:val="20"/>
                <w:szCs w:val="20"/>
              </w:rPr>
              <w:t>Rentabilita tržieb</w:t>
            </w:r>
          </w:p>
        </w:tc>
        <w:tc>
          <w:tcPr>
            <w:tcW w:w="94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-0,03</w:t>
            </w:r>
          </w:p>
        </w:tc>
        <w:tc>
          <w:tcPr>
            <w:tcW w:w="94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w:t>
            </w:r>
          </w:p>
        </w:tc>
        <w:tc>
          <w:tcPr>
            <w:tcW w:w="88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w:t>
            </w:r>
          </w:p>
        </w:tc>
        <w:tc>
          <w:tcPr>
            <w:tcW w:w="98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w:t>
            </w:r>
          </w:p>
        </w:tc>
      </w:tr>
      <w:tr w:rsidR="00311F3C" w:rsidTr="00311F3C">
        <w:trPr>
          <w:trHeight w:val="255"/>
        </w:trPr>
        <w:tc>
          <w:tcPr>
            <w:tcW w:w="2848" w:type="dxa"/>
            <w:tcBorders>
              <w:top w:val="nil"/>
              <w:left w:val="nil"/>
              <w:bottom w:val="nil"/>
              <w:right w:val="single" w:sz="4" w:space="0" w:color="auto"/>
            </w:tcBorders>
            <w:shd w:val="clear" w:color="auto" w:fill="auto"/>
            <w:noWrap/>
            <w:vAlign w:val="bottom"/>
            <w:hideMark/>
          </w:tcPr>
          <w:p w:rsidR="00311F3C" w:rsidRDefault="00311F3C">
            <w:pPr>
              <w:rPr>
                <w:rFonts w:ascii="Arial" w:hAnsi="Arial" w:cs="Arial"/>
                <w:sz w:val="20"/>
                <w:szCs w:val="20"/>
              </w:rPr>
            </w:pPr>
            <w:r>
              <w:rPr>
                <w:rFonts w:ascii="Arial" w:hAnsi="Arial" w:cs="Arial"/>
                <w:sz w:val="20"/>
                <w:szCs w:val="20"/>
              </w:rPr>
              <w:t>Rentabilita nákladov</w:t>
            </w:r>
          </w:p>
        </w:tc>
        <w:tc>
          <w:tcPr>
            <w:tcW w:w="94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-0,03</w:t>
            </w:r>
          </w:p>
        </w:tc>
        <w:tc>
          <w:tcPr>
            <w:tcW w:w="94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w:t>
            </w:r>
          </w:p>
        </w:tc>
        <w:tc>
          <w:tcPr>
            <w:tcW w:w="88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w:t>
            </w:r>
          </w:p>
        </w:tc>
        <w:tc>
          <w:tcPr>
            <w:tcW w:w="988" w:type="dxa"/>
            <w:tcBorders>
              <w:top w:val="nil"/>
              <w:left w:val="nil"/>
              <w:bottom w:val="nil"/>
              <w:right w:val="nil"/>
            </w:tcBorders>
            <w:shd w:val="clear" w:color="auto" w:fill="auto"/>
            <w:noWrap/>
            <w:vAlign w:val="bottom"/>
            <w:hideMark/>
          </w:tcPr>
          <w:p w:rsidR="00311F3C" w:rsidRDefault="00311F3C">
            <w:pPr>
              <w:jc w:val="right"/>
              <w:rPr>
                <w:rFonts w:ascii="Arial" w:hAnsi="Arial" w:cs="Arial"/>
                <w:sz w:val="20"/>
                <w:szCs w:val="20"/>
              </w:rPr>
            </w:pPr>
            <w:r>
              <w:rPr>
                <w:rFonts w:ascii="Arial" w:hAnsi="Arial" w:cs="Arial"/>
                <w:sz w:val="20"/>
                <w:szCs w:val="20"/>
              </w:rPr>
              <w:t>0</w:t>
            </w:r>
          </w:p>
        </w:tc>
      </w:tr>
    </w:tbl>
    <w:p w:rsidR="00311F3C" w:rsidRDefault="00311F3C" w:rsidP="000F4AB5">
      <w:pPr>
        <w:jc w:val="both"/>
        <w:rPr>
          <w:rFonts w:ascii="Tahoma" w:hAnsi="Tahoma" w:cs="Tahoma"/>
          <w:sz w:val="22"/>
          <w:szCs w:val="22"/>
        </w:rPr>
      </w:pPr>
    </w:p>
    <w:p w:rsidR="001C0439" w:rsidRDefault="00847154" w:rsidP="000C43F9">
      <w:pPr>
        <w:tabs>
          <w:tab w:val="left" w:pos="8931"/>
          <w:tab w:val="left" w:pos="9214"/>
        </w:tabs>
        <w:rPr>
          <w:rFonts w:ascii="Tahoma" w:hAnsi="Tahoma" w:cs="Tahoma"/>
          <w:sz w:val="22"/>
          <w:szCs w:val="22"/>
        </w:rPr>
      </w:pPr>
      <w:r w:rsidRPr="000B48EA">
        <w:rPr>
          <w:rFonts w:ascii="Tahoma" w:hAnsi="Tahoma" w:cs="Tahoma"/>
          <w:sz w:val="22"/>
          <w:szCs w:val="22"/>
        </w:rPr>
        <w:t xml:space="preserve">Všetky ukazovatele rentability majú </w:t>
      </w:r>
      <w:r w:rsidR="00311F3C">
        <w:rPr>
          <w:rFonts w:ascii="Tahoma" w:hAnsi="Tahoma" w:cs="Tahoma"/>
          <w:sz w:val="22"/>
          <w:szCs w:val="22"/>
        </w:rPr>
        <w:t xml:space="preserve">rovnakú alebo </w:t>
      </w:r>
      <w:r w:rsidR="001C0439">
        <w:rPr>
          <w:rFonts w:ascii="Tahoma" w:hAnsi="Tahoma" w:cs="Tahoma"/>
          <w:sz w:val="22"/>
          <w:szCs w:val="22"/>
        </w:rPr>
        <w:t>miere stúpajúcu tendenciu v porovnaní s rokom 201</w:t>
      </w:r>
      <w:r w:rsidR="00311F3C">
        <w:rPr>
          <w:rFonts w:ascii="Tahoma" w:hAnsi="Tahoma" w:cs="Tahoma"/>
          <w:sz w:val="22"/>
          <w:szCs w:val="22"/>
        </w:rPr>
        <w:t>4</w:t>
      </w:r>
      <w:r w:rsidR="001C0439">
        <w:rPr>
          <w:rFonts w:ascii="Tahoma" w:hAnsi="Tahoma" w:cs="Tahoma"/>
          <w:sz w:val="22"/>
          <w:szCs w:val="22"/>
        </w:rPr>
        <w:t>.</w:t>
      </w:r>
    </w:p>
    <w:p w:rsidR="00847154" w:rsidRPr="000B48EA" w:rsidRDefault="00847154" w:rsidP="000C43F9">
      <w:pPr>
        <w:tabs>
          <w:tab w:val="left" w:pos="8931"/>
          <w:tab w:val="left" w:pos="9214"/>
        </w:tabs>
        <w:rPr>
          <w:rFonts w:ascii="Tahoma" w:hAnsi="Tahoma" w:cs="Tahoma"/>
          <w:sz w:val="22"/>
          <w:szCs w:val="22"/>
        </w:rPr>
      </w:pPr>
    </w:p>
    <w:p w:rsidR="000F4AB5" w:rsidRPr="000B48EA" w:rsidRDefault="000F4AB5" w:rsidP="00315E79">
      <w:pPr>
        <w:tabs>
          <w:tab w:val="left" w:pos="8931"/>
          <w:tab w:val="left" w:pos="9214"/>
        </w:tabs>
        <w:jc w:val="both"/>
        <w:rPr>
          <w:rFonts w:ascii="Tahoma" w:hAnsi="Tahoma" w:cs="Tahoma"/>
          <w:sz w:val="22"/>
          <w:szCs w:val="22"/>
        </w:rPr>
      </w:pPr>
      <w:r w:rsidRPr="000B48EA">
        <w:rPr>
          <w:rFonts w:ascii="Tahoma" w:hAnsi="Tahoma" w:cs="Tahoma"/>
          <w:sz w:val="22"/>
          <w:szCs w:val="22"/>
        </w:rPr>
        <w:t>Ukazovateľ rentability celkových aktív (ROA – return on assets), vypočítaný ako podiel čistého zisku k aktívam celkom</w:t>
      </w:r>
      <w:r w:rsidR="00847154" w:rsidRPr="000B48EA">
        <w:rPr>
          <w:rFonts w:ascii="Tahoma" w:hAnsi="Tahoma" w:cs="Tahoma"/>
          <w:sz w:val="22"/>
          <w:szCs w:val="22"/>
        </w:rPr>
        <w:t xml:space="preserve"> </w:t>
      </w:r>
      <w:r w:rsidR="00311F3C">
        <w:rPr>
          <w:rFonts w:ascii="Tahoma" w:hAnsi="Tahoma" w:cs="Tahoma"/>
          <w:sz w:val="22"/>
          <w:szCs w:val="22"/>
        </w:rPr>
        <w:t>zostal v porovnaní s predchádzajúcim rokom na nezmenenej úrovni.</w:t>
      </w:r>
      <w:r w:rsidRPr="000B48EA">
        <w:rPr>
          <w:rFonts w:ascii="Tahoma" w:hAnsi="Tahoma" w:cs="Tahoma"/>
          <w:sz w:val="22"/>
          <w:szCs w:val="22"/>
        </w:rPr>
        <w:t xml:space="preserve"> Ukazovateľ vyjadruje zhodnotenie celkových aktív bez ohľadu na to, z akých zdrojov sú financované.</w:t>
      </w:r>
    </w:p>
    <w:p w:rsidR="000F4AB5" w:rsidRPr="000B48EA" w:rsidRDefault="000F4AB5" w:rsidP="000F4AB5">
      <w:pPr>
        <w:rPr>
          <w:rFonts w:ascii="Tahoma" w:hAnsi="Tahoma" w:cs="Tahoma"/>
          <w:sz w:val="22"/>
          <w:szCs w:val="22"/>
        </w:rPr>
      </w:pPr>
    </w:p>
    <w:p w:rsidR="000F4AB5" w:rsidRPr="000B48EA" w:rsidRDefault="000F4AB5" w:rsidP="00EC0741">
      <w:pPr>
        <w:jc w:val="both"/>
        <w:rPr>
          <w:rFonts w:ascii="Tahoma" w:hAnsi="Tahoma" w:cs="Tahoma"/>
          <w:sz w:val="22"/>
          <w:szCs w:val="22"/>
        </w:rPr>
      </w:pPr>
      <w:r w:rsidRPr="000B48EA">
        <w:rPr>
          <w:rFonts w:ascii="Tahoma" w:hAnsi="Tahoma" w:cs="Tahoma"/>
          <w:sz w:val="22"/>
          <w:szCs w:val="22"/>
        </w:rPr>
        <w:t xml:space="preserve">Ukazovateľ rentabilita vlastného imania (ROE – return on equity), vypočítaný ako podiel čistého zisku a vlastného imania, </w:t>
      </w:r>
      <w:r w:rsidR="00847154" w:rsidRPr="000B48EA">
        <w:rPr>
          <w:rFonts w:ascii="Tahoma" w:hAnsi="Tahoma" w:cs="Tahoma"/>
          <w:sz w:val="22"/>
          <w:szCs w:val="22"/>
        </w:rPr>
        <w:t xml:space="preserve"> zaznamenal oproti roku 201</w:t>
      </w:r>
      <w:r w:rsidR="00311F3C">
        <w:rPr>
          <w:rFonts w:ascii="Tahoma" w:hAnsi="Tahoma" w:cs="Tahoma"/>
          <w:sz w:val="22"/>
          <w:szCs w:val="22"/>
        </w:rPr>
        <w:t xml:space="preserve">4 </w:t>
      </w:r>
      <w:r w:rsidR="00315E79">
        <w:rPr>
          <w:rFonts w:ascii="Tahoma" w:hAnsi="Tahoma" w:cs="Tahoma"/>
          <w:sz w:val="22"/>
          <w:szCs w:val="22"/>
        </w:rPr>
        <w:t>nárast</w:t>
      </w:r>
      <w:r w:rsidR="00311F3C">
        <w:rPr>
          <w:rFonts w:ascii="Tahoma" w:hAnsi="Tahoma" w:cs="Tahoma"/>
          <w:sz w:val="22"/>
          <w:szCs w:val="22"/>
        </w:rPr>
        <w:t xml:space="preserve">, </w:t>
      </w:r>
      <w:r w:rsidR="00315E79">
        <w:rPr>
          <w:rFonts w:ascii="Tahoma" w:hAnsi="Tahoma" w:cs="Tahoma"/>
          <w:sz w:val="22"/>
          <w:szCs w:val="22"/>
        </w:rPr>
        <w:t xml:space="preserve"> čo vyjadruje vyššiu </w:t>
      </w:r>
      <w:r w:rsidRPr="000B48EA">
        <w:rPr>
          <w:rFonts w:ascii="Tahoma" w:hAnsi="Tahoma" w:cs="Tahoma"/>
          <w:sz w:val="22"/>
          <w:szCs w:val="22"/>
        </w:rPr>
        <w:t>mieru ziskovosti z vlastného kapitálu.</w:t>
      </w:r>
    </w:p>
    <w:p w:rsidR="000F4AB5" w:rsidRPr="000B48EA" w:rsidRDefault="000F4AB5" w:rsidP="000F4AB5">
      <w:pPr>
        <w:jc w:val="both"/>
        <w:rPr>
          <w:rFonts w:ascii="Tahoma" w:hAnsi="Tahoma" w:cs="Tahoma"/>
          <w:sz w:val="22"/>
          <w:szCs w:val="22"/>
        </w:rPr>
      </w:pPr>
    </w:p>
    <w:p w:rsidR="00847154" w:rsidRPr="000B48EA" w:rsidRDefault="00847154" w:rsidP="000F4AB5">
      <w:pPr>
        <w:rPr>
          <w:rFonts w:ascii="Tahoma" w:hAnsi="Tahoma" w:cs="Tahoma"/>
          <w:sz w:val="22"/>
          <w:szCs w:val="22"/>
        </w:rPr>
      </w:pPr>
      <w:r w:rsidRPr="000B48EA">
        <w:rPr>
          <w:rFonts w:ascii="Tahoma" w:hAnsi="Tahoma" w:cs="Tahoma"/>
          <w:sz w:val="22"/>
          <w:szCs w:val="22"/>
        </w:rPr>
        <w:t xml:space="preserve">Ostatné ukazovatele rentability </w:t>
      </w:r>
      <w:r w:rsidR="00315E79">
        <w:rPr>
          <w:rFonts w:ascii="Tahoma" w:hAnsi="Tahoma" w:cs="Tahoma"/>
          <w:sz w:val="22"/>
          <w:szCs w:val="22"/>
        </w:rPr>
        <w:t>zostali na úrovni predchádzajúceho roka.</w:t>
      </w:r>
    </w:p>
    <w:p w:rsidR="00847154" w:rsidRPr="000B48EA" w:rsidRDefault="00847154" w:rsidP="000F4AB5">
      <w:pPr>
        <w:rPr>
          <w:rFonts w:ascii="Tahoma" w:hAnsi="Tahoma" w:cs="Tahoma"/>
          <w:sz w:val="22"/>
          <w:szCs w:val="22"/>
        </w:rPr>
      </w:pPr>
      <w:r w:rsidRPr="000B48EA">
        <w:rPr>
          <w:rFonts w:ascii="Tahoma" w:hAnsi="Tahoma" w:cs="Tahoma"/>
          <w:sz w:val="22"/>
          <w:szCs w:val="22"/>
        </w:rPr>
        <w:t xml:space="preserve"> </w:t>
      </w:r>
    </w:p>
    <w:p w:rsidR="00F3117E" w:rsidRPr="000B48EA" w:rsidRDefault="000F4AB5" w:rsidP="000F4AB5">
      <w:pPr>
        <w:jc w:val="both"/>
        <w:rPr>
          <w:rFonts w:ascii="Tahoma" w:hAnsi="Tahoma" w:cs="Tahoma"/>
          <w:sz w:val="22"/>
          <w:szCs w:val="22"/>
        </w:rPr>
      </w:pPr>
      <w:r w:rsidRPr="000B48EA">
        <w:rPr>
          <w:rFonts w:ascii="Tahoma" w:hAnsi="Tahoma" w:cs="Tahoma"/>
          <w:sz w:val="22"/>
          <w:szCs w:val="22"/>
        </w:rPr>
        <w:t xml:space="preserve">Spoločnosť  vykázala  za účtovné obdobie roka </w:t>
      </w:r>
      <w:r w:rsidR="00FB7553">
        <w:rPr>
          <w:rFonts w:ascii="Tahoma" w:hAnsi="Tahoma" w:cs="Tahoma"/>
          <w:sz w:val="22"/>
          <w:szCs w:val="22"/>
        </w:rPr>
        <w:t>2015</w:t>
      </w:r>
      <w:r w:rsidRPr="000B48EA">
        <w:rPr>
          <w:rFonts w:ascii="Tahoma" w:hAnsi="Tahoma" w:cs="Tahoma"/>
          <w:sz w:val="22"/>
          <w:szCs w:val="22"/>
        </w:rPr>
        <w:t xml:space="preserve"> hospodársky výsledok p</w:t>
      </w:r>
      <w:r w:rsidR="00E40078" w:rsidRPr="000B48EA">
        <w:rPr>
          <w:rFonts w:ascii="Tahoma" w:hAnsi="Tahoma" w:cs="Tahoma"/>
          <w:sz w:val="22"/>
          <w:szCs w:val="22"/>
        </w:rPr>
        <w:t xml:space="preserve">o zdanení </w:t>
      </w:r>
      <w:r w:rsidR="00315E79">
        <w:rPr>
          <w:rFonts w:ascii="Tahoma" w:hAnsi="Tahoma" w:cs="Tahoma"/>
          <w:sz w:val="22"/>
          <w:szCs w:val="22"/>
        </w:rPr>
        <w:t xml:space="preserve"> - zisk </w:t>
      </w:r>
      <w:r w:rsidR="00847154" w:rsidRPr="000B48EA">
        <w:rPr>
          <w:rFonts w:ascii="Tahoma" w:hAnsi="Tahoma" w:cs="Tahoma"/>
          <w:sz w:val="22"/>
          <w:szCs w:val="22"/>
        </w:rPr>
        <w:t xml:space="preserve">vo výške </w:t>
      </w:r>
      <w:r w:rsidR="00311F3C">
        <w:rPr>
          <w:rFonts w:ascii="Tahoma" w:hAnsi="Tahoma" w:cs="Tahoma"/>
          <w:sz w:val="22"/>
          <w:szCs w:val="22"/>
        </w:rPr>
        <w:t>11 791</w:t>
      </w:r>
      <w:r w:rsidR="00847154" w:rsidRPr="000B48EA">
        <w:rPr>
          <w:rFonts w:ascii="Tahoma" w:hAnsi="Tahoma" w:cs="Tahoma"/>
          <w:sz w:val="22"/>
          <w:szCs w:val="22"/>
        </w:rPr>
        <w:t xml:space="preserve"> EUR.</w:t>
      </w:r>
      <w:r w:rsidR="00E4783F" w:rsidRPr="000B48EA">
        <w:rPr>
          <w:rFonts w:ascii="Tahoma" w:hAnsi="Tahoma" w:cs="Tahoma"/>
          <w:sz w:val="22"/>
          <w:szCs w:val="22"/>
        </w:rPr>
        <w:t xml:space="preserve"> </w:t>
      </w:r>
      <w:r w:rsidRPr="000B48EA">
        <w:rPr>
          <w:rFonts w:ascii="Tahoma" w:hAnsi="Tahoma" w:cs="Tahoma"/>
          <w:sz w:val="22"/>
          <w:szCs w:val="22"/>
        </w:rPr>
        <w:t xml:space="preserve">Zúčtovanie hospodárskeho výsledku spoločnosť navrhne na Valnom zhromaždení tak, že zúčtuje </w:t>
      </w:r>
      <w:r w:rsidR="00F3117E" w:rsidRPr="000B48EA">
        <w:rPr>
          <w:rFonts w:ascii="Tahoma" w:hAnsi="Tahoma" w:cs="Tahoma"/>
          <w:sz w:val="22"/>
          <w:szCs w:val="22"/>
        </w:rPr>
        <w:t xml:space="preserve">zisk za rok </w:t>
      </w:r>
      <w:r w:rsidR="00FB7553">
        <w:rPr>
          <w:rFonts w:ascii="Tahoma" w:hAnsi="Tahoma" w:cs="Tahoma"/>
          <w:sz w:val="22"/>
          <w:szCs w:val="22"/>
        </w:rPr>
        <w:t>2015</w:t>
      </w:r>
      <w:r w:rsidR="00A56327">
        <w:rPr>
          <w:rFonts w:ascii="Tahoma" w:hAnsi="Tahoma" w:cs="Tahoma"/>
          <w:sz w:val="22"/>
          <w:szCs w:val="22"/>
        </w:rPr>
        <w:t xml:space="preserve"> do nerozdelených ziskov minulých rokov.</w:t>
      </w:r>
    </w:p>
    <w:p w:rsidR="000F4AB5" w:rsidRPr="000B48EA" w:rsidRDefault="000F4AB5" w:rsidP="000F4AB5">
      <w:pPr>
        <w:jc w:val="both"/>
        <w:rPr>
          <w:rFonts w:ascii="Tahoma" w:hAnsi="Tahoma" w:cs="Tahoma"/>
          <w:sz w:val="22"/>
          <w:szCs w:val="22"/>
        </w:rPr>
      </w:pPr>
    </w:p>
    <w:p w:rsidR="005A075C" w:rsidRDefault="000F4AB5" w:rsidP="000F4AB5">
      <w:pPr>
        <w:jc w:val="both"/>
        <w:rPr>
          <w:rFonts w:ascii="Tahoma" w:hAnsi="Tahoma" w:cs="Tahoma"/>
          <w:sz w:val="22"/>
          <w:szCs w:val="22"/>
        </w:rPr>
      </w:pPr>
      <w:r w:rsidRPr="000B48EA">
        <w:rPr>
          <w:rFonts w:ascii="Tahoma" w:hAnsi="Tahoma" w:cs="Tahoma"/>
          <w:sz w:val="22"/>
          <w:szCs w:val="22"/>
        </w:rPr>
        <w:t xml:space="preserve">Prostredníctvom dosiahnutých výnosov a majetkovej situácie </w:t>
      </w:r>
      <w:r w:rsidR="00F3117E" w:rsidRPr="000B48EA">
        <w:rPr>
          <w:rFonts w:ascii="Tahoma" w:hAnsi="Tahoma" w:cs="Tahoma"/>
          <w:sz w:val="22"/>
          <w:szCs w:val="22"/>
        </w:rPr>
        <w:t>S</w:t>
      </w:r>
      <w:r w:rsidRPr="000B48EA">
        <w:rPr>
          <w:rFonts w:ascii="Tahoma" w:hAnsi="Tahoma" w:cs="Tahoma"/>
          <w:sz w:val="22"/>
          <w:szCs w:val="22"/>
        </w:rPr>
        <w:t>poločnos</w:t>
      </w:r>
      <w:r w:rsidR="00F3117E" w:rsidRPr="000B48EA">
        <w:rPr>
          <w:rFonts w:ascii="Tahoma" w:hAnsi="Tahoma" w:cs="Tahoma"/>
          <w:sz w:val="22"/>
          <w:szCs w:val="22"/>
        </w:rPr>
        <w:t>ti</w:t>
      </w:r>
      <w:r w:rsidRPr="000B48EA">
        <w:rPr>
          <w:rFonts w:ascii="Tahoma" w:hAnsi="Tahoma" w:cs="Tahoma"/>
          <w:sz w:val="22"/>
          <w:szCs w:val="22"/>
        </w:rPr>
        <w:t xml:space="preserve"> je možné stanoviť účtovné ocenenie majetku Spoločnosti ako celku. Na účely ocenenia sa reálnou hodnotou rozumie trhová cena. Trhová cena je cena, ktorá je vyhlásená na tuzemskej alebo zahraničnej burze alebo na inom verejnom trhu. I napriek skutočnosti, že Spoločnosť je akciovou spoločnosťou, jej akcie nie sú voľne obchodovateľné na trhu. Z daného dôvodu je vypočítaný len ukazovateľ účtovná hodnota jednej akcie (book value per share) ako podiel vlastného imania a počtu emitovaných akcií.</w:t>
      </w:r>
      <w:r w:rsidR="00E4783F" w:rsidRPr="000B48EA">
        <w:rPr>
          <w:rFonts w:ascii="Tahoma" w:hAnsi="Tahoma" w:cs="Tahoma"/>
          <w:sz w:val="22"/>
          <w:szCs w:val="22"/>
        </w:rPr>
        <w:t xml:space="preserve"> </w:t>
      </w:r>
    </w:p>
    <w:p w:rsidR="00FB4914" w:rsidRDefault="00FB4914" w:rsidP="000F4AB5">
      <w:pPr>
        <w:jc w:val="both"/>
        <w:rPr>
          <w:rFonts w:ascii="Tahoma" w:hAnsi="Tahoma" w:cs="Tahoma"/>
          <w:sz w:val="22"/>
          <w:szCs w:val="22"/>
        </w:rPr>
      </w:pPr>
    </w:p>
    <w:p w:rsidR="00FB4914" w:rsidRDefault="00FB4914" w:rsidP="000F4AB5">
      <w:pPr>
        <w:jc w:val="both"/>
        <w:rPr>
          <w:rFonts w:ascii="Tahoma" w:hAnsi="Tahoma" w:cs="Tahoma"/>
          <w:sz w:val="22"/>
          <w:szCs w:val="22"/>
        </w:rPr>
      </w:pPr>
      <w:r>
        <w:rPr>
          <w:rFonts w:ascii="Tahoma" w:hAnsi="Tahoma" w:cs="Tahoma"/>
          <w:sz w:val="22"/>
          <w:szCs w:val="22"/>
        </w:rPr>
        <w:t>Vývoj vlastného imania  a účtovnej hodnoty akcie je uvedený v nasledovnej tabuľke:</w:t>
      </w:r>
    </w:p>
    <w:p w:rsidR="00FB4914" w:rsidRDefault="00FB4914" w:rsidP="000F4AB5">
      <w:pPr>
        <w:jc w:val="both"/>
        <w:rPr>
          <w:rFonts w:ascii="Tahoma" w:hAnsi="Tahoma" w:cs="Tahoma"/>
          <w:sz w:val="22"/>
          <w:szCs w:val="22"/>
        </w:rPr>
      </w:pPr>
    </w:p>
    <w:tbl>
      <w:tblPr>
        <w:tblW w:w="9124" w:type="dxa"/>
        <w:tblInd w:w="70" w:type="dxa"/>
        <w:tblCellMar>
          <w:left w:w="70" w:type="dxa"/>
          <w:right w:w="70" w:type="dxa"/>
        </w:tblCellMar>
        <w:tblLook w:val="04A0"/>
      </w:tblPr>
      <w:tblGrid>
        <w:gridCol w:w="1985"/>
        <w:gridCol w:w="1311"/>
        <w:gridCol w:w="968"/>
        <w:gridCol w:w="968"/>
        <w:gridCol w:w="968"/>
        <w:gridCol w:w="968"/>
        <w:gridCol w:w="948"/>
        <w:gridCol w:w="1008"/>
      </w:tblGrid>
      <w:tr w:rsidR="00FB4914" w:rsidRPr="00FB4914" w:rsidTr="00FB4914">
        <w:trPr>
          <w:trHeight w:val="255"/>
        </w:trPr>
        <w:tc>
          <w:tcPr>
            <w:tcW w:w="1985" w:type="dxa"/>
            <w:tcBorders>
              <w:top w:val="nil"/>
              <w:left w:val="nil"/>
              <w:bottom w:val="single" w:sz="4" w:space="0" w:color="auto"/>
              <w:right w:val="single" w:sz="4" w:space="0" w:color="auto"/>
            </w:tcBorders>
            <w:shd w:val="clear" w:color="auto" w:fill="auto"/>
            <w:noWrap/>
            <w:vAlign w:val="bottom"/>
            <w:hideMark/>
          </w:tcPr>
          <w:p w:rsidR="00FB4914" w:rsidRPr="00FB4914" w:rsidRDefault="00FB4914">
            <w:pPr>
              <w:rPr>
                <w:rFonts w:ascii="Arial" w:hAnsi="Arial" w:cs="Arial"/>
                <w:b/>
                <w:bCs/>
                <w:sz w:val="20"/>
                <w:szCs w:val="20"/>
              </w:rPr>
            </w:pPr>
            <w:r w:rsidRPr="00FB4914">
              <w:rPr>
                <w:rFonts w:ascii="Arial" w:hAnsi="Arial" w:cs="Arial"/>
                <w:b/>
                <w:bCs/>
                <w:sz w:val="20"/>
                <w:szCs w:val="20"/>
              </w:rPr>
              <w:t>Text</w:t>
            </w:r>
          </w:p>
        </w:tc>
        <w:tc>
          <w:tcPr>
            <w:tcW w:w="1311" w:type="dxa"/>
            <w:tcBorders>
              <w:top w:val="nil"/>
              <w:left w:val="nil"/>
              <w:bottom w:val="single" w:sz="4" w:space="0" w:color="auto"/>
              <w:right w:val="nil"/>
            </w:tcBorders>
            <w:shd w:val="clear" w:color="auto" w:fill="auto"/>
            <w:noWrap/>
            <w:vAlign w:val="bottom"/>
            <w:hideMark/>
          </w:tcPr>
          <w:p w:rsidR="00FB4914" w:rsidRPr="00FB4914" w:rsidRDefault="00FB4914">
            <w:pPr>
              <w:jc w:val="center"/>
              <w:rPr>
                <w:rFonts w:ascii="Arial" w:hAnsi="Arial" w:cs="Arial"/>
                <w:b/>
                <w:bCs/>
                <w:sz w:val="20"/>
                <w:szCs w:val="20"/>
              </w:rPr>
            </w:pPr>
            <w:r w:rsidRPr="00FB4914">
              <w:rPr>
                <w:rFonts w:ascii="Arial" w:hAnsi="Arial" w:cs="Arial"/>
                <w:b/>
                <w:bCs/>
                <w:sz w:val="20"/>
                <w:szCs w:val="20"/>
              </w:rPr>
              <w:t>2009</w:t>
            </w:r>
          </w:p>
        </w:tc>
        <w:tc>
          <w:tcPr>
            <w:tcW w:w="968" w:type="dxa"/>
            <w:tcBorders>
              <w:top w:val="nil"/>
              <w:left w:val="nil"/>
              <w:bottom w:val="single" w:sz="4" w:space="0" w:color="auto"/>
              <w:right w:val="nil"/>
            </w:tcBorders>
            <w:shd w:val="clear" w:color="auto" w:fill="auto"/>
            <w:noWrap/>
            <w:vAlign w:val="bottom"/>
            <w:hideMark/>
          </w:tcPr>
          <w:p w:rsidR="00FB4914" w:rsidRPr="00FB4914" w:rsidRDefault="00FB4914">
            <w:pPr>
              <w:jc w:val="center"/>
              <w:rPr>
                <w:rFonts w:ascii="Arial" w:hAnsi="Arial" w:cs="Arial"/>
                <w:b/>
                <w:bCs/>
                <w:sz w:val="20"/>
                <w:szCs w:val="20"/>
              </w:rPr>
            </w:pPr>
            <w:r w:rsidRPr="00FB4914">
              <w:rPr>
                <w:rFonts w:ascii="Arial" w:hAnsi="Arial" w:cs="Arial"/>
                <w:b/>
                <w:bCs/>
                <w:sz w:val="20"/>
                <w:szCs w:val="20"/>
              </w:rPr>
              <w:t>2010</w:t>
            </w:r>
          </w:p>
        </w:tc>
        <w:tc>
          <w:tcPr>
            <w:tcW w:w="968" w:type="dxa"/>
            <w:tcBorders>
              <w:top w:val="nil"/>
              <w:left w:val="nil"/>
              <w:bottom w:val="single" w:sz="4" w:space="0" w:color="auto"/>
              <w:right w:val="nil"/>
            </w:tcBorders>
            <w:shd w:val="clear" w:color="auto" w:fill="auto"/>
            <w:noWrap/>
            <w:vAlign w:val="bottom"/>
            <w:hideMark/>
          </w:tcPr>
          <w:p w:rsidR="00FB4914" w:rsidRPr="00FB4914" w:rsidRDefault="00FB4914">
            <w:pPr>
              <w:jc w:val="center"/>
              <w:rPr>
                <w:rFonts w:ascii="Arial" w:hAnsi="Arial" w:cs="Arial"/>
                <w:b/>
                <w:bCs/>
                <w:sz w:val="20"/>
                <w:szCs w:val="20"/>
              </w:rPr>
            </w:pPr>
            <w:r w:rsidRPr="00FB4914">
              <w:rPr>
                <w:rFonts w:ascii="Arial" w:hAnsi="Arial" w:cs="Arial"/>
                <w:b/>
                <w:bCs/>
                <w:sz w:val="20"/>
                <w:szCs w:val="20"/>
              </w:rPr>
              <w:t>2011</w:t>
            </w:r>
          </w:p>
        </w:tc>
        <w:tc>
          <w:tcPr>
            <w:tcW w:w="968" w:type="dxa"/>
            <w:tcBorders>
              <w:top w:val="nil"/>
              <w:left w:val="nil"/>
              <w:bottom w:val="single" w:sz="4" w:space="0" w:color="auto"/>
              <w:right w:val="nil"/>
            </w:tcBorders>
            <w:shd w:val="clear" w:color="auto" w:fill="auto"/>
            <w:noWrap/>
            <w:vAlign w:val="bottom"/>
            <w:hideMark/>
          </w:tcPr>
          <w:p w:rsidR="00FB4914" w:rsidRPr="00FB4914" w:rsidRDefault="00FB4914">
            <w:pPr>
              <w:jc w:val="center"/>
              <w:rPr>
                <w:rFonts w:ascii="Arial" w:hAnsi="Arial" w:cs="Arial"/>
                <w:b/>
                <w:bCs/>
                <w:sz w:val="20"/>
                <w:szCs w:val="20"/>
              </w:rPr>
            </w:pPr>
            <w:r w:rsidRPr="00FB4914">
              <w:rPr>
                <w:rFonts w:ascii="Arial" w:hAnsi="Arial" w:cs="Arial"/>
                <w:b/>
                <w:bCs/>
                <w:sz w:val="20"/>
                <w:szCs w:val="20"/>
              </w:rPr>
              <w:t>2012</w:t>
            </w:r>
          </w:p>
        </w:tc>
        <w:tc>
          <w:tcPr>
            <w:tcW w:w="968" w:type="dxa"/>
            <w:tcBorders>
              <w:top w:val="nil"/>
              <w:left w:val="nil"/>
              <w:bottom w:val="single" w:sz="4" w:space="0" w:color="auto"/>
              <w:right w:val="nil"/>
            </w:tcBorders>
            <w:shd w:val="clear" w:color="auto" w:fill="auto"/>
            <w:noWrap/>
            <w:vAlign w:val="bottom"/>
            <w:hideMark/>
          </w:tcPr>
          <w:p w:rsidR="00FB4914" w:rsidRPr="00FB4914" w:rsidRDefault="00FB4914">
            <w:pPr>
              <w:jc w:val="center"/>
              <w:rPr>
                <w:rFonts w:ascii="Arial" w:hAnsi="Arial" w:cs="Arial"/>
                <w:b/>
                <w:bCs/>
                <w:sz w:val="20"/>
                <w:szCs w:val="20"/>
              </w:rPr>
            </w:pPr>
            <w:r w:rsidRPr="00FB4914">
              <w:rPr>
                <w:rFonts w:ascii="Arial" w:hAnsi="Arial" w:cs="Arial"/>
                <w:b/>
                <w:bCs/>
                <w:sz w:val="20"/>
                <w:szCs w:val="20"/>
              </w:rPr>
              <w:t>2013</w:t>
            </w:r>
          </w:p>
        </w:tc>
        <w:tc>
          <w:tcPr>
            <w:tcW w:w="948" w:type="dxa"/>
            <w:tcBorders>
              <w:top w:val="nil"/>
              <w:left w:val="nil"/>
              <w:bottom w:val="single" w:sz="4" w:space="0" w:color="auto"/>
              <w:right w:val="nil"/>
            </w:tcBorders>
            <w:shd w:val="clear" w:color="auto" w:fill="auto"/>
            <w:noWrap/>
            <w:vAlign w:val="bottom"/>
            <w:hideMark/>
          </w:tcPr>
          <w:p w:rsidR="00FB4914" w:rsidRPr="00FB4914" w:rsidRDefault="00FB4914">
            <w:pPr>
              <w:jc w:val="center"/>
              <w:rPr>
                <w:rFonts w:ascii="Arial" w:hAnsi="Arial" w:cs="Arial"/>
                <w:b/>
                <w:bCs/>
                <w:sz w:val="20"/>
                <w:szCs w:val="20"/>
              </w:rPr>
            </w:pPr>
            <w:r w:rsidRPr="00FB4914">
              <w:rPr>
                <w:rFonts w:ascii="Arial" w:hAnsi="Arial" w:cs="Arial"/>
                <w:b/>
                <w:bCs/>
                <w:sz w:val="20"/>
                <w:szCs w:val="20"/>
              </w:rPr>
              <w:t>2014</w:t>
            </w:r>
          </w:p>
        </w:tc>
        <w:tc>
          <w:tcPr>
            <w:tcW w:w="1008" w:type="dxa"/>
            <w:tcBorders>
              <w:top w:val="nil"/>
              <w:left w:val="nil"/>
              <w:bottom w:val="single" w:sz="4" w:space="0" w:color="auto"/>
              <w:right w:val="nil"/>
            </w:tcBorders>
            <w:shd w:val="clear" w:color="auto" w:fill="auto"/>
            <w:noWrap/>
            <w:vAlign w:val="bottom"/>
            <w:hideMark/>
          </w:tcPr>
          <w:p w:rsidR="00FB4914" w:rsidRPr="00FB4914" w:rsidRDefault="00FB4914">
            <w:pPr>
              <w:jc w:val="center"/>
              <w:rPr>
                <w:rFonts w:ascii="Arial" w:hAnsi="Arial" w:cs="Arial"/>
                <w:b/>
                <w:bCs/>
                <w:sz w:val="20"/>
                <w:szCs w:val="20"/>
              </w:rPr>
            </w:pPr>
            <w:r w:rsidRPr="00FB4914">
              <w:rPr>
                <w:rFonts w:ascii="Arial" w:hAnsi="Arial" w:cs="Arial"/>
                <w:b/>
                <w:bCs/>
                <w:sz w:val="20"/>
                <w:szCs w:val="20"/>
              </w:rPr>
              <w:t>2015</w:t>
            </w:r>
          </w:p>
        </w:tc>
      </w:tr>
      <w:tr w:rsidR="00FB4914" w:rsidRPr="00FB4914" w:rsidTr="00FB4914">
        <w:trPr>
          <w:trHeight w:val="255"/>
        </w:trPr>
        <w:tc>
          <w:tcPr>
            <w:tcW w:w="1985" w:type="dxa"/>
            <w:tcBorders>
              <w:top w:val="nil"/>
              <w:left w:val="nil"/>
              <w:bottom w:val="nil"/>
              <w:right w:val="single" w:sz="4" w:space="0" w:color="auto"/>
            </w:tcBorders>
            <w:shd w:val="clear" w:color="auto" w:fill="auto"/>
            <w:noWrap/>
            <w:vAlign w:val="bottom"/>
            <w:hideMark/>
          </w:tcPr>
          <w:p w:rsidR="00FB4914" w:rsidRPr="00FB4914" w:rsidRDefault="00FB4914" w:rsidP="00FB4914">
            <w:pPr>
              <w:rPr>
                <w:rFonts w:ascii="Arial" w:hAnsi="Arial" w:cs="Arial"/>
                <w:b/>
                <w:bCs/>
                <w:sz w:val="20"/>
                <w:szCs w:val="20"/>
              </w:rPr>
            </w:pPr>
            <w:r w:rsidRPr="00FB4914">
              <w:rPr>
                <w:rFonts w:ascii="Arial" w:hAnsi="Arial" w:cs="Arial"/>
                <w:b/>
                <w:bCs/>
                <w:sz w:val="20"/>
                <w:szCs w:val="20"/>
              </w:rPr>
              <w:t>Účt</w:t>
            </w:r>
            <w:r>
              <w:rPr>
                <w:rFonts w:ascii="Arial" w:hAnsi="Arial" w:cs="Arial"/>
                <w:b/>
                <w:bCs/>
                <w:sz w:val="20"/>
                <w:szCs w:val="20"/>
              </w:rPr>
              <w:t xml:space="preserve">ovná </w:t>
            </w:r>
            <w:r w:rsidRPr="00FB4914">
              <w:rPr>
                <w:rFonts w:ascii="Arial" w:hAnsi="Arial" w:cs="Arial"/>
                <w:b/>
                <w:bCs/>
                <w:sz w:val="20"/>
                <w:szCs w:val="20"/>
              </w:rPr>
              <w:t>hodnota akcie</w:t>
            </w:r>
          </w:p>
        </w:tc>
        <w:tc>
          <w:tcPr>
            <w:tcW w:w="1311"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6 214</w:t>
            </w:r>
          </w:p>
        </w:tc>
        <w:tc>
          <w:tcPr>
            <w:tcW w:w="968"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4 539</w:t>
            </w:r>
          </w:p>
        </w:tc>
        <w:tc>
          <w:tcPr>
            <w:tcW w:w="968"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4 574</w:t>
            </w:r>
          </w:p>
        </w:tc>
        <w:tc>
          <w:tcPr>
            <w:tcW w:w="968"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2 259</w:t>
            </w:r>
          </w:p>
        </w:tc>
        <w:tc>
          <w:tcPr>
            <w:tcW w:w="968"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2 266</w:t>
            </w:r>
          </w:p>
        </w:tc>
        <w:tc>
          <w:tcPr>
            <w:tcW w:w="948"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2 413</w:t>
            </w:r>
          </w:p>
        </w:tc>
        <w:tc>
          <w:tcPr>
            <w:tcW w:w="1008"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2 708</w:t>
            </w:r>
          </w:p>
        </w:tc>
      </w:tr>
      <w:tr w:rsidR="00FB4914" w:rsidRPr="00FB4914" w:rsidTr="00FB4914">
        <w:trPr>
          <w:trHeight w:val="255"/>
        </w:trPr>
        <w:tc>
          <w:tcPr>
            <w:tcW w:w="1985" w:type="dxa"/>
            <w:tcBorders>
              <w:top w:val="nil"/>
              <w:left w:val="nil"/>
              <w:bottom w:val="nil"/>
              <w:right w:val="single" w:sz="4" w:space="0" w:color="auto"/>
            </w:tcBorders>
            <w:shd w:val="clear" w:color="auto" w:fill="auto"/>
            <w:noWrap/>
            <w:vAlign w:val="bottom"/>
            <w:hideMark/>
          </w:tcPr>
          <w:p w:rsidR="00FB4914" w:rsidRPr="00FB4914" w:rsidRDefault="00FB4914">
            <w:pPr>
              <w:rPr>
                <w:rFonts w:ascii="Arial" w:hAnsi="Arial" w:cs="Arial"/>
                <w:sz w:val="20"/>
                <w:szCs w:val="20"/>
              </w:rPr>
            </w:pPr>
            <w:r w:rsidRPr="00FB4914">
              <w:rPr>
                <w:rFonts w:ascii="Arial" w:hAnsi="Arial" w:cs="Arial"/>
                <w:sz w:val="20"/>
                <w:szCs w:val="20"/>
              </w:rPr>
              <w:t>vlastné imanie</w:t>
            </w:r>
          </w:p>
        </w:tc>
        <w:tc>
          <w:tcPr>
            <w:tcW w:w="1311"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248 556</w:t>
            </w:r>
          </w:p>
        </w:tc>
        <w:tc>
          <w:tcPr>
            <w:tcW w:w="968"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181 576</w:t>
            </w:r>
          </w:p>
        </w:tc>
        <w:tc>
          <w:tcPr>
            <w:tcW w:w="968"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182 964</w:t>
            </w:r>
          </w:p>
        </w:tc>
        <w:tc>
          <w:tcPr>
            <w:tcW w:w="968"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90 354</w:t>
            </w:r>
          </w:p>
        </w:tc>
        <w:tc>
          <w:tcPr>
            <w:tcW w:w="968"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90 654</w:t>
            </w:r>
          </w:p>
        </w:tc>
        <w:tc>
          <w:tcPr>
            <w:tcW w:w="948"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96 514</w:t>
            </w:r>
          </w:p>
        </w:tc>
        <w:tc>
          <w:tcPr>
            <w:tcW w:w="1008" w:type="dxa"/>
            <w:tcBorders>
              <w:top w:val="nil"/>
              <w:left w:val="nil"/>
              <w:bottom w:val="nil"/>
              <w:right w:val="nil"/>
            </w:tcBorders>
            <w:shd w:val="clear" w:color="auto" w:fill="auto"/>
            <w:noWrap/>
            <w:vAlign w:val="bottom"/>
            <w:hideMark/>
          </w:tcPr>
          <w:p w:rsidR="00FB4914" w:rsidRPr="00FB4914" w:rsidRDefault="00FB4914">
            <w:pPr>
              <w:jc w:val="right"/>
              <w:rPr>
                <w:rFonts w:ascii="Arial" w:hAnsi="Arial" w:cs="Arial"/>
                <w:sz w:val="20"/>
                <w:szCs w:val="20"/>
              </w:rPr>
            </w:pPr>
            <w:r w:rsidRPr="00FB4914">
              <w:rPr>
                <w:rFonts w:ascii="Arial" w:hAnsi="Arial" w:cs="Arial"/>
                <w:sz w:val="20"/>
                <w:szCs w:val="20"/>
              </w:rPr>
              <w:t>108 322</w:t>
            </w:r>
          </w:p>
        </w:tc>
      </w:tr>
    </w:tbl>
    <w:p w:rsidR="00FB4914" w:rsidRDefault="00FB4914" w:rsidP="000F4AB5">
      <w:pPr>
        <w:jc w:val="both"/>
        <w:rPr>
          <w:rFonts w:ascii="Tahoma" w:hAnsi="Tahoma" w:cs="Tahoma"/>
          <w:sz w:val="22"/>
          <w:szCs w:val="22"/>
        </w:rPr>
      </w:pPr>
    </w:p>
    <w:p w:rsidR="005A075C" w:rsidRDefault="005A075C" w:rsidP="000F4AB5">
      <w:pPr>
        <w:jc w:val="both"/>
        <w:rPr>
          <w:rFonts w:ascii="Tahoma" w:hAnsi="Tahoma" w:cs="Tahoma"/>
          <w:sz w:val="22"/>
          <w:szCs w:val="22"/>
        </w:rPr>
      </w:pPr>
    </w:p>
    <w:p w:rsidR="005A075C" w:rsidRDefault="005A075C" w:rsidP="000F4AB5">
      <w:pPr>
        <w:jc w:val="both"/>
        <w:rPr>
          <w:rFonts w:ascii="Tahoma" w:hAnsi="Tahoma" w:cs="Tahoma"/>
          <w:sz w:val="22"/>
          <w:szCs w:val="22"/>
        </w:rPr>
      </w:pPr>
    </w:p>
    <w:p w:rsidR="00E4783F" w:rsidRDefault="00FB4914" w:rsidP="000F4AB5">
      <w:pPr>
        <w:jc w:val="both"/>
        <w:rPr>
          <w:rFonts w:ascii="Tahoma" w:hAnsi="Tahoma" w:cs="Tahoma"/>
          <w:sz w:val="22"/>
          <w:szCs w:val="22"/>
        </w:rPr>
      </w:pPr>
      <w:r>
        <w:rPr>
          <w:rFonts w:ascii="Tahoma" w:hAnsi="Tahoma" w:cs="Tahoma"/>
          <w:sz w:val="22"/>
          <w:szCs w:val="22"/>
        </w:rPr>
        <w:t>Z tabuľky je zrejmé,</w:t>
      </w:r>
      <w:r w:rsidR="00E4783F" w:rsidRPr="000B48EA">
        <w:rPr>
          <w:rFonts w:ascii="Tahoma" w:hAnsi="Tahoma" w:cs="Tahoma"/>
          <w:sz w:val="22"/>
          <w:szCs w:val="22"/>
        </w:rPr>
        <w:t xml:space="preserve"> že  najvyššiu hodnotu dosiahla akcia v roku 2009 , hodnota akcie za roky 2010 a 2011 sa udržiavala pomerne stála. Avšak v roku 2012 účtovná hodnota 1 akcie klesla na úroveň  2 259 EUR čo  predstavuje 51 % pokles v porovnaní s rokom 2011.</w:t>
      </w:r>
      <w:r w:rsidR="00A56327">
        <w:rPr>
          <w:rFonts w:ascii="Tahoma" w:hAnsi="Tahoma" w:cs="Tahoma"/>
          <w:sz w:val="22"/>
          <w:szCs w:val="22"/>
        </w:rPr>
        <w:t xml:space="preserve"> Vzhľadom na dosiahnutý výsledok účtovná hodnota akcie v roku </w:t>
      </w:r>
      <w:r w:rsidR="00FB7553">
        <w:rPr>
          <w:rFonts w:ascii="Tahoma" w:hAnsi="Tahoma" w:cs="Tahoma"/>
          <w:sz w:val="22"/>
          <w:szCs w:val="22"/>
        </w:rPr>
        <w:t>2015</w:t>
      </w:r>
      <w:r w:rsidR="00A56327">
        <w:rPr>
          <w:rFonts w:ascii="Tahoma" w:hAnsi="Tahoma" w:cs="Tahoma"/>
          <w:sz w:val="22"/>
          <w:szCs w:val="22"/>
        </w:rPr>
        <w:t xml:space="preserve"> v porovnaní s rokom 201</w:t>
      </w:r>
      <w:r w:rsidR="00311F3C">
        <w:rPr>
          <w:rFonts w:ascii="Tahoma" w:hAnsi="Tahoma" w:cs="Tahoma"/>
          <w:sz w:val="22"/>
          <w:szCs w:val="22"/>
        </w:rPr>
        <w:t>4</w:t>
      </w:r>
      <w:r w:rsidR="00212A7D">
        <w:rPr>
          <w:rFonts w:ascii="Tahoma" w:hAnsi="Tahoma" w:cs="Tahoma"/>
          <w:sz w:val="22"/>
          <w:szCs w:val="22"/>
        </w:rPr>
        <w:t xml:space="preserve"> </w:t>
      </w:r>
      <w:r w:rsidR="00A56327">
        <w:rPr>
          <w:rFonts w:ascii="Tahoma" w:hAnsi="Tahoma" w:cs="Tahoma"/>
          <w:sz w:val="22"/>
          <w:szCs w:val="22"/>
        </w:rPr>
        <w:t xml:space="preserve"> mierne stúpla.</w:t>
      </w:r>
    </w:p>
    <w:p w:rsidR="005A075C" w:rsidRDefault="005A075C" w:rsidP="000F4AB5">
      <w:pPr>
        <w:jc w:val="both"/>
        <w:rPr>
          <w:rFonts w:ascii="Tahoma" w:hAnsi="Tahoma" w:cs="Tahoma"/>
          <w:sz w:val="22"/>
          <w:szCs w:val="22"/>
        </w:rPr>
      </w:pPr>
    </w:p>
    <w:p w:rsidR="00FB4914" w:rsidRDefault="002A71AA" w:rsidP="000F4AB5">
      <w:pPr>
        <w:jc w:val="both"/>
        <w:rPr>
          <w:rFonts w:ascii="Tahoma" w:hAnsi="Tahoma" w:cs="Tahoma"/>
          <w:sz w:val="22"/>
          <w:szCs w:val="22"/>
        </w:rPr>
      </w:pPr>
      <w:r>
        <w:rPr>
          <w:noProof/>
        </w:rPr>
        <w:drawing>
          <wp:inline distT="0" distB="0" distL="0" distR="0">
            <wp:extent cx="5215890" cy="3299460"/>
            <wp:effectExtent l="19050" t="0" r="3810" b="0"/>
            <wp:docPr id="4" name="Obrázok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rrowheads="1"/>
                    </pic:cNvPicPr>
                  </pic:nvPicPr>
                  <pic:blipFill>
                    <a:blip r:embed="rId13" cstate="print"/>
                    <a:srcRect/>
                    <a:stretch>
                      <a:fillRect/>
                    </a:stretch>
                  </pic:blipFill>
                  <pic:spPr bwMode="auto">
                    <a:xfrm>
                      <a:off x="0" y="0"/>
                      <a:ext cx="5215890" cy="3299460"/>
                    </a:xfrm>
                    <a:prstGeom prst="rect">
                      <a:avLst/>
                    </a:prstGeom>
                    <a:noFill/>
                    <a:ln w="9525">
                      <a:noFill/>
                      <a:miter lim="800000"/>
                      <a:headEnd/>
                      <a:tailEnd/>
                    </a:ln>
                  </pic:spPr>
                </pic:pic>
              </a:graphicData>
            </a:graphic>
          </wp:inline>
        </w:drawing>
      </w:r>
    </w:p>
    <w:p w:rsidR="00FB4914" w:rsidRDefault="00FB4914" w:rsidP="000F4AB5">
      <w:pPr>
        <w:jc w:val="both"/>
        <w:rPr>
          <w:rFonts w:ascii="Tahoma" w:hAnsi="Tahoma" w:cs="Tahoma"/>
          <w:sz w:val="22"/>
          <w:szCs w:val="22"/>
        </w:rPr>
      </w:pPr>
    </w:p>
    <w:p w:rsidR="00E4783F" w:rsidRPr="000B48EA" w:rsidRDefault="00E4783F" w:rsidP="000F4AB5">
      <w:pPr>
        <w:jc w:val="both"/>
        <w:rPr>
          <w:rFonts w:ascii="Tahoma" w:hAnsi="Tahoma" w:cs="Tahoma"/>
          <w:sz w:val="22"/>
          <w:szCs w:val="22"/>
        </w:rPr>
      </w:pPr>
    </w:p>
    <w:p w:rsidR="0064714C" w:rsidRPr="000B48EA" w:rsidRDefault="0064714C" w:rsidP="0064714C">
      <w:pPr>
        <w:pStyle w:val="Nadpis1"/>
        <w:rPr>
          <w:rFonts w:ascii="Tahoma" w:hAnsi="Tahoma" w:cs="Tahoma"/>
          <w:caps/>
          <w:color w:val="auto"/>
          <w:sz w:val="22"/>
          <w:szCs w:val="22"/>
        </w:rPr>
      </w:pPr>
      <w:r w:rsidRPr="000B48EA">
        <w:rPr>
          <w:rFonts w:ascii="Tahoma" w:hAnsi="Tahoma" w:cs="Tahoma"/>
          <w:caps/>
          <w:color w:val="auto"/>
          <w:sz w:val="22"/>
          <w:szCs w:val="22"/>
        </w:rPr>
        <w:t>RIZIKÁ A NEISTOTY, KTORýM JE SPOLOČNOSť VYSTAVENÁ</w:t>
      </w:r>
    </w:p>
    <w:p w:rsidR="0064714C" w:rsidRPr="000B48EA" w:rsidRDefault="0064714C" w:rsidP="0064714C">
      <w:pPr>
        <w:jc w:val="both"/>
        <w:rPr>
          <w:rFonts w:ascii="Tahoma" w:hAnsi="Tahoma" w:cs="Tahoma"/>
          <w:sz w:val="22"/>
          <w:szCs w:val="22"/>
        </w:rPr>
      </w:pPr>
      <w:r w:rsidRPr="000B48EA">
        <w:rPr>
          <w:rFonts w:ascii="Tahoma" w:hAnsi="Tahoma" w:cs="Tahoma"/>
          <w:sz w:val="22"/>
          <w:szCs w:val="22"/>
        </w:rPr>
        <w:t xml:space="preserve">Hlavnou činnosťou Spoločnosti je predaj </w:t>
      </w:r>
      <w:r w:rsidR="00555DEF" w:rsidRPr="000B48EA">
        <w:rPr>
          <w:rFonts w:ascii="Tahoma" w:hAnsi="Tahoma" w:cs="Tahoma"/>
          <w:sz w:val="22"/>
          <w:szCs w:val="22"/>
        </w:rPr>
        <w:t>sprostredkovateľská činnosť v oblasti obchodu a služieb.</w:t>
      </w:r>
      <w:r w:rsidRPr="000B48EA">
        <w:rPr>
          <w:rFonts w:ascii="Tahoma" w:hAnsi="Tahoma" w:cs="Tahoma"/>
          <w:sz w:val="22"/>
          <w:szCs w:val="22"/>
        </w:rPr>
        <w:t xml:space="preserve"> Politika štátu a jej vplyv na obyvateľstvo a podnikateľské subjekty, zmeny v zákonoch ovplyvňujúce činnosť Spoločnosti môžu do určitej miery vplývať na ďalší rozvoj Spoločnosti. </w:t>
      </w:r>
    </w:p>
    <w:p w:rsidR="0064714C" w:rsidRDefault="0064714C" w:rsidP="0064714C">
      <w:pPr>
        <w:jc w:val="both"/>
        <w:rPr>
          <w:rFonts w:ascii="Tahoma" w:hAnsi="Tahoma" w:cs="Tahoma"/>
          <w:b/>
          <w:smallCaps/>
          <w:sz w:val="22"/>
          <w:szCs w:val="22"/>
        </w:rPr>
      </w:pPr>
    </w:p>
    <w:p w:rsidR="0064714C" w:rsidRPr="000B48EA" w:rsidRDefault="0064714C" w:rsidP="0064714C">
      <w:pPr>
        <w:pStyle w:val="Nadpis1"/>
        <w:rPr>
          <w:rFonts w:ascii="Tahoma" w:hAnsi="Tahoma" w:cs="Tahoma"/>
          <w:caps/>
          <w:color w:val="auto"/>
          <w:sz w:val="22"/>
          <w:szCs w:val="22"/>
        </w:rPr>
      </w:pPr>
      <w:r w:rsidRPr="000B48EA">
        <w:rPr>
          <w:rFonts w:ascii="Tahoma" w:hAnsi="Tahoma" w:cs="Tahoma"/>
          <w:caps/>
          <w:color w:val="auto"/>
          <w:sz w:val="22"/>
          <w:szCs w:val="22"/>
        </w:rPr>
        <w:t>VPLYV ČINNOSTI SPOLOČNOSTI A JEJ DOPAD NA ŽIVOTNÉ PROSTREDIE</w:t>
      </w:r>
    </w:p>
    <w:p w:rsidR="009B10A3" w:rsidRPr="000B48EA" w:rsidRDefault="009B10A3" w:rsidP="009B10A3">
      <w:pPr>
        <w:tabs>
          <w:tab w:val="left" w:pos="8647"/>
        </w:tabs>
        <w:ind w:right="-99" w:hanging="900"/>
        <w:jc w:val="both"/>
        <w:rPr>
          <w:rFonts w:ascii="Tahoma" w:hAnsi="Tahoma" w:cs="Tahoma"/>
          <w:iCs/>
          <w:sz w:val="22"/>
          <w:szCs w:val="22"/>
        </w:rPr>
      </w:pPr>
      <w:r w:rsidRPr="000B48EA">
        <w:rPr>
          <w:rFonts w:ascii="Tahoma" w:hAnsi="Tahoma" w:cs="Tahoma"/>
          <w:iCs/>
          <w:sz w:val="22"/>
          <w:szCs w:val="22"/>
        </w:rPr>
        <w:tab/>
        <w:t>Činnosť Spoločnosti nemá významný vplyv na životné prostredie. Napriek tomu v rámci svojich koordinačných aktivít sa vedenie EURONICS</w:t>
      </w:r>
      <w:r w:rsidR="00BD3906" w:rsidRPr="000B48EA">
        <w:rPr>
          <w:rFonts w:ascii="Tahoma" w:hAnsi="Tahoma" w:cs="Tahoma"/>
          <w:iCs/>
          <w:sz w:val="22"/>
          <w:szCs w:val="22"/>
        </w:rPr>
        <w:t xml:space="preserve"> SK a.s.</w:t>
      </w:r>
      <w:r w:rsidRPr="000B48EA">
        <w:rPr>
          <w:rFonts w:ascii="Tahoma" w:hAnsi="Tahoma" w:cs="Tahoma"/>
          <w:iCs/>
          <w:sz w:val="22"/>
          <w:szCs w:val="22"/>
        </w:rPr>
        <w:t xml:space="preserve"> snaží motivovať zmluvných partnerov  združených v sieti, aby podporovali predaj výrobkov ekologicky nezávadných a aby striktne dodržiavali všetky nariadenia ohľadom narábania s odpadom a s recykláciou.    </w:t>
      </w:r>
    </w:p>
    <w:p w:rsidR="00A03FFA" w:rsidRPr="00A03FFA" w:rsidRDefault="00A03FFA" w:rsidP="00A03FFA">
      <w:pPr>
        <w:rPr>
          <w:lang w:val="cs-CZ" w:eastAsia="cs-CZ"/>
        </w:rPr>
      </w:pPr>
    </w:p>
    <w:p w:rsidR="0064714C" w:rsidRPr="000B48EA" w:rsidRDefault="0064714C" w:rsidP="0064714C">
      <w:pPr>
        <w:pStyle w:val="Nadpis1"/>
        <w:rPr>
          <w:rFonts w:ascii="Tahoma" w:hAnsi="Tahoma" w:cs="Tahoma"/>
          <w:caps/>
          <w:color w:val="auto"/>
          <w:sz w:val="22"/>
          <w:szCs w:val="22"/>
        </w:rPr>
      </w:pPr>
      <w:r w:rsidRPr="000B48EA">
        <w:rPr>
          <w:rFonts w:ascii="Tahoma" w:hAnsi="Tahoma" w:cs="Tahoma"/>
          <w:caps/>
          <w:color w:val="auto"/>
          <w:sz w:val="22"/>
          <w:szCs w:val="22"/>
        </w:rPr>
        <w:t>VPLYV SPOLOČNOSTI NA ZAMESTNANOSŤ</w:t>
      </w:r>
    </w:p>
    <w:p w:rsidR="0064714C" w:rsidRPr="000B48EA" w:rsidRDefault="0064714C" w:rsidP="0064714C">
      <w:pPr>
        <w:pStyle w:val="Zkladntext2"/>
        <w:jc w:val="both"/>
        <w:rPr>
          <w:rFonts w:ascii="Tahoma" w:hAnsi="Tahoma" w:cs="Tahoma"/>
          <w:i w:val="0"/>
          <w:sz w:val="22"/>
          <w:szCs w:val="22"/>
        </w:rPr>
      </w:pPr>
      <w:r w:rsidRPr="000B48EA">
        <w:rPr>
          <w:rFonts w:ascii="Tahoma" w:hAnsi="Tahoma" w:cs="Tahoma"/>
          <w:i w:val="0"/>
          <w:sz w:val="22"/>
          <w:szCs w:val="22"/>
        </w:rPr>
        <w:t xml:space="preserve">Spoločnosť zamestnávala v roku </w:t>
      </w:r>
      <w:r w:rsidR="00FB7553">
        <w:rPr>
          <w:rFonts w:ascii="Tahoma" w:hAnsi="Tahoma" w:cs="Tahoma"/>
          <w:i w:val="0"/>
          <w:sz w:val="22"/>
          <w:szCs w:val="22"/>
        </w:rPr>
        <w:t>2015</w:t>
      </w:r>
      <w:r w:rsidRPr="000B48EA">
        <w:rPr>
          <w:rFonts w:ascii="Tahoma" w:hAnsi="Tahoma" w:cs="Tahoma"/>
          <w:i w:val="0"/>
          <w:sz w:val="22"/>
          <w:szCs w:val="22"/>
        </w:rPr>
        <w:t xml:space="preserve"> </w:t>
      </w:r>
      <w:r w:rsidR="00A56327">
        <w:rPr>
          <w:rFonts w:ascii="Tahoma" w:hAnsi="Tahoma" w:cs="Tahoma"/>
          <w:i w:val="0"/>
          <w:sz w:val="22"/>
          <w:szCs w:val="22"/>
        </w:rPr>
        <w:t>7</w:t>
      </w:r>
      <w:r w:rsidR="003C5352" w:rsidRPr="000B48EA">
        <w:rPr>
          <w:rFonts w:ascii="Tahoma" w:hAnsi="Tahoma" w:cs="Tahoma"/>
          <w:i w:val="0"/>
          <w:sz w:val="22"/>
          <w:szCs w:val="22"/>
        </w:rPr>
        <w:t xml:space="preserve"> </w:t>
      </w:r>
      <w:r w:rsidR="000D52EE" w:rsidRPr="000B48EA">
        <w:rPr>
          <w:rFonts w:ascii="Tahoma" w:hAnsi="Tahoma" w:cs="Tahoma"/>
          <w:i w:val="0"/>
          <w:sz w:val="22"/>
          <w:szCs w:val="22"/>
        </w:rPr>
        <w:t>zamestnancov.</w:t>
      </w:r>
      <w:r w:rsidRPr="000B48EA">
        <w:rPr>
          <w:rFonts w:ascii="Tahoma" w:hAnsi="Tahoma" w:cs="Tahoma"/>
          <w:i w:val="0"/>
          <w:sz w:val="22"/>
          <w:szCs w:val="22"/>
        </w:rPr>
        <w:t xml:space="preserve"> Spoločnosť podobne ako v minulých obdobiach, investovala do rozvoja ľudských zdrojov, zamestnanci pravidelne absolvovali školenia predajných zručností , dodávateľov  a krátkodobé odborné kurzy.</w:t>
      </w:r>
    </w:p>
    <w:p w:rsidR="0072176D" w:rsidRPr="000B48EA" w:rsidRDefault="0072176D" w:rsidP="0064714C">
      <w:pPr>
        <w:pStyle w:val="Zarkazkladnhotextu2"/>
        <w:ind w:firstLine="0"/>
        <w:rPr>
          <w:rFonts w:ascii="Tahoma" w:hAnsi="Tahoma" w:cs="Tahoma"/>
          <w:sz w:val="22"/>
          <w:szCs w:val="22"/>
        </w:rPr>
      </w:pPr>
    </w:p>
    <w:p w:rsidR="0064714C" w:rsidRPr="000B48EA" w:rsidRDefault="0064714C" w:rsidP="0064714C">
      <w:pPr>
        <w:pStyle w:val="Nadpis1"/>
        <w:rPr>
          <w:rFonts w:ascii="Tahoma" w:hAnsi="Tahoma" w:cs="Tahoma"/>
          <w:caps/>
          <w:color w:val="auto"/>
          <w:sz w:val="22"/>
          <w:szCs w:val="22"/>
        </w:rPr>
      </w:pPr>
      <w:r w:rsidRPr="000B48EA">
        <w:rPr>
          <w:rFonts w:ascii="Tahoma" w:hAnsi="Tahoma" w:cs="Tahoma"/>
          <w:caps/>
          <w:color w:val="auto"/>
          <w:sz w:val="22"/>
          <w:szCs w:val="22"/>
        </w:rPr>
        <w:t>UDALOSTI OSOBITNÉHO VÝZNAMU, KTORÉ NASTALI PO SKONČENI ÚČTOVNÉHO OBDOBIA, ZA KTORÉ SA VYHOTOVUJE VÝROČNÁ SPRÁVA</w:t>
      </w:r>
    </w:p>
    <w:p w:rsidR="0064714C" w:rsidRPr="00D224FF" w:rsidRDefault="0064714C" w:rsidP="0064714C">
      <w:pPr>
        <w:jc w:val="both"/>
        <w:rPr>
          <w:rFonts w:ascii="Tahoma" w:hAnsi="Tahoma" w:cs="Tahoma"/>
          <w:sz w:val="22"/>
          <w:szCs w:val="22"/>
        </w:rPr>
      </w:pPr>
      <w:r w:rsidRPr="000B48EA">
        <w:rPr>
          <w:rFonts w:ascii="Tahoma" w:hAnsi="Tahoma" w:cs="Tahoma"/>
          <w:sz w:val="22"/>
          <w:szCs w:val="22"/>
        </w:rPr>
        <w:t xml:space="preserve">Po skončení účtovného obdobia, za ktoré sa vyhotovuje výročná správa, nenastali udalosti </w:t>
      </w:r>
      <w:r w:rsidRPr="00D224FF">
        <w:rPr>
          <w:rFonts w:ascii="Tahoma" w:hAnsi="Tahoma" w:cs="Tahoma"/>
          <w:sz w:val="22"/>
          <w:szCs w:val="22"/>
        </w:rPr>
        <w:t>osobitného významu okrem informácií, nachádzajúcich sa v Poznámkach k účtovnej závierke.</w:t>
      </w:r>
    </w:p>
    <w:p w:rsidR="00035C35" w:rsidRPr="00D224FF" w:rsidRDefault="00035C35" w:rsidP="0064714C">
      <w:pPr>
        <w:jc w:val="both"/>
        <w:rPr>
          <w:rFonts w:ascii="Tahoma" w:hAnsi="Tahoma" w:cs="Tahoma"/>
          <w:sz w:val="22"/>
          <w:szCs w:val="22"/>
        </w:rPr>
      </w:pPr>
    </w:p>
    <w:p w:rsidR="0064714C" w:rsidRPr="00D224FF" w:rsidRDefault="0064714C" w:rsidP="0064714C">
      <w:pPr>
        <w:pStyle w:val="Nadpis1"/>
        <w:rPr>
          <w:rFonts w:ascii="Tahoma" w:hAnsi="Tahoma" w:cs="Tahoma"/>
          <w:caps/>
          <w:color w:val="auto"/>
          <w:sz w:val="22"/>
          <w:szCs w:val="22"/>
        </w:rPr>
      </w:pPr>
      <w:r w:rsidRPr="00D224FF">
        <w:rPr>
          <w:rFonts w:ascii="Tahoma" w:hAnsi="Tahoma" w:cs="Tahoma"/>
          <w:caps/>
          <w:color w:val="auto"/>
          <w:sz w:val="22"/>
          <w:szCs w:val="22"/>
        </w:rPr>
        <w:t>PREDPOKLADANÝ BUDÚCI VÝVOJ  ČINNOSTI SPOLOČNOSTI</w:t>
      </w:r>
    </w:p>
    <w:p w:rsidR="004D0FBB" w:rsidRPr="00D224FF" w:rsidRDefault="0064714C" w:rsidP="0072176D">
      <w:pPr>
        <w:jc w:val="both"/>
        <w:rPr>
          <w:rFonts w:ascii="Tahoma" w:hAnsi="Tahoma" w:cs="Tahoma"/>
          <w:sz w:val="22"/>
          <w:szCs w:val="22"/>
        </w:rPr>
      </w:pPr>
      <w:r w:rsidRPr="00D224FF">
        <w:rPr>
          <w:rFonts w:ascii="Tahoma" w:hAnsi="Tahoma" w:cs="Tahoma"/>
          <w:sz w:val="22"/>
          <w:szCs w:val="22"/>
        </w:rPr>
        <w:t>Spoločnosť bude pokračovať nepretržite vo svojej činnos</w:t>
      </w:r>
      <w:r w:rsidR="000B1775" w:rsidRPr="00D224FF">
        <w:rPr>
          <w:rFonts w:ascii="Tahoma" w:hAnsi="Tahoma" w:cs="Tahoma"/>
          <w:sz w:val="22"/>
          <w:szCs w:val="22"/>
        </w:rPr>
        <w:t>ti aj v nasledujúcom období</w:t>
      </w:r>
      <w:r w:rsidRPr="00D224FF">
        <w:rPr>
          <w:rFonts w:ascii="Tahoma" w:hAnsi="Tahoma" w:cs="Tahoma"/>
          <w:sz w:val="22"/>
          <w:szCs w:val="22"/>
        </w:rPr>
        <w:t>.</w:t>
      </w:r>
      <w:r w:rsidR="008E0009" w:rsidRPr="00D224FF">
        <w:rPr>
          <w:rFonts w:ascii="Tahoma" w:hAnsi="Tahoma" w:cs="Tahoma"/>
          <w:sz w:val="22"/>
          <w:szCs w:val="22"/>
        </w:rPr>
        <w:t xml:space="preserve"> </w:t>
      </w:r>
      <w:r w:rsidR="004D0FBB" w:rsidRPr="00D224FF">
        <w:rPr>
          <w:rFonts w:ascii="Tahoma" w:hAnsi="Tahoma" w:cs="Tahoma"/>
          <w:sz w:val="22"/>
          <w:szCs w:val="22"/>
        </w:rPr>
        <w:t xml:space="preserve"> I naďalej zostávajú v platnosti ciele, ktoré si Spoločnosť stanovila pre rok </w:t>
      </w:r>
      <w:r w:rsidR="00FB7553" w:rsidRPr="00D224FF">
        <w:rPr>
          <w:rFonts w:ascii="Tahoma" w:hAnsi="Tahoma" w:cs="Tahoma"/>
          <w:sz w:val="22"/>
          <w:szCs w:val="22"/>
        </w:rPr>
        <w:t>2015</w:t>
      </w:r>
      <w:r w:rsidR="004D0FBB" w:rsidRPr="00D224FF">
        <w:rPr>
          <w:rFonts w:ascii="Tahoma" w:hAnsi="Tahoma" w:cs="Tahoma"/>
          <w:sz w:val="22"/>
          <w:szCs w:val="22"/>
        </w:rPr>
        <w:t>.</w:t>
      </w:r>
      <w:r w:rsidRPr="00D224FF">
        <w:rPr>
          <w:rFonts w:ascii="Tahoma" w:hAnsi="Tahoma" w:cs="Tahoma"/>
          <w:sz w:val="22"/>
          <w:szCs w:val="22"/>
        </w:rPr>
        <w:t xml:space="preserve"> </w:t>
      </w:r>
    </w:p>
    <w:p w:rsidR="00FB4914" w:rsidRDefault="00FB4914" w:rsidP="0064714C">
      <w:pPr>
        <w:jc w:val="both"/>
        <w:rPr>
          <w:rFonts w:ascii="Tahoma" w:hAnsi="Tahoma" w:cs="Tahoma"/>
          <w:sz w:val="22"/>
          <w:szCs w:val="22"/>
        </w:rPr>
      </w:pPr>
    </w:p>
    <w:p w:rsidR="004218D8" w:rsidRDefault="004218D8" w:rsidP="0064714C">
      <w:pPr>
        <w:jc w:val="both"/>
        <w:rPr>
          <w:rFonts w:ascii="Tahoma" w:hAnsi="Tahoma" w:cs="Tahoma"/>
          <w:sz w:val="22"/>
          <w:szCs w:val="22"/>
        </w:rPr>
      </w:pPr>
    </w:p>
    <w:p w:rsidR="004218D8" w:rsidRDefault="004218D8" w:rsidP="0064714C">
      <w:pPr>
        <w:jc w:val="both"/>
        <w:rPr>
          <w:rFonts w:ascii="Tahoma" w:hAnsi="Tahoma" w:cs="Tahoma"/>
          <w:sz w:val="22"/>
          <w:szCs w:val="22"/>
        </w:rPr>
      </w:pPr>
    </w:p>
    <w:p w:rsidR="004218D8" w:rsidRPr="00D224FF" w:rsidRDefault="004218D8" w:rsidP="0064714C">
      <w:pPr>
        <w:jc w:val="both"/>
        <w:rPr>
          <w:rFonts w:ascii="Tahoma" w:hAnsi="Tahoma" w:cs="Tahoma"/>
          <w:sz w:val="22"/>
          <w:szCs w:val="22"/>
        </w:rPr>
      </w:pPr>
    </w:p>
    <w:p w:rsidR="00FB4914" w:rsidRPr="00D224FF" w:rsidRDefault="00FB4914" w:rsidP="0064714C">
      <w:pPr>
        <w:jc w:val="both"/>
        <w:rPr>
          <w:rFonts w:ascii="Tahoma" w:hAnsi="Tahoma" w:cs="Tahoma"/>
          <w:sz w:val="22"/>
          <w:szCs w:val="22"/>
        </w:rPr>
      </w:pPr>
    </w:p>
    <w:p w:rsidR="0064714C" w:rsidRPr="00D224FF" w:rsidRDefault="0064714C" w:rsidP="0064714C">
      <w:pPr>
        <w:jc w:val="both"/>
        <w:rPr>
          <w:rFonts w:ascii="Tahoma" w:hAnsi="Tahoma" w:cs="Tahoma"/>
          <w:sz w:val="22"/>
          <w:szCs w:val="22"/>
        </w:rPr>
      </w:pPr>
      <w:r w:rsidRPr="00D224FF">
        <w:rPr>
          <w:rFonts w:ascii="Tahoma" w:hAnsi="Tahoma" w:cs="Tahoma"/>
          <w:sz w:val="22"/>
          <w:szCs w:val="22"/>
        </w:rPr>
        <w:t>Prioritou</w:t>
      </w:r>
      <w:r w:rsidR="004D0FBB" w:rsidRPr="00D224FF">
        <w:rPr>
          <w:rFonts w:ascii="Tahoma" w:hAnsi="Tahoma" w:cs="Tahoma"/>
          <w:sz w:val="22"/>
          <w:szCs w:val="22"/>
        </w:rPr>
        <w:t xml:space="preserve"> S</w:t>
      </w:r>
      <w:r w:rsidRPr="00D224FF">
        <w:rPr>
          <w:rFonts w:ascii="Tahoma" w:hAnsi="Tahoma" w:cs="Tahoma"/>
          <w:sz w:val="22"/>
          <w:szCs w:val="22"/>
        </w:rPr>
        <w:t>poločnosti pre rok 201</w:t>
      </w:r>
      <w:r w:rsidR="00311F3C" w:rsidRPr="00D224FF">
        <w:rPr>
          <w:rFonts w:ascii="Tahoma" w:hAnsi="Tahoma" w:cs="Tahoma"/>
          <w:sz w:val="22"/>
          <w:szCs w:val="22"/>
        </w:rPr>
        <w:t>6</w:t>
      </w:r>
      <w:r w:rsidRPr="00D224FF">
        <w:rPr>
          <w:rFonts w:ascii="Tahoma" w:hAnsi="Tahoma" w:cs="Tahoma"/>
          <w:sz w:val="22"/>
          <w:szCs w:val="22"/>
        </w:rPr>
        <w:t>:</w:t>
      </w:r>
    </w:p>
    <w:p w:rsidR="0064714C" w:rsidRPr="00D224FF" w:rsidRDefault="0064714C" w:rsidP="004D0FBB">
      <w:pPr>
        <w:pStyle w:val="Zarkazkladnhotextu3"/>
        <w:numPr>
          <w:ilvl w:val="0"/>
          <w:numId w:val="24"/>
        </w:numPr>
        <w:spacing w:after="0"/>
        <w:ind w:left="720" w:right="21"/>
        <w:jc w:val="both"/>
        <w:rPr>
          <w:rFonts w:ascii="Tahoma" w:hAnsi="Tahoma" w:cs="Tahoma"/>
          <w:sz w:val="22"/>
          <w:szCs w:val="22"/>
        </w:rPr>
      </w:pPr>
      <w:r w:rsidRPr="00D224FF">
        <w:rPr>
          <w:rFonts w:ascii="Tahoma" w:hAnsi="Tahoma" w:cs="Tahoma"/>
          <w:sz w:val="22"/>
          <w:szCs w:val="22"/>
        </w:rPr>
        <w:t xml:space="preserve">prispôsobenie sa zmeneným podmienkam trhu , pokračujúcej hospodárskej   a finančnej krízy </w:t>
      </w:r>
    </w:p>
    <w:p w:rsidR="005021AC" w:rsidRPr="00D224FF" w:rsidRDefault="005021AC" w:rsidP="004D0FBB">
      <w:pPr>
        <w:numPr>
          <w:ilvl w:val="0"/>
          <w:numId w:val="24"/>
        </w:numPr>
        <w:ind w:left="720" w:right="900"/>
        <w:rPr>
          <w:rFonts w:ascii="Tahoma" w:hAnsi="Tahoma" w:cs="Tahoma"/>
          <w:sz w:val="22"/>
          <w:szCs w:val="22"/>
        </w:rPr>
      </w:pPr>
      <w:r w:rsidRPr="00D224FF">
        <w:rPr>
          <w:rFonts w:ascii="Tahoma" w:hAnsi="Tahoma" w:cs="Tahoma"/>
          <w:sz w:val="22"/>
          <w:szCs w:val="22"/>
        </w:rPr>
        <w:t xml:space="preserve">stabilizovať pozíciu svojich zmluvných partnerov  pri negatívne sa vyvíjajúcej situácii na trhu  </w:t>
      </w:r>
    </w:p>
    <w:p w:rsidR="005021AC" w:rsidRPr="00D224FF" w:rsidRDefault="005021AC" w:rsidP="004D0FBB">
      <w:pPr>
        <w:numPr>
          <w:ilvl w:val="0"/>
          <w:numId w:val="24"/>
        </w:numPr>
        <w:ind w:left="720" w:right="900"/>
        <w:rPr>
          <w:rFonts w:ascii="Tahoma" w:hAnsi="Tahoma" w:cs="Tahoma"/>
          <w:sz w:val="22"/>
          <w:szCs w:val="22"/>
        </w:rPr>
      </w:pPr>
      <w:r w:rsidRPr="00D224FF">
        <w:rPr>
          <w:rFonts w:ascii="Tahoma" w:hAnsi="Tahoma" w:cs="Tahoma"/>
          <w:sz w:val="22"/>
          <w:szCs w:val="22"/>
        </w:rPr>
        <w:t xml:space="preserve">rozšíriť sieť o zmluvných partnerov v regiónoch,  ktoré doteraz </w:t>
      </w:r>
      <w:r w:rsidR="004D0FBB" w:rsidRPr="00D224FF">
        <w:rPr>
          <w:rFonts w:ascii="Tahoma" w:hAnsi="Tahoma" w:cs="Tahoma"/>
          <w:sz w:val="22"/>
          <w:szCs w:val="22"/>
        </w:rPr>
        <w:t xml:space="preserve">Spoločnosť </w:t>
      </w:r>
      <w:r w:rsidRPr="00D224FF">
        <w:rPr>
          <w:rFonts w:ascii="Tahoma" w:hAnsi="Tahoma" w:cs="Tahoma"/>
          <w:sz w:val="22"/>
          <w:szCs w:val="22"/>
        </w:rPr>
        <w:t xml:space="preserve">nemala pokryté </w:t>
      </w:r>
    </w:p>
    <w:p w:rsidR="005021AC" w:rsidRPr="00D224FF" w:rsidRDefault="005021AC" w:rsidP="009B6117">
      <w:pPr>
        <w:numPr>
          <w:ilvl w:val="0"/>
          <w:numId w:val="24"/>
        </w:numPr>
        <w:ind w:left="720" w:right="-115"/>
        <w:rPr>
          <w:rFonts w:ascii="Tahoma" w:hAnsi="Tahoma" w:cs="Tahoma"/>
          <w:sz w:val="22"/>
          <w:szCs w:val="22"/>
        </w:rPr>
      </w:pPr>
      <w:r w:rsidRPr="00D224FF">
        <w:rPr>
          <w:rFonts w:ascii="Tahoma" w:hAnsi="Tahoma" w:cs="Tahoma"/>
          <w:sz w:val="22"/>
          <w:szCs w:val="22"/>
        </w:rPr>
        <w:t xml:space="preserve">ukončiť spoluprácu so zmluvnými partnermi ktorí nerešpektujú pravidlá </w:t>
      </w:r>
      <w:r w:rsidR="009B6117" w:rsidRPr="00D224FF">
        <w:rPr>
          <w:rFonts w:ascii="Tahoma" w:hAnsi="Tahoma" w:cs="Tahoma"/>
          <w:sz w:val="22"/>
          <w:szCs w:val="22"/>
        </w:rPr>
        <w:t>S</w:t>
      </w:r>
      <w:r w:rsidR="00D224FF" w:rsidRPr="00D224FF">
        <w:rPr>
          <w:rFonts w:ascii="Tahoma" w:hAnsi="Tahoma" w:cs="Tahoma"/>
          <w:sz w:val="22"/>
          <w:szCs w:val="22"/>
        </w:rPr>
        <w:t>poločnosti , resp. neplnia požadované kritériá</w:t>
      </w:r>
      <w:r w:rsidRPr="00D224FF">
        <w:rPr>
          <w:rFonts w:ascii="Tahoma" w:hAnsi="Tahoma" w:cs="Tahoma"/>
          <w:sz w:val="22"/>
          <w:szCs w:val="22"/>
        </w:rPr>
        <w:t xml:space="preserve"> </w:t>
      </w:r>
    </w:p>
    <w:p w:rsidR="005021AC" w:rsidRPr="00D224FF" w:rsidRDefault="005021AC" w:rsidP="004D0FBB">
      <w:pPr>
        <w:numPr>
          <w:ilvl w:val="0"/>
          <w:numId w:val="24"/>
        </w:numPr>
        <w:ind w:left="720" w:right="900"/>
        <w:rPr>
          <w:rFonts w:ascii="Tahoma" w:hAnsi="Tahoma" w:cs="Tahoma"/>
          <w:sz w:val="22"/>
          <w:szCs w:val="22"/>
        </w:rPr>
      </w:pPr>
      <w:r w:rsidRPr="00D224FF">
        <w:rPr>
          <w:rFonts w:ascii="Tahoma" w:hAnsi="Tahoma" w:cs="Tahoma"/>
          <w:sz w:val="22"/>
          <w:szCs w:val="22"/>
        </w:rPr>
        <w:t>dosiahnuť synergický efekt priblížením aktivít lokálneho marketingu zmluvných partnerov  centrálnemu marketingu siete EURONICS</w:t>
      </w:r>
    </w:p>
    <w:p w:rsidR="005021AC" w:rsidRPr="00D224FF" w:rsidRDefault="005021AC" w:rsidP="004D0FBB">
      <w:pPr>
        <w:numPr>
          <w:ilvl w:val="0"/>
          <w:numId w:val="24"/>
        </w:numPr>
        <w:ind w:left="720" w:right="900"/>
        <w:rPr>
          <w:rFonts w:ascii="Tahoma" w:hAnsi="Tahoma" w:cs="Tahoma"/>
          <w:sz w:val="22"/>
          <w:szCs w:val="22"/>
        </w:rPr>
      </w:pPr>
      <w:r w:rsidRPr="00D224FF">
        <w:rPr>
          <w:rFonts w:ascii="Tahoma" w:hAnsi="Tahoma" w:cs="Tahoma"/>
          <w:sz w:val="22"/>
          <w:szCs w:val="22"/>
        </w:rPr>
        <w:t>zaviesť existujúce, vytvárať nové služby jednotne v celej sieti EURONICS</w:t>
      </w:r>
      <w:r w:rsidR="000D52EE" w:rsidRPr="00D224FF">
        <w:rPr>
          <w:rFonts w:ascii="Tahoma" w:hAnsi="Tahoma" w:cs="Tahoma"/>
          <w:sz w:val="22"/>
          <w:szCs w:val="22"/>
        </w:rPr>
        <w:t xml:space="preserve"> , najmä </w:t>
      </w:r>
      <w:r w:rsidR="00D224FF" w:rsidRPr="00D224FF">
        <w:rPr>
          <w:rFonts w:ascii="Tahoma" w:hAnsi="Tahoma" w:cs="Tahoma"/>
          <w:sz w:val="22"/>
          <w:szCs w:val="22"/>
        </w:rPr>
        <w:t xml:space="preserve">posilniť </w:t>
      </w:r>
      <w:r w:rsidR="000D52EE" w:rsidRPr="00D224FF">
        <w:rPr>
          <w:rFonts w:ascii="Tahoma" w:hAnsi="Tahoma" w:cs="Tahoma"/>
          <w:sz w:val="22"/>
          <w:szCs w:val="22"/>
        </w:rPr>
        <w:t xml:space="preserve">predaj služieb ako predĺžená záruka </w:t>
      </w:r>
    </w:p>
    <w:p w:rsidR="00826A13" w:rsidRPr="00D224FF" w:rsidRDefault="004534CD" w:rsidP="004D0FBB">
      <w:pPr>
        <w:numPr>
          <w:ilvl w:val="0"/>
          <w:numId w:val="24"/>
        </w:numPr>
        <w:ind w:left="720" w:right="900"/>
        <w:rPr>
          <w:rFonts w:ascii="Tahoma" w:hAnsi="Tahoma" w:cs="Tahoma"/>
          <w:sz w:val="22"/>
          <w:szCs w:val="22"/>
        </w:rPr>
      </w:pPr>
      <w:r w:rsidRPr="00D224FF">
        <w:rPr>
          <w:rFonts w:ascii="Tahoma" w:hAnsi="Tahoma" w:cs="Tahoma"/>
          <w:sz w:val="22"/>
          <w:szCs w:val="22"/>
        </w:rPr>
        <w:t>realizovať koncept</w:t>
      </w:r>
      <w:r w:rsidR="00790B41" w:rsidRPr="00D224FF">
        <w:rPr>
          <w:rFonts w:ascii="Tahoma" w:hAnsi="Tahoma" w:cs="Tahoma"/>
          <w:sz w:val="22"/>
          <w:szCs w:val="22"/>
        </w:rPr>
        <w:t xml:space="preserve"> dvoch kategórií</w:t>
      </w:r>
      <w:r w:rsidR="005021AC" w:rsidRPr="00D224FF">
        <w:rPr>
          <w:rFonts w:ascii="Tahoma" w:hAnsi="Tahoma" w:cs="Tahoma"/>
          <w:sz w:val="22"/>
          <w:szCs w:val="22"/>
        </w:rPr>
        <w:t xml:space="preserve"> predajní: mul</w:t>
      </w:r>
      <w:r w:rsidR="00826A13" w:rsidRPr="00D224FF">
        <w:rPr>
          <w:rFonts w:ascii="Tahoma" w:hAnsi="Tahoma" w:cs="Tahoma"/>
          <w:sz w:val="22"/>
          <w:szCs w:val="22"/>
        </w:rPr>
        <w:t>tie</w:t>
      </w:r>
      <w:r w:rsidR="005021AC" w:rsidRPr="00D224FF">
        <w:rPr>
          <w:rFonts w:ascii="Tahoma" w:hAnsi="Tahoma" w:cs="Tahoma"/>
          <w:sz w:val="22"/>
          <w:szCs w:val="22"/>
        </w:rPr>
        <w:t xml:space="preserve">lektrá a elektropredajne s </w:t>
      </w:r>
    </w:p>
    <w:p w:rsidR="005021AC" w:rsidRPr="00D224FF" w:rsidRDefault="005021AC" w:rsidP="004D0FBB">
      <w:pPr>
        <w:numPr>
          <w:ilvl w:val="0"/>
          <w:numId w:val="24"/>
        </w:numPr>
        <w:ind w:left="720" w:right="900"/>
        <w:rPr>
          <w:rFonts w:ascii="Tahoma" w:hAnsi="Tahoma" w:cs="Tahoma"/>
          <w:sz w:val="22"/>
          <w:szCs w:val="22"/>
        </w:rPr>
      </w:pPr>
      <w:r w:rsidRPr="00D224FF">
        <w:rPr>
          <w:rFonts w:ascii="Tahoma" w:hAnsi="Tahoma" w:cs="Tahoma"/>
          <w:sz w:val="22"/>
          <w:szCs w:val="22"/>
        </w:rPr>
        <w:t>jasne definovaným produktovým portfóliom a službami</w:t>
      </w:r>
    </w:p>
    <w:p w:rsidR="005021AC" w:rsidRPr="00D224FF" w:rsidRDefault="005021AC" w:rsidP="00790B41">
      <w:pPr>
        <w:numPr>
          <w:ilvl w:val="0"/>
          <w:numId w:val="24"/>
        </w:numPr>
        <w:ind w:left="720" w:right="900"/>
        <w:rPr>
          <w:rFonts w:ascii="Tahoma" w:hAnsi="Tahoma" w:cs="Tahoma"/>
          <w:sz w:val="22"/>
          <w:szCs w:val="22"/>
        </w:rPr>
      </w:pPr>
      <w:r w:rsidRPr="00D224FF">
        <w:rPr>
          <w:rFonts w:ascii="Tahoma" w:hAnsi="Tahoma" w:cs="Tahoma"/>
          <w:sz w:val="22"/>
          <w:szCs w:val="22"/>
        </w:rPr>
        <w:t>zvýšiť podiel EURONICS na elektrotrhu v SR v komoditách s relatív</w:t>
      </w:r>
      <w:r w:rsidR="000D52EE" w:rsidRPr="00D224FF">
        <w:rPr>
          <w:rFonts w:ascii="Tahoma" w:hAnsi="Tahoma" w:cs="Tahoma"/>
          <w:sz w:val="22"/>
          <w:szCs w:val="22"/>
        </w:rPr>
        <w:t xml:space="preserve">ne nízkym aktuálnym podielom: TC </w:t>
      </w:r>
      <w:r w:rsidRPr="00D224FF">
        <w:rPr>
          <w:rFonts w:ascii="Tahoma" w:hAnsi="Tahoma" w:cs="Tahoma"/>
          <w:sz w:val="22"/>
          <w:szCs w:val="22"/>
        </w:rPr>
        <w:t>, IT</w:t>
      </w:r>
    </w:p>
    <w:p w:rsidR="005021AC" w:rsidRPr="00D224FF" w:rsidRDefault="005021AC" w:rsidP="004D0FBB">
      <w:pPr>
        <w:numPr>
          <w:ilvl w:val="0"/>
          <w:numId w:val="24"/>
        </w:numPr>
        <w:ind w:left="720" w:right="900"/>
        <w:rPr>
          <w:rFonts w:ascii="Tahoma" w:hAnsi="Tahoma" w:cs="Tahoma"/>
          <w:sz w:val="22"/>
          <w:szCs w:val="22"/>
        </w:rPr>
      </w:pPr>
      <w:r w:rsidRPr="00D224FF">
        <w:rPr>
          <w:rFonts w:ascii="Tahoma" w:hAnsi="Tahoma" w:cs="Tahoma"/>
          <w:sz w:val="22"/>
          <w:szCs w:val="22"/>
        </w:rPr>
        <w:t>využívať v maximálnej miere zvýhodnené nákupy projektu Core Range a exkluzívnych modelov siete EURONICS</w:t>
      </w:r>
    </w:p>
    <w:p w:rsidR="005021AC" w:rsidRPr="00D224FF" w:rsidRDefault="005021AC" w:rsidP="004D0FBB">
      <w:pPr>
        <w:numPr>
          <w:ilvl w:val="0"/>
          <w:numId w:val="24"/>
        </w:numPr>
        <w:ind w:left="720" w:right="900"/>
        <w:rPr>
          <w:rFonts w:ascii="Tahoma" w:hAnsi="Tahoma" w:cs="Tahoma"/>
          <w:sz w:val="22"/>
          <w:szCs w:val="22"/>
        </w:rPr>
      </w:pPr>
      <w:r w:rsidRPr="00D224FF">
        <w:rPr>
          <w:rFonts w:ascii="Tahoma" w:hAnsi="Tahoma" w:cs="Tahoma"/>
          <w:sz w:val="22"/>
          <w:szCs w:val="22"/>
        </w:rPr>
        <w:t>posilniť komunikáciu značky EURONICS ako jednotnej značky a skvalitniť vizuály predajní</w:t>
      </w:r>
    </w:p>
    <w:p w:rsidR="0064714C" w:rsidRPr="00D224FF" w:rsidRDefault="0064714C" w:rsidP="0064714C">
      <w:pPr>
        <w:jc w:val="both"/>
        <w:rPr>
          <w:rFonts w:ascii="Tahoma" w:hAnsi="Tahoma" w:cs="Tahoma"/>
          <w:b/>
          <w:smallCaps/>
          <w:sz w:val="22"/>
          <w:szCs w:val="22"/>
        </w:rPr>
      </w:pPr>
    </w:p>
    <w:p w:rsidR="0064714C" w:rsidRPr="000B48EA" w:rsidRDefault="0064714C" w:rsidP="0064714C">
      <w:pPr>
        <w:pStyle w:val="Nadpis1"/>
        <w:rPr>
          <w:rFonts w:ascii="Tahoma" w:hAnsi="Tahoma" w:cs="Tahoma"/>
          <w:caps/>
          <w:color w:val="auto"/>
          <w:sz w:val="22"/>
          <w:szCs w:val="22"/>
        </w:rPr>
      </w:pPr>
      <w:r w:rsidRPr="000B48EA">
        <w:rPr>
          <w:rFonts w:ascii="Tahoma" w:hAnsi="Tahoma" w:cs="Tahoma"/>
          <w:caps/>
          <w:color w:val="auto"/>
          <w:sz w:val="22"/>
          <w:szCs w:val="22"/>
        </w:rPr>
        <w:t>NÁKLADY NA ČINNOSŤ V OBLASTI VÝSKUMU A VÝVOJA</w:t>
      </w:r>
    </w:p>
    <w:p w:rsidR="0064714C" w:rsidRPr="000B48EA" w:rsidRDefault="0064714C" w:rsidP="0064714C">
      <w:pPr>
        <w:jc w:val="both"/>
        <w:rPr>
          <w:rFonts w:ascii="Tahoma" w:hAnsi="Tahoma" w:cs="Tahoma"/>
          <w:sz w:val="22"/>
          <w:szCs w:val="22"/>
        </w:rPr>
      </w:pPr>
      <w:r w:rsidRPr="000B48EA">
        <w:rPr>
          <w:rFonts w:ascii="Tahoma" w:hAnsi="Tahoma" w:cs="Tahoma"/>
          <w:sz w:val="22"/>
          <w:szCs w:val="22"/>
        </w:rPr>
        <w:t>Spoločnosť neuskutočňuje činnosti spojené s výskumom a vývojom, t.j. náklady daného druhu nemá.</w:t>
      </w:r>
    </w:p>
    <w:p w:rsidR="0072176D" w:rsidRPr="000B48EA" w:rsidRDefault="0072176D" w:rsidP="0064714C">
      <w:pPr>
        <w:jc w:val="both"/>
        <w:rPr>
          <w:rFonts w:ascii="Tahoma" w:hAnsi="Tahoma" w:cs="Tahoma"/>
          <w:sz w:val="22"/>
          <w:szCs w:val="22"/>
        </w:rPr>
      </w:pPr>
    </w:p>
    <w:p w:rsidR="0064714C" w:rsidRPr="000B48EA" w:rsidRDefault="0064714C" w:rsidP="0064714C">
      <w:pPr>
        <w:pStyle w:val="Nadpis1"/>
        <w:rPr>
          <w:rFonts w:ascii="Tahoma" w:hAnsi="Tahoma" w:cs="Tahoma"/>
          <w:caps/>
          <w:color w:val="auto"/>
          <w:sz w:val="22"/>
          <w:szCs w:val="22"/>
        </w:rPr>
      </w:pPr>
      <w:r w:rsidRPr="000B48EA">
        <w:rPr>
          <w:rFonts w:ascii="Tahoma" w:hAnsi="Tahoma" w:cs="Tahoma"/>
          <w:caps/>
          <w:color w:val="auto"/>
          <w:sz w:val="22"/>
          <w:szCs w:val="22"/>
        </w:rPr>
        <w:t>NADOBÚDANIE VLASTNÝCH AKCIÍ, DOČASNÝCH LISTKOV, OBCHODNÝCH PODIELOV A AKCIÍ</w:t>
      </w:r>
    </w:p>
    <w:p w:rsidR="0064714C" w:rsidRPr="000B48EA" w:rsidRDefault="0064714C" w:rsidP="0064714C">
      <w:pPr>
        <w:jc w:val="both"/>
        <w:rPr>
          <w:rFonts w:ascii="Tahoma" w:hAnsi="Tahoma" w:cs="Tahoma"/>
          <w:sz w:val="22"/>
          <w:szCs w:val="22"/>
        </w:rPr>
      </w:pPr>
      <w:r w:rsidRPr="000B48EA">
        <w:rPr>
          <w:rFonts w:ascii="Tahoma" w:hAnsi="Tahoma" w:cs="Tahoma"/>
          <w:sz w:val="22"/>
          <w:szCs w:val="22"/>
        </w:rPr>
        <w:t xml:space="preserve">Spoločnosť v roku </w:t>
      </w:r>
      <w:r w:rsidR="00FB7553">
        <w:rPr>
          <w:rFonts w:ascii="Tahoma" w:hAnsi="Tahoma" w:cs="Tahoma"/>
          <w:sz w:val="22"/>
          <w:szCs w:val="22"/>
        </w:rPr>
        <w:t>2015</w:t>
      </w:r>
      <w:r w:rsidRPr="000B48EA">
        <w:rPr>
          <w:rFonts w:ascii="Tahoma" w:hAnsi="Tahoma" w:cs="Tahoma"/>
          <w:sz w:val="22"/>
          <w:szCs w:val="22"/>
        </w:rPr>
        <w:t xml:space="preserve"> nenadobudla vlastné akcie, dočasné listy ani obchodné podiely a akcie v iných účtovných jednotkách.</w:t>
      </w:r>
    </w:p>
    <w:p w:rsidR="0064714C" w:rsidRDefault="0064714C" w:rsidP="0064714C">
      <w:pPr>
        <w:jc w:val="both"/>
        <w:rPr>
          <w:rFonts w:ascii="Tahoma" w:hAnsi="Tahoma" w:cs="Tahoma"/>
          <w:sz w:val="22"/>
          <w:szCs w:val="22"/>
        </w:rPr>
      </w:pPr>
    </w:p>
    <w:p w:rsidR="0064714C" w:rsidRPr="000B48EA" w:rsidRDefault="0064714C" w:rsidP="0064714C">
      <w:pPr>
        <w:pStyle w:val="Nadpis1"/>
        <w:rPr>
          <w:rFonts w:ascii="Tahoma" w:hAnsi="Tahoma" w:cs="Tahoma"/>
          <w:caps/>
          <w:color w:val="auto"/>
          <w:sz w:val="22"/>
          <w:szCs w:val="22"/>
        </w:rPr>
      </w:pPr>
      <w:r w:rsidRPr="000B48EA">
        <w:rPr>
          <w:rFonts w:ascii="Tahoma" w:hAnsi="Tahoma" w:cs="Tahoma"/>
          <w:caps/>
          <w:color w:val="auto"/>
          <w:sz w:val="22"/>
          <w:szCs w:val="22"/>
        </w:rPr>
        <w:t>NÁVRH NA ROZDELENIE ZISKU</w:t>
      </w:r>
    </w:p>
    <w:p w:rsidR="0072176D" w:rsidRDefault="0064714C" w:rsidP="0064714C">
      <w:pPr>
        <w:jc w:val="both"/>
        <w:rPr>
          <w:rFonts w:ascii="Tahoma" w:hAnsi="Tahoma" w:cs="Tahoma"/>
          <w:sz w:val="22"/>
          <w:szCs w:val="22"/>
        </w:rPr>
      </w:pPr>
      <w:r w:rsidRPr="000B48EA">
        <w:rPr>
          <w:rFonts w:ascii="Tahoma" w:hAnsi="Tahoma" w:cs="Tahoma"/>
          <w:sz w:val="22"/>
          <w:szCs w:val="22"/>
        </w:rPr>
        <w:t xml:space="preserve">Orgány Spoločnosti na svojom zasadaní  schvália zúčtovanie hospodárskeho výsledku za rok </w:t>
      </w:r>
      <w:r w:rsidR="00FB7553">
        <w:rPr>
          <w:rFonts w:ascii="Tahoma" w:hAnsi="Tahoma" w:cs="Tahoma"/>
          <w:sz w:val="22"/>
          <w:szCs w:val="22"/>
        </w:rPr>
        <w:t>2015</w:t>
      </w:r>
      <w:r w:rsidRPr="000B48EA">
        <w:rPr>
          <w:rFonts w:ascii="Tahoma" w:hAnsi="Tahoma" w:cs="Tahoma"/>
          <w:sz w:val="22"/>
          <w:szCs w:val="22"/>
        </w:rPr>
        <w:t xml:space="preserve">. Návrh Spoločnosti je zúčtovať vykázaný hospodársky výsledok - </w:t>
      </w:r>
      <w:r w:rsidR="00A56327">
        <w:rPr>
          <w:rFonts w:ascii="Tahoma" w:hAnsi="Tahoma" w:cs="Tahoma"/>
          <w:sz w:val="22"/>
          <w:szCs w:val="22"/>
        </w:rPr>
        <w:t xml:space="preserve"> zisk</w:t>
      </w:r>
      <w:r w:rsidR="00E4783F" w:rsidRPr="000B48EA">
        <w:rPr>
          <w:rFonts w:ascii="Tahoma" w:hAnsi="Tahoma" w:cs="Tahoma"/>
          <w:sz w:val="22"/>
          <w:szCs w:val="22"/>
        </w:rPr>
        <w:t xml:space="preserve"> </w:t>
      </w:r>
      <w:r w:rsidRPr="000B48EA">
        <w:rPr>
          <w:rFonts w:ascii="Tahoma" w:hAnsi="Tahoma" w:cs="Tahoma"/>
          <w:sz w:val="22"/>
          <w:szCs w:val="22"/>
        </w:rPr>
        <w:t xml:space="preserve"> - </w:t>
      </w:r>
      <w:r w:rsidR="00EA175F" w:rsidRPr="000B48EA">
        <w:rPr>
          <w:rFonts w:ascii="Tahoma" w:hAnsi="Tahoma" w:cs="Tahoma"/>
          <w:sz w:val="22"/>
          <w:szCs w:val="22"/>
        </w:rPr>
        <w:t xml:space="preserve"> </w:t>
      </w:r>
      <w:r w:rsidR="00A56327">
        <w:rPr>
          <w:rFonts w:ascii="Tahoma" w:hAnsi="Tahoma" w:cs="Tahoma"/>
          <w:sz w:val="22"/>
          <w:szCs w:val="22"/>
        </w:rPr>
        <w:t xml:space="preserve"> na účet nerozdelených ziskov minulých rokov.</w:t>
      </w:r>
    </w:p>
    <w:p w:rsidR="00A03FFA" w:rsidRPr="000B48EA" w:rsidRDefault="00A03FFA" w:rsidP="0064714C">
      <w:pPr>
        <w:jc w:val="both"/>
        <w:rPr>
          <w:rFonts w:ascii="Tahoma" w:hAnsi="Tahoma" w:cs="Tahoma"/>
          <w:sz w:val="22"/>
          <w:szCs w:val="22"/>
        </w:rPr>
      </w:pPr>
    </w:p>
    <w:p w:rsidR="0064714C" w:rsidRPr="000B48EA" w:rsidRDefault="0064714C" w:rsidP="0064714C">
      <w:pPr>
        <w:pStyle w:val="Nadpis1"/>
        <w:rPr>
          <w:rFonts w:ascii="Tahoma" w:hAnsi="Tahoma" w:cs="Tahoma"/>
          <w:caps/>
          <w:color w:val="auto"/>
          <w:sz w:val="22"/>
          <w:szCs w:val="22"/>
        </w:rPr>
      </w:pPr>
      <w:r w:rsidRPr="000B48EA">
        <w:rPr>
          <w:rFonts w:ascii="Tahoma" w:hAnsi="Tahoma" w:cs="Tahoma"/>
          <w:caps/>
          <w:color w:val="auto"/>
          <w:sz w:val="22"/>
          <w:szCs w:val="22"/>
        </w:rPr>
        <w:t xml:space="preserve">úDAJE POŽADOVANÉ NA ZÁKLADE OSOBITNÝCH </w:t>
      </w:r>
      <w:r w:rsidR="00EA175F" w:rsidRPr="000B48EA">
        <w:rPr>
          <w:rFonts w:ascii="Tahoma" w:hAnsi="Tahoma" w:cs="Tahoma"/>
          <w:caps/>
          <w:color w:val="auto"/>
          <w:sz w:val="22"/>
          <w:szCs w:val="22"/>
        </w:rPr>
        <w:t>PREDPISOV</w:t>
      </w:r>
    </w:p>
    <w:p w:rsidR="0064714C" w:rsidRPr="000B48EA" w:rsidRDefault="0064714C" w:rsidP="0064714C">
      <w:pPr>
        <w:jc w:val="both"/>
        <w:rPr>
          <w:rFonts w:ascii="Tahoma" w:hAnsi="Tahoma" w:cs="Tahoma"/>
          <w:sz w:val="22"/>
          <w:szCs w:val="22"/>
        </w:rPr>
      </w:pPr>
      <w:r w:rsidRPr="000B48EA">
        <w:rPr>
          <w:rFonts w:ascii="Tahoma" w:hAnsi="Tahoma" w:cs="Tahoma"/>
          <w:sz w:val="22"/>
          <w:szCs w:val="22"/>
        </w:rPr>
        <w:t>Spoločnosť nevykonáva činnosti vyžadujúce si predkladanie údajov na základe osobitných predpisov.</w:t>
      </w:r>
    </w:p>
    <w:p w:rsidR="00A03FFA" w:rsidRPr="000B48EA" w:rsidRDefault="00A03FFA" w:rsidP="0064714C">
      <w:pPr>
        <w:jc w:val="both"/>
        <w:rPr>
          <w:rFonts w:ascii="Tahoma" w:hAnsi="Tahoma" w:cs="Tahoma"/>
          <w:sz w:val="22"/>
          <w:szCs w:val="22"/>
        </w:rPr>
      </w:pPr>
    </w:p>
    <w:p w:rsidR="0064714C" w:rsidRPr="000B48EA" w:rsidRDefault="0064714C" w:rsidP="0064714C">
      <w:pPr>
        <w:pStyle w:val="Nadpis1"/>
        <w:rPr>
          <w:rFonts w:ascii="Tahoma" w:hAnsi="Tahoma" w:cs="Tahoma"/>
          <w:caps/>
          <w:color w:val="auto"/>
          <w:sz w:val="22"/>
          <w:szCs w:val="22"/>
        </w:rPr>
      </w:pPr>
      <w:r w:rsidRPr="000B48EA">
        <w:rPr>
          <w:rFonts w:ascii="Tahoma" w:hAnsi="Tahoma" w:cs="Tahoma"/>
          <w:caps/>
          <w:color w:val="auto"/>
          <w:sz w:val="22"/>
          <w:szCs w:val="22"/>
        </w:rPr>
        <w:t>organizačná zložka v zahraničí</w:t>
      </w:r>
    </w:p>
    <w:p w:rsidR="0064714C" w:rsidRPr="000B48EA" w:rsidRDefault="0064714C" w:rsidP="0064714C">
      <w:pPr>
        <w:jc w:val="both"/>
        <w:rPr>
          <w:rFonts w:ascii="Tahoma" w:hAnsi="Tahoma" w:cs="Tahoma"/>
          <w:sz w:val="22"/>
          <w:szCs w:val="22"/>
        </w:rPr>
      </w:pPr>
      <w:r w:rsidRPr="000B48EA">
        <w:rPr>
          <w:rFonts w:ascii="Tahoma" w:hAnsi="Tahoma" w:cs="Tahoma"/>
          <w:sz w:val="22"/>
          <w:szCs w:val="22"/>
        </w:rPr>
        <w:t>Spoločnosť nemá organizačnú zložku v zahraničí.</w:t>
      </w:r>
    </w:p>
    <w:p w:rsidR="0064714C" w:rsidRPr="000B48EA" w:rsidRDefault="0064714C" w:rsidP="0064714C">
      <w:pPr>
        <w:jc w:val="both"/>
        <w:rPr>
          <w:rFonts w:ascii="Tahoma" w:hAnsi="Tahoma" w:cs="Tahoma"/>
          <w:sz w:val="22"/>
          <w:szCs w:val="22"/>
        </w:rPr>
      </w:pPr>
    </w:p>
    <w:p w:rsidR="0064714C" w:rsidRDefault="0064714C" w:rsidP="0064714C">
      <w:pPr>
        <w:jc w:val="both"/>
        <w:rPr>
          <w:rFonts w:ascii="Tahoma" w:hAnsi="Tahoma" w:cs="Tahoma"/>
          <w:sz w:val="22"/>
          <w:szCs w:val="22"/>
        </w:rPr>
      </w:pPr>
      <w:r w:rsidRPr="000B48EA">
        <w:rPr>
          <w:rFonts w:ascii="Tahoma" w:hAnsi="Tahoma" w:cs="Tahoma"/>
          <w:sz w:val="22"/>
          <w:szCs w:val="22"/>
        </w:rPr>
        <w:t>V</w:t>
      </w:r>
      <w:r w:rsidR="00EA175F" w:rsidRPr="000B48EA">
        <w:rPr>
          <w:rFonts w:ascii="Tahoma" w:hAnsi="Tahoma" w:cs="Tahoma"/>
          <w:sz w:val="22"/>
          <w:szCs w:val="22"/>
        </w:rPr>
        <w:t xml:space="preserve"> Bratislave </w:t>
      </w:r>
      <w:r w:rsidRPr="000B48EA">
        <w:rPr>
          <w:rFonts w:ascii="Tahoma" w:hAnsi="Tahoma" w:cs="Tahoma"/>
          <w:sz w:val="22"/>
          <w:szCs w:val="22"/>
        </w:rPr>
        <w:t xml:space="preserve">, dňa </w:t>
      </w:r>
      <w:r w:rsidR="00035C35">
        <w:rPr>
          <w:rFonts w:ascii="Tahoma" w:hAnsi="Tahoma" w:cs="Tahoma"/>
          <w:sz w:val="22"/>
          <w:szCs w:val="22"/>
        </w:rPr>
        <w:t>1</w:t>
      </w:r>
      <w:r w:rsidR="004218D8">
        <w:rPr>
          <w:rFonts w:ascii="Tahoma" w:hAnsi="Tahoma" w:cs="Tahoma"/>
          <w:sz w:val="22"/>
          <w:szCs w:val="22"/>
        </w:rPr>
        <w:t>0</w:t>
      </w:r>
      <w:bookmarkStart w:id="0" w:name="_GoBack"/>
      <w:bookmarkEnd w:id="0"/>
      <w:r w:rsidR="00035C35">
        <w:rPr>
          <w:rFonts w:ascii="Tahoma" w:hAnsi="Tahoma" w:cs="Tahoma"/>
          <w:sz w:val="22"/>
          <w:szCs w:val="22"/>
        </w:rPr>
        <w:t>.04.2016</w:t>
      </w:r>
    </w:p>
    <w:p w:rsidR="00FB4914" w:rsidRDefault="00FB4914" w:rsidP="0064714C">
      <w:pPr>
        <w:jc w:val="both"/>
        <w:rPr>
          <w:rFonts w:ascii="Tahoma" w:hAnsi="Tahoma" w:cs="Tahoma"/>
          <w:sz w:val="22"/>
          <w:szCs w:val="22"/>
        </w:rPr>
      </w:pPr>
    </w:p>
    <w:p w:rsidR="00FB4914" w:rsidRDefault="00FB4914" w:rsidP="0064714C">
      <w:pPr>
        <w:jc w:val="both"/>
        <w:rPr>
          <w:rFonts w:ascii="Tahoma" w:hAnsi="Tahoma" w:cs="Tahoma"/>
          <w:sz w:val="22"/>
          <w:szCs w:val="22"/>
        </w:rPr>
      </w:pPr>
    </w:p>
    <w:p w:rsidR="00FB4914" w:rsidRDefault="00FB4914" w:rsidP="0064714C">
      <w:pPr>
        <w:jc w:val="both"/>
        <w:rPr>
          <w:rFonts w:ascii="Tahoma" w:hAnsi="Tahoma" w:cs="Tahoma"/>
          <w:sz w:val="22"/>
          <w:szCs w:val="22"/>
        </w:rPr>
      </w:pPr>
    </w:p>
    <w:p w:rsidR="0064714C" w:rsidRPr="00522DAA" w:rsidRDefault="0064714C" w:rsidP="00790B41">
      <w:pPr>
        <w:ind w:left="6663"/>
        <w:jc w:val="both"/>
        <w:rPr>
          <w:rFonts w:ascii="Tahoma" w:hAnsi="Tahoma" w:cs="Tahoma"/>
          <w:sz w:val="22"/>
          <w:szCs w:val="22"/>
        </w:rPr>
      </w:pPr>
      <w:r w:rsidRPr="00522DAA">
        <w:rPr>
          <w:rFonts w:ascii="Tahoma" w:hAnsi="Tahoma" w:cs="Tahoma"/>
          <w:sz w:val="22"/>
          <w:szCs w:val="22"/>
        </w:rPr>
        <w:t>–––––––––––––––––––––</w:t>
      </w:r>
    </w:p>
    <w:p w:rsidR="0064714C" w:rsidRPr="00522DAA" w:rsidRDefault="00782231" w:rsidP="00790B41">
      <w:pPr>
        <w:ind w:left="6663"/>
        <w:jc w:val="both"/>
        <w:rPr>
          <w:rFonts w:ascii="Tahoma" w:hAnsi="Tahoma" w:cs="Tahoma"/>
          <w:sz w:val="22"/>
          <w:szCs w:val="22"/>
        </w:rPr>
      </w:pPr>
      <w:r w:rsidRPr="00522DAA">
        <w:rPr>
          <w:rFonts w:ascii="Tahoma" w:hAnsi="Tahoma" w:cs="Tahoma"/>
          <w:sz w:val="22"/>
          <w:szCs w:val="22"/>
        </w:rPr>
        <w:t xml:space="preserve">      František Majtán</w:t>
      </w:r>
    </w:p>
    <w:p w:rsidR="0064714C" w:rsidRPr="00522DAA" w:rsidRDefault="0064714C" w:rsidP="00790B41">
      <w:pPr>
        <w:ind w:left="6663"/>
        <w:jc w:val="both"/>
        <w:rPr>
          <w:rFonts w:ascii="Tahoma" w:hAnsi="Tahoma" w:cs="Tahoma"/>
          <w:sz w:val="22"/>
          <w:szCs w:val="22"/>
        </w:rPr>
      </w:pPr>
      <w:r w:rsidRPr="00522DAA">
        <w:rPr>
          <w:rFonts w:ascii="Tahoma" w:hAnsi="Tahoma" w:cs="Tahoma"/>
          <w:sz w:val="22"/>
          <w:szCs w:val="22"/>
        </w:rPr>
        <w:t xml:space="preserve">  predseda predstavenstva </w:t>
      </w:r>
    </w:p>
    <w:p w:rsidR="006D7EC5" w:rsidRPr="00522DAA" w:rsidRDefault="00782231">
      <w:pPr>
        <w:ind w:left="6663"/>
        <w:jc w:val="both"/>
      </w:pPr>
      <w:r w:rsidRPr="00522DAA">
        <w:rPr>
          <w:rFonts w:ascii="Tahoma" w:hAnsi="Tahoma" w:cs="Tahoma"/>
          <w:sz w:val="22"/>
          <w:szCs w:val="22"/>
        </w:rPr>
        <w:t xml:space="preserve">     </w:t>
      </w:r>
      <w:r w:rsidR="0064714C" w:rsidRPr="00522DAA">
        <w:rPr>
          <w:rFonts w:ascii="Tahoma" w:hAnsi="Tahoma" w:cs="Tahoma"/>
          <w:sz w:val="22"/>
          <w:szCs w:val="22"/>
        </w:rPr>
        <w:t xml:space="preserve"> </w:t>
      </w:r>
      <w:r w:rsidRPr="00522DAA">
        <w:rPr>
          <w:rFonts w:ascii="Tahoma" w:hAnsi="Tahoma" w:cs="Tahoma"/>
          <w:sz w:val="22"/>
          <w:szCs w:val="22"/>
        </w:rPr>
        <w:t>EURONICS SK a.s.</w:t>
      </w:r>
    </w:p>
    <w:sectPr w:rsidR="006D7EC5" w:rsidRPr="00522DAA" w:rsidSect="006D7EC5">
      <w:pgSz w:w="11906" w:h="16838"/>
      <w:pgMar w:top="1701" w:right="1418" w:bottom="1418" w:left="124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00F9" w:rsidRDefault="000500F9" w:rsidP="000F4AB5">
      <w:r>
        <w:separator/>
      </w:r>
    </w:p>
  </w:endnote>
  <w:endnote w:type="continuationSeparator" w:id="0">
    <w:p w:rsidR="000500F9" w:rsidRDefault="000500F9" w:rsidP="000F4AB5">
      <w:r>
        <w:continuationSeparator/>
      </w:r>
    </w:p>
  </w:endnote>
</w:endnotes>
</file>

<file path=word/fontTable.xml><?xml version="1.0" encoding="utf-8"?>
<w:fonts xmlns:r="http://schemas.openxmlformats.org/officeDocument/2006/relationships" xmlns:w="http://schemas.openxmlformats.org/wordprocessingml/2006/main">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A00002EF" w:usb1="4000004B" w:usb2="00000000" w:usb3="00000000" w:csb0="0000009F" w:csb1="00000000"/>
  </w:font>
  <w:font w:name="Verdana">
    <w:panose1 w:val="020B0604030504040204"/>
    <w:charset w:val="EE"/>
    <w:family w:val="swiss"/>
    <w:pitch w:val="variable"/>
    <w:sig w:usb0="A1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00F9" w:rsidRDefault="000500F9" w:rsidP="000F4AB5">
      <w:r>
        <w:separator/>
      </w:r>
    </w:p>
  </w:footnote>
  <w:footnote w:type="continuationSeparator" w:id="0">
    <w:p w:rsidR="000500F9" w:rsidRDefault="000500F9" w:rsidP="000F4AB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82358"/>
    <w:multiLevelType w:val="hybridMultilevel"/>
    <w:tmpl w:val="85F47A4A"/>
    <w:lvl w:ilvl="0" w:tplc="AB2C615A">
      <w:numFmt w:val="bullet"/>
      <w:lvlText w:val="-"/>
      <w:lvlJc w:val="left"/>
      <w:pPr>
        <w:ind w:left="720" w:hanging="360"/>
      </w:pPr>
      <w:rPr>
        <w:rFonts w:ascii="Tahoma" w:eastAsia="Times New Roman" w:hAnsi="Tahoma" w:cs="Tahoma"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55F304F"/>
    <w:multiLevelType w:val="hybridMultilevel"/>
    <w:tmpl w:val="1870C7DE"/>
    <w:lvl w:ilvl="0" w:tplc="64325BAA">
      <w:start w:val="1"/>
      <w:numFmt w:val="upperRoman"/>
      <w:lvlText w:val="%1."/>
      <w:lvlJc w:val="left"/>
      <w:pPr>
        <w:tabs>
          <w:tab w:val="num" w:pos="1620"/>
        </w:tabs>
        <w:ind w:left="1620" w:hanging="720"/>
      </w:pPr>
      <w:rPr>
        <w:rFonts w:hint="default"/>
      </w:rPr>
    </w:lvl>
    <w:lvl w:ilvl="1" w:tplc="041B0019" w:tentative="1">
      <w:start w:val="1"/>
      <w:numFmt w:val="lowerLetter"/>
      <w:lvlText w:val="%2."/>
      <w:lvlJc w:val="left"/>
      <w:pPr>
        <w:tabs>
          <w:tab w:val="num" w:pos="1980"/>
        </w:tabs>
        <w:ind w:left="1980" w:hanging="360"/>
      </w:pPr>
    </w:lvl>
    <w:lvl w:ilvl="2" w:tplc="041B001B" w:tentative="1">
      <w:start w:val="1"/>
      <w:numFmt w:val="lowerRoman"/>
      <w:lvlText w:val="%3."/>
      <w:lvlJc w:val="right"/>
      <w:pPr>
        <w:tabs>
          <w:tab w:val="num" w:pos="2700"/>
        </w:tabs>
        <w:ind w:left="2700" w:hanging="180"/>
      </w:pPr>
    </w:lvl>
    <w:lvl w:ilvl="3" w:tplc="041B000F" w:tentative="1">
      <w:start w:val="1"/>
      <w:numFmt w:val="decimal"/>
      <w:lvlText w:val="%4."/>
      <w:lvlJc w:val="left"/>
      <w:pPr>
        <w:tabs>
          <w:tab w:val="num" w:pos="3420"/>
        </w:tabs>
        <w:ind w:left="3420" w:hanging="360"/>
      </w:pPr>
    </w:lvl>
    <w:lvl w:ilvl="4" w:tplc="041B0019" w:tentative="1">
      <w:start w:val="1"/>
      <w:numFmt w:val="lowerLetter"/>
      <w:lvlText w:val="%5."/>
      <w:lvlJc w:val="left"/>
      <w:pPr>
        <w:tabs>
          <w:tab w:val="num" w:pos="4140"/>
        </w:tabs>
        <w:ind w:left="4140" w:hanging="360"/>
      </w:pPr>
    </w:lvl>
    <w:lvl w:ilvl="5" w:tplc="041B001B" w:tentative="1">
      <w:start w:val="1"/>
      <w:numFmt w:val="lowerRoman"/>
      <w:lvlText w:val="%6."/>
      <w:lvlJc w:val="right"/>
      <w:pPr>
        <w:tabs>
          <w:tab w:val="num" w:pos="4860"/>
        </w:tabs>
        <w:ind w:left="4860" w:hanging="180"/>
      </w:pPr>
    </w:lvl>
    <w:lvl w:ilvl="6" w:tplc="041B000F" w:tentative="1">
      <w:start w:val="1"/>
      <w:numFmt w:val="decimal"/>
      <w:lvlText w:val="%7."/>
      <w:lvlJc w:val="left"/>
      <w:pPr>
        <w:tabs>
          <w:tab w:val="num" w:pos="5580"/>
        </w:tabs>
        <w:ind w:left="5580" w:hanging="360"/>
      </w:pPr>
    </w:lvl>
    <w:lvl w:ilvl="7" w:tplc="041B0019" w:tentative="1">
      <w:start w:val="1"/>
      <w:numFmt w:val="lowerLetter"/>
      <w:lvlText w:val="%8."/>
      <w:lvlJc w:val="left"/>
      <w:pPr>
        <w:tabs>
          <w:tab w:val="num" w:pos="6300"/>
        </w:tabs>
        <w:ind w:left="6300" w:hanging="360"/>
      </w:pPr>
    </w:lvl>
    <w:lvl w:ilvl="8" w:tplc="041B001B" w:tentative="1">
      <w:start w:val="1"/>
      <w:numFmt w:val="lowerRoman"/>
      <w:lvlText w:val="%9."/>
      <w:lvlJc w:val="right"/>
      <w:pPr>
        <w:tabs>
          <w:tab w:val="num" w:pos="7020"/>
        </w:tabs>
        <w:ind w:left="7020" w:hanging="180"/>
      </w:pPr>
    </w:lvl>
  </w:abstractNum>
  <w:abstractNum w:abstractNumId="2">
    <w:nsid w:val="09A937AF"/>
    <w:multiLevelType w:val="hybridMultilevel"/>
    <w:tmpl w:val="902ECEE8"/>
    <w:lvl w:ilvl="0" w:tplc="6C4E8068">
      <w:start w:val="453"/>
      <w:numFmt w:val="bullet"/>
      <w:lvlText w:val="-"/>
      <w:lvlJc w:val="left"/>
      <w:pPr>
        <w:ind w:left="720" w:hanging="360"/>
      </w:pPr>
      <w:rPr>
        <w:rFonts w:ascii="Tahoma" w:eastAsia="Times New Roman" w:hAnsi="Tahoma" w:cs="Tahom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A5A4771"/>
    <w:multiLevelType w:val="hybridMultilevel"/>
    <w:tmpl w:val="EB5CC2D2"/>
    <w:lvl w:ilvl="0" w:tplc="041B0001">
      <w:start w:val="1"/>
      <w:numFmt w:val="bullet"/>
      <w:lvlText w:val=""/>
      <w:lvlJc w:val="left"/>
      <w:pPr>
        <w:ind w:left="1713" w:hanging="360"/>
      </w:pPr>
      <w:rPr>
        <w:rFonts w:ascii="Symbol" w:hAnsi="Symbol"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4">
    <w:nsid w:val="0AF03920"/>
    <w:multiLevelType w:val="hybridMultilevel"/>
    <w:tmpl w:val="8382A2D0"/>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5">
    <w:nsid w:val="0C432947"/>
    <w:multiLevelType w:val="hybridMultilevel"/>
    <w:tmpl w:val="783CF572"/>
    <w:lvl w:ilvl="0" w:tplc="9A8C6730">
      <w:start w:val="1"/>
      <w:numFmt w:val="decimal"/>
      <w:lvlText w:val="%1."/>
      <w:lvlJc w:val="left"/>
      <w:pPr>
        <w:tabs>
          <w:tab w:val="num" w:pos="420"/>
        </w:tabs>
        <w:ind w:left="420" w:hanging="420"/>
      </w:pPr>
      <w:rPr>
        <w:rFonts w:ascii="Times New Roman" w:eastAsia="Times New Roman" w:hAnsi="Times New Roman" w:cs="Times New Roman"/>
      </w:rPr>
    </w:lvl>
    <w:lvl w:ilvl="1" w:tplc="2D543EDE">
      <w:start w:val="1"/>
      <w:numFmt w:val="bullet"/>
      <w:lvlText w:val="-"/>
      <w:lvlJc w:val="left"/>
      <w:pPr>
        <w:tabs>
          <w:tab w:val="num" w:pos="1080"/>
        </w:tabs>
        <w:ind w:left="1080" w:hanging="360"/>
      </w:pPr>
      <w:rPr>
        <w:rFonts w:ascii="Times New Roman" w:eastAsia="Times New Roman" w:hAnsi="Times New Roman" w:cs="Times New Roman" w:hint="default"/>
      </w:rPr>
    </w:lvl>
    <w:lvl w:ilvl="2" w:tplc="2DBCFC7A">
      <w:start w:val="11"/>
      <w:numFmt w:val="upperRoman"/>
      <w:lvlText w:val="%3."/>
      <w:lvlJc w:val="left"/>
      <w:pPr>
        <w:tabs>
          <w:tab w:val="num" w:pos="2340"/>
        </w:tabs>
        <w:ind w:left="2340" w:hanging="720"/>
      </w:pPr>
      <w:rPr>
        <w:rFonts w:hint="default"/>
      </w:r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6">
    <w:nsid w:val="201467E4"/>
    <w:multiLevelType w:val="hybridMultilevel"/>
    <w:tmpl w:val="B7D61850"/>
    <w:lvl w:ilvl="0" w:tplc="39C237BC">
      <w:start w:val="1"/>
      <w:numFmt w:val="bullet"/>
      <w:lvlText w:val=""/>
      <w:lvlJc w:val="left"/>
      <w:pPr>
        <w:tabs>
          <w:tab w:val="num" w:pos="1068"/>
        </w:tabs>
        <w:ind w:left="1068" w:hanging="360"/>
      </w:pPr>
      <w:rPr>
        <w:rFonts w:ascii="Wingdings" w:hAnsi="Wingdings" w:hint="default"/>
      </w:rPr>
    </w:lvl>
    <w:lvl w:ilvl="1" w:tplc="041B0003" w:tentative="1">
      <w:start w:val="1"/>
      <w:numFmt w:val="bullet"/>
      <w:lvlText w:val="o"/>
      <w:lvlJc w:val="left"/>
      <w:pPr>
        <w:tabs>
          <w:tab w:val="num" w:pos="732"/>
        </w:tabs>
        <w:ind w:left="732" w:hanging="360"/>
      </w:pPr>
      <w:rPr>
        <w:rFonts w:ascii="Courier New" w:hAnsi="Courier New" w:hint="default"/>
      </w:rPr>
    </w:lvl>
    <w:lvl w:ilvl="2" w:tplc="041B0005" w:tentative="1">
      <w:start w:val="1"/>
      <w:numFmt w:val="bullet"/>
      <w:lvlText w:val=""/>
      <w:lvlJc w:val="left"/>
      <w:pPr>
        <w:tabs>
          <w:tab w:val="num" w:pos="1452"/>
        </w:tabs>
        <w:ind w:left="1452" w:hanging="360"/>
      </w:pPr>
      <w:rPr>
        <w:rFonts w:ascii="Wingdings" w:hAnsi="Wingdings" w:hint="default"/>
      </w:rPr>
    </w:lvl>
    <w:lvl w:ilvl="3" w:tplc="041B0001" w:tentative="1">
      <w:start w:val="1"/>
      <w:numFmt w:val="bullet"/>
      <w:lvlText w:val=""/>
      <w:lvlJc w:val="left"/>
      <w:pPr>
        <w:tabs>
          <w:tab w:val="num" w:pos="2172"/>
        </w:tabs>
        <w:ind w:left="2172" w:hanging="360"/>
      </w:pPr>
      <w:rPr>
        <w:rFonts w:ascii="Symbol" w:hAnsi="Symbol" w:hint="default"/>
      </w:rPr>
    </w:lvl>
    <w:lvl w:ilvl="4" w:tplc="041B0003" w:tentative="1">
      <w:start w:val="1"/>
      <w:numFmt w:val="bullet"/>
      <w:lvlText w:val="o"/>
      <w:lvlJc w:val="left"/>
      <w:pPr>
        <w:tabs>
          <w:tab w:val="num" w:pos="2892"/>
        </w:tabs>
        <w:ind w:left="2892" w:hanging="360"/>
      </w:pPr>
      <w:rPr>
        <w:rFonts w:ascii="Courier New" w:hAnsi="Courier New" w:hint="default"/>
      </w:rPr>
    </w:lvl>
    <w:lvl w:ilvl="5" w:tplc="041B0005" w:tentative="1">
      <w:start w:val="1"/>
      <w:numFmt w:val="bullet"/>
      <w:lvlText w:val=""/>
      <w:lvlJc w:val="left"/>
      <w:pPr>
        <w:tabs>
          <w:tab w:val="num" w:pos="3612"/>
        </w:tabs>
        <w:ind w:left="3612" w:hanging="360"/>
      </w:pPr>
      <w:rPr>
        <w:rFonts w:ascii="Wingdings" w:hAnsi="Wingdings" w:hint="default"/>
      </w:rPr>
    </w:lvl>
    <w:lvl w:ilvl="6" w:tplc="041B0001" w:tentative="1">
      <w:start w:val="1"/>
      <w:numFmt w:val="bullet"/>
      <w:lvlText w:val=""/>
      <w:lvlJc w:val="left"/>
      <w:pPr>
        <w:tabs>
          <w:tab w:val="num" w:pos="4332"/>
        </w:tabs>
        <w:ind w:left="4332" w:hanging="360"/>
      </w:pPr>
      <w:rPr>
        <w:rFonts w:ascii="Symbol" w:hAnsi="Symbol" w:hint="default"/>
      </w:rPr>
    </w:lvl>
    <w:lvl w:ilvl="7" w:tplc="041B0003" w:tentative="1">
      <w:start w:val="1"/>
      <w:numFmt w:val="bullet"/>
      <w:lvlText w:val="o"/>
      <w:lvlJc w:val="left"/>
      <w:pPr>
        <w:tabs>
          <w:tab w:val="num" w:pos="5052"/>
        </w:tabs>
        <w:ind w:left="5052" w:hanging="360"/>
      </w:pPr>
      <w:rPr>
        <w:rFonts w:ascii="Courier New" w:hAnsi="Courier New" w:hint="default"/>
      </w:rPr>
    </w:lvl>
    <w:lvl w:ilvl="8" w:tplc="041B0005" w:tentative="1">
      <w:start w:val="1"/>
      <w:numFmt w:val="bullet"/>
      <w:lvlText w:val=""/>
      <w:lvlJc w:val="left"/>
      <w:pPr>
        <w:tabs>
          <w:tab w:val="num" w:pos="5772"/>
        </w:tabs>
        <w:ind w:left="5772" w:hanging="360"/>
      </w:pPr>
      <w:rPr>
        <w:rFonts w:ascii="Wingdings" w:hAnsi="Wingdings" w:hint="default"/>
      </w:rPr>
    </w:lvl>
  </w:abstractNum>
  <w:abstractNum w:abstractNumId="7">
    <w:nsid w:val="27482702"/>
    <w:multiLevelType w:val="hybridMultilevel"/>
    <w:tmpl w:val="6C2411E4"/>
    <w:lvl w:ilvl="0" w:tplc="041B000F">
      <w:start w:val="1"/>
      <w:numFmt w:val="decimal"/>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8">
    <w:nsid w:val="279B2E17"/>
    <w:multiLevelType w:val="hybridMultilevel"/>
    <w:tmpl w:val="DC82F9F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A6F2B20"/>
    <w:multiLevelType w:val="hybridMultilevel"/>
    <w:tmpl w:val="6ED20C2A"/>
    <w:lvl w:ilvl="0" w:tplc="39C237BC">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0" w:hanging="360"/>
      </w:pPr>
      <w:rPr>
        <w:rFonts w:ascii="Courier New" w:hAnsi="Courier New" w:cs="Courier New" w:hint="default"/>
      </w:rPr>
    </w:lvl>
    <w:lvl w:ilvl="2" w:tplc="041B0005" w:tentative="1">
      <w:start w:val="1"/>
      <w:numFmt w:val="bullet"/>
      <w:lvlText w:val=""/>
      <w:lvlJc w:val="left"/>
      <w:pPr>
        <w:ind w:left="720" w:hanging="360"/>
      </w:pPr>
      <w:rPr>
        <w:rFonts w:ascii="Wingdings" w:hAnsi="Wingdings" w:hint="default"/>
      </w:rPr>
    </w:lvl>
    <w:lvl w:ilvl="3" w:tplc="041B0001" w:tentative="1">
      <w:start w:val="1"/>
      <w:numFmt w:val="bullet"/>
      <w:lvlText w:val=""/>
      <w:lvlJc w:val="left"/>
      <w:pPr>
        <w:ind w:left="1440" w:hanging="360"/>
      </w:pPr>
      <w:rPr>
        <w:rFonts w:ascii="Symbol" w:hAnsi="Symbol" w:hint="default"/>
      </w:rPr>
    </w:lvl>
    <w:lvl w:ilvl="4" w:tplc="041B0003" w:tentative="1">
      <w:start w:val="1"/>
      <w:numFmt w:val="bullet"/>
      <w:lvlText w:val="o"/>
      <w:lvlJc w:val="left"/>
      <w:pPr>
        <w:ind w:left="2160" w:hanging="360"/>
      </w:pPr>
      <w:rPr>
        <w:rFonts w:ascii="Courier New" w:hAnsi="Courier New" w:cs="Courier New" w:hint="default"/>
      </w:rPr>
    </w:lvl>
    <w:lvl w:ilvl="5" w:tplc="041B0005" w:tentative="1">
      <w:start w:val="1"/>
      <w:numFmt w:val="bullet"/>
      <w:lvlText w:val=""/>
      <w:lvlJc w:val="left"/>
      <w:pPr>
        <w:ind w:left="2880" w:hanging="360"/>
      </w:pPr>
      <w:rPr>
        <w:rFonts w:ascii="Wingdings" w:hAnsi="Wingdings" w:hint="default"/>
      </w:rPr>
    </w:lvl>
    <w:lvl w:ilvl="6" w:tplc="041B0001" w:tentative="1">
      <w:start w:val="1"/>
      <w:numFmt w:val="bullet"/>
      <w:lvlText w:val=""/>
      <w:lvlJc w:val="left"/>
      <w:pPr>
        <w:ind w:left="3600" w:hanging="360"/>
      </w:pPr>
      <w:rPr>
        <w:rFonts w:ascii="Symbol" w:hAnsi="Symbol" w:hint="default"/>
      </w:rPr>
    </w:lvl>
    <w:lvl w:ilvl="7" w:tplc="041B0003" w:tentative="1">
      <w:start w:val="1"/>
      <w:numFmt w:val="bullet"/>
      <w:lvlText w:val="o"/>
      <w:lvlJc w:val="left"/>
      <w:pPr>
        <w:ind w:left="4320" w:hanging="360"/>
      </w:pPr>
      <w:rPr>
        <w:rFonts w:ascii="Courier New" w:hAnsi="Courier New" w:cs="Courier New" w:hint="default"/>
      </w:rPr>
    </w:lvl>
    <w:lvl w:ilvl="8" w:tplc="041B0005" w:tentative="1">
      <w:start w:val="1"/>
      <w:numFmt w:val="bullet"/>
      <w:lvlText w:val=""/>
      <w:lvlJc w:val="left"/>
      <w:pPr>
        <w:ind w:left="5040" w:hanging="360"/>
      </w:pPr>
      <w:rPr>
        <w:rFonts w:ascii="Wingdings" w:hAnsi="Wingdings" w:hint="default"/>
      </w:rPr>
    </w:lvl>
  </w:abstractNum>
  <w:abstractNum w:abstractNumId="10">
    <w:nsid w:val="3094497A"/>
    <w:multiLevelType w:val="hybridMultilevel"/>
    <w:tmpl w:val="06AAE9BA"/>
    <w:lvl w:ilvl="0" w:tplc="041B0001">
      <w:start w:val="1"/>
      <w:numFmt w:val="bullet"/>
      <w:lvlText w:val=""/>
      <w:lvlJc w:val="left"/>
      <w:pPr>
        <w:tabs>
          <w:tab w:val="num" w:pos="1500"/>
        </w:tabs>
        <w:ind w:left="1500" w:hanging="360"/>
      </w:pPr>
      <w:rPr>
        <w:rFonts w:ascii="Symbol" w:hAnsi="Symbol" w:hint="default"/>
      </w:rPr>
    </w:lvl>
    <w:lvl w:ilvl="1" w:tplc="041B0003" w:tentative="1">
      <w:start w:val="1"/>
      <w:numFmt w:val="bullet"/>
      <w:lvlText w:val="o"/>
      <w:lvlJc w:val="left"/>
      <w:pPr>
        <w:tabs>
          <w:tab w:val="num" w:pos="2220"/>
        </w:tabs>
        <w:ind w:left="2220" w:hanging="360"/>
      </w:pPr>
      <w:rPr>
        <w:rFonts w:ascii="Courier New" w:hAnsi="Courier New" w:cs="Courier New" w:hint="default"/>
      </w:rPr>
    </w:lvl>
    <w:lvl w:ilvl="2" w:tplc="041B0005" w:tentative="1">
      <w:start w:val="1"/>
      <w:numFmt w:val="bullet"/>
      <w:lvlText w:val=""/>
      <w:lvlJc w:val="left"/>
      <w:pPr>
        <w:tabs>
          <w:tab w:val="num" w:pos="2940"/>
        </w:tabs>
        <w:ind w:left="2940" w:hanging="360"/>
      </w:pPr>
      <w:rPr>
        <w:rFonts w:ascii="Wingdings" w:hAnsi="Wingdings" w:hint="default"/>
      </w:rPr>
    </w:lvl>
    <w:lvl w:ilvl="3" w:tplc="041B0001" w:tentative="1">
      <w:start w:val="1"/>
      <w:numFmt w:val="bullet"/>
      <w:lvlText w:val=""/>
      <w:lvlJc w:val="left"/>
      <w:pPr>
        <w:tabs>
          <w:tab w:val="num" w:pos="3660"/>
        </w:tabs>
        <w:ind w:left="3660" w:hanging="360"/>
      </w:pPr>
      <w:rPr>
        <w:rFonts w:ascii="Symbol" w:hAnsi="Symbol" w:hint="default"/>
      </w:rPr>
    </w:lvl>
    <w:lvl w:ilvl="4" w:tplc="041B0003" w:tentative="1">
      <w:start w:val="1"/>
      <w:numFmt w:val="bullet"/>
      <w:lvlText w:val="o"/>
      <w:lvlJc w:val="left"/>
      <w:pPr>
        <w:tabs>
          <w:tab w:val="num" w:pos="4380"/>
        </w:tabs>
        <w:ind w:left="4380" w:hanging="360"/>
      </w:pPr>
      <w:rPr>
        <w:rFonts w:ascii="Courier New" w:hAnsi="Courier New" w:cs="Courier New" w:hint="default"/>
      </w:rPr>
    </w:lvl>
    <w:lvl w:ilvl="5" w:tplc="041B0005" w:tentative="1">
      <w:start w:val="1"/>
      <w:numFmt w:val="bullet"/>
      <w:lvlText w:val=""/>
      <w:lvlJc w:val="left"/>
      <w:pPr>
        <w:tabs>
          <w:tab w:val="num" w:pos="5100"/>
        </w:tabs>
        <w:ind w:left="5100" w:hanging="360"/>
      </w:pPr>
      <w:rPr>
        <w:rFonts w:ascii="Wingdings" w:hAnsi="Wingdings" w:hint="default"/>
      </w:rPr>
    </w:lvl>
    <w:lvl w:ilvl="6" w:tplc="041B0001" w:tentative="1">
      <w:start w:val="1"/>
      <w:numFmt w:val="bullet"/>
      <w:lvlText w:val=""/>
      <w:lvlJc w:val="left"/>
      <w:pPr>
        <w:tabs>
          <w:tab w:val="num" w:pos="5820"/>
        </w:tabs>
        <w:ind w:left="5820" w:hanging="360"/>
      </w:pPr>
      <w:rPr>
        <w:rFonts w:ascii="Symbol" w:hAnsi="Symbol" w:hint="default"/>
      </w:rPr>
    </w:lvl>
    <w:lvl w:ilvl="7" w:tplc="041B0003" w:tentative="1">
      <w:start w:val="1"/>
      <w:numFmt w:val="bullet"/>
      <w:lvlText w:val="o"/>
      <w:lvlJc w:val="left"/>
      <w:pPr>
        <w:tabs>
          <w:tab w:val="num" w:pos="6540"/>
        </w:tabs>
        <w:ind w:left="6540" w:hanging="360"/>
      </w:pPr>
      <w:rPr>
        <w:rFonts w:ascii="Courier New" w:hAnsi="Courier New" w:cs="Courier New" w:hint="default"/>
      </w:rPr>
    </w:lvl>
    <w:lvl w:ilvl="8" w:tplc="041B0005" w:tentative="1">
      <w:start w:val="1"/>
      <w:numFmt w:val="bullet"/>
      <w:lvlText w:val=""/>
      <w:lvlJc w:val="left"/>
      <w:pPr>
        <w:tabs>
          <w:tab w:val="num" w:pos="7260"/>
        </w:tabs>
        <w:ind w:left="7260" w:hanging="360"/>
      </w:pPr>
      <w:rPr>
        <w:rFonts w:ascii="Wingdings" w:hAnsi="Wingdings" w:hint="default"/>
      </w:rPr>
    </w:lvl>
  </w:abstractNum>
  <w:abstractNum w:abstractNumId="11">
    <w:nsid w:val="371D0F2C"/>
    <w:multiLevelType w:val="hybridMultilevel"/>
    <w:tmpl w:val="77B01472"/>
    <w:lvl w:ilvl="0" w:tplc="041B000F">
      <w:start w:val="1"/>
      <w:numFmt w:val="decimal"/>
      <w:lvlText w:val="%1."/>
      <w:lvlJc w:val="left"/>
      <w:pPr>
        <w:ind w:left="1236" w:hanging="360"/>
      </w:pPr>
    </w:lvl>
    <w:lvl w:ilvl="1" w:tplc="041B0019" w:tentative="1">
      <w:start w:val="1"/>
      <w:numFmt w:val="lowerLetter"/>
      <w:lvlText w:val="%2."/>
      <w:lvlJc w:val="left"/>
      <w:pPr>
        <w:ind w:left="1956" w:hanging="360"/>
      </w:pPr>
    </w:lvl>
    <w:lvl w:ilvl="2" w:tplc="041B001B" w:tentative="1">
      <w:start w:val="1"/>
      <w:numFmt w:val="lowerRoman"/>
      <w:lvlText w:val="%3."/>
      <w:lvlJc w:val="right"/>
      <w:pPr>
        <w:ind w:left="2676" w:hanging="180"/>
      </w:pPr>
    </w:lvl>
    <w:lvl w:ilvl="3" w:tplc="041B000F" w:tentative="1">
      <w:start w:val="1"/>
      <w:numFmt w:val="decimal"/>
      <w:lvlText w:val="%4."/>
      <w:lvlJc w:val="left"/>
      <w:pPr>
        <w:ind w:left="3396" w:hanging="360"/>
      </w:pPr>
    </w:lvl>
    <w:lvl w:ilvl="4" w:tplc="041B0019" w:tentative="1">
      <w:start w:val="1"/>
      <w:numFmt w:val="lowerLetter"/>
      <w:lvlText w:val="%5."/>
      <w:lvlJc w:val="left"/>
      <w:pPr>
        <w:ind w:left="4116" w:hanging="360"/>
      </w:pPr>
    </w:lvl>
    <w:lvl w:ilvl="5" w:tplc="041B001B" w:tentative="1">
      <w:start w:val="1"/>
      <w:numFmt w:val="lowerRoman"/>
      <w:lvlText w:val="%6."/>
      <w:lvlJc w:val="right"/>
      <w:pPr>
        <w:ind w:left="4836" w:hanging="180"/>
      </w:pPr>
    </w:lvl>
    <w:lvl w:ilvl="6" w:tplc="041B000F" w:tentative="1">
      <w:start w:val="1"/>
      <w:numFmt w:val="decimal"/>
      <w:lvlText w:val="%7."/>
      <w:lvlJc w:val="left"/>
      <w:pPr>
        <w:ind w:left="5556" w:hanging="360"/>
      </w:pPr>
    </w:lvl>
    <w:lvl w:ilvl="7" w:tplc="041B0019" w:tentative="1">
      <w:start w:val="1"/>
      <w:numFmt w:val="lowerLetter"/>
      <w:lvlText w:val="%8."/>
      <w:lvlJc w:val="left"/>
      <w:pPr>
        <w:ind w:left="6276" w:hanging="360"/>
      </w:pPr>
    </w:lvl>
    <w:lvl w:ilvl="8" w:tplc="041B001B" w:tentative="1">
      <w:start w:val="1"/>
      <w:numFmt w:val="lowerRoman"/>
      <w:lvlText w:val="%9."/>
      <w:lvlJc w:val="right"/>
      <w:pPr>
        <w:ind w:left="6996" w:hanging="180"/>
      </w:pPr>
    </w:lvl>
  </w:abstractNum>
  <w:abstractNum w:abstractNumId="12">
    <w:nsid w:val="3CB41188"/>
    <w:multiLevelType w:val="hybridMultilevel"/>
    <w:tmpl w:val="A20C2924"/>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nsid w:val="3E6A38C7"/>
    <w:multiLevelType w:val="hybridMultilevel"/>
    <w:tmpl w:val="D60E7362"/>
    <w:lvl w:ilvl="0" w:tplc="39C237BC">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422E100E"/>
    <w:multiLevelType w:val="hybridMultilevel"/>
    <w:tmpl w:val="4B38378A"/>
    <w:lvl w:ilvl="0" w:tplc="3112F9DA">
      <w:start w:val="5"/>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nsid w:val="42E50389"/>
    <w:multiLevelType w:val="hybridMultilevel"/>
    <w:tmpl w:val="8DD4A9DC"/>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900"/>
        </w:tabs>
        <w:ind w:left="900" w:hanging="360"/>
      </w:pPr>
      <w:rPr>
        <w:rFonts w:ascii="Courier New" w:hAnsi="Courier New" w:cs="Courier New" w:hint="default"/>
      </w:rPr>
    </w:lvl>
    <w:lvl w:ilvl="2" w:tplc="041B0005">
      <w:start w:val="1"/>
      <w:numFmt w:val="bullet"/>
      <w:lvlText w:val=""/>
      <w:lvlJc w:val="left"/>
      <w:pPr>
        <w:tabs>
          <w:tab w:val="num" w:pos="1620"/>
        </w:tabs>
        <w:ind w:left="1620" w:hanging="360"/>
      </w:pPr>
      <w:rPr>
        <w:rFonts w:ascii="Wingdings" w:hAnsi="Wingdings" w:hint="default"/>
      </w:rPr>
    </w:lvl>
    <w:lvl w:ilvl="3" w:tplc="041B0001" w:tentative="1">
      <w:start w:val="1"/>
      <w:numFmt w:val="bullet"/>
      <w:lvlText w:val=""/>
      <w:lvlJc w:val="left"/>
      <w:pPr>
        <w:tabs>
          <w:tab w:val="num" w:pos="2340"/>
        </w:tabs>
        <w:ind w:left="2340" w:hanging="360"/>
      </w:pPr>
      <w:rPr>
        <w:rFonts w:ascii="Symbol" w:hAnsi="Symbol" w:hint="default"/>
      </w:rPr>
    </w:lvl>
    <w:lvl w:ilvl="4" w:tplc="041B0003" w:tentative="1">
      <w:start w:val="1"/>
      <w:numFmt w:val="bullet"/>
      <w:lvlText w:val="o"/>
      <w:lvlJc w:val="left"/>
      <w:pPr>
        <w:tabs>
          <w:tab w:val="num" w:pos="3060"/>
        </w:tabs>
        <w:ind w:left="3060" w:hanging="360"/>
      </w:pPr>
      <w:rPr>
        <w:rFonts w:ascii="Courier New" w:hAnsi="Courier New" w:cs="Courier New" w:hint="default"/>
      </w:rPr>
    </w:lvl>
    <w:lvl w:ilvl="5" w:tplc="041B0005" w:tentative="1">
      <w:start w:val="1"/>
      <w:numFmt w:val="bullet"/>
      <w:lvlText w:val=""/>
      <w:lvlJc w:val="left"/>
      <w:pPr>
        <w:tabs>
          <w:tab w:val="num" w:pos="3780"/>
        </w:tabs>
        <w:ind w:left="3780" w:hanging="360"/>
      </w:pPr>
      <w:rPr>
        <w:rFonts w:ascii="Wingdings" w:hAnsi="Wingdings" w:hint="default"/>
      </w:rPr>
    </w:lvl>
    <w:lvl w:ilvl="6" w:tplc="041B0001" w:tentative="1">
      <w:start w:val="1"/>
      <w:numFmt w:val="bullet"/>
      <w:lvlText w:val=""/>
      <w:lvlJc w:val="left"/>
      <w:pPr>
        <w:tabs>
          <w:tab w:val="num" w:pos="4500"/>
        </w:tabs>
        <w:ind w:left="4500" w:hanging="360"/>
      </w:pPr>
      <w:rPr>
        <w:rFonts w:ascii="Symbol" w:hAnsi="Symbol" w:hint="default"/>
      </w:rPr>
    </w:lvl>
    <w:lvl w:ilvl="7" w:tplc="041B0003" w:tentative="1">
      <w:start w:val="1"/>
      <w:numFmt w:val="bullet"/>
      <w:lvlText w:val="o"/>
      <w:lvlJc w:val="left"/>
      <w:pPr>
        <w:tabs>
          <w:tab w:val="num" w:pos="5220"/>
        </w:tabs>
        <w:ind w:left="5220" w:hanging="360"/>
      </w:pPr>
      <w:rPr>
        <w:rFonts w:ascii="Courier New" w:hAnsi="Courier New" w:cs="Courier New" w:hint="default"/>
      </w:rPr>
    </w:lvl>
    <w:lvl w:ilvl="8" w:tplc="041B0005" w:tentative="1">
      <w:start w:val="1"/>
      <w:numFmt w:val="bullet"/>
      <w:lvlText w:val=""/>
      <w:lvlJc w:val="left"/>
      <w:pPr>
        <w:tabs>
          <w:tab w:val="num" w:pos="5940"/>
        </w:tabs>
        <w:ind w:left="5940" w:hanging="360"/>
      </w:pPr>
      <w:rPr>
        <w:rFonts w:ascii="Wingdings" w:hAnsi="Wingdings" w:hint="default"/>
      </w:rPr>
    </w:lvl>
  </w:abstractNum>
  <w:abstractNum w:abstractNumId="16">
    <w:nsid w:val="45FB718B"/>
    <w:multiLevelType w:val="hybridMultilevel"/>
    <w:tmpl w:val="587ABD1C"/>
    <w:lvl w:ilvl="0" w:tplc="39C237BC">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7">
    <w:nsid w:val="52973391"/>
    <w:multiLevelType w:val="hybridMultilevel"/>
    <w:tmpl w:val="0B7842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54534D73"/>
    <w:multiLevelType w:val="hybridMultilevel"/>
    <w:tmpl w:val="FD50AD9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4A80ACD"/>
    <w:multiLevelType w:val="hybridMultilevel"/>
    <w:tmpl w:val="F7CE25D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54AB7C91"/>
    <w:multiLevelType w:val="hybridMultilevel"/>
    <w:tmpl w:val="45E608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573E2CB6"/>
    <w:multiLevelType w:val="hybridMultilevel"/>
    <w:tmpl w:val="EC8C538C"/>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nsid w:val="59432DA5"/>
    <w:multiLevelType w:val="hybridMultilevel"/>
    <w:tmpl w:val="CCBA7B56"/>
    <w:lvl w:ilvl="0" w:tplc="AB2C615A">
      <w:numFmt w:val="bullet"/>
      <w:lvlText w:val="-"/>
      <w:lvlJc w:val="left"/>
      <w:pPr>
        <w:ind w:left="360" w:hanging="360"/>
      </w:pPr>
      <w:rPr>
        <w:rFonts w:ascii="Tahoma" w:eastAsia="Times New Roman" w:hAnsi="Tahoma" w:cs="Tahoma" w:hint="default"/>
        <w:b/>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621E595B"/>
    <w:multiLevelType w:val="hybridMultilevel"/>
    <w:tmpl w:val="6C8A7870"/>
    <w:lvl w:ilvl="0" w:tplc="3112F9DA">
      <w:start w:val="5"/>
      <w:numFmt w:val="bullet"/>
      <w:lvlText w:val="-"/>
      <w:lvlJc w:val="left"/>
      <w:pPr>
        <w:tabs>
          <w:tab w:val="num" w:pos="1260"/>
        </w:tabs>
        <w:ind w:left="1260" w:hanging="360"/>
      </w:pPr>
      <w:rPr>
        <w:rFonts w:ascii="Times New Roman" w:eastAsia="Times New Roman" w:hAnsi="Times New Roman" w:cs="Times New Roman" w:hint="default"/>
      </w:rPr>
    </w:lvl>
    <w:lvl w:ilvl="1" w:tplc="04090003" w:tentative="1">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24">
    <w:nsid w:val="65EC5587"/>
    <w:multiLevelType w:val="hybridMultilevel"/>
    <w:tmpl w:val="E38AAA0C"/>
    <w:lvl w:ilvl="0" w:tplc="041B0001">
      <w:start w:val="1"/>
      <w:numFmt w:val="bullet"/>
      <w:lvlText w:val=""/>
      <w:lvlJc w:val="left"/>
      <w:pPr>
        <w:tabs>
          <w:tab w:val="num" w:pos="420"/>
        </w:tabs>
        <w:ind w:left="420" w:hanging="420"/>
      </w:pPr>
      <w:rPr>
        <w:rFonts w:ascii="Symbol" w:hAnsi="Symbol" w:hint="default"/>
      </w:rPr>
    </w:lvl>
    <w:lvl w:ilvl="1" w:tplc="2D543EDE">
      <w:start w:val="1"/>
      <w:numFmt w:val="bullet"/>
      <w:lvlText w:val="-"/>
      <w:lvlJc w:val="left"/>
      <w:pPr>
        <w:tabs>
          <w:tab w:val="num" w:pos="1080"/>
        </w:tabs>
        <w:ind w:left="1080" w:hanging="360"/>
      </w:pPr>
      <w:rPr>
        <w:rFonts w:ascii="Times New Roman" w:eastAsia="Times New Roman" w:hAnsi="Times New Roman" w:cs="Times New Roman" w:hint="default"/>
      </w:rPr>
    </w:lvl>
    <w:lvl w:ilvl="2" w:tplc="2DBCFC7A">
      <w:start w:val="11"/>
      <w:numFmt w:val="upperRoman"/>
      <w:lvlText w:val="%3."/>
      <w:lvlJc w:val="left"/>
      <w:pPr>
        <w:tabs>
          <w:tab w:val="num" w:pos="2340"/>
        </w:tabs>
        <w:ind w:left="2340" w:hanging="720"/>
      </w:pPr>
      <w:rPr>
        <w:rFonts w:hint="default"/>
      </w:r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25">
    <w:nsid w:val="67A905C4"/>
    <w:multiLevelType w:val="hybridMultilevel"/>
    <w:tmpl w:val="BE124B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68E557A1"/>
    <w:multiLevelType w:val="hybridMultilevel"/>
    <w:tmpl w:val="051C814A"/>
    <w:lvl w:ilvl="0" w:tplc="4A8663DA">
      <w:start w:val="4"/>
      <w:numFmt w:val="upperRoman"/>
      <w:lvlText w:val="%1."/>
      <w:lvlJc w:val="left"/>
      <w:pPr>
        <w:tabs>
          <w:tab w:val="num" w:pos="1440"/>
        </w:tabs>
        <w:ind w:left="1440" w:hanging="72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7">
    <w:nsid w:val="6B3F18D1"/>
    <w:multiLevelType w:val="hybridMultilevel"/>
    <w:tmpl w:val="60702EC0"/>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28">
    <w:nsid w:val="6DB75126"/>
    <w:multiLevelType w:val="hybridMultilevel"/>
    <w:tmpl w:val="B162A4DA"/>
    <w:lvl w:ilvl="0" w:tplc="041B000F">
      <w:start w:val="1"/>
      <w:numFmt w:val="decimal"/>
      <w:lvlText w:val="%1."/>
      <w:lvlJc w:val="left"/>
      <w:pPr>
        <w:ind w:left="1236" w:hanging="360"/>
      </w:pPr>
    </w:lvl>
    <w:lvl w:ilvl="1" w:tplc="041B0019" w:tentative="1">
      <w:start w:val="1"/>
      <w:numFmt w:val="lowerLetter"/>
      <w:lvlText w:val="%2."/>
      <w:lvlJc w:val="left"/>
      <w:pPr>
        <w:ind w:left="1956" w:hanging="360"/>
      </w:pPr>
    </w:lvl>
    <w:lvl w:ilvl="2" w:tplc="041B001B" w:tentative="1">
      <w:start w:val="1"/>
      <w:numFmt w:val="lowerRoman"/>
      <w:lvlText w:val="%3."/>
      <w:lvlJc w:val="right"/>
      <w:pPr>
        <w:ind w:left="2676" w:hanging="180"/>
      </w:pPr>
    </w:lvl>
    <w:lvl w:ilvl="3" w:tplc="041B000F" w:tentative="1">
      <w:start w:val="1"/>
      <w:numFmt w:val="decimal"/>
      <w:lvlText w:val="%4."/>
      <w:lvlJc w:val="left"/>
      <w:pPr>
        <w:ind w:left="3396" w:hanging="360"/>
      </w:pPr>
    </w:lvl>
    <w:lvl w:ilvl="4" w:tplc="041B0019" w:tentative="1">
      <w:start w:val="1"/>
      <w:numFmt w:val="lowerLetter"/>
      <w:lvlText w:val="%5."/>
      <w:lvlJc w:val="left"/>
      <w:pPr>
        <w:ind w:left="4116" w:hanging="360"/>
      </w:pPr>
    </w:lvl>
    <w:lvl w:ilvl="5" w:tplc="041B001B" w:tentative="1">
      <w:start w:val="1"/>
      <w:numFmt w:val="lowerRoman"/>
      <w:lvlText w:val="%6."/>
      <w:lvlJc w:val="right"/>
      <w:pPr>
        <w:ind w:left="4836" w:hanging="180"/>
      </w:pPr>
    </w:lvl>
    <w:lvl w:ilvl="6" w:tplc="041B000F" w:tentative="1">
      <w:start w:val="1"/>
      <w:numFmt w:val="decimal"/>
      <w:lvlText w:val="%7."/>
      <w:lvlJc w:val="left"/>
      <w:pPr>
        <w:ind w:left="5556" w:hanging="360"/>
      </w:pPr>
    </w:lvl>
    <w:lvl w:ilvl="7" w:tplc="041B0019" w:tentative="1">
      <w:start w:val="1"/>
      <w:numFmt w:val="lowerLetter"/>
      <w:lvlText w:val="%8."/>
      <w:lvlJc w:val="left"/>
      <w:pPr>
        <w:ind w:left="6276" w:hanging="360"/>
      </w:pPr>
    </w:lvl>
    <w:lvl w:ilvl="8" w:tplc="041B001B" w:tentative="1">
      <w:start w:val="1"/>
      <w:numFmt w:val="lowerRoman"/>
      <w:lvlText w:val="%9."/>
      <w:lvlJc w:val="right"/>
      <w:pPr>
        <w:ind w:left="6996" w:hanging="180"/>
      </w:pPr>
    </w:lvl>
  </w:abstractNum>
  <w:abstractNum w:abstractNumId="29">
    <w:nsid w:val="71D67F06"/>
    <w:multiLevelType w:val="hybridMultilevel"/>
    <w:tmpl w:val="D488FD1E"/>
    <w:lvl w:ilvl="0" w:tplc="041B0001">
      <w:start w:val="1"/>
      <w:numFmt w:val="bullet"/>
      <w:lvlText w:val=""/>
      <w:lvlJc w:val="left"/>
      <w:pPr>
        <w:ind w:left="1713" w:hanging="360"/>
      </w:pPr>
      <w:rPr>
        <w:rFonts w:ascii="Symbol" w:hAnsi="Symbol"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30">
    <w:nsid w:val="74C33D47"/>
    <w:multiLevelType w:val="hybridMultilevel"/>
    <w:tmpl w:val="3F4A4C9A"/>
    <w:lvl w:ilvl="0" w:tplc="92DA442A">
      <w:start w:val="1"/>
      <w:numFmt w:val="bullet"/>
      <w:lvlText w:val=""/>
      <w:lvlJc w:val="left"/>
      <w:pPr>
        <w:tabs>
          <w:tab w:val="num" w:pos="720"/>
        </w:tabs>
        <w:ind w:left="720" w:hanging="360"/>
      </w:pPr>
      <w:rPr>
        <w:rFonts w:ascii="Symbol" w:hAnsi="Symbol" w:hint="default"/>
      </w:rPr>
    </w:lvl>
    <w:lvl w:ilvl="1" w:tplc="041B0019">
      <w:start w:val="1"/>
      <w:numFmt w:val="bullet"/>
      <w:lvlText w:val="o"/>
      <w:lvlJc w:val="left"/>
      <w:pPr>
        <w:tabs>
          <w:tab w:val="num" w:pos="1440"/>
        </w:tabs>
        <w:ind w:left="1440" w:hanging="360"/>
      </w:pPr>
      <w:rPr>
        <w:rFonts w:ascii="Courier New" w:hAnsi="Courier New" w:cs="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cs="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cs="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31">
    <w:nsid w:val="7612649E"/>
    <w:multiLevelType w:val="hybridMultilevel"/>
    <w:tmpl w:val="80D882F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7F430F56"/>
    <w:multiLevelType w:val="hybridMultilevel"/>
    <w:tmpl w:val="EBCA278A"/>
    <w:lvl w:ilvl="0" w:tplc="AB2C615A">
      <w:numFmt w:val="bullet"/>
      <w:lvlText w:val="-"/>
      <w:lvlJc w:val="left"/>
      <w:pPr>
        <w:ind w:left="1236" w:hanging="360"/>
      </w:pPr>
      <w:rPr>
        <w:rFonts w:ascii="Tahoma" w:eastAsia="Times New Roman" w:hAnsi="Tahoma" w:cs="Tahoma" w:hint="default"/>
        <w:b/>
      </w:rPr>
    </w:lvl>
    <w:lvl w:ilvl="1" w:tplc="041B0003" w:tentative="1">
      <w:start w:val="1"/>
      <w:numFmt w:val="bullet"/>
      <w:lvlText w:val="o"/>
      <w:lvlJc w:val="left"/>
      <w:pPr>
        <w:ind w:left="1956" w:hanging="360"/>
      </w:pPr>
      <w:rPr>
        <w:rFonts w:ascii="Courier New" w:hAnsi="Courier New" w:cs="Courier New" w:hint="default"/>
      </w:rPr>
    </w:lvl>
    <w:lvl w:ilvl="2" w:tplc="041B0005" w:tentative="1">
      <w:start w:val="1"/>
      <w:numFmt w:val="bullet"/>
      <w:lvlText w:val=""/>
      <w:lvlJc w:val="left"/>
      <w:pPr>
        <w:ind w:left="2676" w:hanging="360"/>
      </w:pPr>
      <w:rPr>
        <w:rFonts w:ascii="Wingdings" w:hAnsi="Wingdings" w:hint="default"/>
      </w:rPr>
    </w:lvl>
    <w:lvl w:ilvl="3" w:tplc="041B0001" w:tentative="1">
      <w:start w:val="1"/>
      <w:numFmt w:val="bullet"/>
      <w:lvlText w:val=""/>
      <w:lvlJc w:val="left"/>
      <w:pPr>
        <w:ind w:left="3396" w:hanging="360"/>
      </w:pPr>
      <w:rPr>
        <w:rFonts w:ascii="Symbol" w:hAnsi="Symbol" w:hint="default"/>
      </w:rPr>
    </w:lvl>
    <w:lvl w:ilvl="4" w:tplc="041B0003" w:tentative="1">
      <w:start w:val="1"/>
      <w:numFmt w:val="bullet"/>
      <w:lvlText w:val="o"/>
      <w:lvlJc w:val="left"/>
      <w:pPr>
        <w:ind w:left="4116" w:hanging="360"/>
      </w:pPr>
      <w:rPr>
        <w:rFonts w:ascii="Courier New" w:hAnsi="Courier New" w:cs="Courier New" w:hint="default"/>
      </w:rPr>
    </w:lvl>
    <w:lvl w:ilvl="5" w:tplc="041B0005" w:tentative="1">
      <w:start w:val="1"/>
      <w:numFmt w:val="bullet"/>
      <w:lvlText w:val=""/>
      <w:lvlJc w:val="left"/>
      <w:pPr>
        <w:ind w:left="4836" w:hanging="360"/>
      </w:pPr>
      <w:rPr>
        <w:rFonts w:ascii="Wingdings" w:hAnsi="Wingdings" w:hint="default"/>
      </w:rPr>
    </w:lvl>
    <w:lvl w:ilvl="6" w:tplc="041B0001" w:tentative="1">
      <w:start w:val="1"/>
      <w:numFmt w:val="bullet"/>
      <w:lvlText w:val=""/>
      <w:lvlJc w:val="left"/>
      <w:pPr>
        <w:ind w:left="5556" w:hanging="360"/>
      </w:pPr>
      <w:rPr>
        <w:rFonts w:ascii="Symbol" w:hAnsi="Symbol" w:hint="default"/>
      </w:rPr>
    </w:lvl>
    <w:lvl w:ilvl="7" w:tplc="041B0003" w:tentative="1">
      <w:start w:val="1"/>
      <w:numFmt w:val="bullet"/>
      <w:lvlText w:val="o"/>
      <w:lvlJc w:val="left"/>
      <w:pPr>
        <w:ind w:left="6276" w:hanging="360"/>
      </w:pPr>
      <w:rPr>
        <w:rFonts w:ascii="Courier New" w:hAnsi="Courier New" w:cs="Courier New" w:hint="default"/>
      </w:rPr>
    </w:lvl>
    <w:lvl w:ilvl="8" w:tplc="041B0005" w:tentative="1">
      <w:start w:val="1"/>
      <w:numFmt w:val="bullet"/>
      <w:lvlText w:val=""/>
      <w:lvlJc w:val="left"/>
      <w:pPr>
        <w:ind w:left="6996" w:hanging="360"/>
      </w:pPr>
      <w:rPr>
        <w:rFonts w:ascii="Wingdings" w:hAnsi="Wingdings" w:hint="default"/>
      </w:rPr>
    </w:lvl>
  </w:abstractNum>
  <w:num w:numId="1">
    <w:abstractNumId w:val="1"/>
  </w:num>
  <w:num w:numId="2">
    <w:abstractNumId w:val="30"/>
  </w:num>
  <w:num w:numId="3">
    <w:abstractNumId w:val="10"/>
  </w:num>
  <w:num w:numId="4">
    <w:abstractNumId w:val="26"/>
  </w:num>
  <w:num w:numId="5">
    <w:abstractNumId w:val="15"/>
  </w:num>
  <w:num w:numId="6">
    <w:abstractNumId w:val="14"/>
  </w:num>
  <w:num w:numId="7">
    <w:abstractNumId w:val="23"/>
  </w:num>
  <w:num w:numId="8">
    <w:abstractNumId w:val="27"/>
  </w:num>
  <w:num w:numId="9">
    <w:abstractNumId w:val="29"/>
  </w:num>
  <w:num w:numId="10">
    <w:abstractNumId w:val="3"/>
  </w:num>
  <w:num w:numId="11">
    <w:abstractNumId w:val="19"/>
  </w:num>
  <w:num w:numId="12">
    <w:abstractNumId w:val="25"/>
  </w:num>
  <w:num w:numId="13">
    <w:abstractNumId w:val="5"/>
  </w:num>
  <w:num w:numId="14">
    <w:abstractNumId w:val="6"/>
  </w:num>
  <w:num w:numId="15">
    <w:abstractNumId w:val="2"/>
  </w:num>
  <w:num w:numId="16">
    <w:abstractNumId w:val="24"/>
  </w:num>
  <w:num w:numId="17">
    <w:abstractNumId w:val="8"/>
  </w:num>
  <w:num w:numId="18">
    <w:abstractNumId w:val="7"/>
  </w:num>
  <w:num w:numId="19">
    <w:abstractNumId w:val="21"/>
  </w:num>
  <w:num w:numId="20">
    <w:abstractNumId w:val="20"/>
  </w:num>
  <w:num w:numId="21">
    <w:abstractNumId w:val="31"/>
  </w:num>
  <w:num w:numId="22">
    <w:abstractNumId w:val="18"/>
  </w:num>
  <w:num w:numId="23">
    <w:abstractNumId w:val="17"/>
  </w:num>
  <w:num w:numId="24">
    <w:abstractNumId w:val="9"/>
  </w:num>
  <w:num w:numId="25">
    <w:abstractNumId w:val="11"/>
  </w:num>
  <w:num w:numId="26">
    <w:abstractNumId w:val="28"/>
  </w:num>
  <w:num w:numId="27">
    <w:abstractNumId w:val="16"/>
  </w:num>
  <w:num w:numId="28">
    <w:abstractNumId w:val="13"/>
  </w:num>
  <w:num w:numId="29">
    <w:abstractNumId w:val="0"/>
  </w:num>
  <w:num w:numId="30">
    <w:abstractNumId w:val="12"/>
  </w:num>
  <w:num w:numId="31">
    <w:abstractNumId w:val="22"/>
  </w:num>
  <w:num w:numId="32">
    <w:abstractNumId w:val="32"/>
  </w:num>
  <w:num w:numId="3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rsids>
    <w:rsidRoot w:val="00534CCA"/>
    <w:rsid w:val="00005C30"/>
    <w:rsid w:val="00014EDC"/>
    <w:rsid w:val="00032E57"/>
    <w:rsid w:val="00035C35"/>
    <w:rsid w:val="00043F24"/>
    <w:rsid w:val="000500F9"/>
    <w:rsid w:val="00052BC8"/>
    <w:rsid w:val="000632FA"/>
    <w:rsid w:val="000706A0"/>
    <w:rsid w:val="000B1775"/>
    <w:rsid w:val="000B48EA"/>
    <w:rsid w:val="000B6118"/>
    <w:rsid w:val="000C43F9"/>
    <w:rsid w:val="000D52EE"/>
    <w:rsid w:val="000E5F90"/>
    <w:rsid w:val="000E77BA"/>
    <w:rsid w:val="000F1764"/>
    <w:rsid w:val="000F4AB5"/>
    <w:rsid w:val="00123F51"/>
    <w:rsid w:val="0012687D"/>
    <w:rsid w:val="00131338"/>
    <w:rsid w:val="00135B3B"/>
    <w:rsid w:val="001541EB"/>
    <w:rsid w:val="001C0439"/>
    <w:rsid w:val="001C0B68"/>
    <w:rsid w:val="002006E8"/>
    <w:rsid w:val="00203972"/>
    <w:rsid w:val="00204BAA"/>
    <w:rsid w:val="00207EDD"/>
    <w:rsid w:val="00212A7D"/>
    <w:rsid w:val="002466EE"/>
    <w:rsid w:val="0025078F"/>
    <w:rsid w:val="00262918"/>
    <w:rsid w:val="00267CEA"/>
    <w:rsid w:val="00272558"/>
    <w:rsid w:val="0027266F"/>
    <w:rsid w:val="002A71AA"/>
    <w:rsid w:val="002B316D"/>
    <w:rsid w:val="002F1316"/>
    <w:rsid w:val="002F18B0"/>
    <w:rsid w:val="002F3008"/>
    <w:rsid w:val="002F5B25"/>
    <w:rsid w:val="00311F3C"/>
    <w:rsid w:val="0031342D"/>
    <w:rsid w:val="00315E79"/>
    <w:rsid w:val="00320C2F"/>
    <w:rsid w:val="003245C6"/>
    <w:rsid w:val="00355038"/>
    <w:rsid w:val="003669C8"/>
    <w:rsid w:val="00366C6A"/>
    <w:rsid w:val="003A0038"/>
    <w:rsid w:val="003A311D"/>
    <w:rsid w:val="003A4937"/>
    <w:rsid w:val="003B10B4"/>
    <w:rsid w:val="003C3110"/>
    <w:rsid w:val="003C5352"/>
    <w:rsid w:val="003E24E2"/>
    <w:rsid w:val="003F2137"/>
    <w:rsid w:val="004218D8"/>
    <w:rsid w:val="004229C7"/>
    <w:rsid w:val="00434EB5"/>
    <w:rsid w:val="00436F20"/>
    <w:rsid w:val="004471A6"/>
    <w:rsid w:val="0044775F"/>
    <w:rsid w:val="004534CD"/>
    <w:rsid w:val="0045501C"/>
    <w:rsid w:val="00495520"/>
    <w:rsid w:val="004D0FBB"/>
    <w:rsid w:val="004E3254"/>
    <w:rsid w:val="004E5F0E"/>
    <w:rsid w:val="004F1158"/>
    <w:rsid w:val="004F2103"/>
    <w:rsid w:val="004F53EB"/>
    <w:rsid w:val="005021AC"/>
    <w:rsid w:val="00522DAA"/>
    <w:rsid w:val="00534CCA"/>
    <w:rsid w:val="00555DEF"/>
    <w:rsid w:val="005577FA"/>
    <w:rsid w:val="00564896"/>
    <w:rsid w:val="00585D9A"/>
    <w:rsid w:val="0059558A"/>
    <w:rsid w:val="00597947"/>
    <w:rsid w:val="005A075C"/>
    <w:rsid w:val="005A2D0D"/>
    <w:rsid w:val="005D39E1"/>
    <w:rsid w:val="005E19AC"/>
    <w:rsid w:val="00623276"/>
    <w:rsid w:val="00643289"/>
    <w:rsid w:val="0064714C"/>
    <w:rsid w:val="00657ECE"/>
    <w:rsid w:val="006857B1"/>
    <w:rsid w:val="006B07EC"/>
    <w:rsid w:val="006C0485"/>
    <w:rsid w:val="006D57CC"/>
    <w:rsid w:val="006D7EC5"/>
    <w:rsid w:val="006F2164"/>
    <w:rsid w:val="0072176D"/>
    <w:rsid w:val="00722977"/>
    <w:rsid w:val="007377B7"/>
    <w:rsid w:val="0074751E"/>
    <w:rsid w:val="007738D2"/>
    <w:rsid w:val="00782231"/>
    <w:rsid w:val="00790B41"/>
    <w:rsid w:val="007C254D"/>
    <w:rsid w:val="00816A94"/>
    <w:rsid w:val="00826A13"/>
    <w:rsid w:val="00834E81"/>
    <w:rsid w:val="00847154"/>
    <w:rsid w:val="00851AD6"/>
    <w:rsid w:val="008535E0"/>
    <w:rsid w:val="00857265"/>
    <w:rsid w:val="00872234"/>
    <w:rsid w:val="008967FD"/>
    <w:rsid w:val="008E0009"/>
    <w:rsid w:val="00906C76"/>
    <w:rsid w:val="00920C86"/>
    <w:rsid w:val="00927782"/>
    <w:rsid w:val="009674A2"/>
    <w:rsid w:val="00972CC2"/>
    <w:rsid w:val="0098410A"/>
    <w:rsid w:val="009905D4"/>
    <w:rsid w:val="00990898"/>
    <w:rsid w:val="00991478"/>
    <w:rsid w:val="009A341E"/>
    <w:rsid w:val="009A46CE"/>
    <w:rsid w:val="009B10A3"/>
    <w:rsid w:val="009B6117"/>
    <w:rsid w:val="009B7CE9"/>
    <w:rsid w:val="00A03FFA"/>
    <w:rsid w:val="00A4684D"/>
    <w:rsid w:val="00A56327"/>
    <w:rsid w:val="00A57A28"/>
    <w:rsid w:val="00A67A73"/>
    <w:rsid w:val="00AF55F3"/>
    <w:rsid w:val="00AF6728"/>
    <w:rsid w:val="00B12B83"/>
    <w:rsid w:val="00B464C5"/>
    <w:rsid w:val="00B56956"/>
    <w:rsid w:val="00B60DFB"/>
    <w:rsid w:val="00B65025"/>
    <w:rsid w:val="00B72E12"/>
    <w:rsid w:val="00B76DEF"/>
    <w:rsid w:val="00B77872"/>
    <w:rsid w:val="00B8343B"/>
    <w:rsid w:val="00B8642E"/>
    <w:rsid w:val="00BD3906"/>
    <w:rsid w:val="00BF14B2"/>
    <w:rsid w:val="00C13C17"/>
    <w:rsid w:val="00C14F68"/>
    <w:rsid w:val="00C67371"/>
    <w:rsid w:val="00C724AD"/>
    <w:rsid w:val="00C866A5"/>
    <w:rsid w:val="00C90BDD"/>
    <w:rsid w:val="00C91C7D"/>
    <w:rsid w:val="00CF17A5"/>
    <w:rsid w:val="00CF30B4"/>
    <w:rsid w:val="00D00376"/>
    <w:rsid w:val="00D02778"/>
    <w:rsid w:val="00D224FF"/>
    <w:rsid w:val="00D40B25"/>
    <w:rsid w:val="00D4124C"/>
    <w:rsid w:val="00D42195"/>
    <w:rsid w:val="00D82083"/>
    <w:rsid w:val="00D84069"/>
    <w:rsid w:val="00D87A1B"/>
    <w:rsid w:val="00D92953"/>
    <w:rsid w:val="00D97057"/>
    <w:rsid w:val="00DA30FF"/>
    <w:rsid w:val="00DA4F22"/>
    <w:rsid w:val="00DF06FA"/>
    <w:rsid w:val="00DF6989"/>
    <w:rsid w:val="00E40078"/>
    <w:rsid w:val="00E4783F"/>
    <w:rsid w:val="00E50BDA"/>
    <w:rsid w:val="00E72B0C"/>
    <w:rsid w:val="00E80693"/>
    <w:rsid w:val="00E87834"/>
    <w:rsid w:val="00EA175F"/>
    <w:rsid w:val="00EA1EAB"/>
    <w:rsid w:val="00EB2065"/>
    <w:rsid w:val="00EC0741"/>
    <w:rsid w:val="00ED6DA6"/>
    <w:rsid w:val="00EF0045"/>
    <w:rsid w:val="00F23613"/>
    <w:rsid w:val="00F3117E"/>
    <w:rsid w:val="00F5638E"/>
    <w:rsid w:val="00F61B07"/>
    <w:rsid w:val="00FB4914"/>
    <w:rsid w:val="00FB7553"/>
    <w:rsid w:val="00FC1D92"/>
    <w:rsid w:val="00FE7A1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34CCA"/>
    <w:rPr>
      <w:sz w:val="24"/>
      <w:szCs w:val="24"/>
    </w:rPr>
  </w:style>
  <w:style w:type="paragraph" w:styleId="Nadpis1">
    <w:name w:val="heading 1"/>
    <w:basedOn w:val="Normlny"/>
    <w:next w:val="Normlny"/>
    <w:link w:val="Nadpis1Char"/>
    <w:qFormat/>
    <w:rsid w:val="004F1158"/>
    <w:pPr>
      <w:keepNext/>
      <w:spacing w:line="240" w:lineRule="atLeast"/>
      <w:outlineLvl w:val="0"/>
    </w:pPr>
    <w:rPr>
      <w:rFonts w:ascii="Arial" w:hAnsi="Arial"/>
      <w:b/>
      <w:snapToGrid w:val="0"/>
      <w:color w:val="000000"/>
      <w:szCs w:val="20"/>
      <w:lang w:val="cs-CZ" w:eastAsia="cs-CZ"/>
    </w:rPr>
  </w:style>
  <w:style w:type="paragraph" w:styleId="Nadpis2">
    <w:name w:val="heading 2"/>
    <w:basedOn w:val="Normlny"/>
    <w:next w:val="Normlny"/>
    <w:link w:val="Nadpis2Char"/>
    <w:qFormat/>
    <w:rsid w:val="004F1158"/>
    <w:pPr>
      <w:keepNext/>
      <w:tabs>
        <w:tab w:val="left" w:pos="567"/>
      </w:tabs>
      <w:spacing w:line="240" w:lineRule="atLeast"/>
      <w:jc w:val="both"/>
      <w:outlineLvl w:val="1"/>
    </w:pPr>
    <w:rPr>
      <w:rFonts w:ascii="Arial" w:hAnsi="Arial"/>
      <w:b/>
      <w:snapToGrid w:val="0"/>
      <w:color w:val="FF0000"/>
      <w:sz w:val="22"/>
      <w:szCs w:val="20"/>
      <w:lang w:val="cs-CZ" w:eastAsia="cs-CZ"/>
    </w:rPr>
  </w:style>
  <w:style w:type="paragraph" w:styleId="Nadpis3">
    <w:name w:val="heading 3"/>
    <w:basedOn w:val="Normlny"/>
    <w:next w:val="Normlny"/>
    <w:link w:val="Nadpis3Char"/>
    <w:qFormat/>
    <w:rsid w:val="004F1158"/>
    <w:pPr>
      <w:keepNext/>
      <w:spacing w:line="240" w:lineRule="atLeast"/>
      <w:outlineLvl w:val="2"/>
    </w:pPr>
    <w:rPr>
      <w:b/>
      <w:snapToGrid w:val="0"/>
      <w:color w:val="000000"/>
      <w:sz w:val="22"/>
      <w:szCs w:val="21"/>
      <w:lang w:eastAsia="cs-CZ"/>
    </w:rPr>
  </w:style>
  <w:style w:type="paragraph" w:styleId="Nadpis4">
    <w:name w:val="heading 4"/>
    <w:basedOn w:val="Normlny"/>
    <w:next w:val="Normlny"/>
    <w:link w:val="Nadpis4Char"/>
    <w:qFormat/>
    <w:rsid w:val="004F1158"/>
    <w:pPr>
      <w:keepNext/>
      <w:tabs>
        <w:tab w:val="left" w:pos="9214"/>
      </w:tabs>
      <w:jc w:val="both"/>
      <w:outlineLvl w:val="3"/>
    </w:pPr>
    <w:rPr>
      <w:b/>
      <w:snapToGrid w:val="0"/>
      <w:color w:val="000000"/>
      <w:sz w:val="22"/>
      <w:szCs w:val="21"/>
      <w:lang w:eastAsia="cs-CZ"/>
    </w:rPr>
  </w:style>
  <w:style w:type="paragraph" w:styleId="Nadpis5">
    <w:name w:val="heading 5"/>
    <w:basedOn w:val="Normlny"/>
    <w:next w:val="Normlny"/>
    <w:link w:val="Nadpis5Char"/>
    <w:qFormat/>
    <w:rsid w:val="004F1158"/>
    <w:pPr>
      <w:keepNext/>
      <w:spacing w:line="240" w:lineRule="atLeast"/>
      <w:ind w:firstLine="567"/>
      <w:outlineLvl w:val="4"/>
    </w:pPr>
    <w:rPr>
      <w:b/>
      <w:snapToGrid w:val="0"/>
      <w:color w:val="000000"/>
      <w:sz w:val="22"/>
      <w:szCs w:val="21"/>
    </w:rPr>
  </w:style>
  <w:style w:type="paragraph" w:styleId="Nadpis6">
    <w:name w:val="heading 6"/>
    <w:basedOn w:val="Normlny"/>
    <w:next w:val="Normlny"/>
    <w:link w:val="Nadpis6Char"/>
    <w:qFormat/>
    <w:rsid w:val="004F1158"/>
    <w:pPr>
      <w:keepNext/>
      <w:spacing w:line="360" w:lineRule="atLeast"/>
      <w:ind w:firstLine="567"/>
      <w:jc w:val="center"/>
      <w:outlineLvl w:val="5"/>
    </w:pPr>
    <w:rPr>
      <w:rFonts w:ascii="Tahoma" w:hAnsi="Tahoma"/>
      <w:b/>
      <w:snapToGrid w:val="0"/>
      <w:color w:val="000000"/>
      <w:sz w:val="28"/>
      <w:szCs w:val="21"/>
    </w:rPr>
  </w:style>
  <w:style w:type="paragraph" w:styleId="Nadpis7">
    <w:name w:val="heading 7"/>
    <w:basedOn w:val="Normlny"/>
    <w:next w:val="Normlny"/>
    <w:link w:val="Nadpis7Char"/>
    <w:qFormat/>
    <w:rsid w:val="004F1158"/>
    <w:pPr>
      <w:keepNext/>
      <w:spacing w:line="240" w:lineRule="atLeast"/>
      <w:outlineLvl w:val="6"/>
    </w:pPr>
    <w:rPr>
      <w:rFonts w:ascii="Tahoma" w:hAnsi="Tahoma"/>
      <w:b/>
      <w:snapToGrid w:val="0"/>
      <w:color w:val="000000"/>
      <w:sz w:val="28"/>
      <w:szCs w:val="21"/>
    </w:rPr>
  </w:style>
  <w:style w:type="paragraph" w:styleId="Nadpis8">
    <w:name w:val="heading 8"/>
    <w:basedOn w:val="Normlny"/>
    <w:next w:val="Normlny"/>
    <w:link w:val="Nadpis8Char"/>
    <w:qFormat/>
    <w:rsid w:val="004F1158"/>
    <w:pPr>
      <w:keepNext/>
      <w:tabs>
        <w:tab w:val="left" w:pos="567"/>
      </w:tabs>
      <w:spacing w:line="240" w:lineRule="atLeast"/>
      <w:jc w:val="both"/>
      <w:outlineLvl w:val="7"/>
    </w:pPr>
    <w:rPr>
      <w:rFonts w:ascii="Tahoma" w:hAnsi="Tahoma"/>
      <w:b/>
      <w:snapToGrid w:val="0"/>
      <w:color w:val="000000"/>
      <w:sz w:val="28"/>
      <w:szCs w:val="21"/>
    </w:rPr>
  </w:style>
  <w:style w:type="paragraph" w:styleId="Nadpis9">
    <w:name w:val="heading 9"/>
    <w:basedOn w:val="Normlny"/>
    <w:next w:val="Normlny"/>
    <w:link w:val="Nadpis9Char"/>
    <w:uiPriority w:val="9"/>
    <w:semiHidden/>
    <w:unhideWhenUsed/>
    <w:qFormat/>
    <w:rsid w:val="0064714C"/>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4F1158"/>
    <w:rPr>
      <w:rFonts w:ascii="Arial" w:hAnsi="Arial"/>
      <w:b/>
      <w:snapToGrid w:val="0"/>
      <w:color w:val="000000"/>
      <w:sz w:val="24"/>
      <w:lang w:val="cs-CZ" w:eastAsia="cs-CZ"/>
    </w:rPr>
  </w:style>
  <w:style w:type="character" w:customStyle="1" w:styleId="Nadpis2Char">
    <w:name w:val="Nadpis 2 Char"/>
    <w:link w:val="Nadpis2"/>
    <w:rsid w:val="004F1158"/>
    <w:rPr>
      <w:rFonts w:ascii="Arial" w:hAnsi="Arial"/>
      <w:b/>
      <w:snapToGrid w:val="0"/>
      <w:color w:val="FF0000"/>
      <w:sz w:val="22"/>
      <w:lang w:val="cs-CZ" w:eastAsia="cs-CZ"/>
    </w:rPr>
  </w:style>
  <w:style w:type="character" w:customStyle="1" w:styleId="Nadpis3Char">
    <w:name w:val="Nadpis 3 Char"/>
    <w:link w:val="Nadpis3"/>
    <w:rsid w:val="004F1158"/>
    <w:rPr>
      <w:b/>
      <w:snapToGrid w:val="0"/>
      <w:color w:val="000000"/>
      <w:sz w:val="22"/>
      <w:szCs w:val="21"/>
      <w:lang w:eastAsia="cs-CZ"/>
    </w:rPr>
  </w:style>
  <w:style w:type="character" w:customStyle="1" w:styleId="Nadpis4Char">
    <w:name w:val="Nadpis 4 Char"/>
    <w:link w:val="Nadpis4"/>
    <w:rsid w:val="004F1158"/>
    <w:rPr>
      <w:b/>
      <w:snapToGrid w:val="0"/>
      <w:color w:val="000000"/>
      <w:sz w:val="22"/>
      <w:szCs w:val="21"/>
      <w:lang w:eastAsia="cs-CZ"/>
    </w:rPr>
  </w:style>
  <w:style w:type="character" w:customStyle="1" w:styleId="Nadpis5Char">
    <w:name w:val="Nadpis 5 Char"/>
    <w:link w:val="Nadpis5"/>
    <w:rsid w:val="004F1158"/>
    <w:rPr>
      <w:b/>
      <w:snapToGrid w:val="0"/>
      <w:color w:val="000000"/>
      <w:sz w:val="22"/>
      <w:szCs w:val="21"/>
    </w:rPr>
  </w:style>
  <w:style w:type="character" w:customStyle="1" w:styleId="Nadpis6Char">
    <w:name w:val="Nadpis 6 Char"/>
    <w:link w:val="Nadpis6"/>
    <w:rsid w:val="004F1158"/>
    <w:rPr>
      <w:rFonts w:ascii="Tahoma" w:hAnsi="Tahoma" w:cs="Tahoma"/>
      <w:b/>
      <w:snapToGrid w:val="0"/>
      <w:color w:val="000000"/>
      <w:sz w:val="28"/>
      <w:szCs w:val="21"/>
    </w:rPr>
  </w:style>
  <w:style w:type="character" w:customStyle="1" w:styleId="Nadpis7Char">
    <w:name w:val="Nadpis 7 Char"/>
    <w:link w:val="Nadpis7"/>
    <w:rsid w:val="004F1158"/>
    <w:rPr>
      <w:rFonts w:ascii="Tahoma" w:hAnsi="Tahoma" w:cs="Tahoma"/>
      <w:b/>
      <w:snapToGrid w:val="0"/>
      <w:color w:val="000000"/>
      <w:sz w:val="28"/>
      <w:szCs w:val="21"/>
    </w:rPr>
  </w:style>
  <w:style w:type="character" w:customStyle="1" w:styleId="Nadpis8Char">
    <w:name w:val="Nadpis 8 Char"/>
    <w:link w:val="Nadpis8"/>
    <w:rsid w:val="004F1158"/>
    <w:rPr>
      <w:rFonts w:ascii="Tahoma" w:hAnsi="Tahoma" w:cs="Tahoma"/>
      <w:b/>
      <w:snapToGrid w:val="0"/>
      <w:color w:val="000000"/>
      <w:sz w:val="28"/>
      <w:szCs w:val="21"/>
    </w:rPr>
  </w:style>
  <w:style w:type="paragraph" w:styleId="Odsekzoznamu">
    <w:name w:val="List Paragraph"/>
    <w:basedOn w:val="Normlny"/>
    <w:uiPriority w:val="34"/>
    <w:qFormat/>
    <w:rsid w:val="004F1158"/>
    <w:pPr>
      <w:ind w:left="708"/>
    </w:pPr>
  </w:style>
  <w:style w:type="paragraph" w:styleId="Zkladntext2">
    <w:name w:val="Body Text 2"/>
    <w:basedOn w:val="Normlny"/>
    <w:link w:val="Zkladntext2Char"/>
    <w:semiHidden/>
    <w:rsid w:val="00534CCA"/>
    <w:rPr>
      <w:i/>
      <w:iCs/>
      <w:sz w:val="26"/>
    </w:rPr>
  </w:style>
  <w:style w:type="character" w:customStyle="1" w:styleId="Zkladntext2Char">
    <w:name w:val="Základný text 2 Char"/>
    <w:link w:val="Zkladntext2"/>
    <w:semiHidden/>
    <w:rsid w:val="00534CCA"/>
    <w:rPr>
      <w:i/>
      <w:iCs/>
      <w:sz w:val="26"/>
      <w:szCs w:val="24"/>
    </w:rPr>
  </w:style>
  <w:style w:type="paragraph" w:styleId="Zkladntext3">
    <w:name w:val="Body Text 3"/>
    <w:basedOn w:val="Normlny"/>
    <w:link w:val="Zkladntext3Char"/>
    <w:semiHidden/>
    <w:rsid w:val="00534CCA"/>
    <w:pPr>
      <w:spacing w:after="120"/>
    </w:pPr>
    <w:rPr>
      <w:sz w:val="16"/>
      <w:szCs w:val="16"/>
    </w:rPr>
  </w:style>
  <w:style w:type="character" w:customStyle="1" w:styleId="Zkladntext3Char">
    <w:name w:val="Základný text 3 Char"/>
    <w:link w:val="Zkladntext3"/>
    <w:semiHidden/>
    <w:rsid w:val="00534CCA"/>
    <w:rPr>
      <w:sz w:val="16"/>
      <w:szCs w:val="16"/>
    </w:rPr>
  </w:style>
  <w:style w:type="character" w:customStyle="1" w:styleId="textnormalnormal1">
    <w:name w:val="text_normal_normal1"/>
    <w:rsid w:val="00534CCA"/>
    <w:rPr>
      <w:rFonts w:ascii="Verdana" w:hAnsi="Verdana" w:hint="default"/>
      <w:strike w:val="0"/>
      <w:dstrike w:val="0"/>
      <w:sz w:val="12"/>
      <w:szCs w:val="12"/>
      <w:u w:val="none"/>
      <w:effect w:val="none"/>
    </w:rPr>
  </w:style>
  <w:style w:type="paragraph" w:styleId="Hlavika">
    <w:name w:val="header"/>
    <w:basedOn w:val="Normlny"/>
    <w:link w:val="HlavikaChar"/>
    <w:semiHidden/>
    <w:rsid w:val="00534CCA"/>
    <w:pPr>
      <w:tabs>
        <w:tab w:val="center" w:pos="4536"/>
        <w:tab w:val="right" w:pos="9072"/>
      </w:tabs>
    </w:pPr>
  </w:style>
  <w:style w:type="character" w:customStyle="1" w:styleId="HlavikaChar">
    <w:name w:val="Hlavička Char"/>
    <w:link w:val="Hlavika"/>
    <w:semiHidden/>
    <w:rsid w:val="00534CCA"/>
    <w:rPr>
      <w:sz w:val="24"/>
      <w:szCs w:val="24"/>
    </w:rPr>
  </w:style>
  <w:style w:type="paragraph" w:styleId="Zarkazkladnhotextu">
    <w:name w:val="Body Text Indent"/>
    <w:basedOn w:val="Normlny"/>
    <w:link w:val="ZarkazkladnhotextuChar"/>
    <w:semiHidden/>
    <w:rsid w:val="00534CCA"/>
    <w:pPr>
      <w:ind w:right="720" w:firstLine="993"/>
    </w:pPr>
    <w:rPr>
      <w:color w:val="000000"/>
    </w:rPr>
  </w:style>
  <w:style w:type="character" w:customStyle="1" w:styleId="ZarkazkladnhotextuChar">
    <w:name w:val="Zarážka základného textu Char"/>
    <w:link w:val="Zarkazkladnhotextu"/>
    <w:semiHidden/>
    <w:rsid w:val="00534CCA"/>
    <w:rPr>
      <w:color w:val="000000"/>
      <w:sz w:val="24"/>
      <w:szCs w:val="24"/>
    </w:rPr>
  </w:style>
  <w:style w:type="paragraph" w:styleId="Zarkazkladnhotextu2">
    <w:name w:val="Body Text Indent 2"/>
    <w:basedOn w:val="Normlny"/>
    <w:link w:val="Zarkazkladnhotextu2Char"/>
    <w:semiHidden/>
    <w:rsid w:val="00534CCA"/>
    <w:pPr>
      <w:ind w:right="720" w:firstLine="708"/>
      <w:jc w:val="both"/>
    </w:pPr>
  </w:style>
  <w:style w:type="character" w:customStyle="1" w:styleId="Zarkazkladnhotextu2Char">
    <w:name w:val="Zarážka základného textu 2 Char"/>
    <w:link w:val="Zarkazkladnhotextu2"/>
    <w:semiHidden/>
    <w:rsid w:val="00534CCA"/>
    <w:rPr>
      <w:sz w:val="24"/>
      <w:szCs w:val="24"/>
    </w:rPr>
  </w:style>
  <w:style w:type="paragraph" w:styleId="Textbubliny">
    <w:name w:val="Balloon Text"/>
    <w:basedOn w:val="Normlny"/>
    <w:link w:val="TextbublinyChar"/>
    <w:uiPriority w:val="99"/>
    <w:semiHidden/>
    <w:unhideWhenUsed/>
    <w:rsid w:val="00534CCA"/>
    <w:rPr>
      <w:rFonts w:ascii="Tahoma" w:hAnsi="Tahoma"/>
      <w:sz w:val="16"/>
      <w:szCs w:val="16"/>
    </w:rPr>
  </w:style>
  <w:style w:type="character" w:customStyle="1" w:styleId="TextbublinyChar">
    <w:name w:val="Text bubliny Char"/>
    <w:link w:val="Textbubliny"/>
    <w:uiPriority w:val="99"/>
    <w:semiHidden/>
    <w:rsid w:val="00534CCA"/>
    <w:rPr>
      <w:rFonts w:ascii="Tahoma" w:hAnsi="Tahoma" w:cs="Tahoma"/>
      <w:sz w:val="16"/>
      <w:szCs w:val="16"/>
    </w:rPr>
  </w:style>
  <w:style w:type="character" w:customStyle="1" w:styleId="Nadpis9Char">
    <w:name w:val="Nadpis 9 Char"/>
    <w:link w:val="Nadpis9"/>
    <w:uiPriority w:val="9"/>
    <w:semiHidden/>
    <w:rsid w:val="0064714C"/>
    <w:rPr>
      <w:rFonts w:ascii="Cambria" w:eastAsia="Times New Roman" w:hAnsi="Cambria" w:cs="Times New Roman"/>
      <w:sz w:val="22"/>
      <w:szCs w:val="22"/>
    </w:rPr>
  </w:style>
  <w:style w:type="paragraph" w:styleId="Zkladntext">
    <w:name w:val="Body Text"/>
    <w:basedOn w:val="Normlny"/>
    <w:link w:val="ZkladntextChar"/>
    <w:uiPriority w:val="99"/>
    <w:semiHidden/>
    <w:unhideWhenUsed/>
    <w:rsid w:val="0064714C"/>
    <w:pPr>
      <w:spacing w:after="120"/>
    </w:pPr>
  </w:style>
  <w:style w:type="character" w:customStyle="1" w:styleId="ZkladntextChar">
    <w:name w:val="Základný text Char"/>
    <w:link w:val="Zkladntext"/>
    <w:uiPriority w:val="99"/>
    <w:semiHidden/>
    <w:rsid w:val="0064714C"/>
    <w:rPr>
      <w:sz w:val="24"/>
      <w:szCs w:val="24"/>
    </w:rPr>
  </w:style>
  <w:style w:type="paragraph" w:styleId="Zarkazkladnhotextu3">
    <w:name w:val="Body Text Indent 3"/>
    <w:basedOn w:val="Normlny"/>
    <w:link w:val="Zarkazkladnhotextu3Char"/>
    <w:uiPriority w:val="99"/>
    <w:semiHidden/>
    <w:unhideWhenUsed/>
    <w:rsid w:val="0064714C"/>
    <w:pPr>
      <w:spacing w:after="120"/>
      <w:ind w:left="283"/>
    </w:pPr>
    <w:rPr>
      <w:sz w:val="16"/>
      <w:szCs w:val="16"/>
    </w:rPr>
  </w:style>
  <w:style w:type="character" w:customStyle="1" w:styleId="Zarkazkladnhotextu3Char">
    <w:name w:val="Zarážka základného textu 3 Char"/>
    <w:link w:val="Zarkazkladnhotextu3"/>
    <w:uiPriority w:val="99"/>
    <w:semiHidden/>
    <w:rsid w:val="0064714C"/>
    <w:rPr>
      <w:sz w:val="16"/>
      <w:szCs w:val="16"/>
    </w:rPr>
  </w:style>
  <w:style w:type="paragraph" w:styleId="Bezriadkovania">
    <w:name w:val="No Spacing"/>
    <w:uiPriority w:val="1"/>
    <w:qFormat/>
    <w:rsid w:val="0064714C"/>
    <w:rPr>
      <w:sz w:val="24"/>
      <w:szCs w:val="24"/>
    </w:rPr>
  </w:style>
  <w:style w:type="character" w:customStyle="1" w:styleId="ra">
    <w:name w:val="ra"/>
    <w:basedOn w:val="Predvolenpsmoodseku"/>
    <w:rsid w:val="0064714C"/>
  </w:style>
  <w:style w:type="character" w:customStyle="1" w:styleId="ro">
    <w:name w:val="ro"/>
    <w:basedOn w:val="Predvolenpsmoodseku"/>
    <w:rsid w:val="0064714C"/>
  </w:style>
  <w:style w:type="character" w:customStyle="1" w:styleId="tl">
    <w:name w:val="tl"/>
    <w:basedOn w:val="Predvolenpsmoodseku"/>
    <w:rsid w:val="0064714C"/>
  </w:style>
  <w:style w:type="paragraph" w:styleId="Normlnywebov">
    <w:name w:val="Normal (Web)"/>
    <w:basedOn w:val="Normlny"/>
    <w:uiPriority w:val="99"/>
    <w:unhideWhenUsed/>
    <w:rsid w:val="00B65025"/>
    <w:pPr>
      <w:spacing w:before="100" w:beforeAutospacing="1" w:after="100" w:afterAutospacing="1"/>
    </w:pPr>
  </w:style>
  <w:style w:type="character" w:styleId="Siln">
    <w:name w:val="Strong"/>
    <w:uiPriority w:val="22"/>
    <w:qFormat/>
    <w:rsid w:val="00B65025"/>
    <w:rPr>
      <w:b/>
      <w:bCs/>
    </w:rPr>
  </w:style>
  <w:style w:type="paragraph" w:styleId="Pta">
    <w:name w:val="footer"/>
    <w:basedOn w:val="Normlny"/>
    <w:link w:val="PtaChar"/>
    <w:uiPriority w:val="99"/>
    <w:unhideWhenUsed/>
    <w:rsid w:val="000F4AB5"/>
    <w:pPr>
      <w:tabs>
        <w:tab w:val="center" w:pos="4536"/>
        <w:tab w:val="right" w:pos="9072"/>
      </w:tabs>
    </w:pPr>
  </w:style>
  <w:style w:type="character" w:customStyle="1" w:styleId="PtaChar">
    <w:name w:val="Päta Char"/>
    <w:link w:val="Pta"/>
    <w:uiPriority w:val="99"/>
    <w:rsid w:val="000F4AB5"/>
    <w:rPr>
      <w:sz w:val="24"/>
      <w:szCs w:val="24"/>
    </w:rPr>
  </w:style>
  <w:style w:type="character" w:styleId="Hypertextovprepojenie">
    <w:name w:val="Hyperlink"/>
    <w:uiPriority w:val="99"/>
    <w:unhideWhenUsed/>
    <w:rsid w:val="002F300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7749004">
      <w:bodyDiv w:val="1"/>
      <w:marLeft w:val="0"/>
      <w:marRight w:val="0"/>
      <w:marTop w:val="0"/>
      <w:marBottom w:val="0"/>
      <w:divBdr>
        <w:top w:val="none" w:sz="0" w:space="0" w:color="auto"/>
        <w:left w:val="none" w:sz="0" w:space="0" w:color="auto"/>
        <w:bottom w:val="none" w:sz="0" w:space="0" w:color="auto"/>
        <w:right w:val="none" w:sz="0" w:space="0" w:color="auto"/>
      </w:divBdr>
    </w:div>
    <w:div w:id="143472702">
      <w:bodyDiv w:val="1"/>
      <w:marLeft w:val="0"/>
      <w:marRight w:val="0"/>
      <w:marTop w:val="0"/>
      <w:marBottom w:val="0"/>
      <w:divBdr>
        <w:top w:val="none" w:sz="0" w:space="0" w:color="auto"/>
        <w:left w:val="none" w:sz="0" w:space="0" w:color="auto"/>
        <w:bottom w:val="none" w:sz="0" w:space="0" w:color="auto"/>
        <w:right w:val="none" w:sz="0" w:space="0" w:color="auto"/>
      </w:divBdr>
    </w:div>
    <w:div w:id="189799875">
      <w:bodyDiv w:val="1"/>
      <w:marLeft w:val="0"/>
      <w:marRight w:val="0"/>
      <w:marTop w:val="0"/>
      <w:marBottom w:val="0"/>
      <w:divBdr>
        <w:top w:val="none" w:sz="0" w:space="0" w:color="auto"/>
        <w:left w:val="none" w:sz="0" w:space="0" w:color="auto"/>
        <w:bottom w:val="none" w:sz="0" w:space="0" w:color="auto"/>
        <w:right w:val="none" w:sz="0" w:space="0" w:color="auto"/>
      </w:divBdr>
    </w:div>
    <w:div w:id="192113782">
      <w:bodyDiv w:val="1"/>
      <w:marLeft w:val="0"/>
      <w:marRight w:val="0"/>
      <w:marTop w:val="0"/>
      <w:marBottom w:val="0"/>
      <w:divBdr>
        <w:top w:val="none" w:sz="0" w:space="0" w:color="auto"/>
        <w:left w:val="none" w:sz="0" w:space="0" w:color="auto"/>
        <w:bottom w:val="none" w:sz="0" w:space="0" w:color="auto"/>
        <w:right w:val="none" w:sz="0" w:space="0" w:color="auto"/>
      </w:divBdr>
    </w:div>
    <w:div w:id="204291816">
      <w:bodyDiv w:val="1"/>
      <w:marLeft w:val="0"/>
      <w:marRight w:val="0"/>
      <w:marTop w:val="0"/>
      <w:marBottom w:val="0"/>
      <w:divBdr>
        <w:top w:val="none" w:sz="0" w:space="0" w:color="auto"/>
        <w:left w:val="none" w:sz="0" w:space="0" w:color="auto"/>
        <w:bottom w:val="none" w:sz="0" w:space="0" w:color="auto"/>
        <w:right w:val="none" w:sz="0" w:space="0" w:color="auto"/>
      </w:divBdr>
    </w:div>
    <w:div w:id="209728378">
      <w:bodyDiv w:val="1"/>
      <w:marLeft w:val="0"/>
      <w:marRight w:val="0"/>
      <w:marTop w:val="0"/>
      <w:marBottom w:val="0"/>
      <w:divBdr>
        <w:top w:val="none" w:sz="0" w:space="0" w:color="auto"/>
        <w:left w:val="none" w:sz="0" w:space="0" w:color="auto"/>
        <w:bottom w:val="none" w:sz="0" w:space="0" w:color="auto"/>
        <w:right w:val="none" w:sz="0" w:space="0" w:color="auto"/>
      </w:divBdr>
    </w:div>
    <w:div w:id="246157844">
      <w:bodyDiv w:val="1"/>
      <w:marLeft w:val="0"/>
      <w:marRight w:val="0"/>
      <w:marTop w:val="0"/>
      <w:marBottom w:val="0"/>
      <w:divBdr>
        <w:top w:val="none" w:sz="0" w:space="0" w:color="auto"/>
        <w:left w:val="none" w:sz="0" w:space="0" w:color="auto"/>
        <w:bottom w:val="none" w:sz="0" w:space="0" w:color="auto"/>
        <w:right w:val="none" w:sz="0" w:space="0" w:color="auto"/>
      </w:divBdr>
    </w:div>
    <w:div w:id="256787435">
      <w:bodyDiv w:val="1"/>
      <w:marLeft w:val="0"/>
      <w:marRight w:val="0"/>
      <w:marTop w:val="0"/>
      <w:marBottom w:val="0"/>
      <w:divBdr>
        <w:top w:val="none" w:sz="0" w:space="0" w:color="auto"/>
        <w:left w:val="none" w:sz="0" w:space="0" w:color="auto"/>
        <w:bottom w:val="none" w:sz="0" w:space="0" w:color="auto"/>
        <w:right w:val="none" w:sz="0" w:space="0" w:color="auto"/>
      </w:divBdr>
    </w:div>
    <w:div w:id="271714635">
      <w:bodyDiv w:val="1"/>
      <w:marLeft w:val="0"/>
      <w:marRight w:val="0"/>
      <w:marTop w:val="0"/>
      <w:marBottom w:val="0"/>
      <w:divBdr>
        <w:top w:val="none" w:sz="0" w:space="0" w:color="auto"/>
        <w:left w:val="none" w:sz="0" w:space="0" w:color="auto"/>
        <w:bottom w:val="none" w:sz="0" w:space="0" w:color="auto"/>
        <w:right w:val="none" w:sz="0" w:space="0" w:color="auto"/>
      </w:divBdr>
    </w:div>
    <w:div w:id="283585689">
      <w:bodyDiv w:val="1"/>
      <w:marLeft w:val="0"/>
      <w:marRight w:val="0"/>
      <w:marTop w:val="0"/>
      <w:marBottom w:val="0"/>
      <w:divBdr>
        <w:top w:val="none" w:sz="0" w:space="0" w:color="auto"/>
        <w:left w:val="none" w:sz="0" w:space="0" w:color="auto"/>
        <w:bottom w:val="none" w:sz="0" w:space="0" w:color="auto"/>
        <w:right w:val="none" w:sz="0" w:space="0" w:color="auto"/>
      </w:divBdr>
    </w:div>
    <w:div w:id="297616743">
      <w:bodyDiv w:val="1"/>
      <w:marLeft w:val="0"/>
      <w:marRight w:val="0"/>
      <w:marTop w:val="0"/>
      <w:marBottom w:val="0"/>
      <w:divBdr>
        <w:top w:val="none" w:sz="0" w:space="0" w:color="auto"/>
        <w:left w:val="none" w:sz="0" w:space="0" w:color="auto"/>
        <w:bottom w:val="none" w:sz="0" w:space="0" w:color="auto"/>
        <w:right w:val="none" w:sz="0" w:space="0" w:color="auto"/>
      </w:divBdr>
    </w:div>
    <w:div w:id="319238085">
      <w:bodyDiv w:val="1"/>
      <w:marLeft w:val="0"/>
      <w:marRight w:val="0"/>
      <w:marTop w:val="0"/>
      <w:marBottom w:val="0"/>
      <w:divBdr>
        <w:top w:val="none" w:sz="0" w:space="0" w:color="auto"/>
        <w:left w:val="none" w:sz="0" w:space="0" w:color="auto"/>
        <w:bottom w:val="none" w:sz="0" w:space="0" w:color="auto"/>
        <w:right w:val="none" w:sz="0" w:space="0" w:color="auto"/>
      </w:divBdr>
    </w:div>
    <w:div w:id="360204202">
      <w:bodyDiv w:val="1"/>
      <w:marLeft w:val="0"/>
      <w:marRight w:val="0"/>
      <w:marTop w:val="0"/>
      <w:marBottom w:val="0"/>
      <w:divBdr>
        <w:top w:val="none" w:sz="0" w:space="0" w:color="auto"/>
        <w:left w:val="none" w:sz="0" w:space="0" w:color="auto"/>
        <w:bottom w:val="none" w:sz="0" w:space="0" w:color="auto"/>
        <w:right w:val="none" w:sz="0" w:space="0" w:color="auto"/>
      </w:divBdr>
    </w:div>
    <w:div w:id="411315191">
      <w:bodyDiv w:val="1"/>
      <w:marLeft w:val="0"/>
      <w:marRight w:val="0"/>
      <w:marTop w:val="0"/>
      <w:marBottom w:val="0"/>
      <w:divBdr>
        <w:top w:val="none" w:sz="0" w:space="0" w:color="auto"/>
        <w:left w:val="none" w:sz="0" w:space="0" w:color="auto"/>
        <w:bottom w:val="none" w:sz="0" w:space="0" w:color="auto"/>
        <w:right w:val="none" w:sz="0" w:space="0" w:color="auto"/>
      </w:divBdr>
    </w:div>
    <w:div w:id="419256102">
      <w:bodyDiv w:val="1"/>
      <w:marLeft w:val="0"/>
      <w:marRight w:val="0"/>
      <w:marTop w:val="0"/>
      <w:marBottom w:val="0"/>
      <w:divBdr>
        <w:top w:val="none" w:sz="0" w:space="0" w:color="auto"/>
        <w:left w:val="none" w:sz="0" w:space="0" w:color="auto"/>
        <w:bottom w:val="none" w:sz="0" w:space="0" w:color="auto"/>
        <w:right w:val="none" w:sz="0" w:space="0" w:color="auto"/>
      </w:divBdr>
    </w:div>
    <w:div w:id="431702406">
      <w:bodyDiv w:val="1"/>
      <w:marLeft w:val="0"/>
      <w:marRight w:val="0"/>
      <w:marTop w:val="0"/>
      <w:marBottom w:val="0"/>
      <w:divBdr>
        <w:top w:val="none" w:sz="0" w:space="0" w:color="auto"/>
        <w:left w:val="none" w:sz="0" w:space="0" w:color="auto"/>
        <w:bottom w:val="none" w:sz="0" w:space="0" w:color="auto"/>
        <w:right w:val="none" w:sz="0" w:space="0" w:color="auto"/>
      </w:divBdr>
    </w:div>
    <w:div w:id="470707310">
      <w:bodyDiv w:val="1"/>
      <w:marLeft w:val="0"/>
      <w:marRight w:val="0"/>
      <w:marTop w:val="0"/>
      <w:marBottom w:val="0"/>
      <w:divBdr>
        <w:top w:val="none" w:sz="0" w:space="0" w:color="auto"/>
        <w:left w:val="none" w:sz="0" w:space="0" w:color="auto"/>
        <w:bottom w:val="none" w:sz="0" w:space="0" w:color="auto"/>
        <w:right w:val="none" w:sz="0" w:space="0" w:color="auto"/>
      </w:divBdr>
    </w:div>
    <w:div w:id="494691269">
      <w:bodyDiv w:val="1"/>
      <w:marLeft w:val="0"/>
      <w:marRight w:val="0"/>
      <w:marTop w:val="0"/>
      <w:marBottom w:val="0"/>
      <w:divBdr>
        <w:top w:val="none" w:sz="0" w:space="0" w:color="auto"/>
        <w:left w:val="none" w:sz="0" w:space="0" w:color="auto"/>
        <w:bottom w:val="none" w:sz="0" w:space="0" w:color="auto"/>
        <w:right w:val="none" w:sz="0" w:space="0" w:color="auto"/>
      </w:divBdr>
    </w:div>
    <w:div w:id="569653363">
      <w:bodyDiv w:val="1"/>
      <w:marLeft w:val="0"/>
      <w:marRight w:val="0"/>
      <w:marTop w:val="0"/>
      <w:marBottom w:val="0"/>
      <w:divBdr>
        <w:top w:val="none" w:sz="0" w:space="0" w:color="auto"/>
        <w:left w:val="none" w:sz="0" w:space="0" w:color="auto"/>
        <w:bottom w:val="none" w:sz="0" w:space="0" w:color="auto"/>
        <w:right w:val="none" w:sz="0" w:space="0" w:color="auto"/>
      </w:divBdr>
    </w:div>
    <w:div w:id="576092642">
      <w:bodyDiv w:val="1"/>
      <w:marLeft w:val="0"/>
      <w:marRight w:val="0"/>
      <w:marTop w:val="0"/>
      <w:marBottom w:val="0"/>
      <w:divBdr>
        <w:top w:val="none" w:sz="0" w:space="0" w:color="auto"/>
        <w:left w:val="none" w:sz="0" w:space="0" w:color="auto"/>
        <w:bottom w:val="none" w:sz="0" w:space="0" w:color="auto"/>
        <w:right w:val="none" w:sz="0" w:space="0" w:color="auto"/>
      </w:divBdr>
    </w:div>
    <w:div w:id="576474248">
      <w:bodyDiv w:val="1"/>
      <w:marLeft w:val="0"/>
      <w:marRight w:val="0"/>
      <w:marTop w:val="0"/>
      <w:marBottom w:val="0"/>
      <w:divBdr>
        <w:top w:val="none" w:sz="0" w:space="0" w:color="auto"/>
        <w:left w:val="none" w:sz="0" w:space="0" w:color="auto"/>
        <w:bottom w:val="none" w:sz="0" w:space="0" w:color="auto"/>
        <w:right w:val="none" w:sz="0" w:space="0" w:color="auto"/>
      </w:divBdr>
    </w:div>
    <w:div w:id="592663873">
      <w:bodyDiv w:val="1"/>
      <w:marLeft w:val="0"/>
      <w:marRight w:val="0"/>
      <w:marTop w:val="0"/>
      <w:marBottom w:val="0"/>
      <w:divBdr>
        <w:top w:val="none" w:sz="0" w:space="0" w:color="auto"/>
        <w:left w:val="none" w:sz="0" w:space="0" w:color="auto"/>
        <w:bottom w:val="none" w:sz="0" w:space="0" w:color="auto"/>
        <w:right w:val="none" w:sz="0" w:space="0" w:color="auto"/>
      </w:divBdr>
    </w:div>
    <w:div w:id="628824838">
      <w:bodyDiv w:val="1"/>
      <w:marLeft w:val="0"/>
      <w:marRight w:val="0"/>
      <w:marTop w:val="0"/>
      <w:marBottom w:val="0"/>
      <w:divBdr>
        <w:top w:val="none" w:sz="0" w:space="0" w:color="auto"/>
        <w:left w:val="none" w:sz="0" w:space="0" w:color="auto"/>
        <w:bottom w:val="none" w:sz="0" w:space="0" w:color="auto"/>
        <w:right w:val="none" w:sz="0" w:space="0" w:color="auto"/>
      </w:divBdr>
    </w:div>
    <w:div w:id="698970986">
      <w:bodyDiv w:val="1"/>
      <w:marLeft w:val="0"/>
      <w:marRight w:val="0"/>
      <w:marTop w:val="0"/>
      <w:marBottom w:val="0"/>
      <w:divBdr>
        <w:top w:val="none" w:sz="0" w:space="0" w:color="auto"/>
        <w:left w:val="none" w:sz="0" w:space="0" w:color="auto"/>
        <w:bottom w:val="none" w:sz="0" w:space="0" w:color="auto"/>
        <w:right w:val="none" w:sz="0" w:space="0" w:color="auto"/>
      </w:divBdr>
    </w:div>
    <w:div w:id="714353742">
      <w:bodyDiv w:val="1"/>
      <w:marLeft w:val="0"/>
      <w:marRight w:val="0"/>
      <w:marTop w:val="0"/>
      <w:marBottom w:val="0"/>
      <w:divBdr>
        <w:top w:val="none" w:sz="0" w:space="0" w:color="auto"/>
        <w:left w:val="none" w:sz="0" w:space="0" w:color="auto"/>
        <w:bottom w:val="none" w:sz="0" w:space="0" w:color="auto"/>
        <w:right w:val="none" w:sz="0" w:space="0" w:color="auto"/>
      </w:divBdr>
    </w:div>
    <w:div w:id="720128699">
      <w:bodyDiv w:val="1"/>
      <w:marLeft w:val="0"/>
      <w:marRight w:val="0"/>
      <w:marTop w:val="0"/>
      <w:marBottom w:val="0"/>
      <w:divBdr>
        <w:top w:val="none" w:sz="0" w:space="0" w:color="auto"/>
        <w:left w:val="none" w:sz="0" w:space="0" w:color="auto"/>
        <w:bottom w:val="none" w:sz="0" w:space="0" w:color="auto"/>
        <w:right w:val="none" w:sz="0" w:space="0" w:color="auto"/>
      </w:divBdr>
    </w:div>
    <w:div w:id="728500269">
      <w:bodyDiv w:val="1"/>
      <w:marLeft w:val="0"/>
      <w:marRight w:val="0"/>
      <w:marTop w:val="0"/>
      <w:marBottom w:val="0"/>
      <w:divBdr>
        <w:top w:val="none" w:sz="0" w:space="0" w:color="auto"/>
        <w:left w:val="none" w:sz="0" w:space="0" w:color="auto"/>
        <w:bottom w:val="none" w:sz="0" w:space="0" w:color="auto"/>
        <w:right w:val="none" w:sz="0" w:space="0" w:color="auto"/>
      </w:divBdr>
    </w:div>
    <w:div w:id="742067238">
      <w:bodyDiv w:val="1"/>
      <w:marLeft w:val="0"/>
      <w:marRight w:val="0"/>
      <w:marTop w:val="0"/>
      <w:marBottom w:val="0"/>
      <w:divBdr>
        <w:top w:val="none" w:sz="0" w:space="0" w:color="auto"/>
        <w:left w:val="none" w:sz="0" w:space="0" w:color="auto"/>
        <w:bottom w:val="none" w:sz="0" w:space="0" w:color="auto"/>
        <w:right w:val="none" w:sz="0" w:space="0" w:color="auto"/>
      </w:divBdr>
    </w:div>
    <w:div w:id="747263892">
      <w:bodyDiv w:val="1"/>
      <w:marLeft w:val="0"/>
      <w:marRight w:val="0"/>
      <w:marTop w:val="0"/>
      <w:marBottom w:val="0"/>
      <w:divBdr>
        <w:top w:val="none" w:sz="0" w:space="0" w:color="auto"/>
        <w:left w:val="none" w:sz="0" w:space="0" w:color="auto"/>
        <w:bottom w:val="none" w:sz="0" w:space="0" w:color="auto"/>
        <w:right w:val="none" w:sz="0" w:space="0" w:color="auto"/>
      </w:divBdr>
    </w:div>
    <w:div w:id="776559715">
      <w:bodyDiv w:val="1"/>
      <w:marLeft w:val="0"/>
      <w:marRight w:val="0"/>
      <w:marTop w:val="0"/>
      <w:marBottom w:val="0"/>
      <w:divBdr>
        <w:top w:val="none" w:sz="0" w:space="0" w:color="auto"/>
        <w:left w:val="none" w:sz="0" w:space="0" w:color="auto"/>
        <w:bottom w:val="none" w:sz="0" w:space="0" w:color="auto"/>
        <w:right w:val="none" w:sz="0" w:space="0" w:color="auto"/>
      </w:divBdr>
    </w:div>
    <w:div w:id="865220161">
      <w:bodyDiv w:val="1"/>
      <w:marLeft w:val="0"/>
      <w:marRight w:val="0"/>
      <w:marTop w:val="0"/>
      <w:marBottom w:val="0"/>
      <w:divBdr>
        <w:top w:val="none" w:sz="0" w:space="0" w:color="auto"/>
        <w:left w:val="none" w:sz="0" w:space="0" w:color="auto"/>
        <w:bottom w:val="none" w:sz="0" w:space="0" w:color="auto"/>
        <w:right w:val="none" w:sz="0" w:space="0" w:color="auto"/>
      </w:divBdr>
    </w:div>
    <w:div w:id="882837093">
      <w:bodyDiv w:val="1"/>
      <w:marLeft w:val="0"/>
      <w:marRight w:val="0"/>
      <w:marTop w:val="0"/>
      <w:marBottom w:val="0"/>
      <w:divBdr>
        <w:top w:val="none" w:sz="0" w:space="0" w:color="auto"/>
        <w:left w:val="none" w:sz="0" w:space="0" w:color="auto"/>
        <w:bottom w:val="none" w:sz="0" w:space="0" w:color="auto"/>
        <w:right w:val="none" w:sz="0" w:space="0" w:color="auto"/>
      </w:divBdr>
    </w:div>
    <w:div w:id="924070950">
      <w:bodyDiv w:val="1"/>
      <w:marLeft w:val="0"/>
      <w:marRight w:val="0"/>
      <w:marTop w:val="0"/>
      <w:marBottom w:val="0"/>
      <w:divBdr>
        <w:top w:val="none" w:sz="0" w:space="0" w:color="auto"/>
        <w:left w:val="none" w:sz="0" w:space="0" w:color="auto"/>
        <w:bottom w:val="none" w:sz="0" w:space="0" w:color="auto"/>
        <w:right w:val="none" w:sz="0" w:space="0" w:color="auto"/>
      </w:divBdr>
    </w:div>
    <w:div w:id="936865386">
      <w:bodyDiv w:val="1"/>
      <w:marLeft w:val="0"/>
      <w:marRight w:val="0"/>
      <w:marTop w:val="0"/>
      <w:marBottom w:val="0"/>
      <w:divBdr>
        <w:top w:val="none" w:sz="0" w:space="0" w:color="auto"/>
        <w:left w:val="none" w:sz="0" w:space="0" w:color="auto"/>
        <w:bottom w:val="none" w:sz="0" w:space="0" w:color="auto"/>
        <w:right w:val="none" w:sz="0" w:space="0" w:color="auto"/>
      </w:divBdr>
    </w:div>
    <w:div w:id="996031191">
      <w:bodyDiv w:val="1"/>
      <w:marLeft w:val="0"/>
      <w:marRight w:val="0"/>
      <w:marTop w:val="0"/>
      <w:marBottom w:val="0"/>
      <w:divBdr>
        <w:top w:val="none" w:sz="0" w:space="0" w:color="auto"/>
        <w:left w:val="none" w:sz="0" w:space="0" w:color="auto"/>
        <w:bottom w:val="none" w:sz="0" w:space="0" w:color="auto"/>
        <w:right w:val="none" w:sz="0" w:space="0" w:color="auto"/>
      </w:divBdr>
    </w:div>
    <w:div w:id="1010258198">
      <w:bodyDiv w:val="1"/>
      <w:marLeft w:val="0"/>
      <w:marRight w:val="0"/>
      <w:marTop w:val="0"/>
      <w:marBottom w:val="0"/>
      <w:divBdr>
        <w:top w:val="none" w:sz="0" w:space="0" w:color="auto"/>
        <w:left w:val="none" w:sz="0" w:space="0" w:color="auto"/>
        <w:bottom w:val="none" w:sz="0" w:space="0" w:color="auto"/>
        <w:right w:val="none" w:sz="0" w:space="0" w:color="auto"/>
      </w:divBdr>
    </w:div>
    <w:div w:id="1026564970">
      <w:bodyDiv w:val="1"/>
      <w:marLeft w:val="0"/>
      <w:marRight w:val="0"/>
      <w:marTop w:val="0"/>
      <w:marBottom w:val="0"/>
      <w:divBdr>
        <w:top w:val="none" w:sz="0" w:space="0" w:color="auto"/>
        <w:left w:val="none" w:sz="0" w:space="0" w:color="auto"/>
        <w:bottom w:val="none" w:sz="0" w:space="0" w:color="auto"/>
        <w:right w:val="none" w:sz="0" w:space="0" w:color="auto"/>
      </w:divBdr>
    </w:div>
    <w:div w:id="1068502508">
      <w:bodyDiv w:val="1"/>
      <w:marLeft w:val="0"/>
      <w:marRight w:val="0"/>
      <w:marTop w:val="0"/>
      <w:marBottom w:val="0"/>
      <w:divBdr>
        <w:top w:val="none" w:sz="0" w:space="0" w:color="auto"/>
        <w:left w:val="none" w:sz="0" w:space="0" w:color="auto"/>
        <w:bottom w:val="none" w:sz="0" w:space="0" w:color="auto"/>
        <w:right w:val="none" w:sz="0" w:space="0" w:color="auto"/>
      </w:divBdr>
      <w:divsChild>
        <w:div w:id="136336475">
          <w:marLeft w:val="0"/>
          <w:marRight w:val="0"/>
          <w:marTop w:val="100"/>
          <w:marBottom w:val="100"/>
          <w:divBdr>
            <w:top w:val="none" w:sz="0" w:space="0" w:color="auto"/>
            <w:left w:val="none" w:sz="0" w:space="0" w:color="auto"/>
            <w:bottom w:val="none" w:sz="0" w:space="0" w:color="auto"/>
            <w:right w:val="none" w:sz="0" w:space="0" w:color="auto"/>
          </w:divBdr>
          <w:divsChild>
            <w:div w:id="1967463326">
              <w:marLeft w:val="0"/>
              <w:marRight w:val="0"/>
              <w:marTop w:val="0"/>
              <w:marBottom w:val="0"/>
              <w:divBdr>
                <w:top w:val="single" w:sz="2" w:space="0" w:color="FF0000"/>
                <w:left w:val="single" w:sz="2" w:space="0" w:color="FF0000"/>
                <w:bottom w:val="single" w:sz="2" w:space="0" w:color="FF0000"/>
                <w:right w:val="single" w:sz="2" w:space="0" w:color="FF0000"/>
              </w:divBdr>
              <w:divsChild>
                <w:div w:id="1086653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2094305">
      <w:bodyDiv w:val="1"/>
      <w:marLeft w:val="0"/>
      <w:marRight w:val="0"/>
      <w:marTop w:val="0"/>
      <w:marBottom w:val="0"/>
      <w:divBdr>
        <w:top w:val="none" w:sz="0" w:space="0" w:color="auto"/>
        <w:left w:val="none" w:sz="0" w:space="0" w:color="auto"/>
        <w:bottom w:val="none" w:sz="0" w:space="0" w:color="auto"/>
        <w:right w:val="none" w:sz="0" w:space="0" w:color="auto"/>
      </w:divBdr>
    </w:div>
    <w:div w:id="1098404313">
      <w:bodyDiv w:val="1"/>
      <w:marLeft w:val="0"/>
      <w:marRight w:val="0"/>
      <w:marTop w:val="0"/>
      <w:marBottom w:val="0"/>
      <w:divBdr>
        <w:top w:val="none" w:sz="0" w:space="0" w:color="auto"/>
        <w:left w:val="none" w:sz="0" w:space="0" w:color="auto"/>
        <w:bottom w:val="none" w:sz="0" w:space="0" w:color="auto"/>
        <w:right w:val="none" w:sz="0" w:space="0" w:color="auto"/>
      </w:divBdr>
    </w:div>
    <w:div w:id="1113865784">
      <w:bodyDiv w:val="1"/>
      <w:marLeft w:val="0"/>
      <w:marRight w:val="0"/>
      <w:marTop w:val="0"/>
      <w:marBottom w:val="0"/>
      <w:divBdr>
        <w:top w:val="none" w:sz="0" w:space="0" w:color="auto"/>
        <w:left w:val="none" w:sz="0" w:space="0" w:color="auto"/>
        <w:bottom w:val="none" w:sz="0" w:space="0" w:color="auto"/>
        <w:right w:val="none" w:sz="0" w:space="0" w:color="auto"/>
      </w:divBdr>
      <w:divsChild>
        <w:div w:id="1073310382">
          <w:marLeft w:val="0"/>
          <w:marRight w:val="0"/>
          <w:marTop w:val="100"/>
          <w:marBottom w:val="100"/>
          <w:divBdr>
            <w:top w:val="none" w:sz="0" w:space="0" w:color="auto"/>
            <w:left w:val="none" w:sz="0" w:space="0" w:color="auto"/>
            <w:bottom w:val="none" w:sz="0" w:space="0" w:color="auto"/>
            <w:right w:val="none" w:sz="0" w:space="0" w:color="auto"/>
          </w:divBdr>
          <w:divsChild>
            <w:div w:id="540170161">
              <w:marLeft w:val="0"/>
              <w:marRight w:val="0"/>
              <w:marTop w:val="0"/>
              <w:marBottom w:val="0"/>
              <w:divBdr>
                <w:top w:val="single" w:sz="2" w:space="0" w:color="FF0000"/>
                <w:left w:val="single" w:sz="2" w:space="0" w:color="FF0000"/>
                <w:bottom w:val="single" w:sz="2" w:space="0" w:color="FF0000"/>
                <w:right w:val="single" w:sz="2" w:space="0" w:color="FF0000"/>
              </w:divBdr>
              <w:divsChild>
                <w:div w:id="149664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399846">
      <w:bodyDiv w:val="1"/>
      <w:marLeft w:val="0"/>
      <w:marRight w:val="0"/>
      <w:marTop w:val="0"/>
      <w:marBottom w:val="0"/>
      <w:divBdr>
        <w:top w:val="none" w:sz="0" w:space="0" w:color="auto"/>
        <w:left w:val="none" w:sz="0" w:space="0" w:color="auto"/>
        <w:bottom w:val="none" w:sz="0" w:space="0" w:color="auto"/>
        <w:right w:val="none" w:sz="0" w:space="0" w:color="auto"/>
      </w:divBdr>
    </w:div>
    <w:div w:id="1134910507">
      <w:bodyDiv w:val="1"/>
      <w:marLeft w:val="0"/>
      <w:marRight w:val="0"/>
      <w:marTop w:val="0"/>
      <w:marBottom w:val="0"/>
      <w:divBdr>
        <w:top w:val="none" w:sz="0" w:space="0" w:color="auto"/>
        <w:left w:val="none" w:sz="0" w:space="0" w:color="auto"/>
        <w:bottom w:val="none" w:sz="0" w:space="0" w:color="auto"/>
        <w:right w:val="none" w:sz="0" w:space="0" w:color="auto"/>
      </w:divBdr>
    </w:div>
    <w:div w:id="1138650219">
      <w:bodyDiv w:val="1"/>
      <w:marLeft w:val="0"/>
      <w:marRight w:val="0"/>
      <w:marTop w:val="0"/>
      <w:marBottom w:val="0"/>
      <w:divBdr>
        <w:top w:val="none" w:sz="0" w:space="0" w:color="auto"/>
        <w:left w:val="none" w:sz="0" w:space="0" w:color="auto"/>
        <w:bottom w:val="none" w:sz="0" w:space="0" w:color="auto"/>
        <w:right w:val="none" w:sz="0" w:space="0" w:color="auto"/>
      </w:divBdr>
    </w:div>
    <w:div w:id="1157577977">
      <w:bodyDiv w:val="1"/>
      <w:marLeft w:val="0"/>
      <w:marRight w:val="0"/>
      <w:marTop w:val="0"/>
      <w:marBottom w:val="0"/>
      <w:divBdr>
        <w:top w:val="none" w:sz="0" w:space="0" w:color="auto"/>
        <w:left w:val="none" w:sz="0" w:space="0" w:color="auto"/>
        <w:bottom w:val="none" w:sz="0" w:space="0" w:color="auto"/>
        <w:right w:val="none" w:sz="0" w:space="0" w:color="auto"/>
      </w:divBdr>
    </w:div>
    <w:div w:id="1167742397">
      <w:bodyDiv w:val="1"/>
      <w:marLeft w:val="0"/>
      <w:marRight w:val="0"/>
      <w:marTop w:val="0"/>
      <w:marBottom w:val="0"/>
      <w:divBdr>
        <w:top w:val="none" w:sz="0" w:space="0" w:color="auto"/>
        <w:left w:val="none" w:sz="0" w:space="0" w:color="auto"/>
        <w:bottom w:val="none" w:sz="0" w:space="0" w:color="auto"/>
        <w:right w:val="none" w:sz="0" w:space="0" w:color="auto"/>
      </w:divBdr>
    </w:div>
    <w:div w:id="1218784250">
      <w:bodyDiv w:val="1"/>
      <w:marLeft w:val="0"/>
      <w:marRight w:val="0"/>
      <w:marTop w:val="0"/>
      <w:marBottom w:val="0"/>
      <w:divBdr>
        <w:top w:val="none" w:sz="0" w:space="0" w:color="auto"/>
        <w:left w:val="none" w:sz="0" w:space="0" w:color="auto"/>
        <w:bottom w:val="none" w:sz="0" w:space="0" w:color="auto"/>
        <w:right w:val="none" w:sz="0" w:space="0" w:color="auto"/>
      </w:divBdr>
    </w:div>
    <w:div w:id="1230074397">
      <w:bodyDiv w:val="1"/>
      <w:marLeft w:val="0"/>
      <w:marRight w:val="0"/>
      <w:marTop w:val="0"/>
      <w:marBottom w:val="0"/>
      <w:divBdr>
        <w:top w:val="none" w:sz="0" w:space="0" w:color="auto"/>
        <w:left w:val="none" w:sz="0" w:space="0" w:color="auto"/>
        <w:bottom w:val="none" w:sz="0" w:space="0" w:color="auto"/>
        <w:right w:val="none" w:sz="0" w:space="0" w:color="auto"/>
      </w:divBdr>
    </w:div>
    <w:div w:id="1320504971">
      <w:bodyDiv w:val="1"/>
      <w:marLeft w:val="0"/>
      <w:marRight w:val="0"/>
      <w:marTop w:val="0"/>
      <w:marBottom w:val="0"/>
      <w:divBdr>
        <w:top w:val="none" w:sz="0" w:space="0" w:color="auto"/>
        <w:left w:val="none" w:sz="0" w:space="0" w:color="auto"/>
        <w:bottom w:val="none" w:sz="0" w:space="0" w:color="auto"/>
        <w:right w:val="none" w:sz="0" w:space="0" w:color="auto"/>
      </w:divBdr>
      <w:divsChild>
        <w:div w:id="1089738982">
          <w:marLeft w:val="0"/>
          <w:marRight w:val="0"/>
          <w:marTop w:val="100"/>
          <w:marBottom w:val="100"/>
          <w:divBdr>
            <w:top w:val="none" w:sz="0" w:space="0" w:color="auto"/>
            <w:left w:val="none" w:sz="0" w:space="0" w:color="auto"/>
            <w:bottom w:val="none" w:sz="0" w:space="0" w:color="auto"/>
            <w:right w:val="none" w:sz="0" w:space="0" w:color="auto"/>
          </w:divBdr>
          <w:divsChild>
            <w:div w:id="1016466771">
              <w:marLeft w:val="0"/>
              <w:marRight w:val="0"/>
              <w:marTop w:val="0"/>
              <w:marBottom w:val="0"/>
              <w:divBdr>
                <w:top w:val="single" w:sz="2" w:space="0" w:color="FF0000"/>
                <w:left w:val="single" w:sz="2" w:space="0" w:color="FF0000"/>
                <w:bottom w:val="single" w:sz="2" w:space="0" w:color="FF0000"/>
                <w:right w:val="single" w:sz="2" w:space="0" w:color="FF0000"/>
              </w:divBdr>
              <w:divsChild>
                <w:div w:id="447627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963161">
      <w:bodyDiv w:val="1"/>
      <w:marLeft w:val="0"/>
      <w:marRight w:val="0"/>
      <w:marTop w:val="0"/>
      <w:marBottom w:val="0"/>
      <w:divBdr>
        <w:top w:val="none" w:sz="0" w:space="0" w:color="auto"/>
        <w:left w:val="none" w:sz="0" w:space="0" w:color="auto"/>
        <w:bottom w:val="none" w:sz="0" w:space="0" w:color="auto"/>
        <w:right w:val="none" w:sz="0" w:space="0" w:color="auto"/>
      </w:divBdr>
    </w:div>
    <w:div w:id="1381827160">
      <w:bodyDiv w:val="1"/>
      <w:marLeft w:val="0"/>
      <w:marRight w:val="0"/>
      <w:marTop w:val="0"/>
      <w:marBottom w:val="0"/>
      <w:divBdr>
        <w:top w:val="none" w:sz="0" w:space="0" w:color="auto"/>
        <w:left w:val="none" w:sz="0" w:space="0" w:color="auto"/>
        <w:bottom w:val="none" w:sz="0" w:space="0" w:color="auto"/>
        <w:right w:val="none" w:sz="0" w:space="0" w:color="auto"/>
      </w:divBdr>
    </w:div>
    <w:div w:id="1391615325">
      <w:bodyDiv w:val="1"/>
      <w:marLeft w:val="0"/>
      <w:marRight w:val="0"/>
      <w:marTop w:val="0"/>
      <w:marBottom w:val="0"/>
      <w:divBdr>
        <w:top w:val="none" w:sz="0" w:space="0" w:color="auto"/>
        <w:left w:val="none" w:sz="0" w:space="0" w:color="auto"/>
        <w:bottom w:val="none" w:sz="0" w:space="0" w:color="auto"/>
        <w:right w:val="none" w:sz="0" w:space="0" w:color="auto"/>
      </w:divBdr>
    </w:div>
    <w:div w:id="1416197392">
      <w:bodyDiv w:val="1"/>
      <w:marLeft w:val="0"/>
      <w:marRight w:val="0"/>
      <w:marTop w:val="0"/>
      <w:marBottom w:val="0"/>
      <w:divBdr>
        <w:top w:val="none" w:sz="0" w:space="0" w:color="auto"/>
        <w:left w:val="none" w:sz="0" w:space="0" w:color="auto"/>
        <w:bottom w:val="none" w:sz="0" w:space="0" w:color="auto"/>
        <w:right w:val="none" w:sz="0" w:space="0" w:color="auto"/>
      </w:divBdr>
    </w:div>
    <w:div w:id="1422481810">
      <w:bodyDiv w:val="1"/>
      <w:marLeft w:val="0"/>
      <w:marRight w:val="0"/>
      <w:marTop w:val="0"/>
      <w:marBottom w:val="0"/>
      <w:divBdr>
        <w:top w:val="none" w:sz="0" w:space="0" w:color="auto"/>
        <w:left w:val="none" w:sz="0" w:space="0" w:color="auto"/>
        <w:bottom w:val="none" w:sz="0" w:space="0" w:color="auto"/>
        <w:right w:val="none" w:sz="0" w:space="0" w:color="auto"/>
      </w:divBdr>
    </w:div>
    <w:div w:id="1427384425">
      <w:bodyDiv w:val="1"/>
      <w:marLeft w:val="0"/>
      <w:marRight w:val="0"/>
      <w:marTop w:val="0"/>
      <w:marBottom w:val="0"/>
      <w:divBdr>
        <w:top w:val="none" w:sz="0" w:space="0" w:color="auto"/>
        <w:left w:val="none" w:sz="0" w:space="0" w:color="auto"/>
        <w:bottom w:val="none" w:sz="0" w:space="0" w:color="auto"/>
        <w:right w:val="none" w:sz="0" w:space="0" w:color="auto"/>
      </w:divBdr>
    </w:div>
    <w:div w:id="1438672699">
      <w:bodyDiv w:val="1"/>
      <w:marLeft w:val="0"/>
      <w:marRight w:val="0"/>
      <w:marTop w:val="0"/>
      <w:marBottom w:val="0"/>
      <w:divBdr>
        <w:top w:val="none" w:sz="0" w:space="0" w:color="auto"/>
        <w:left w:val="none" w:sz="0" w:space="0" w:color="auto"/>
        <w:bottom w:val="none" w:sz="0" w:space="0" w:color="auto"/>
        <w:right w:val="none" w:sz="0" w:space="0" w:color="auto"/>
      </w:divBdr>
    </w:div>
    <w:div w:id="1477993074">
      <w:bodyDiv w:val="1"/>
      <w:marLeft w:val="0"/>
      <w:marRight w:val="0"/>
      <w:marTop w:val="0"/>
      <w:marBottom w:val="0"/>
      <w:divBdr>
        <w:top w:val="none" w:sz="0" w:space="0" w:color="auto"/>
        <w:left w:val="none" w:sz="0" w:space="0" w:color="auto"/>
        <w:bottom w:val="none" w:sz="0" w:space="0" w:color="auto"/>
        <w:right w:val="none" w:sz="0" w:space="0" w:color="auto"/>
      </w:divBdr>
    </w:div>
    <w:div w:id="1557547279">
      <w:bodyDiv w:val="1"/>
      <w:marLeft w:val="0"/>
      <w:marRight w:val="0"/>
      <w:marTop w:val="0"/>
      <w:marBottom w:val="0"/>
      <w:divBdr>
        <w:top w:val="none" w:sz="0" w:space="0" w:color="auto"/>
        <w:left w:val="none" w:sz="0" w:space="0" w:color="auto"/>
        <w:bottom w:val="none" w:sz="0" w:space="0" w:color="auto"/>
        <w:right w:val="none" w:sz="0" w:space="0" w:color="auto"/>
      </w:divBdr>
    </w:div>
    <w:div w:id="1562865632">
      <w:bodyDiv w:val="1"/>
      <w:marLeft w:val="0"/>
      <w:marRight w:val="0"/>
      <w:marTop w:val="0"/>
      <w:marBottom w:val="0"/>
      <w:divBdr>
        <w:top w:val="none" w:sz="0" w:space="0" w:color="auto"/>
        <w:left w:val="none" w:sz="0" w:space="0" w:color="auto"/>
        <w:bottom w:val="none" w:sz="0" w:space="0" w:color="auto"/>
        <w:right w:val="none" w:sz="0" w:space="0" w:color="auto"/>
      </w:divBdr>
    </w:div>
    <w:div w:id="1564219770">
      <w:bodyDiv w:val="1"/>
      <w:marLeft w:val="0"/>
      <w:marRight w:val="0"/>
      <w:marTop w:val="0"/>
      <w:marBottom w:val="0"/>
      <w:divBdr>
        <w:top w:val="none" w:sz="0" w:space="0" w:color="auto"/>
        <w:left w:val="none" w:sz="0" w:space="0" w:color="auto"/>
        <w:bottom w:val="none" w:sz="0" w:space="0" w:color="auto"/>
        <w:right w:val="none" w:sz="0" w:space="0" w:color="auto"/>
      </w:divBdr>
    </w:div>
    <w:div w:id="1583416942">
      <w:bodyDiv w:val="1"/>
      <w:marLeft w:val="0"/>
      <w:marRight w:val="0"/>
      <w:marTop w:val="0"/>
      <w:marBottom w:val="0"/>
      <w:divBdr>
        <w:top w:val="none" w:sz="0" w:space="0" w:color="auto"/>
        <w:left w:val="none" w:sz="0" w:space="0" w:color="auto"/>
        <w:bottom w:val="none" w:sz="0" w:space="0" w:color="auto"/>
        <w:right w:val="none" w:sz="0" w:space="0" w:color="auto"/>
      </w:divBdr>
    </w:div>
    <w:div w:id="1589923180">
      <w:bodyDiv w:val="1"/>
      <w:marLeft w:val="0"/>
      <w:marRight w:val="0"/>
      <w:marTop w:val="0"/>
      <w:marBottom w:val="0"/>
      <w:divBdr>
        <w:top w:val="none" w:sz="0" w:space="0" w:color="auto"/>
        <w:left w:val="none" w:sz="0" w:space="0" w:color="auto"/>
        <w:bottom w:val="none" w:sz="0" w:space="0" w:color="auto"/>
        <w:right w:val="none" w:sz="0" w:space="0" w:color="auto"/>
      </w:divBdr>
    </w:div>
    <w:div w:id="1615210722">
      <w:bodyDiv w:val="1"/>
      <w:marLeft w:val="0"/>
      <w:marRight w:val="0"/>
      <w:marTop w:val="0"/>
      <w:marBottom w:val="0"/>
      <w:divBdr>
        <w:top w:val="none" w:sz="0" w:space="0" w:color="auto"/>
        <w:left w:val="none" w:sz="0" w:space="0" w:color="auto"/>
        <w:bottom w:val="none" w:sz="0" w:space="0" w:color="auto"/>
        <w:right w:val="none" w:sz="0" w:space="0" w:color="auto"/>
      </w:divBdr>
    </w:div>
    <w:div w:id="1626228229">
      <w:bodyDiv w:val="1"/>
      <w:marLeft w:val="0"/>
      <w:marRight w:val="0"/>
      <w:marTop w:val="0"/>
      <w:marBottom w:val="0"/>
      <w:divBdr>
        <w:top w:val="none" w:sz="0" w:space="0" w:color="auto"/>
        <w:left w:val="none" w:sz="0" w:space="0" w:color="auto"/>
        <w:bottom w:val="none" w:sz="0" w:space="0" w:color="auto"/>
        <w:right w:val="none" w:sz="0" w:space="0" w:color="auto"/>
      </w:divBdr>
    </w:div>
    <w:div w:id="1630548288">
      <w:bodyDiv w:val="1"/>
      <w:marLeft w:val="0"/>
      <w:marRight w:val="0"/>
      <w:marTop w:val="0"/>
      <w:marBottom w:val="0"/>
      <w:divBdr>
        <w:top w:val="none" w:sz="0" w:space="0" w:color="auto"/>
        <w:left w:val="none" w:sz="0" w:space="0" w:color="auto"/>
        <w:bottom w:val="none" w:sz="0" w:space="0" w:color="auto"/>
        <w:right w:val="none" w:sz="0" w:space="0" w:color="auto"/>
      </w:divBdr>
    </w:div>
    <w:div w:id="1721052836">
      <w:bodyDiv w:val="1"/>
      <w:marLeft w:val="0"/>
      <w:marRight w:val="0"/>
      <w:marTop w:val="0"/>
      <w:marBottom w:val="0"/>
      <w:divBdr>
        <w:top w:val="none" w:sz="0" w:space="0" w:color="auto"/>
        <w:left w:val="none" w:sz="0" w:space="0" w:color="auto"/>
        <w:bottom w:val="none" w:sz="0" w:space="0" w:color="auto"/>
        <w:right w:val="none" w:sz="0" w:space="0" w:color="auto"/>
      </w:divBdr>
    </w:div>
    <w:div w:id="1747923517">
      <w:bodyDiv w:val="1"/>
      <w:marLeft w:val="0"/>
      <w:marRight w:val="0"/>
      <w:marTop w:val="0"/>
      <w:marBottom w:val="0"/>
      <w:divBdr>
        <w:top w:val="none" w:sz="0" w:space="0" w:color="auto"/>
        <w:left w:val="none" w:sz="0" w:space="0" w:color="auto"/>
        <w:bottom w:val="none" w:sz="0" w:space="0" w:color="auto"/>
        <w:right w:val="none" w:sz="0" w:space="0" w:color="auto"/>
      </w:divBdr>
    </w:div>
    <w:div w:id="1761291016">
      <w:bodyDiv w:val="1"/>
      <w:marLeft w:val="0"/>
      <w:marRight w:val="0"/>
      <w:marTop w:val="0"/>
      <w:marBottom w:val="0"/>
      <w:divBdr>
        <w:top w:val="none" w:sz="0" w:space="0" w:color="auto"/>
        <w:left w:val="none" w:sz="0" w:space="0" w:color="auto"/>
        <w:bottom w:val="none" w:sz="0" w:space="0" w:color="auto"/>
        <w:right w:val="none" w:sz="0" w:space="0" w:color="auto"/>
      </w:divBdr>
    </w:div>
    <w:div w:id="1807704065">
      <w:bodyDiv w:val="1"/>
      <w:marLeft w:val="0"/>
      <w:marRight w:val="0"/>
      <w:marTop w:val="0"/>
      <w:marBottom w:val="0"/>
      <w:divBdr>
        <w:top w:val="none" w:sz="0" w:space="0" w:color="auto"/>
        <w:left w:val="none" w:sz="0" w:space="0" w:color="auto"/>
        <w:bottom w:val="none" w:sz="0" w:space="0" w:color="auto"/>
        <w:right w:val="none" w:sz="0" w:space="0" w:color="auto"/>
      </w:divBdr>
    </w:div>
    <w:div w:id="1813786723">
      <w:bodyDiv w:val="1"/>
      <w:marLeft w:val="0"/>
      <w:marRight w:val="0"/>
      <w:marTop w:val="0"/>
      <w:marBottom w:val="0"/>
      <w:divBdr>
        <w:top w:val="none" w:sz="0" w:space="0" w:color="auto"/>
        <w:left w:val="none" w:sz="0" w:space="0" w:color="auto"/>
        <w:bottom w:val="none" w:sz="0" w:space="0" w:color="auto"/>
        <w:right w:val="none" w:sz="0" w:space="0" w:color="auto"/>
      </w:divBdr>
    </w:div>
    <w:div w:id="1865291848">
      <w:bodyDiv w:val="1"/>
      <w:marLeft w:val="0"/>
      <w:marRight w:val="0"/>
      <w:marTop w:val="0"/>
      <w:marBottom w:val="0"/>
      <w:divBdr>
        <w:top w:val="none" w:sz="0" w:space="0" w:color="auto"/>
        <w:left w:val="none" w:sz="0" w:space="0" w:color="auto"/>
        <w:bottom w:val="none" w:sz="0" w:space="0" w:color="auto"/>
        <w:right w:val="none" w:sz="0" w:space="0" w:color="auto"/>
      </w:divBdr>
    </w:div>
    <w:div w:id="1877741677">
      <w:bodyDiv w:val="1"/>
      <w:marLeft w:val="0"/>
      <w:marRight w:val="0"/>
      <w:marTop w:val="0"/>
      <w:marBottom w:val="0"/>
      <w:divBdr>
        <w:top w:val="none" w:sz="0" w:space="0" w:color="auto"/>
        <w:left w:val="none" w:sz="0" w:space="0" w:color="auto"/>
        <w:bottom w:val="none" w:sz="0" w:space="0" w:color="auto"/>
        <w:right w:val="none" w:sz="0" w:space="0" w:color="auto"/>
      </w:divBdr>
    </w:div>
    <w:div w:id="1878933668">
      <w:bodyDiv w:val="1"/>
      <w:marLeft w:val="0"/>
      <w:marRight w:val="0"/>
      <w:marTop w:val="0"/>
      <w:marBottom w:val="0"/>
      <w:divBdr>
        <w:top w:val="none" w:sz="0" w:space="0" w:color="auto"/>
        <w:left w:val="none" w:sz="0" w:space="0" w:color="auto"/>
        <w:bottom w:val="none" w:sz="0" w:space="0" w:color="auto"/>
        <w:right w:val="none" w:sz="0" w:space="0" w:color="auto"/>
      </w:divBdr>
    </w:div>
    <w:div w:id="1881631014">
      <w:bodyDiv w:val="1"/>
      <w:marLeft w:val="0"/>
      <w:marRight w:val="0"/>
      <w:marTop w:val="0"/>
      <w:marBottom w:val="0"/>
      <w:divBdr>
        <w:top w:val="none" w:sz="0" w:space="0" w:color="auto"/>
        <w:left w:val="none" w:sz="0" w:space="0" w:color="auto"/>
        <w:bottom w:val="none" w:sz="0" w:space="0" w:color="auto"/>
        <w:right w:val="none" w:sz="0" w:space="0" w:color="auto"/>
      </w:divBdr>
    </w:div>
    <w:div w:id="1896351098">
      <w:bodyDiv w:val="1"/>
      <w:marLeft w:val="0"/>
      <w:marRight w:val="0"/>
      <w:marTop w:val="0"/>
      <w:marBottom w:val="0"/>
      <w:divBdr>
        <w:top w:val="none" w:sz="0" w:space="0" w:color="auto"/>
        <w:left w:val="none" w:sz="0" w:space="0" w:color="auto"/>
        <w:bottom w:val="none" w:sz="0" w:space="0" w:color="auto"/>
        <w:right w:val="none" w:sz="0" w:space="0" w:color="auto"/>
      </w:divBdr>
    </w:div>
    <w:div w:id="1948463275">
      <w:bodyDiv w:val="1"/>
      <w:marLeft w:val="0"/>
      <w:marRight w:val="0"/>
      <w:marTop w:val="0"/>
      <w:marBottom w:val="0"/>
      <w:divBdr>
        <w:top w:val="none" w:sz="0" w:space="0" w:color="auto"/>
        <w:left w:val="none" w:sz="0" w:space="0" w:color="auto"/>
        <w:bottom w:val="none" w:sz="0" w:space="0" w:color="auto"/>
        <w:right w:val="none" w:sz="0" w:space="0" w:color="auto"/>
      </w:divBdr>
    </w:div>
    <w:div w:id="2024746033">
      <w:bodyDiv w:val="1"/>
      <w:marLeft w:val="0"/>
      <w:marRight w:val="0"/>
      <w:marTop w:val="0"/>
      <w:marBottom w:val="0"/>
      <w:divBdr>
        <w:top w:val="none" w:sz="0" w:space="0" w:color="auto"/>
        <w:left w:val="none" w:sz="0" w:space="0" w:color="auto"/>
        <w:bottom w:val="none" w:sz="0" w:space="0" w:color="auto"/>
        <w:right w:val="none" w:sz="0" w:space="0" w:color="auto"/>
      </w:divBdr>
    </w:div>
    <w:div w:id="2034070203">
      <w:bodyDiv w:val="1"/>
      <w:marLeft w:val="0"/>
      <w:marRight w:val="0"/>
      <w:marTop w:val="0"/>
      <w:marBottom w:val="0"/>
      <w:divBdr>
        <w:top w:val="none" w:sz="0" w:space="0" w:color="auto"/>
        <w:left w:val="none" w:sz="0" w:space="0" w:color="auto"/>
        <w:bottom w:val="none" w:sz="0" w:space="0" w:color="auto"/>
        <w:right w:val="none" w:sz="0" w:space="0" w:color="auto"/>
      </w:divBdr>
    </w:div>
    <w:div w:id="2041078645">
      <w:bodyDiv w:val="1"/>
      <w:marLeft w:val="0"/>
      <w:marRight w:val="0"/>
      <w:marTop w:val="0"/>
      <w:marBottom w:val="0"/>
      <w:divBdr>
        <w:top w:val="none" w:sz="0" w:space="0" w:color="auto"/>
        <w:left w:val="none" w:sz="0" w:space="0" w:color="auto"/>
        <w:bottom w:val="none" w:sz="0" w:space="0" w:color="auto"/>
        <w:right w:val="none" w:sz="0" w:space="0" w:color="auto"/>
      </w:divBdr>
    </w:div>
    <w:div w:id="2045666206">
      <w:bodyDiv w:val="1"/>
      <w:marLeft w:val="0"/>
      <w:marRight w:val="0"/>
      <w:marTop w:val="0"/>
      <w:marBottom w:val="0"/>
      <w:divBdr>
        <w:top w:val="none" w:sz="0" w:space="0" w:color="auto"/>
        <w:left w:val="none" w:sz="0" w:space="0" w:color="auto"/>
        <w:bottom w:val="none" w:sz="0" w:space="0" w:color="auto"/>
        <w:right w:val="none" w:sz="0" w:space="0" w:color="auto"/>
      </w:divBdr>
    </w:div>
    <w:div w:id="2123255984">
      <w:bodyDiv w:val="1"/>
      <w:marLeft w:val="0"/>
      <w:marRight w:val="0"/>
      <w:marTop w:val="0"/>
      <w:marBottom w:val="0"/>
      <w:divBdr>
        <w:top w:val="none" w:sz="0" w:space="0" w:color="auto"/>
        <w:left w:val="none" w:sz="0" w:space="0" w:color="auto"/>
        <w:bottom w:val="none" w:sz="0" w:space="0" w:color="auto"/>
        <w:right w:val="none" w:sz="0" w:space="0" w:color="auto"/>
      </w:divBdr>
    </w:div>
    <w:div w:id="2130708548">
      <w:bodyDiv w:val="1"/>
      <w:marLeft w:val="0"/>
      <w:marRight w:val="0"/>
      <w:marTop w:val="0"/>
      <w:marBottom w:val="0"/>
      <w:divBdr>
        <w:top w:val="none" w:sz="0" w:space="0" w:color="auto"/>
        <w:left w:val="none" w:sz="0" w:space="0" w:color="auto"/>
        <w:bottom w:val="none" w:sz="0" w:space="0" w:color="auto"/>
        <w:right w:val="none" w:sz="0" w:space="0" w:color="auto"/>
      </w:divBdr>
    </w:div>
    <w:div w:id="2134977145">
      <w:bodyDiv w:val="1"/>
      <w:marLeft w:val="0"/>
      <w:marRight w:val="0"/>
      <w:marTop w:val="0"/>
      <w:marBottom w:val="0"/>
      <w:divBdr>
        <w:top w:val="none" w:sz="0" w:space="0" w:color="auto"/>
        <w:left w:val="none" w:sz="0" w:space="0" w:color="auto"/>
        <w:bottom w:val="none" w:sz="0" w:space="0" w:color="auto"/>
        <w:right w:val="none" w:sz="0" w:space="0" w:color="auto"/>
      </w:divBdr>
    </w:div>
    <w:div w:id="214226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euronics.com/" TargetMode="External"/><Relationship Id="rId4" Type="http://schemas.openxmlformats.org/officeDocument/2006/relationships/settings" Target="settings.xml"/><Relationship Id="rId9" Type="http://schemas.openxmlformats.org/officeDocument/2006/relationships/hyperlink" Target="http://www.euronics.sk" TargetMode="Externa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30F82E-27DF-4AE3-83CA-C6BC9BCF7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3664</Words>
  <Characters>20886</Characters>
  <Application>Microsoft Office Word</Application>
  <DocSecurity>0</DocSecurity>
  <Lines>174</Lines>
  <Paragraphs>49</Paragraphs>
  <ScaleCrop>false</ScaleCrop>
  <HeadingPairs>
    <vt:vector size="2" baseType="variant">
      <vt:variant>
        <vt:lpstr>Názov</vt:lpstr>
      </vt:variant>
      <vt:variant>
        <vt:i4>1</vt:i4>
      </vt:variant>
    </vt:vector>
  </HeadingPairs>
  <TitlesOfParts>
    <vt:vector size="1" baseType="lpstr">
      <vt:lpstr/>
    </vt:vector>
  </TitlesOfParts>
  <Company>HP</Company>
  <LinksUpToDate>false</LinksUpToDate>
  <CharactersWithSpaces>24501</CharactersWithSpaces>
  <SharedDoc>false</SharedDoc>
  <HLinks>
    <vt:vector size="6" baseType="variant">
      <vt:variant>
        <vt:i4>6225927</vt:i4>
      </vt:variant>
      <vt:variant>
        <vt:i4>0</vt:i4>
      </vt:variant>
      <vt:variant>
        <vt:i4>0</vt:i4>
      </vt:variant>
      <vt:variant>
        <vt:i4>5</vt:i4>
      </vt:variant>
      <vt:variant>
        <vt:lpwstr>http://euronics.com/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igor.durina</cp:lastModifiedBy>
  <cp:revision>2</cp:revision>
  <cp:lastPrinted>2015-04-29T14:20:00Z</cp:lastPrinted>
  <dcterms:created xsi:type="dcterms:W3CDTF">2016-04-20T10:39:00Z</dcterms:created>
  <dcterms:modified xsi:type="dcterms:W3CDTF">2016-04-20T10:39:00Z</dcterms:modified>
</cp:coreProperties>
</file>